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3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 w:name="page2"/>
    <w:bookmarkEnd w:id="1"/>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19, 2025</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58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Milagros Cigüeñas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3749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74900" cy="1714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Milagros Cigüeñas</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2" w:name="page3"/>
    <w:bookmarkEnd w:id="2"/>
    <w:p>
      <w:pPr>
        <w:ind w:left="91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256540</wp:posOffset>
            </wp:positionV>
            <wp:extent cx="7132320" cy="6532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ectPr>
          <w:pgSz w:w="11900" w:h="16838" w:orient="portrait"/>
          <w:cols w:equalWidth="0" w:num="1">
            <w:col w:w="10120"/>
          </w:cols>
          <w:pgMar w:left="1440" w:top="25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456"/>
        </w:trPr>
        <w:tc>
          <w:tcPr>
            <w:tcW w:w="6760" w:type="dxa"/>
            <w:vAlign w:val="bottom"/>
            <w:shd w:val="clear" w:color="auto" w:fill="000000"/>
          </w:tcPr>
          <w:p>
            <w:pPr>
              <w:ind w:left="2720"/>
              <w:spacing w:after="0"/>
              <w:rPr>
                <w:sz w:val="20"/>
                <w:szCs w:val="20"/>
                <w:color w:val="auto"/>
              </w:rPr>
            </w:pPr>
            <w:r>
              <w:rPr>
                <w:rFonts w:ascii="Arial" w:cs="Arial" w:eastAsia="Arial" w:hAnsi="Arial"/>
                <w:sz w:val="20"/>
                <w:szCs w:val="20"/>
                <w:color w:val="A6A6A6"/>
              </w:rPr>
              <w:t xml:space="preserve">|  </w:t>
            </w:r>
            <w:r>
              <w:rPr>
                <w:rFonts w:ascii="Arial" w:cs="Arial" w:eastAsia="Arial" w:hAnsi="Arial"/>
                <w:sz w:val="16"/>
                <w:szCs w:val="16"/>
                <w:color w:val="FFFFFF"/>
              </w:rPr>
              <w:t>Earnings Release 4Q / 2024</w:t>
            </w:r>
          </w:p>
        </w:tc>
        <w:tc>
          <w:tcPr>
            <w:tcW w:w="4480" w:type="dxa"/>
            <w:vAlign w:val="bottom"/>
            <w:shd w:val="clear" w:color="auto" w:fill="000000"/>
          </w:tcPr>
          <w:p>
            <w:pPr>
              <w:jc w:val="right"/>
              <w:ind w:right="696"/>
              <w:spacing w:after="0"/>
              <w:rPr>
                <w:sz w:val="20"/>
                <w:szCs w:val="20"/>
                <w:color w:val="auto"/>
              </w:rPr>
            </w:pPr>
            <w:r>
              <w:rPr>
                <w:rFonts w:ascii="Arial" w:cs="Arial" w:eastAsia="Arial" w:hAnsi="Arial"/>
                <w:sz w:val="16"/>
                <w:szCs w:val="16"/>
                <w:color w:val="ED3FA8"/>
              </w:rPr>
              <w:t>Analysis of 4Q24 Consolidated Results</w:t>
            </w:r>
          </w:p>
        </w:tc>
      </w:tr>
      <w:tr>
        <w:trPr>
          <w:trHeight w:val="206"/>
        </w:trPr>
        <w:tc>
          <w:tcPr>
            <w:tcW w:w="6760" w:type="dxa"/>
            <w:vAlign w:val="bottom"/>
            <w:shd w:val="clear" w:color="auto" w:fill="000000"/>
          </w:tcPr>
          <w:p>
            <w:pPr>
              <w:spacing w:after="0"/>
              <w:rPr>
                <w:sz w:val="17"/>
                <w:szCs w:val="17"/>
                <w:color w:val="auto"/>
              </w:rPr>
            </w:pPr>
          </w:p>
        </w:tc>
        <w:tc>
          <w:tcPr>
            <w:tcW w:w="4480" w:type="dxa"/>
            <w:vAlign w:val="bottom"/>
            <w:shd w:val="clear" w:color="auto" w:fill="000000"/>
          </w:tcPr>
          <w:p>
            <w:pPr>
              <w:spacing w:after="0"/>
              <w:rPr>
                <w:sz w:val="17"/>
                <w:szCs w:val="17"/>
                <w:color w:val="auto"/>
              </w:rPr>
            </w:pPr>
          </w:p>
        </w:tc>
      </w:tr>
      <w:tr>
        <w:trPr>
          <w:trHeight w:val="672"/>
        </w:trPr>
        <w:tc>
          <w:tcPr>
            <w:tcW w:w="6760" w:type="dxa"/>
            <w:vAlign w:val="bottom"/>
          </w:tcPr>
          <w:p>
            <w:pPr>
              <w:spacing w:after="0"/>
              <w:rPr>
                <w:sz w:val="20"/>
                <w:szCs w:val="20"/>
                <w:color w:val="auto"/>
              </w:rPr>
            </w:pPr>
            <w:r>
              <w:rPr>
                <w:rFonts w:ascii="Arial" w:cs="Arial" w:eastAsia="Arial" w:hAnsi="Arial"/>
                <w:sz w:val="49"/>
                <w:szCs w:val="49"/>
                <w:b w:val="1"/>
                <w:bCs w:val="1"/>
                <w:color w:val="2AD2C8"/>
              </w:rPr>
              <w:t>Table of Contents</w:t>
            </w:r>
          </w:p>
        </w:tc>
        <w:tc>
          <w:tcPr>
            <w:tcW w:w="4480" w:type="dxa"/>
            <w:vAlign w:val="bottom"/>
          </w:tcPr>
          <w:p>
            <w:pPr>
              <w:spacing w:after="0"/>
              <w:rPr>
                <w:sz w:val="24"/>
                <w:szCs w:val="24"/>
                <w:color w:val="auto"/>
              </w:rPr>
            </w:pPr>
          </w:p>
        </w:tc>
      </w:tr>
      <w:tr>
        <w:trPr>
          <w:trHeight w:val="380"/>
        </w:trPr>
        <w:tc>
          <w:tcPr>
            <w:tcW w:w="6760" w:type="dxa"/>
            <w:vAlign w:val="bottom"/>
          </w:tcPr>
          <w:p>
            <w:pPr>
              <w:ind w:left="920"/>
              <w:spacing w:after="0"/>
              <w:rPr>
                <w:sz w:val="20"/>
                <w:szCs w:val="20"/>
                <w:color w:val="auto"/>
              </w:rPr>
            </w:pPr>
            <w:r>
              <w:rPr>
                <w:rFonts w:ascii="Arial" w:cs="Arial" w:eastAsia="Arial" w:hAnsi="Arial"/>
                <w:sz w:val="22"/>
                <w:szCs w:val="22"/>
                <w:b w:val="1"/>
                <w:bCs w:val="1"/>
                <w:color w:val="A6A6A6"/>
              </w:rPr>
              <w:t>Operating and Financial Highlights</w:t>
            </w:r>
          </w:p>
        </w:tc>
        <w:tc>
          <w:tcPr>
            <w:tcW w:w="4480" w:type="dxa"/>
            <w:vAlign w:val="bottom"/>
          </w:tcPr>
          <w:p>
            <w:pPr>
              <w:jc w:val="right"/>
              <w:spacing w:after="0"/>
              <w:rPr>
                <w:sz w:val="20"/>
                <w:szCs w:val="20"/>
                <w:color w:val="auto"/>
              </w:rPr>
            </w:pPr>
            <w:r>
              <w:rPr>
                <w:rFonts w:ascii="Arial" w:cs="Arial" w:eastAsia="Arial" w:hAnsi="Arial"/>
                <w:sz w:val="22"/>
                <w:szCs w:val="22"/>
                <w:color w:val="auto"/>
              </w:rPr>
              <w:t>03</w:t>
            </w:r>
          </w:p>
        </w:tc>
      </w:tr>
      <w:tr>
        <w:trPr>
          <w:trHeight w:val="486"/>
        </w:trPr>
        <w:tc>
          <w:tcPr>
            <w:tcW w:w="6760" w:type="dxa"/>
            <w:vAlign w:val="bottom"/>
          </w:tcPr>
          <w:p>
            <w:pPr>
              <w:ind w:left="920"/>
              <w:spacing w:after="0"/>
              <w:rPr>
                <w:sz w:val="20"/>
                <w:szCs w:val="20"/>
                <w:color w:val="auto"/>
              </w:rPr>
            </w:pPr>
            <w:r>
              <w:rPr>
                <w:rFonts w:ascii="Arial" w:cs="Arial" w:eastAsia="Arial" w:hAnsi="Arial"/>
                <w:sz w:val="22"/>
                <w:szCs w:val="22"/>
                <w:b w:val="1"/>
                <w:bCs w:val="1"/>
                <w:color w:val="A6A6A6"/>
              </w:rPr>
              <w:t>Senior Management Quotes</w:t>
            </w:r>
          </w:p>
        </w:tc>
        <w:tc>
          <w:tcPr>
            <w:tcW w:w="4480" w:type="dxa"/>
            <w:vAlign w:val="bottom"/>
          </w:tcPr>
          <w:p>
            <w:pPr>
              <w:jc w:val="right"/>
              <w:spacing w:after="0"/>
              <w:rPr>
                <w:sz w:val="20"/>
                <w:szCs w:val="20"/>
                <w:color w:val="auto"/>
              </w:rPr>
            </w:pPr>
            <w:r>
              <w:rPr>
                <w:rFonts w:ascii="Arial" w:cs="Arial" w:eastAsia="Arial" w:hAnsi="Arial"/>
                <w:sz w:val="22"/>
                <w:szCs w:val="22"/>
                <w:color w:val="auto"/>
              </w:rPr>
              <w:t>04</w:t>
            </w:r>
          </w:p>
        </w:tc>
      </w:tr>
      <w:tr>
        <w:trPr>
          <w:trHeight w:val="486"/>
        </w:trPr>
        <w:tc>
          <w:tcPr>
            <w:tcW w:w="6760" w:type="dxa"/>
            <w:vAlign w:val="bottom"/>
          </w:tcPr>
          <w:p>
            <w:pPr>
              <w:ind w:left="920"/>
              <w:spacing w:after="0"/>
              <w:rPr>
                <w:sz w:val="20"/>
                <w:szCs w:val="20"/>
                <w:color w:val="auto"/>
              </w:rPr>
            </w:pPr>
            <w:r>
              <w:rPr>
                <w:rFonts w:ascii="Arial" w:cs="Arial" w:eastAsia="Arial" w:hAnsi="Arial"/>
                <w:sz w:val="22"/>
                <w:szCs w:val="22"/>
                <w:b w:val="1"/>
                <w:bCs w:val="1"/>
                <w:color w:val="A6A6A6"/>
              </w:rPr>
              <w:t>First Quarter 2025 Earnings Conference Call</w:t>
            </w:r>
          </w:p>
        </w:tc>
        <w:tc>
          <w:tcPr>
            <w:tcW w:w="4480" w:type="dxa"/>
            <w:vAlign w:val="bottom"/>
          </w:tcPr>
          <w:p>
            <w:pPr>
              <w:jc w:val="right"/>
              <w:spacing w:after="0"/>
              <w:rPr>
                <w:sz w:val="20"/>
                <w:szCs w:val="20"/>
                <w:color w:val="auto"/>
              </w:rPr>
            </w:pPr>
            <w:r>
              <w:rPr>
                <w:rFonts w:ascii="Arial" w:cs="Arial" w:eastAsia="Arial" w:hAnsi="Arial"/>
                <w:sz w:val="22"/>
                <w:szCs w:val="22"/>
                <w:color w:val="auto"/>
              </w:rPr>
              <w:t>05</w:t>
            </w:r>
          </w:p>
        </w:tc>
      </w:tr>
      <w:tr>
        <w:trPr>
          <w:trHeight w:val="486"/>
        </w:trPr>
        <w:tc>
          <w:tcPr>
            <w:tcW w:w="6760" w:type="dxa"/>
            <w:vAlign w:val="bottom"/>
          </w:tcPr>
          <w:p>
            <w:pPr>
              <w:ind w:left="920"/>
              <w:spacing w:after="0"/>
              <w:rPr>
                <w:sz w:val="20"/>
                <w:szCs w:val="20"/>
                <w:color w:val="auto"/>
              </w:rPr>
            </w:pPr>
            <w:r>
              <w:rPr>
                <w:rFonts w:ascii="Arial" w:cs="Arial" w:eastAsia="Arial" w:hAnsi="Arial"/>
                <w:sz w:val="22"/>
                <w:szCs w:val="22"/>
                <w:b w:val="1"/>
                <w:bCs w:val="1"/>
                <w:color w:val="A6A6A6"/>
              </w:rPr>
              <w:t>Summary of Financial Performance and Outlook</w:t>
            </w:r>
          </w:p>
        </w:tc>
        <w:tc>
          <w:tcPr>
            <w:tcW w:w="4480" w:type="dxa"/>
            <w:vAlign w:val="bottom"/>
          </w:tcPr>
          <w:p>
            <w:pPr>
              <w:jc w:val="right"/>
              <w:spacing w:after="0"/>
              <w:rPr>
                <w:sz w:val="20"/>
                <w:szCs w:val="20"/>
                <w:color w:val="auto"/>
              </w:rPr>
            </w:pPr>
            <w:r>
              <w:rPr>
                <w:rFonts w:ascii="Arial" w:cs="Arial" w:eastAsia="Arial" w:hAnsi="Arial"/>
                <w:sz w:val="22"/>
                <w:szCs w:val="22"/>
                <w:color w:val="auto"/>
              </w:rPr>
              <w:t>06</w:t>
            </w:r>
          </w:p>
        </w:tc>
      </w:tr>
      <w:tr>
        <w:trPr>
          <w:trHeight w:val="486"/>
        </w:trPr>
        <w:tc>
          <w:tcPr>
            <w:tcW w:w="6760" w:type="dxa"/>
            <w:vAlign w:val="bottom"/>
          </w:tcPr>
          <w:p>
            <w:pPr>
              <w:ind w:left="920"/>
              <w:spacing w:after="0"/>
              <w:rPr>
                <w:sz w:val="20"/>
                <w:szCs w:val="20"/>
                <w:color w:val="auto"/>
              </w:rPr>
            </w:pPr>
            <w:r>
              <w:rPr>
                <w:rFonts w:ascii="Arial" w:cs="Arial" w:eastAsia="Arial" w:hAnsi="Arial"/>
                <w:sz w:val="22"/>
                <w:szCs w:val="22"/>
                <w:b w:val="1"/>
                <w:bCs w:val="1"/>
                <w:color w:val="A6A6A6"/>
              </w:rPr>
              <w:t>Financial Overview</w:t>
            </w:r>
          </w:p>
        </w:tc>
        <w:tc>
          <w:tcPr>
            <w:tcW w:w="448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527"/>
        </w:trPr>
        <w:tc>
          <w:tcPr>
            <w:tcW w:w="6760" w:type="dxa"/>
            <w:vAlign w:val="bottom"/>
          </w:tcPr>
          <w:p>
            <w:pPr>
              <w:ind w:left="920"/>
              <w:spacing w:after="0"/>
              <w:rPr>
                <w:sz w:val="20"/>
                <w:szCs w:val="20"/>
                <w:color w:val="auto"/>
              </w:rPr>
            </w:pPr>
            <w:r>
              <w:rPr>
                <w:rFonts w:ascii="Arial" w:cs="Arial" w:eastAsia="Arial" w:hAnsi="Arial"/>
                <w:sz w:val="22"/>
                <w:szCs w:val="22"/>
                <w:b w:val="1"/>
                <w:bCs w:val="1"/>
                <w:color w:val="A6A6A6"/>
              </w:rPr>
              <w:t>Credicorp’s Strategy Update</w:t>
            </w:r>
          </w:p>
        </w:tc>
        <w:tc>
          <w:tcPr>
            <w:tcW w:w="44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527"/>
        </w:trPr>
        <w:tc>
          <w:tcPr>
            <w:tcW w:w="6760" w:type="dxa"/>
            <w:vAlign w:val="bottom"/>
          </w:tcPr>
          <w:p>
            <w:pPr>
              <w:ind w:left="920"/>
              <w:spacing w:after="0"/>
              <w:rPr>
                <w:sz w:val="20"/>
                <w:szCs w:val="20"/>
                <w:color w:val="auto"/>
              </w:rPr>
            </w:pPr>
            <w:r>
              <w:rPr>
                <w:rFonts w:ascii="Arial" w:cs="Arial" w:eastAsia="Arial" w:hAnsi="Arial"/>
                <w:sz w:val="22"/>
                <w:szCs w:val="22"/>
                <w:b w:val="1"/>
                <w:bCs w:val="1"/>
                <w:color w:val="A6A6A6"/>
              </w:rPr>
              <w:t>Analysis of 1Q25 Consolidated Results</w:t>
            </w:r>
          </w:p>
        </w:tc>
        <w:tc>
          <w:tcPr>
            <w:tcW w:w="4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-2853690</wp:posOffset>
            </wp:positionV>
            <wp:extent cx="104584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4584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-2073275</wp:posOffset>
            </wp:positionV>
            <wp:extent cx="17970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70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-1764665</wp:posOffset>
            </wp:positionV>
            <wp:extent cx="17970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70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-1456055</wp:posOffset>
            </wp:positionV>
            <wp:extent cx="17970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70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-1147445</wp:posOffset>
            </wp:positionV>
            <wp:extent cx="17970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705" cy="15430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-838835</wp:posOffset>
            </wp:positionV>
            <wp:extent cx="17970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705" cy="15430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-504825</wp:posOffset>
            </wp:positionV>
            <wp:extent cx="17970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705" cy="15430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-170180</wp:posOffset>
            </wp:positionV>
            <wp:extent cx="17970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705" cy="1543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390"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E93BAC"/>
        </w:rPr>
        <w:t>01</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E93BAC"/>
        </w:rPr>
        <w:t>02</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E93BAC"/>
        </w:rPr>
        <w:t>03</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E93BAC"/>
        </w:rPr>
        <w:t>04</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E93BAC"/>
        </w:rPr>
        <w:t>05</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E93BAC"/>
        </w:rPr>
        <w:t>06</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E93BAC"/>
        </w:rPr>
        <w:t>07</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E93BAC"/>
        </w:rPr>
        <w:t>08</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E93BAC"/>
        </w:rPr>
        <w:t>09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E93BAC"/>
        </w:rPr>
        <w:t>10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E93BAC"/>
        </w:rPr>
        <w:t>11</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E93BAC"/>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7360" w:type="dxa"/>
            <w:vAlign w:val="bottom"/>
          </w:tcPr>
          <w:p>
            <w:pPr>
              <w:spacing w:after="0"/>
              <w:rPr>
                <w:sz w:val="20"/>
                <w:szCs w:val="20"/>
                <w:color w:val="auto"/>
              </w:rPr>
            </w:pPr>
            <w:r>
              <w:rPr>
                <w:rFonts w:ascii="Arial" w:cs="Arial" w:eastAsia="Arial" w:hAnsi="Arial"/>
                <w:sz w:val="22"/>
                <w:szCs w:val="22"/>
                <w:color w:val="E93BAC"/>
              </w:rPr>
              <w:t>Loan Portfolio</w:t>
            </w:r>
          </w:p>
        </w:tc>
        <w:tc>
          <w:tcPr>
            <w:tcW w:w="21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553"/>
        </w:trPr>
        <w:tc>
          <w:tcPr>
            <w:tcW w:w="7360" w:type="dxa"/>
            <w:vAlign w:val="bottom"/>
          </w:tcPr>
          <w:p>
            <w:pPr>
              <w:spacing w:after="0"/>
              <w:rPr>
                <w:sz w:val="20"/>
                <w:szCs w:val="20"/>
                <w:color w:val="auto"/>
              </w:rPr>
            </w:pPr>
            <w:r>
              <w:rPr>
                <w:rFonts w:ascii="Arial" w:cs="Arial" w:eastAsia="Arial" w:hAnsi="Arial"/>
                <w:sz w:val="22"/>
                <w:szCs w:val="22"/>
                <w:color w:val="E93BAC"/>
              </w:rPr>
              <w:t>Deposits</w:t>
            </w:r>
          </w:p>
        </w:tc>
        <w:tc>
          <w:tcPr>
            <w:tcW w:w="21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553"/>
        </w:trPr>
        <w:tc>
          <w:tcPr>
            <w:tcW w:w="7360" w:type="dxa"/>
            <w:vAlign w:val="bottom"/>
          </w:tcPr>
          <w:p>
            <w:pPr>
              <w:spacing w:after="0"/>
              <w:rPr>
                <w:sz w:val="20"/>
                <w:szCs w:val="20"/>
                <w:color w:val="auto"/>
              </w:rPr>
            </w:pPr>
            <w:r>
              <w:rPr>
                <w:rFonts w:ascii="Arial" w:cs="Arial" w:eastAsia="Arial" w:hAnsi="Arial"/>
                <w:sz w:val="22"/>
                <w:szCs w:val="22"/>
                <w:color w:val="E93BAC"/>
              </w:rPr>
              <w:t>Interest Earning Assets and Funding</w:t>
            </w:r>
          </w:p>
        </w:tc>
        <w:tc>
          <w:tcPr>
            <w:tcW w:w="21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553"/>
        </w:trPr>
        <w:tc>
          <w:tcPr>
            <w:tcW w:w="7360" w:type="dxa"/>
            <w:vAlign w:val="bottom"/>
          </w:tcPr>
          <w:p>
            <w:pPr>
              <w:spacing w:after="0"/>
              <w:rPr>
                <w:sz w:val="20"/>
                <w:szCs w:val="20"/>
                <w:color w:val="auto"/>
              </w:rPr>
            </w:pPr>
            <w:r>
              <w:rPr>
                <w:rFonts w:ascii="Arial" w:cs="Arial" w:eastAsia="Arial" w:hAnsi="Arial"/>
                <w:sz w:val="22"/>
                <w:szCs w:val="22"/>
                <w:color w:val="E93BAC"/>
              </w:rPr>
              <w:t>Net Interest Income (NII)</w:t>
            </w:r>
          </w:p>
        </w:tc>
        <w:tc>
          <w:tcPr>
            <w:tcW w:w="21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554"/>
        </w:trPr>
        <w:tc>
          <w:tcPr>
            <w:tcW w:w="7360" w:type="dxa"/>
            <w:vAlign w:val="bottom"/>
          </w:tcPr>
          <w:p>
            <w:pPr>
              <w:spacing w:after="0"/>
              <w:rPr>
                <w:sz w:val="20"/>
                <w:szCs w:val="20"/>
                <w:color w:val="auto"/>
              </w:rPr>
            </w:pPr>
            <w:r>
              <w:rPr>
                <w:rFonts w:ascii="Arial" w:cs="Arial" w:eastAsia="Arial" w:hAnsi="Arial"/>
                <w:sz w:val="22"/>
                <w:szCs w:val="22"/>
                <w:color w:val="E93BAC"/>
              </w:rPr>
              <w:t>Portfolio Quality and Provisions</w:t>
            </w:r>
          </w:p>
        </w:tc>
        <w:tc>
          <w:tcPr>
            <w:tcW w:w="21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553"/>
        </w:trPr>
        <w:tc>
          <w:tcPr>
            <w:tcW w:w="7360" w:type="dxa"/>
            <w:vAlign w:val="bottom"/>
          </w:tcPr>
          <w:p>
            <w:pPr>
              <w:spacing w:after="0"/>
              <w:rPr>
                <w:sz w:val="20"/>
                <w:szCs w:val="20"/>
                <w:color w:val="auto"/>
              </w:rPr>
            </w:pPr>
            <w:r>
              <w:rPr>
                <w:rFonts w:ascii="Arial" w:cs="Arial" w:eastAsia="Arial" w:hAnsi="Arial"/>
                <w:sz w:val="22"/>
                <w:szCs w:val="22"/>
                <w:color w:val="E93BAC"/>
              </w:rPr>
              <w:t>Other Income</w:t>
            </w:r>
          </w:p>
        </w:tc>
        <w:tc>
          <w:tcPr>
            <w:tcW w:w="21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553"/>
        </w:trPr>
        <w:tc>
          <w:tcPr>
            <w:tcW w:w="7360" w:type="dxa"/>
            <w:vAlign w:val="bottom"/>
          </w:tcPr>
          <w:p>
            <w:pPr>
              <w:spacing w:after="0"/>
              <w:rPr>
                <w:sz w:val="20"/>
                <w:szCs w:val="20"/>
                <w:color w:val="auto"/>
              </w:rPr>
            </w:pPr>
            <w:r>
              <w:rPr>
                <w:rFonts w:ascii="Arial" w:cs="Arial" w:eastAsia="Arial" w:hAnsi="Arial"/>
                <w:sz w:val="22"/>
                <w:szCs w:val="22"/>
                <w:color w:val="E93BAC"/>
              </w:rPr>
              <w:t>Insurance Underwriting Results and the Medical Services</w:t>
            </w:r>
          </w:p>
        </w:tc>
        <w:tc>
          <w:tcPr>
            <w:tcW w:w="21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553"/>
        </w:trPr>
        <w:tc>
          <w:tcPr>
            <w:tcW w:w="7360" w:type="dxa"/>
            <w:vAlign w:val="bottom"/>
          </w:tcPr>
          <w:p>
            <w:pPr>
              <w:spacing w:after="0"/>
              <w:rPr>
                <w:sz w:val="20"/>
                <w:szCs w:val="20"/>
                <w:color w:val="auto"/>
              </w:rPr>
            </w:pPr>
            <w:r>
              <w:rPr>
                <w:rFonts w:ascii="Arial" w:cs="Arial" w:eastAsia="Arial" w:hAnsi="Arial"/>
                <w:sz w:val="22"/>
                <w:szCs w:val="22"/>
                <w:color w:val="E93BAC"/>
              </w:rPr>
              <w:t>Operating Expenses</w:t>
            </w:r>
          </w:p>
        </w:tc>
        <w:tc>
          <w:tcPr>
            <w:tcW w:w="21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554"/>
        </w:trPr>
        <w:tc>
          <w:tcPr>
            <w:tcW w:w="7360" w:type="dxa"/>
            <w:vAlign w:val="bottom"/>
          </w:tcPr>
          <w:p>
            <w:pPr>
              <w:spacing w:after="0"/>
              <w:rPr>
                <w:sz w:val="20"/>
                <w:szCs w:val="20"/>
                <w:color w:val="auto"/>
              </w:rPr>
            </w:pPr>
            <w:r>
              <w:rPr>
                <w:rFonts w:ascii="Arial" w:cs="Arial" w:eastAsia="Arial" w:hAnsi="Arial"/>
                <w:sz w:val="22"/>
                <w:szCs w:val="22"/>
                <w:color w:val="E93BAC"/>
              </w:rPr>
              <w:t>Operating Efficiency</w:t>
            </w:r>
          </w:p>
        </w:tc>
        <w:tc>
          <w:tcPr>
            <w:tcW w:w="21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553"/>
        </w:trPr>
        <w:tc>
          <w:tcPr>
            <w:tcW w:w="7360" w:type="dxa"/>
            <w:vAlign w:val="bottom"/>
          </w:tcPr>
          <w:p>
            <w:pPr>
              <w:spacing w:after="0"/>
              <w:rPr>
                <w:sz w:val="20"/>
                <w:szCs w:val="20"/>
                <w:color w:val="auto"/>
              </w:rPr>
            </w:pPr>
            <w:r>
              <w:rPr>
                <w:rFonts w:ascii="Arial" w:cs="Arial" w:eastAsia="Arial" w:hAnsi="Arial"/>
                <w:sz w:val="22"/>
                <w:szCs w:val="22"/>
                <w:color w:val="E93BAC"/>
              </w:rPr>
              <w:t>Regulatory Capital</w:t>
            </w:r>
          </w:p>
        </w:tc>
        <w:tc>
          <w:tcPr>
            <w:tcW w:w="21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553"/>
        </w:trPr>
        <w:tc>
          <w:tcPr>
            <w:tcW w:w="7360" w:type="dxa"/>
            <w:vAlign w:val="bottom"/>
          </w:tcPr>
          <w:p>
            <w:pPr>
              <w:spacing w:after="0"/>
              <w:rPr>
                <w:sz w:val="20"/>
                <w:szCs w:val="20"/>
                <w:color w:val="auto"/>
              </w:rPr>
            </w:pPr>
            <w:r>
              <w:rPr>
                <w:rFonts w:ascii="Arial" w:cs="Arial" w:eastAsia="Arial" w:hAnsi="Arial"/>
                <w:sz w:val="22"/>
                <w:szCs w:val="22"/>
                <w:color w:val="E93BAC"/>
              </w:rPr>
              <w:t>Economic Outlook</w:t>
            </w:r>
          </w:p>
        </w:tc>
        <w:tc>
          <w:tcPr>
            <w:tcW w:w="21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554"/>
        </w:trPr>
        <w:tc>
          <w:tcPr>
            <w:tcW w:w="7360" w:type="dxa"/>
            <w:vAlign w:val="bottom"/>
          </w:tcPr>
          <w:p>
            <w:pPr>
              <w:spacing w:after="0"/>
              <w:rPr>
                <w:sz w:val="20"/>
                <w:szCs w:val="20"/>
                <w:color w:val="auto"/>
              </w:rPr>
            </w:pPr>
            <w:r>
              <w:rPr>
                <w:rFonts w:ascii="Arial" w:cs="Arial" w:eastAsia="Arial" w:hAnsi="Arial"/>
                <w:sz w:val="22"/>
                <w:szCs w:val="22"/>
                <w:color w:val="E93BAC"/>
              </w:rPr>
              <w:t>Appendix</w:t>
            </w:r>
          </w:p>
        </w:tc>
        <w:tc>
          <w:tcPr>
            <w:tcW w:w="2120" w:type="dxa"/>
            <w:vAlign w:val="bottom"/>
          </w:tcPr>
          <w:p>
            <w:pPr>
              <w:jc w:val="right"/>
              <w:spacing w:after="0"/>
              <w:rPr>
                <w:sz w:val="20"/>
                <w:szCs w:val="20"/>
                <w:color w:val="auto"/>
              </w:rPr>
            </w:pPr>
            <w:r>
              <w:rPr>
                <w:rFonts w:ascii="Arial" w:cs="Arial" w:eastAsia="Arial" w:hAnsi="Arial"/>
                <w:sz w:val="22"/>
                <w:szCs w:val="22"/>
                <w:color w:val="auto"/>
              </w:rPr>
              <w:t>49</w:t>
            </w:r>
          </w:p>
        </w:tc>
      </w:tr>
    </w:tbl>
    <w:p>
      <w:pPr>
        <w:spacing w:after="0" w:line="315" w:lineRule="exact"/>
        <w:rPr>
          <w:sz w:val="20"/>
          <w:szCs w:val="20"/>
          <w:color w:val="auto"/>
        </w:rPr>
      </w:pPr>
    </w:p>
    <w:p>
      <w:pPr>
        <w:sectPr>
          <w:pgSz w:w="11900" w:h="16838" w:orient="portrait"/>
          <w:cols w:equalWidth="0" w:num="2">
            <w:col w:w="1560" w:space="180"/>
            <w:col w:w="9500"/>
          </w:cols>
          <w:pgMar w:left="320" w:top="140" w:right="339" w:bottom="1440" w:gutter="0" w:footer="0" w:header="0"/>
          <w:type w:val="continuous"/>
        </w:sectPr>
      </w:pPr>
    </w:p>
    <w:p>
      <w:pPr>
        <w:spacing w:after="0" w:line="174"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 w:name="page5"/>
    <w:bookmarkEnd w:id="4"/>
    <w:p>
      <w:pPr>
        <w:ind w:left="2760"/>
        <w:spacing w:after="0"/>
        <w:tabs>
          <w:tab w:leader="none" w:pos="3000" w:val="left"/>
          <w:tab w:leader="none" w:pos="734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353695</wp:posOffset>
            </wp:positionH>
            <wp:positionV relativeFrom="page">
              <wp:posOffset>88900</wp:posOffset>
            </wp:positionV>
            <wp:extent cx="6635115" cy="565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35115" cy="56578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1Q / 2025</w:t>
      </w:r>
      <w:r>
        <w:rPr>
          <w:sz w:val="20"/>
          <w:szCs w:val="20"/>
          <w:color w:val="auto"/>
        </w:rPr>
        <w:tab/>
      </w:r>
      <w:r>
        <w:rPr>
          <w:rFonts w:ascii="Arial" w:cs="Arial" w:eastAsia="Arial" w:hAnsi="Arial"/>
          <w:sz w:val="14"/>
          <w:szCs w:val="14"/>
          <w:color w:val="ED3FA8"/>
        </w:rPr>
        <w:t>Analysis of 1Q25 Consolidated Results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Credicorp Ltd. Reports Financial and Operating Results for 1Q25</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Robust operational results in Universal Banking and Insurance &amp; Pensions, improved momentum in Microfinance, and continued</w:t>
      </w:r>
    </w:p>
    <w:p>
      <w:pPr>
        <w:spacing w:after="0" w:line="14"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growth in fee-based and transactional volumes.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Risk-adjusted NIM strengthened to 5.24%, driven by lower provisioning resulting from a more dynamic portfolio management and</w:t>
      </w:r>
    </w:p>
    <w:p>
      <w:pPr>
        <w:spacing w:after="0" w:line="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supported by improvements in payment performance and the economic backdrop.</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Advances in our decoupling strategy with 5.4% of risk-adjusted revenues from innovation portfolio this quarter; on track to meet our</w:t>
      </w:r>
    </w:p>
    <w:p>
      <w:pPr>
        <w:spacing w:after="0" w:line="14"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10% target by 2026.</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ROE reached a high 20.3%, or 18.2% excluding an extraordinary gain from the Empresas Banmedica 50% JV acquisition,</w:t>
      </w:r>
    </w:p>
    <w:p>
      <w:pPr>
        <w:spacing w:after="0" w:line="1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reflecting strong fundamentals across core businesses.</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Lima, Peru – May 15, 2025 – Credicorp Ltd. (“Credicorp” or “the Company”) (NYSE: BAP | BVL: BAP), </w:t>
      </w:r>
      <w:r>
        <w:rPr>
          <w:rFonts w:ascii="Arial" w:cs="Arial" w:eastAsia="Arial" w:hAnsi="Arial"/>
          <w:sz w:val="18"/>
          <w:szCs w:val="18"/>
          <w:color w:val="auto"/>
        </w:rPr>
        <w:t>the leading financial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company in Peru with a presence in Chile, Colombia, Bolivia, and Panama today reported its unaudited results for the quarter ended March 31, 2025. Financial results are expressed in Soles and are presented in accordance with IFRS.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1Q25 OPERATING AND FINANCIAL HIGHLIGHTS</w:t>
      </w:r>
    </w:p>
    <w:p>
      <w:pPr>
        <w:spacing w:after="0" w:line="158" w:lineRule="exact"/>
        <w:rPr>
          <w:sz w:val="20"/>
          <w:szCs w:val="20"/>
          <w:color w:val="auto"/>
        </w:rPr>
      </w:pPr>
    </w:p>
    <w:p>
      <w:pPr>
        <w:jc w:val="both"/>
        <w:ind w:left="320" w:hanging="312"/>
        <w:spacing w:after="0" w:line="253"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attributed to Credicorp increased 57.8% QoQ and 17.6% YoY to S/1,777.7 million, delivering an ROE of 20.3%.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extraordinary gain related to the previously disclosed acquisition of the remaining 50% stake in the JV with Empresas Banmedica, Net Income attributed to Credicorp increases 43.0% QoQ and 6.6% YoY, with an ROE at 18.4%.</w:t>
      </w:r>
    </w:p>
    <w:p>
      <w:pPr>
        <w:spacing w:after="0" w:line="60" w:lineRule="exact"/>
        <w:rPr>
          <w:rFonts w:ascii="Arial" w:cs="Arial" w:eastAsia="Arial" w:hAnsi="Arial"/>
          <w:sz w:val="18"/>
          <w:szCs w:val="18"/>
          <w:color w:val="auto"/>
        </w:rPr>
      </w:pPr>
    </w:p>
    <w:p>
      <w:pPr>
        <w:ind w:left="320" w:hanging="312"/>
        <w:spacing w:after="0" w:line="271"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March 2025, Credicorp revalued Bolivia´s balance sheet using a market-reflective FX rate, resulting in an accounting contraction of 2.0% in Credicorp Total Assets. The loan and deposit figures cited below exclude this adjustment.</w:t>
      </w:r>
    </w:p>
    <w:p>
      <w:pPr>
        <w:spacing w:after="0" w:line="32" w:lineRule="exact"/>
        <w:rPr>
          <w:rFonts w:ascii="Arial" w:cs="Arial" w:eastAsia="Arial" w:hAnsi="Arial"/>
          <w:sz w:val="18"/>
          <w:szCs w:val="18"/>
          <w:color w:val="auto"/>
        </w:rPr>
      </w:pPr>
    </w:p>
    <w:p>
      <w:pPr>
        <w:jc w:val="both"/>
        <w:ind w:left="320" w:hanging="312"/>
        <w:spacing w:after="0" w:line="253"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Total Loans </w:t>
      </w:r>
      <w:r>
        <w:rPr>
          <w:rFonts w:ascii="Arial" w:cs="Arial" w:eastAsia="Arial" w:hAnsi="Arial"/>
          <w:sz w:val="18"/>
          <w:szCs w:val="18"/>
          <w:color w:val="auto"/>
        </w:rPr>
        <w:t>measured in average daily balances (ADB) expanded by 1.5% YoY, mainly driven by short-term loans in Wholesale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and Mortgages. QoQ, Total Loans rose 0.8% led by growth in Wholesale Banking, Consumer (supported by Yape and BCP Stand-alone), and Mortgages.</w:t>
      </w:r>
    </w:p>
    <w:p>
      <w:pPr>
        <w:spacing w:after="0" w:line="60" w:lineRule="exact"/>
        <w:rPr>
          <w:rFonts w:ascii="Arial" w:cs="Arial" w:eastAsia="Arial" w:hAnsi="Arial"/>
          <w:sz w:val="18"/>
          <w:szCs w:val="18"/>
          <w:color w:val="auto"/>
        </w:rPr>
      </w:pPr>
    </w:p>
    <w:p>
      <w:pPr>
        <w:ind w:left="320" w:right="400" w:hanging="312"/>
        <w:spacing w:after="0" w:line="271"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Total Deposits </w:t>
      </w:r>
      <w:r>
        <w:rPr>
          <w:rFonts w:ascii="Arial" w:cs="Arial" w:eastAsia="Arial" w:hAnsi="Arial"/>
          <w:sz w:val="18"/>
          <w:szCs w:val="18"/>
          <w:color w:val="auto"/>
        </w:rPr>
        <w:t>increased by 9.7% YoY fueled by Low-cost deposits, amid higher system liquidity, and 0.3% QoQ. Low-cost deposits</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71.8% of total deposits and represent 59.0% of the total funding base.</w:t>
      </w:r>
    </w:p>
    <w:p>
      <w:pPr>
        <w:spacing w:after="0" w:line="45" w:lineRule="exact"/>
        <w:rPr>
          <w:rFonts w:ascii="Arial" w:cs="Arial" w:eastAsia="Arial" w:hAnsi="Arial"/>
          <w:sz w:val="18"/>
          <w:szCs w:val="18"/>
          <w:color w:val="auto"/>
        </w:rPr>
      </w:pPr>
    </w:p>
    <w:p>
      <w:pPr>
        <w:ind w:left="320" w:right="640" w:hanging="312"/>
        <w:spacing w:after="0" w:line="301"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Portfolio quality indicators </w:t>
      </w:r>
      <w:r>
        <w:rPr>
          <w:rFonts w:ascii="Arial" w:cs="Arial" w:eastAsia="Arial" w:hAnsi="Arial"/>
          <w:sz w:val="17"/>
          <w:szCs w:val="17"/>
          <w:color w:val="auto"/>
        </w:rPr>
        <w:t>and the</w:t>
      </w:r>
      <w:r>
        <w:rPr>
          <w:rFonts w:ascii="Arial" w:cs="Arial" w:eastAsia="Arial" w:hAnsi="Arial"/>
          <w:sz w:val="17"/>
          <w:szCs w:val="17"/>
          <w:b w:val="1"/>
          <w:bCs w:val="1"/>
          <w:color w:val="auto"/>
        </w:rPr>
        <w:t xml:space="preserve"> Cost of Risk </w:t>
      </w:r>
      <w:r>
        <w:rPr>
          <w:rFonts w:ascii="Arial" w:cs="Arial" w:eastAsia="Arial" w:hAnsi="Arial"/>
          <w:sz w:val="17"/>
          <w:szCs w:val="17"/>
          <w:color w:val="auto"/>
        </w:rPr>
        <w:t>have improved notably as a result of the cumulative impact of a more dynamic</w:t>
      </w:r>
      <w:r>
        <w:rPr>
          <w:rFonts w:ascii="Arial" w:cs="Arial" w:eastAsia="Arial" w:hAnsi="Arial"/>
          <w:sz w:val="17"/>
          <w:szCs w:val="17"/>
          <w:b w:val="1"/>
          <w:bCs w:val="1"/>
          <w:color w:val="auto"/>
        </w:rPr>
        <w:t xml:space="preserve"> </w:t>
      </w:r>
      <w:r>
        <w:rPr>
          <w:rFonts w:ascii="Arial" w:cs="Arial" w:eastAsia="Arial" w:hAnsi="Arial"/>
          <w:sz w:val="17"/>
          <w:szCs w:val="17"/>
          <w:color w:val="auto"/>
        </w:rPr>
        <w:t>portfolio management, enhancements in underwriting and risk management and a more favorable macroeconomic environment.</w:t>
      </w:r>
    </w:p>
    <w:p>
      <w:pPr>
        <w:spacing w:after="0" w:line="22" w:lineRule="exact"/>
        <w:rPr>
          <w:rFonts w:ascii="Arial" w:cs="Arial" w:eastAsia="Arial" w:hAnsi="Arial"/>
          <w:sz w:val="17"/>
          <w:szCs w:val="17"/>
          <w:color w:val="auto"/>
        </w:rPr>
      </w:pPr>
    </w:p>
    <w:p>
      <w:pPr>
        <w:ind w:left="320" w:right="360" w:hanging="312"/>
        <w:spacing w:after="0" w:line="271"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NPL Ratio </w:t>
      </w:r>
      <w:r>
        <w:rPr>
          <w:rFonts w:ascii="Arial" w:cs="Arial" w:eastAsia="Arial" w:hAnsi="Arial"/>
          <w:sz w:val="18"/>
          <w:szCs w:val="18"/>
          <w:color w:val="auto"/>
        </w:rPr>
        <w:t>improved 16 bps QoQ to stand at 5.1%, driven by debt repayments at BCP Stand-alone and by a drop in internal overdue</w:t>
      </w:r>
      <w:r>
        <w:rPr>
          <w:rFonts w:ascii="Arial" w:cs="Arial" w:eastAsia="Arial" w:hAnsi="Arial"/>
          <w:sz w:val="18"/>
          <w:szCs w:val="18"/>
          <w:b w:val="1"/>
          <w:bCs w:val="1"/>
          <w:color w:val="auto"/>
        </w:rPr>
        <w:t xml:space="preserve"> </w:t>
      </w:r>
      <w:r>
        <w:rPr>
          <w:rFonts w:ascii="Arial" w:cs="Arial" w:eastAsia="Arial" w:hAnsi="Arial"/>
          <w:sz w:val="18"/>
          <w:szCs w:val="18"/>
          <w:color w:val="auto"/>
        </w:rPr>
        <w:t>loans at both BCP Stand-alone and Mibanco. YoY, the NPL Ratio improved 112 bps.</w:t>
      </w:r>
    </w:p>
    <w:p>
      <w:pPr>
        <w:spacing w:after="0" w:line="45" w:lineRule="exact"/>
        <w:rPr>
          <w:rFonts w:ascii="Arial" w:cs="Arial" w:eastAsia="Arial" w:hAnsi="Arial"/>
          <w:sz w:val="18"/>
          <w:szCs w:val="18"/>
          <w:color w:val="auto"/>
        </w:rPr>
      </w:pPr>
    </w:p>
    <w:p>
      <w:pPr>
        <w:ind w:left="320" w:right="60" w:hanging="312"/>
        <w:spacing w:after="0" w:line="253"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Provisions, </w:t>
      </w:r>
      <w:r>
        <w:rPr>
          <w:rFonts w:ascii="Arial" w:cs="Arial" w:eastAsia="Arial" w:hAnsi="Arial"/>
          <w:sz w:val="18"/>
          <w:szCs w:val="18"/>
          <w:color w:val="auto"/>
        </w:rPr>
        <w:t>excluding provision reversals in 1Q24, declined 45.5% YoY, while CoR stood at 1.6%, reflecting an improvement in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and in the economic backdrop; successful risk management measures at both BCP and Mibanco; and some one-time events outlined in the Portfolio Quality chapter. QoQ, provisions declined 21.7%.</w:t>
      </w:r>
    </w:p>
    <w:p>
      <w:pPr>
        <w:spacing w:after="0" w:line="60" w:lineRule="exact"/>
        <w:rPr>
          <w:rFonts w:ascii="Arial" w:cs="Arial" w:eastAsia="Arial" w:hAnsi="Arial"/>
          <w:sz w:val="18"/>
          <w:szCs w:val="18"/>
          <w:color w:val="auto"/>
        </w:rPr>
      </w:pPr>
    </w:p>
    <w:p>
      <w:pPr>
        <w:ind w:left="320" w:right="680" w:hanging="312"/>
        <w:spacing w:after="0" w:line="281"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Core Income </w:t>
      </w:r>
      <w:r>
        <w:rPr>
          <w:rFonts w:ascii="Arial" w:cs="Arial" w:eastAsia="Arial" w:hAnsi="Arial"/>
          <w:sz w:val="18"/>
          <w:szCs w:val="18"/>
          <w:color w:val="auto"/>
        </w:rPr>
        <w:t>increased 7.0% YoY, underpinned by diversified revenue streams, which drove a 15.1% YoY increase in other core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income. Achieved record-high </w:t>
      </w:r>
      <w:r>
        <w:rPr>
          <w:rFonts w:ascii="Arial" w:cs="Arial" w:eastAsia="Arial" w:hAnsi="Arial"/>
          <w:sz w:val="18"/>
          <w:szCs w:val="18"/>
          <w:b w:val="1"/>
          <w:bCs w:val="1"/>
          <w:color w:val="auto"/>
        </w:rPr>
        <w:t>Risk-Adjusted NIM</w:t>
      </w:r>
      <w:r>
        <w:rPr>
          <w:rFonts w:ascii="Arial" w:cs="Arial" w:eastAsia="Arial" w:hAnsi="Arial"/>
          <w:sz w:val="18"/>
          <w:szCs w:val="18"/>
          <w:color w:val="auto"/>
        </w:rPr>
        <w:t xml:space="preserve"> of 5.24%.</w:t>
      </w:r>
    </w:p>
    <w:p>
      <w:pPr>
        <w:spacing w:after="0" w:line="28" w:lineRule="exact"/>
        <w:rPr>
          <w:rFonts w:ascii="Arial" w:cs="Arial" w:eastAsia="Arial" w:hAnsi="Arial"/>
          <w:sz w:val="18"/>
          <w:szCs w:val="18"/>
          <w:color w:val="auto"/>
        </w:rPr>
      </w:pPr>
    </w:p>
    <w:p>
      <w:pPr>
        <w:ind w:left="320" w:right="300" w:hanging="312"/>
        <w:spacing w:after="0" w:line="271"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Insurance Underwriting Results </w:t>
      </w:r>
      <w:r>
        <w:rPr>
          <w:rFonts w:ascii="Arial" w:cs="Arial" w:eastAsia="Arial" w:hAnsi="Arial"/>
          <w:sz w:val="18"/>
          <w:szCs w:val="18"/>
          <w:color w:val="auto"/>
        </w:rPr>
        <w:t>rose 17.9% YoY, largely due to stronger reinsurance results in the P&amp;C business, and was up 5.3%</w:t>
      </w:r>
      <w:r>
        <w:rPr>
          <w:rFonts w:ascii="Arial" w:cs="Arial" w:eastAsia="Arial" w:hAnsi="Arial"/>
          <w:sz w:val="18"/>
          <w:szCs w:val="18"/>
          <w:b w:val="1"/>
          <w:bCs w:val="1"/>
          <w:color w:val="auto"/>
        </w:rPr>
        <w:t xml:space="preserve"> </w:t>
      </w:r>
      <w:r>
        <w:rPr>
          <w:rFonts w:ascii="Arial" w:cs="Arial" w:eastAsia="Arial" w:hAnsi="Arial"/>
          <w:sz w:val="18"/>
          <w:szCs w:val="18"/>
          <w:color w:val="auto"/>
        </w:rPr>
        <w:t>QoQ.</w:t>
      </w:r>
    </w:p>
    <w:p>
      <w:pPr>
        <w:spacing w:after="0" w:line="45" w:lineRule="exact"/>
        <w:rPr>
          <w:rFonts w:ascii="Arial" w:cs="Arial" w:eastAsia="Arial" w:hAnsi="Arial"/>
          <w:sz w:val="18"/>
          <w:szCs w:val="18"/>
          <w:color w:val="auto"/>
        </w:rPr>
      </w:pPr>
    </w:p>
    <w:p>
      <w:pPr>
        <w:ind w:left="320" w:right="140" w:hanging="312"/>
        <w:spacing w:after="0" w:line="271"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Yape </w:t>
      </w:r>
      <w:r>
        <w:rPr>
          <w:rFonts w:ascii="Arial" w:cs="Arial" w:eastAsia="Arial" w:hAnsi="Arial"/>
          <w:sz w:val="18"/>
          <w:szCs w:val="18"/>
          <w:color w:val="auto"/>
        </w:rPr>
        <w:t>reached 14.3 million Monthly Active Users (MAU), with average monthly transactions per user rising to 52. The platform sustained</w:t>
      </w:r>
      <w:r>
        <w:rPr>
          <w:rFonts w:ascii="Arial" w:cs="Arial" w:eastAsia="Arial" w:hAnsi="Arial"/>
          <w:sz w:val="18"/>
          <w:szCs w:val="18"/>
          <w:b w:val="1"/>
          <w:bCs w:val="1"/>
          <w:color w:val="auto"/>
        </w:rPr>
        <w:t xml:space="preserve"> </w:t>
      </w:r>
      <w:r>
        <w:rPr>
          <w:rFonts w:ascii="Arial" w:cs="Arial" w:eastAsia="Arial" w:hAnsi="Arial"/>
          <w:sz w:val="18"/>
          <w:szCs w:val="18"/>
          <w:color w:val="auto"/>
        </w:rPr>
        <w:t>its growth trajectory and captured 4.8% of Credicorp’s total risk-adjusted revenue share.</w:t>
      </w:r>
    </w:p>
    <w:p>
      <w:pPr>
        <w:spacing w:after="0" w:line="45" w:lineRule="exact"/>
        <w:rPr>
          <w:rFonts w:ascii="Arial" w:cs="Arial" w:eastAsia="Arial" w:hAnsi="Arial"/>
          <w:sz w:val="18"/>
          <w:szCs w:val="18"/>
          <w:color w:val="auto"/>
        </w:rPr>
      </w:pPr>
    </w:p>
    <w:p>
      <w:pPr>
        <w:ind w:left="320" w:right="160" w:hanging="312"/>
        <w:spacing w:after="0" w:line="271"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Efficiency Ratio </w:t>
      </w:r>
      <w:r>
        <w:rPr>
          <w:rFonts w:ascii="Arial" w:cs="Arial" w:eastAsia="Arial" w:hAnsi="Arial"/>
          <w:sz w:val="18"/>
          <w:szCs w:val="18"/>
          <w:color w:val="auto"/>
        </w:rPr>
        <w:t>reached 45.7%, aligned with our full-year guidance. Operating expenses increased 15.6% YoY, mainly due to the core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BCP Stand-alone and investments in disruptive initiatives.</w:t>
      </w:r>
    </w:p>
    <w:p>
      <w:pPr>
        <w:spacing w:after="0" w:line="45" w:lineRule="exact"/>
        <w:rPr>
          <w:rFonts w:ascii="Arial" w:cs="Arial" w:eastAsia="Arial" w:hAnsi="Arial"/>
          <w:sz w:val="18"/>
          <w:szCs w:val="18"/>
          <w:color w:val="auto"/>
        </w:rPr>
      </w:pPr>
    </w:p>
    <w:p>
      <w:pPr>
        <w:ind w:left="320" w:right="380" w:hanging="312"/>
        <w:spacing w:after="0" w:line="271"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Capital </w:t>
      </w:r>
      <w:r>
        <w:rPr>
          <w:rFonts w:ascii="Arial" w:cs="Arial" w:eastAsia="Arial" w:hAnsi="Arial"/>
          <w:sz w:val="18"/>
          <w:szCs w:val="18"/>
          <w:color w:val="auto"/>
        </w:rPr>
        <w:t>base moving closer to target, with the IFRS CET 1 Ratio falling 24 bps YoY at BCP Stand-alone and 18 bps YoY at Mibanco,</w:t>
      </w:r>
      <w:r>
        <w:rPr>
          <w:rFonts w:ascii="Arial" w:cs="Arial" w:eastAsia="Arial" w:hAnsi="Arial"/>
          <w:sz w:val="18"/>
          <w:szCs w:val="18"/>
          <w:b w:val="1"/>
          <w:bCs w:val="1"/>
          <w:color w:val="auto"/>
        </w:rPr>
        <w:t xml:space="preserve"> </w:t>
      </w:r>
      <w:r>
        <w:rPr>
          <w:rFonts w:ascii="Arial" w:cs="Arial" w:eastAsia="Arial" w:hAnsi="Arial"/>
          <w:sz w:val="18"/>
          <w:szCs w:val="18"/>
          <w:color w:val="auto"/>
        </w:rPr>
        <w:t>standing at 11.6% and 15.9%, respectively.</w:t>
      </w:r>
    </w:p>
    <w:p>
      <w:pPr>
        <w:spacing w:after="0" w:line="45" w:lineRule="exact"/>
        <w:rPr>
          <w:rFonts w:ascii="Arial" w:cs="Arial" w:eastAsia="Arial" w:hAnsi="Arial"/>
          <w:sz w:val="18"/>
          <w:szCs w:val="18"/>
          <w:color w:val="auto"/>
        </w:rPr>
      </w:pPr>
    </w:p>
    <w:p>
      <w:pPr>
        <w:ind w:left="320" w:hanging="312"/>
        <w:spacing w:after="0" w:line="271"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After quarter-end, on April 14, 2025, Credicorp </w:t>
      </w:r>
      <w:r>
        <w:rPr>
          <w:rFonts w:ascii="Arial" w:cs="Arial" w:eastAsia="Arial" w:hAnsi="Arial"/>
          <w:sz w:val="18"/>
          <w:szCs w:val="18"/>
          <w:b w:val="1"/>
          <w:bCs w:val="1"/>
          <w:color w:val="auto"/>
        </w:rPr>
        <w:t>declared an ordinary cash dividend</w:t>
      </w:r>
      <w:r>
        <w:rPr>
          <w:rFonts w:ascii="Arial" w:cs="Arial" w:eastAsia="Arial" w:hAnsi="Arial"/>
          <w:sz w:val="18"/>
          <w:szCs w:val="18"/>
          <w:color w:val="auto"/>
        </w:rPr>
        <w:t xml:space="preserve"> of S/40 per share based on 2024 results, to be paid out in June 13, 2025, as capital levels advance closer to target across subsidiaries.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5" w:name="page6"/>
    <w:bookmarkEnd w:id="5"/>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65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6578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4"/>
          <w:szCs w:val="14"/>
          <w:color w:val="ED3FA8"/>
        </w:rPr>
        <w:t>Analysis of 1Q25 Consolidated Results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40640</wp:posOffset>
            </wp:positionV>
            <wp:extent cx="6137910" cy="5408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37910" cy="540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 w:name="page7"/>
    <w:bookmarkEnd w:id="6"/>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2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52260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4"/>
          <w:szCs w:val="14"/>
          <w:color w:val="ED3FA8"/>
        </w:rPr>
        <w:t>Analysis of 1Q25 Consolidated Results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First Quarter 2025 Earnings Conference Call</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FIRST 2025 EARNINGS CONFERENCE CALL</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121212"/>
        </w:rPr>
        <w:t xml:space="preserve">Date: </w:t>
      </w:r>
      <w:r>
        <w:rPr>
          <w:rFonts w:ascii="Arial" w:cs="Arial" w:eastAsia="Arial" w:hAnsi="Arial"/>
          <w:sz w:val="20"/>
          <w:szCs w:val="20"/>
          <w:color w:val="121212"/>
        </w:rPr>
        <w:t>Friday, May 16</w:t>
      </w:r>
      <w:r>
        <w:rPr>
          <w:rFonts w:ascii="Arial" w:cs="Arial" w:eastAsia="Arial" w:hAnsi="Arial"/>
          <w:sz w:val="32"/>
          <w:szCs w:val="32"/>
          <w:color w:val="121212"/>
          <w:vertAlign w:val="superscript"/>
        </w:rPr>
        <w:t>th</w:t>
      </w:r>
      <w:r>
        <w:rPr>
          <w:rFonts w:ascii="Arial" w:cs="Arial" w:eastAsia="Arial" w:hAnsi="Arial"/>
          <w:sz w:val="20"/>
          <w:szCs w:val="20"/>
          <w:color w:val="121212"/>
        </w:rPr>
        <w:t>, 2025</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121212"/>
        </w:rPr>
        <w:t xml:space="preserve">Time: </w:t>
      </w:r>
      <w:r>
        <w:rPr>
          <w:rFonts w:ascii="Arial" w:cs="Arial" w:eastAsia="Arial" w:hAnsi="Arial"/>
          <w:sz w:val="20"/>
          <w:szCs w:val="20"/>
          <w:color w:val="121212"/>
        </w:rPr>
        <w:t>10:30 am E.T. (9:30 am Lima, Perú)</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121212"/>
        </w:rPr>
        <w:t xml:space="preserve">Hosts: </w:t>
      </w:r>
      <w:r>
        <w:rPr>
          <w:rFonts w:ascii="Arial" w:cs="Arial" w:eastAsia="Arial" w:hAnsi="Arial"/>
          <w:sz w:val="20"/>
          <w:szCs w:val="20"/>
          <w:color w:val="121212"/>
        </w:rPr>
        <w:t>Gianfranco Ferrari - Chief Executive Officer, Alejandro Perez Reyes - Chief Financial Officer, Francesca Raffo - Chief</w:t>
      </w:r>
      <w:r>
        <w:rPr>
          <w:rFonts w:ascii="Arial" w:cs="Arial" w:eastAsia="Arial" w:hAnsi="Arial"/>
          <w:sz w:val="20"/>
          <w:szCs w:val="20"/>
          <w:b w:val="1"/>
          <w:bCs w:val="1"/>
          <w:color w:val="121212"/>
        </w:rPr>
        <w:t xml:space="preserve"> </w:t>
      </w:r>
      <w:r>
        <w:rPr>
          <w:rFonts w:ascii="Arial" w:cs="Arial" w:eastAsia="Arial" w:hAnsi="Arial"/>
          <w:sz w:val="20"/>
          <w:szCs w:val="20"/>
          <w:color w:val="121212"/>
        </w:rPr>
        <w:t>Innovation Officer, Cesar Rios - Chief Risk Officer, Cesar Rivera - Head of Insurance and Pensions, Carlos Sotelo - Mibanco CFO and Investor Relations Team.</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To pre-register for the listen-only webcast presentation use the following link:</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70C0"/>
        </w:rPr>
        <w:t>https://dpregister.com/DiamondPassRegistration/register?confirmationNumber=10199249&amp;linkSecurityString=ff04339 90d</w:t>
      </w:r>
    </w:p>
    <w:p>
      <w:pPr>
        <w:spacing w:after="0" w:line="103"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121212"/>
        </w:rPr>
        <w:t>Callers who pre-register will be given a conference passcode and unique PIN to gain immediate access to the call and bypass the live operator. Participants may pre-register at any time, including up to and after the call start time.</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121212"/>
        </w:rPr>
        <w:t>Those unable to pre-register may dial in by calling:</w:t>
      </w:r>
    </w:p>
    <w:p>
      <w:pPr>
        <w:spacing w:after="0" w:line="229" w:lineRule="auto"/>
        <w:rPr>
          <w:sz w:val="20"/>
          <w:szCs w:val="20"/>
          <w:color w:val="auto"/>
        </w:rPr>
      </w:pPr>
      <w:r>
        <w:rPr>
          <w:rFonts w:ascii="Arial" w:cs="Arial" w:eastAsia="Arial" w:hAnsi="Arial"/>
          <w:sz w:val="20"/>
          <w:szCs w:val="20"/>
          <w:b w:val="1"/>
          <w:bCs w:val="1"/>
          <w:color w:val="121212"/>
        </w:rPr>
        <w:t xml:space="preserve">1 844 435 0321 </w:t>
      </w:r>
      <w:r>
        <w:rPr>
          <w:rFonts w:ascii="Arial" w:cs="Arial" w:eastAsia="Arial" w:hAnsi="Arial"/>
          <w:sz w:val="20"/>
          <w:szCs w:val="20"/>
          <w:color w:val="121212"/>
        </w:rPr>
        <w:t>(U.S. toll free)</w:t>
      </w:r>
    </w:p>
    <w:p>
      <w:pPr>
        <w:spacing w:after="0" w:line="226" w:lineRule="auto"/>
        <w:rPr>
          <w:sz w:val="20"/>
          <w:szCs w:val="20"/>
          <w:color w:val="auto"/>
        </w:rPr>
      </w:pPr>
      <w:r>
        <w:rPr>
          <w:rFonts w:ascii="Arial" w:cs="Arial" w:eastAsia="Arial" w:hAnsi="Arial"/>
          <w:sz w:val="20"/>
          <w:szCs w:val="20"/>
          <w:b w:val="1"/>
          <w:bCs w:val="1"/>
          <w:color w:val="121212"/>
        </w:rPr>
        <w:t>1 412 317 5615 (International)</w:t>
      </w:r>
    </w:p>
    <w:p>
      <w:pPr>
        <w:spacing w:after="0" w:line="225" w:lineRule="auto"/>
        <w:rPr>
          <w:sz w:val="20"/>
          <w:szCs w:val="20"/>
          <w:color w:val="auto"/>
        </w:rPr>
      </w:pPr>
      <w:r>
        <w:rPr>
          <w:rFonts w:ascii="Arial" w:cs="Arial" w:eastAsia="Arial" w:hAnsi="Arial"/>
          <w:sz w:val="20"/>
          <w:szCs w:val="20"/>
          <w:b w:val="1"/>
          <w:bCs w:val="1"/>
          <w:color w:val="121212"/>
        </w:rPr>
        <w:t xml:space="preserve">Participant Web Phone: </w:t>
      </w:r>
      <w:r>
        <w:rPr>
          <w:rFonts w:ascii="Arial" w:cs="Arial" w:eastAsia="Arial" w:hAnsi="Arial"/>
          <w:sz w:val="20"/>
          <w:szCs w:val="20"/>
          <w:u w:val="single" w:color="auto"/>
          <w:color w:val="0070C0"/>
        </w:rPr>
        <w:t>Click Here</w:t>
      </w:r>
    </w:p>
    <w:p>
      <w:pPr>
        <w:spacing w:after="0"/>
        <w:rPr>
          <w:sz w:val="20"/>
          <w:szCs w:val="20"/>
          <w:color w:val="auto"/>
        </w:rPr>
      </w:pPr>
      <w:r>
        <w:rPr>
          <w:rFonts w:ascii="Arial" w:cs="Arial" w:eastAsia="Arial" w:hAnsi="Arial"/>
          <w:sz w:val="20"/>
          <w:szCs w:val="20"/>
          <w:b w:val="1"/>
          <w:bCs w:val="1"/>
          <w:color w:val="121212"/>
        </w:rPr>
        <w:t>Conference ID: Credicorp Conference Call</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121212"/>
        </w:rPr>
        <w:t>The webcast will be archived for one year on our investor relations website at: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70C0"/>
        </w:rPr>
        <w:t>https://credicorp.gcs-web.com/events-and-presentations/upcoming-events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121212"/>
        </w:rPr>
        <w:t>For a full version of Credicorp´s Fourth Quarter 2024 Earnings Release, please visit: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70C0"/>
        </w:rPr>
        <w:t>https://credicorp.gcs-web.com/company-reports/quarterly-materials</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 w:name="page8"/>
    <w:bookmarkEnd w:id="7"/>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4"/>
          <w:szCs w:val="14"/>
          <w:color w:val="ED3FA8"/>
        </w:rPr>
        <w:t>Analysis of 1Q25 Consolidated Results</w:t>
      </w:r>
    </w:p>
    <w:p>
      <w:pPr>
        <w:spacing w:after="0" w:line="386"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Loans and Deposits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1Q25 balance sheet was affected by a non-cash accounting adjustment introduced in March, related to our operations in Bolivia. The adjustment involved updating the exchange rate used to translate Bolivia’s balance sheet to more accurately reflect prevailing market conditions. As a result, Credicorp’s total assets declined 2.0% on an accounting basis, with no impact on cash flow.</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To better reflect underlying business performance, our analysis of loan and deposit trends excludes the effect of this non-cash accounting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169545</wp:posOffset>
            </wp:positionV>
            <wp:extent cx="2802890" cy="1920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02890" cy="192024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Loans in Average Daily Balances (ADB)</w:t>
      </w:r>
    </w:p>
    <w:p>
      <w:pPr>
        <w:spacing w:after="0" w:line="164" w:lineRule="exact"/>
        <w:rPr>
          <w:sz w:val="20"/>
          <w:szCs w:val="20"/>
          <w:color w:val="auto"/>
        </w:rPr>
      </w:pPr>
    </w:p>
    <w:p>
      <w:pPr>
        <w:jc w:val="both"/>
        <w:ind w:right="5840"/>
        <w:spacing w:after="0"/>
        <w:rPr>
          <w:sz w:val="20"/>
          <w:szCs w:val="20"/>
          <w:color w:val="auto"/>
        </w:rPr>
      </w:pPr>
      <w:r>
        <w:rPr>
          <w:rFonts w:ascii="Arial" w:cs="Arial" w:eastAsia="Arial" w:hAnsi="Arial"/>
          <w:sz w:val="18"/>
          <w:szCs w:val="18"/>
          <w:color w:val="auto"/>
        </w:rPr>
        <w:t>Total loans measured in ADB increased by 0.8% QoQ to stand at S/143,867 million. This evolution was primarily attributable to: (i) Wholesale Banking at BCP Stand-alone, which registered an uptick in the need for financing for working capital, (ii) Consumer, driven by higher disbursements via Yape and BCP Stand-alone, and (iii) Mortgage, due to an upswing in disbursements. This growth was partially offset by a reduction in balances for SME-Business and SME-Pyme.</w:t>
      </w:r>
    </w:p>
    <w:p>
      <w:pPr>
        <w:spacing w:after="0" w:line="126" w:lineRule="exact"/>
        <w:rPr>
          <w:sz w:val="20"/>
          <w:szCs w:val="20"/>
          <w:color w:val="auto"/>
        </w:rPr>
      </w:pPr>
    </w:p>
    <w:p>
      <w:pPr>
        <w:jc w:val="both"/>
        <w:ind w:right="5840"/>
        <w:spacing w:after="0"/>
        <w:rPr>
          <w:sz w:val="20"/>
          <w:szCs w:val="20"/>
          <w:color w:val="auto"/>
        </w:rPr>
      </w:pPr>
      <w:r>
        <w:rPr>
          <w:rFonts w:ascii="Arial" w:cs="Arial" w:eastAsia="Arial" w:hAnsi="Arial"/>
          <w:sz w:val="18"/>
          <w:szCs w:val="18"/>
          <w:color w:val="auto"/>
        </w:rPr>
        <w:t>YoY, the portfolio expanded 1.5%, driven mainly by: (i) Corporate, due to growth in disbursements of short-term loans, (ii) Mortgage, due to an uptick in demand for loans in a context marked by lower rates and economic reactivation, and (iii) SME-Business, which registered growth in disbursements of Government Loans (GP). This inter-annual growth was partially offset by a drop in balances for Mibanco and 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-264795</wp:posOffset>
            </wp:positionV>
            <wp:extent cx="2863215" cy="1877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63215" cy="187706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Deposits</w:t>
      </w:r>
    </w:p>
    <w:p>
      <w:pPr>
        <w:spacing w:after="0" w:line="204" w:lineRule="exact"/>
        <w:rPr>
          <w:sz w:val="20"/>
          <w:szCs w:val="20"/>
          <w:color w:val="auto"/>
        </w:rPr>
      </w:pPr>
    </w:p>
    <w:p>
      <w:pPr>
        <w:jc w:val="both"/>
        <w:ind w:right="5860"/>
        <w:spacing w:after="0" w:line="253" w:lineRule="auto"/>
        <w:rPr>
          <w:sz w:val="20"/>
          <w:szCs w:val="20"/>
          <w:color w:val="auto"/>
        </w:rPr>
      </w:pPr>
      <w:r>
        <w:rPr>
          <w:rFonts w:ascii="Arial" w:cs="Arial" w:eastAsia="Arial" w:hAnsi="Arial"/>
          <w:sz w:val="18"/>
          <w:szCs w:val="18"/>
          <w:color w:val="auto"/>
        </w:rPr>
        <w:t>The total deposit balance (measured in quarter-end balances) contracted 2.6% QoQ but grew 6.6% YoY, impacted by the aforementioned accounting adjustment at BCP Bolivia.</w:t>
      </w:r>
    </w:p>
    <w:p>
      <w:pPr>
        <w:spacing w:after="0" w:line="101" w:lineRule="exact"/>
        <w:rPr>
          <w:sz w:val="20"/>
          <w:szCs w:val="20"/>
          <w:color w:val="auto"/>
        </w:rPr>
      </w:pPr>
    </w:p>
    <w:p>
      <w:pPr>
        <w:jc w:val="both"/>
        <w:ind w:right="5840"/>
        <w:spacing w:after="0"/>
        <w:rPr>
          <w:sz w:val="20"/>
          <w:szCs w:val="20"/>
          <w:color w:val="auto"/>
        </w:rPr>
      </w:pPr>
      <w:r>
        <w:rPr>
          <w:rFonts w:ascii="Arial" w:cs="Arial" w:eastAsia="Arial" w:hAnsi="Arial"/>
          <w:sz w:val="18"/>
          <w:szCs w:val="18"/>
          <w:color w:val="auto"/>
        </w:rPr>
        <w:t>If we exclude this impact, the dynamics were as follows: QoQ, our deposit base expanded 0.3%. This evolution reflects growth in Demand Deposits and Savings Deposits, which was partially offset by a decrease in the balance for Time Deposits. YoY, the deposit base rose 9.7%. This evolution was fueled by Low-Cost Deposits, which grew 16.9% and represented 71.8% of the total deposit base at quarter-end.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At BCP, the 30-day Liquidity Coverage Ratio (LCR) in PEN stood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179.2%  under  regulatory  standards  and  139.7%  according  to</w:t>
      </w:r>
    </w:p>
    <w:p>
      <w:pPr>
        <w:spacing w:after="0" w:line="234" w:lineRule="auto"/>
        <w:rPr>
          <w:sz w:val="20"/>
          <w:szCs w:val="20"/>
          <w:color w:val="auto"/>
        </w:rPr>
      </w:pPr>
      <w:r>
        <w:rPr>
          <w:rFonts w:ascii="Arial" w:cs="Arial" w:eastAsia="Arial" w:hAnsi="Arial"/>
          <w:sz w:val="18"/>
          <w:szCs w:val="18"/>
          <w:color w:val="auto"/>
        </w:rPr>
        <w:t>stricter internal standards. The 30-day LCR stood at 191.1% under</w:t>
      </w:r>
    </w:p>
    <w:p>
      <w:pPr>
        <w:spacing w:after="0" w:line="235" w:lineRule="auto"/>
        <w:rPr>
          <w:sz w:val="20"/>
          <w:szCs w:val="20"/>
          <w:color w:val="auto"/>
        </w:rPr>
      </w:pPr>
      <w:r>
        <w:rPr>
          <w:rFonts w:ascii="Arial" w:cs="Arial" w:eastAsia="Arial" w:hAnsi="Arial"/>
          <w:sz w:val="18"/>
          <w:szCs w:val="18"/>
          <w:color w:val="auto"/>
        </w:rPr>
        <w:t>regulatory standards and 140.5% according to stricter internal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standards.</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8" w:name="page9"/>
    <w:bookmarkEnd w:id="8"/>
    <w:p>
      <w:pPr>
        <w:ind w:left="2720"/>
        <w:spacing w:after="0"/>
        <w:tabs>
          <w:tab w:leader="none" w:pos="296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p>
    <w:p>
      <w:pPr>
        <w:spacing w:after="0" w:line="386"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Net Interest Income (NII) and Margin (NIM)</w:t>
      </w:r>
    </w:p>
    <w:p>
      <w:pPr>
        <w:spacing w:after="0" w:line="191" w:lineRule="exact"/>
        <w:rPr>
          <w:sz w:val="20"/>
          <w:szCs w:val="20"/>
          <w:color w:val="auto"/>
        </w:rPr>
      </w:pPr>
    </w:p>
    <w:p>
      <w:pPr>
        <w:jc w:val="both"/>
        <w:ind w:right="1520"/>
        <w:spacing w:after="0"/>
        <w:rPr>
          <w:sz w:val="20"/>
          <w:szCs w:val="20"/>
          <w:color w:val="auto"/>
        </w:rPr>
      </w:pPr>
      <w:r>
        <w:rPr>
          <w:rFonts w:ascii="Arial" w:cs="Arial" w:eastAsia="Arial" w:hAnsi="Arial"/>
          <w:sz w:val="18"/>
          <w:szCs w:val="18"/>
          <w:color w:val="auto"/>
        </w:rPr>
        <w:t>NII dropped 1.6% QoQ, driven mainly by a reduction in Interest and Similar Income, which fell on the back of lower market rates and an uptick in short-term wholesale loans’ share of total loans. This decline was partially offset by a decrease in Interest and Similar Expenses, which were impacted by a drop in rates. In this context, NIM stood at 6.22% at quarter-end, compared to 6.34% in 4Q24 and 6.30% in 1Q24.</w:t>
      </w:r>
    </w:p>
    <w:p>
      <w:pPr>
        <w:spacing w:after="0" w:line="77" w:lineRule="exact"/>
        <w:rPr>
          <w:sz w:val="20"/>
          <w:szCs w:val="20"/>
          <w:color w:val="auto"/>
        </w:rPr>
      </w:pPr>
    </w:p>
    <w:p>
      <w:pPr>
        <w:jc w:val="both"/>
        <w:ind w:right="1520"/>
        <w:spacing w:after="0" w:line="242" w:lineRule="auto"/>
        <w:rPr>
          <w:sz w:val="20"/>
          <w:szCs w:val="20"/>
          <w:color w:val="auto"/>
        </w:rPr>
      </w:pPr>
      <w:r>
        <w:rPr>
          <w:rFonts w:ascii="Arial" w:cs="Arial" w:eastAsia="Arial" w:hAnsi="Arial"/>
          <w:sz w:val="18"/>
          <w:szCs w:val="18"/>
          <w:color w:val="auto"/>
        </w:rPr>
        <w:t>YoY, NII rose 4.3%, fueled primarily by a reduction in Interest and Similar Expenses, due to a drop in market rates and an uptick in low-cost deposits’ share of our funding base. Interest and Similar Income fell 0.6% due to (i) renewals of investments at lower interest rates, and (ii) growth in short-term wholesale loans’ share of funding. In this context, NIM dropped 8 bps YoY.</w:t>
      </w:r>
    </w:p>
    <w:p>
      <w:pPr>
        <w:spacing w:after="0" w:line="52"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Portfolio Quality and Cost of Risk</w:t>
      </w:r>
    </w:p>
    <w:p>
      <w:pPr>
        <w:spacing w:after="0" w:line="258" w:lineRule="exact"/>
        <w:rPr>
          <w:sz w:val="20"/>
          <w:szCs w:val="20"/>
          <w:color w:val="auto"/>
        </w:rPr>
      </w:pPr>
    </w:p>
    <w:p>
      <w:pPr>
        <w:jc w:val="both"/>
        <w:ind w:right="1520"/>
        <w:spacing w:after="0" w:line="244" w:lineRule="auto"/>
        <w:rPr>
          <w:sz w:val="20"/>
          <w:szCs w:val="20"/>
          <w:color w:val="auto"/>
        </w:rPr>
      </w:pPr>
      <w:r>
        <w:rPr>
          <w:rFonts w:ascii="Arial" w:cs="Arial" w:eastAsia="Arial" w:hAnsi="Arial"/>
          <w:sz w:val="18"/>
          <w:szCs w:val="18"/>
          <w:color w:val="auto"/>
        </w:rPr>
        <w:t>Portfolio quality indicators and the Cost of Risk have improved notably as a result of cumulative impact of enhancements in underwriting and risk management, a more favorable macroeconomic environment and some specific events outlined in the Portfolio Quality chapter.</w:t>
      </w:r>
    </w:p>
    <w:p>
      <w:pPr>
        <w:spacing w:after="0" w:line="109" w:lineRule="exact"/>
        <w:rPr>
          <w:sz w:val="20"/>
          <w:szCs w:val="20"/>
          <w:color w:val="auto"/>
        </w:rPr>
      </w:pPr>
    </w:p>
    <w:p>
      <w:pPr>
        <w:jc w:val="both"/>
        <w:ind w:right="1520"/>
        <w:spacing w:after="0" w:line="242" w:lineRule="auto"/>
        <w:rPr>
          <w:sz w:val="20"/>
          <w:szCs w:val="20"/>
          <w:color w:val="auto"/>
        </w:rPr>
      </w:pPr>
      <w:r>
        <w:rPr>
          <w:rFonts w:ascii="Arial" w:cs="Arial" w:eastAsia="Arial" w:hAnsi="Arial"/>
          <w:sz w:val="18"/>
          <w:szCs w:val="18"/>
          <w:color w:val="auto"/>
        </w:rPr>
        <w:t xml:space="preserve">QoQ, the NPL balance fell 5.9%, driven primarily by </w:t>
      </w:r>
      <w:r>
        <w:rPr>
          <w:rFonts w:ascii="Arial" w:cs="Arial" w:eastAsia="Arial" w:hAnsi="Arial"/>
          <w:sz w:val="18"/>
          <w:szCs w:val="18"/>
          <w:b w:val="1"/>
          <w:bCs w:val="1"/>
          <w:color w:val="auto"/>
        </w:rPr>
        <w:t xml:space="preserve">BCP Stand-alone </w:t>
      </w:r>
      <w:r>
        <w:rPr>
          <w:rFonts w:ascii="Arial" w:cs="Arial" w:eastAsia="Arial" w:hAnsi="Arial"/>
          <w:sz w:val="18"/>
          <w:szCs w:val="18"/>
          <w:color w:val="auto"/>
        </w:rPr>
        <w:t>and</w:t>
      </w:r>
      <w:r>
        <w:rPr>
          <w:rFonts w:ascii="Arial" w:cs="Arial" w:eastAsia="Arial" w:hAnsi="Arial"/>
          <w:sz w:val="18"/>
          <w:szCs w:val="18"/>
          <w:b w:val="1"/>
          <w:bCs w:val="1"/>
          <w:color w:val="auto"/>
        </w:rPr>
        <w:t xml:space="preserve"> Mibanco</w:t>
      </w:r>
      <w:r>
        <w:rPr>
          <w:rFonts w:ascii="Arial" w:cs="Arial" w:eastAsia="Arial" w:hAnsi="Arial"/>
          <w:sz w:val="18"/>
          <w:szCs w:val="18"/>
          <w:color w:val="auto"/>
        </w:rPr>
        <w:t>. 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the decline was fueled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(i) Wholesale, due primarily to debt repayment by a refinanced corporate client; and (ii)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due to a drop in internal overdue loans. At </w:t>
      </w:r>
      <w:r>
        <w:rPr>
          <w:rFonts w:ascii="Arial" w:cs="Arial" w:eastAsia="Arial" w:hAnsi="Arial"/>
          <w:sz w:val="18"/>
          <w:szCs w:val="18"/>
          <w:b w:val="1"/>
          <w:bCs w:val="1"/>
          <w:color w:val="auto"/>
        </w:rPr>
        <w:t>Mibanco</w:t>
      </w:r>
      <w:r>
        <w:rPr>
          <w:rFonts w:ascii="Arial" w:cs="Arial" w:eastAsia="Arial" w:hAnsi="Arial"/>
          <w:sz w:val="18"/>
          <w:szCs w:val="18"/>
          <w:color w:val="auto"/>
        </w:rPr>
        <w:t>, the reduction was spurred by a decrease in internal overdue loans.</w:t>
      </w:r>
    </w:p>
    <w:p>
      <w:pPr>
        <w:spacing w:after="0" w:line="111" w:lineRule="exact"/>
        <w:rPr>
          <w:sz w:val="20"/>
          <w:szCs w:val="20"/>
          <w:color w:val="auto"/>
        </w:rPr>
      </w:pPr>
    </w:p>
    <w:p>
      <w:pPr>
        <w:jc w:val="both"/>
        <w:ind w:right="1520"/>
        <w:spacing w:after="0" w:line="242" w:lineRule="auto"/>
        <w:rPr>
          <w:sz w:val="20"/>
          <w:szCs w:val="20"/>
          <w:color w:val="auto"/>
        </w:rPr>
      </w:pPr>
      <w:r>
        <w:rPr>
          <w:rFonts w:ascii="Arial" w:cs="Arial" w:eastAsia="Arial" w:hAnsi="Arial"/>
          <w:sz w:val="18"/>
          <w:szCs w:val="18"/>
          <w:color w:val="auto"/>
        </w:rPr>
        <w:t xml:space="preserve">YoY, the NPL balance fell 17.7%, driven by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and </w:t>
      </w:r>
      <w:r>
        <w:rPr>
          <w:rFonts w:ascii="Arial" w:cs="Arial" w:eastAsia="Arial" w:hAnsi="Arial"/>
          <w:sz w:val="18"/>
          <w:szCs w:val="18"/>
          <w:b w:val="1"/>
          <w:bCs w:val="1"/>
          <w:color w:val="auto"/>
        </w:rPr>
        <w:t>Mibanco</w:t>
      </w:r>
      <w:r>
        <w:rPr>
          <w:rFonts w:ascii="Arial" w:cs="Arial" w:eastAsia="Arial" w:hAnsi="Arial"/>
          <w:sz w:val="18"/>
          <w:szCs w:val="18"/>
          <w:color w:val="auto"/>
        </w:rPr>
        <w:t>. This decline was attributable to: (i)</w:t>
      </w:r>
      <w:r>
        <w:rPr>
          <w:rFonts w:ascii="Arial" w:cs="Arial" w:eastAsia="Arial" w:hAnsi="Arial"/>
          <w:sz w:val="18"/>
          <w:szCs w:val="18"/>
          <w:b w:val="1"/>
          <w:bCs w:val="1"/>
          <w:color w:val="auto"/>
        </w:rPr>
        <w:t xml:space="preserve"> Wholesale</w:t>
      </w:r>
      <w:r>
        <w:rPr>
          <w:rFonts w:ascii="Arial" w:cs="Arial" w:eastAsia="Arial" w:hAnsi="Arial"/>
          <w:sz w:val="18"/>
          <w:szCs w:val="18"/>
          <w:color w:val="auto"/>
        </w:rPr>
        <w: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debt repayment by two refinanced clients; (ii)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due to the same dynamics QoQ; and (iii)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and </w:t>
      </w:r>
      <w:r>
        <w:rPr>
          <w:rFonts w:ascii="Arial" w:cs="Arial" w:eastAsia="Arial" w:hAnsi="Arial"/>
          <w:sz w:val="18"/>
          <w:szCs w:val="18"/>
          <w:b w:val="1"/>
          <w:bCs w:val="1"/>
          <w:color w:val="auto"/>
        </w:rPr>
        <w:t>Credit Cards</w:t>
      </w:r>
      <w:r>
        <w:rPr>
          <w:rFonts w:ascii="Arial" w:cs="Arial" w:eastAsia="Arial" w:hAnsi="Arial"/>
          <w:sz w:val="18"/>
          <w:szCs w:val="18"/>
          <w:color w:val="auto"/>
        </w:rPr>
        <w:t xml:space="preserve">, on the back of an uptick in debt repayment. At </w:t>
      </w:r>
      <w:r>
        <w:rPr>
          <w:rFonts w:ascii="Arial" w:cs="Arial" w:eastAsia="Arial" w:hAnsi="Arial"/>
          <w:sz w:val="18"/>
          <w:szCs w:val="18"/>
          <w:b w:val="1"/>
          <w:bCs w:val="1"/>
          <w:color w:val="auto"/>
        </w:rPr>
        <w:t>Mibanco</w:t>
      </w:r>
      <w:r>
        <w:rPr>
          <w:rFonts w:ascii="Arial" w:cs="Arial" w:eastAsia="Arial" w:hAnsi="Arial"/>
          <w:sz w:val="18"/>
          <w:szCs w:val="18"/>
          <w:color w:val="auto"/>
        </w:rPr>
        <w:t>, the decline was fueled by the same dynamics seen in QoQ.</w:t>
      </w:r>
    </w:p>
    <w:p>
      <w:pPr>
        <w:spacing w:after="0" w:line="98" w:lineRule="exact"/>
        <w:rPr>
          <w:sz w:val="20"/>
          <w:szCs w:val="20"/>
          <w:color w:val="auto"/>
        </w:rPr>
      </w:pPr>
    </w:p>
    <w:p>
      <w:pPr>
        <w:jc w:val="both"/>
        <w:ind w:right="1520"/>
        <w:spacing w:after="0" w:line="271" w:lineRule="auto"/>
        <w:rPr>
          <w:sz w:val="20"/>
          <w:szCs w:val="20"/>
          <w:color w:val="auto"/>
        </w:rPr>
      </w:pPr>
      <w:r>
        <w:rPr>
          <w:rFonts w:ascii="Arial" w:cs="Arial" w:eastAsia="Arial" w:hAnsi="Arial"/>
          <w:sz w:val="18"/>
          <w:szCs w:val="18"/>
          <w:color w:val="auto"/>
        </w:rPr>
        <w:t>In this context, the NPL Ratio dropped 16 bps QoQ and 112 bps YoY to stand at 5.1% at quarter-end.</w:t>
      </w:r>
    </w:p>
    <w:p>
      <w:pPr>
        <w:spacing w:after="0" w:line="181" w:lineRule="exact"/>
        <w:rPr>
          <w:sz w:val="20"/>
          <w:szCs w:val="20"/>
          <w:color w:val="auto"/>
        </w:rPr>
      </w:pPr>
    </w:p>
    <w:p>
      <w:pPr>
        <w:jc w:val="both"/>
        <w:ind w:right="1540"/>
        <w:spacing w:after="0" w:line="239" w:lineRule="auto"/>
        <w:rPr>
          <w:sz w:val="20"/>
          <w:szCs w:val="20"/>
          <w:color w:val="auto"/>
        </w:rPr>
      </w:pPr>
      <w:r>
        <w:rPr>
          <w:rFonts w:ascii="Arial" w:cs="Arial" w:eastAsia="Arial" w:hAnsi="Arial"/>
          <w:sz w:val="18"/>
          <w:szCs w:val="18"/>
          <w:color w:val="auto"/>
        </w:rPr>
        <w:t xml:space="preserve">Provisions this quarter dropped 21.7% QoQ, fueled mainly by </w:t>
      </w:r>
      <w:r>
        <w:rPr>
          <w:rFonts w:ascii="Arial" w:cs="Arial" w:eastAsia="Arial" w:hAnsi="Arial"/>
          <w:sz w:val="18"/>
          <w:szCs w:val="18"/>
          <w:b w:val="1"/>
          <w:bCs w:val="1"/>
          <w:color w:val="auto"/>
        </w:rPr>
        <w:t>BCP</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Stand-alone </w:t>
      </w:r>
      <w:r>
        <w:rPr>
          <w:rFonts w:ascii="Arial" w:cs="Arial" w:eastAsia="Arial" w:hAnsi="Arial"/>
          <w:sz w:val="18"/>
          <w:szCs w:val="18"/>
          <w:color w:val="auto"/>
        </w:rPr>
        <w:t>and partially offset by</w:t>
      </w:r>
      <w:r>
        <w:rPr>
          <w:rFonts w:ascii="Arial" w:cs="Arial" w:eastAsia="Arial" w:hAnsi="Arial"/>
          <w:sz w:val="18"/>
          <w:szCs w:val="18"/>
          <w:b w:val="1"/>
          <w:bCs w:val="1"/>
          <w:color w:val="auto"/>
        </w:rPr>
        <w:t xml:space="preserve"> Mibanco</w:t>
      </w:r>
      <w:r>
        <w:rPr>
          <w:rFonts w:ascii="Arial" w:cs="Arial" w:eastAsia="Arial" w:hAnsi="Arial"/>
          <w:sz w:val="18"/>
          <w:szCs w:val="18"/>
          <w:color w:val="auto"/>
        </w:rPr>
        <w:t>. At</w:t>
      </w: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the reduction in provisions was attributable primarily to (i)</w:t>
      </w:r>
      <w:r>
        <w:rPr>
          <w:rFonts w:ascii="Arial" w:cs="Arial" w:eastAsia="Arial" w:hAnsi="Arial"/>
          <w:sz w:val="18"/>
          <w:szCs w:val="18"/>
          <w:b w:val="1"/>
          <w:bCs w:val="1"/>
          <w:color w:val="auto"/>
        </w:rPr>
        <w:t xml:space="preserve"> Credit Cards </w:t>
      </w:r>
      <w:r>
        <w:rPr>
          <w:rFonts w:ascii="Arial" w:cs="Arial" w:eastAsia="Arial" w:hAnsi="Arial"/>
          <w:sz w:val="18"/>
          <w:szCs w:val="18"/>
          <w:color w:val="auto"/>
        </w:rPr>
        <w:t>and</w:t>
      </w:r>
      <w:r>
        <w:rPr>
          <w:rFonts w:ascii="Arial" w:cs="Arial" w:eastAsia="Arial" w:hAnsi="Arial"/>
          <w:sz w:val="18"/>
          <w:szCs w:val="18"/>
          <w:b w:val="1"/>
          <w:bCs w:val="1"/>
          <w:color w:val="auto"/>
        </w:rPr>
        <w:t xml:space="preserve"> Consumer, </w:t>
      </w:r>
      <w:r>
        <w:rPr>
          <w:rFonts w:ascii="Arial" w:cs="Arial" w:eastAsia="Arial" w:hAnsi="Arial"/>
          <w:sz w:val="18"/>
          <w:szCs w:val="18"/>
          <w:color w:val="auto"/>
        </w:rPr>
        <w:t>due to a base effect after we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calibrated our risk models and secondarily to an improvement in payment performance, which reflects an increase in lower-risk vintages’ share of total loans, and (ii) </w:t>
      </w:r>
      <w:r>
        <w:rPr>
          <w:rFonts w:ascii="Arial" w:cs="Arial" w:eastAsia="Arial" w:hAnsi="Arial"/>
          <w:sz w:val="18"/>
          <w:szCs w:val="18"/>
          <w:b w:val="1"/>
          <w:bCs w:val="1"/>
          <w:color w:val="auto"/>
        </w:rPr>
        <w:t>Wholesale</w:t>
      </w:r>
      <w:r>
        <w:rPr>
          <w:rFonts w:ascii="Arial" w:cs="Arial" w:eastAsia="Arial" w:hAnsi="Arial"/>
          <w:sz w:val="18"/>
          <w:szCs w:val="18"/>
          <w:color w:val="auto"/>
        </w:rPr>
        <w:t>, which reported an uptick in reversals made for debt repayments for refinanced corporate clients.</w:t>
      </w:r>
    </w:p>
    <w:p>
      <w:pPr>
        <w:spacing w:after="0" w:line="102" w:lineRule="exact"/>
        <w:rPr>
          <w:sz w:val="20"/>
          <w:szCs w:val="20"/>
          <w:color w:val="auto"/>
        </w:rPr>
      </w:pPr>
    </w:p>
    <w:p>
      <w:pPr>
        <w:jc w:val="both"/>
        <w:ind w:right="1600"/>
        <w:spacing w:after="0" w:line="257" w:lineRule="auto"/>
        <w:rPr>
          <w:sz w:val="20"/>
          <w:szCs w:val="20"/>
          <w:color w:val="auto"/>
        </w:rPr>
      </w:pPr>
      <w:r>
        <w:rPr>
          <w:rFonts w:ascii="Arial" w:cs="Arial" w:eastAsia="Arial" w:hAnsi="Arial"/>
          <w:sz w:val="18"/>
          <w:szCs w:val="18"/>
          <w:color w:val="auto"/>
        </w:rPr>
        <w:t xml:space="preserve">YoY, if we isolate the impact of provision reversals in 1Q24, provisions dropped 45.5%, driven by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primarily through </w:t>
      </w:r>
      <w:r>
        <w:rPr>
          <w:rFonts w:ascii="Arial" w:cs="Arial" w:eastAsia="Arial" w:hAnsi="Arial"/>
          <w:sz w:val="18"/>
          <w:szCs w:val="18"/>
          <w:b w:val="1"/>
          <w:bCs w:val="1"/>
          <w:color w:val="auto"/>
        </w:rPr>
        <w:t>Retail Banking</w:t>
      </w:r>
      <w:r>
        <w:rPr>
          <w:rFonts w:ascii="Arial" w:cs="Arial" w:eastAsia="Arial" w:hAnsi="Arial"/>
          <w:sz w:val="18"/>
          <w:szCs w:val="18"/>
          <w:color w:val="auto"/>
        </w:rPr>
        <w:t xml:space="preserve">, and </w:t>
      </w:r>
      <w:r>
        <w:rPr>
          <w:rFonts w:ascii="Arial" w:cs="Arial" w:eastAsia="Arial" w:hAnsi="Arial"/>
          <w:sz w:val="18"/>
          <w:szCs w:val="18"/>
          <w:b w:val="1"/>
          <w:bCs w:val="1"/>
          <w:color w:val="auto"/>
        </w:rPr>
        <w:t>Mibanco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ED3FA8"/>
        </w:rPr>
        <w:t>Analysis of 1Q25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272415</wp:posOffset>
            </wp:positionV>
            <wp:extent cx="2948940" cy="6052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48940" cy="6052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2">
            <w:col w:w="6920" w:space="720"/>
            <w:col w:w="3600"/>
          </w:cols>
          <w:pgMar w:left="320" w:top="314" w:right="339" w:bottom="1440" w:gutter="0" w:footer="0" w:header="0"/>
        </w:sectPr>
      </w:pPr>
    </w:p>
    <w:bookmarkStart w:id="9" w:name="page10"/>
    <w:bookmarkEnd w:id="9"/>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4"/>
          <w:szCs w:val="14"/>
          <w:color w:val="ED3FA8"/>
        </w:rPr>
        <w:t>Analysis of 1Q25 Consolidated Results</w:t>
      </w:r>
    </w:p>
    <w:p>
      <w:pPr>
        <w:spacing w:after="0" w:line="386" w:lineRule="exact"/>
        <w:rPr>
          <w:sz w:val="20"/>
          <w:szCs w:val="20"/>
          <w:color w:val="auto"/>
        </w:rPr>
      </w:pPr>
    </w:p>
    <w:p>
      <w:pPr>
        <w:spacing w:after="0"/>
        <w:tabs>
          <w:tab w:leader="none" w:pos="1120" w:val="left"/>
          <w:tab w:leader="none" w:pos="2460" w:val="left"/>
          <w:tab w:leader="none" w:pos="3360" w:val="left"/>
          <w:tab w:leader="none" w:pos="4180" w:val="left"/>
        </w:tabs>
        <w:rPr>
          <w:sz w:val="20"/>
          <w:szCs w:val="20"/>
          <w:color w:val="auto"/>
        </w:rPr>
      </w:pPr>
      <w:r>
        <w:rPr>
          <w:rFonts w:ascii="Arial" w:cs="Arial" w:eastAsia="Arial" w:hAnsi="Arial"/>
          <w:sz w:val="25"/>
          <w:szCs w:val="25"/>
          <w:b w:val="1"/>
          <w:bCs w:val="1"/>
          <w:color w:val="2AD2C8"/>
        </w:rPr>
        <w:t>Other</w:t>
      </w:r>
      <w:r>
        <w:rPr>
          <w:sz w:val="20"/>
          <w:szCs w:val="20"/>
          <w:color w:val="auto"/>
        </w:rPr>
        <w:tab/>
      </w:r>
      <w:r>
        <w:rPr>
          <w:rFonts w:ascii="Arial" w:cs="Arial" w:eastAsia="Arial" w:hAnsi="Arial"/>
          <w:sz w:val="25"/>
          <w:szCs w:val="25"/>
          <w:b w:val="1"/>
          <w:bCs w:val="1"/>
          <w:color w:val="2AD2C8"/>
        </w:rPr>
        <w:t>Income</w:t>
      </w:r>
      <w:r>
        <w:rPr>
          <w:sz w:val="20"/>
          <w:szCs w:val="20"/>
          <w:color w:val="auto"/>
        </w:rPr>
        <w:tab/>
      </w:r>
      <w:r>
        <w:rPr>
          <w:rFonts w:ascii="Arial" w:cs="Arial" w:eastAsia="Arial" w:hAnsi="Arial"/>
          <w:sz w:val="25"/>
          <w:szCs w:val="25"/>
          <w:b w:val="1"/>
          <w:bCs w:val="1"/>
          <w:color w:val="2AD2C8"/>
        </w:rPr>
        <w:t>and</w:t>
      </w:r>
      <w:r>
        <w:rPr>
          <w:sz w:val="20"/>
          <w:szCs w:val="20"/>
          <w:color w:val="auto"/>
        </w:rPr>
        <w:tab/>
      </w:r>
      <w:r>
        <w:rPr>
          <w:rFonts w:ascii="Arial" w:cs="Arial" w:eastAsia="Arial" w:hAnsi="Arial"/>
          <w:sz w:val="25"/>
          <w:szCs w:val="25"/>
          <w:b w:val="1"/>
          <w:bCs w:val="1"/>
          <w:color w:val="2AD2C8"/>
        </w:rPr>
        <w:t>the</w:t>
      </w:r>
      <w:r>
        <w:rPr>
          <w:sz w:val="20"/>
          <w:szCs w:val="20"/>
          <w:color w:val="auto"/>
        </w:rPr>
        <w:tab/>
      </w:r>
      <w:r>
        <w:rPr>
          <w:rFonts w:ascii="Arial" w:cs="Arial" w:eastAsia="Arial" w:hAnsi="Arial"/>
          <w:sz w:val="25"/>
          <w:szCs w:val="25"/>
          <w:b w:val="1"/>
          <w:bCs w:val="1"/>
          <w:color w:val="2AD2C8"/>
        </w:rPr>
        <w:t>Insurance</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Underwriting Result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 March 2025, Credicorp completed the acquisition of Empresas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Banmedica’s  (Banmedica)  remaining  50%  interest  in  the  joint</w:t>
      </w:r>
    </w:p>
    <w:p>
      <w:pPr>
        <w:spacing w:after="0" w:line="234" w:lineRule="auto"/>
        <w:rPr>
          <w:sz w:val="20"/>
          <w:szCs w:val="20"/>
          <w:color w:val="auto"/>
        </w:rPr>
      </w:pPr>
      <w:r>
        <w:rPr>
          <w:rFonts w:ascii="Arial" w:cs="Arial" w:eastAsia="Arial" w:hAnsi="Arial"/>
          <w:sz w:val="18"/>
          <w:szCs w:val="18"/>
          <w:color w:val="auto"/>
        </w:rPr>
        <w:t>venture executed in December 2014 between Pacifico Compañia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 Seguros y Reaseguros S.A. (Pacifico) and Banmedica.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this transaction, Credicorp revalued its previously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held 50% stake, recognizing an extraordinary gain of approximately</w:t>
      </w:r>
    </w:p>
    <w:p>
      <w:pPr>
        <w:spacing w:after="0"/>
        <w:rPr>
          <w:sz w:val="20"/>
          <w:szCs w:val="20"/>
          <w:color w:val="auto"/>
        </w:rPr>
      </w:pPr>
      <w:r>
        <w:rPr>
          <w:rFonts w:ascii="Arial" w:cs="Arial" w:eastAsia="Arial" w:hAnsi="Arial"/>
          <w:sz w:val="18"/>
          <w:szCs w:val="18"/>
          <w:color w:val="auto"/>
        </w:rPr>
        <w:t>S/ 236 million, recorded under Other Non-Core Income.</w:t>
      </w:r>
    </w:p>
    <w:p>
      <w:pPr>
        <w:spacing w:after="0" w:line="126" w:lineRule="exact"/>
        <w:rPr>
          <w:sz w:val="20"/>
          <w:szCs w:val="20"/>
          <w:color w:val="auto"/>
        </w:rPr>
      </w:pPr>
    </w:p>
    <w:p>
      <w:pPr>
        <w:spacing w:after="0"/>
        <w:tabs>
          <w:tab w:leader="none" w:pos="360" w:val="left"/>
          <w:tab w:leader="none" w:pos="660" w:val="left"/>
          <w:tab w:leader="none" w:pos="1300" w:val="left"/>
          <w:tab w:leader="none" w:pos="1920" w:val="left"/>
          <w:tab w:leader="none" w:pos="2320" w:val="left"/>
          <w:tab w:leader="none" w:pos="2820" w:val="left"/>
          <w:tab w:leader="none" w:pos="3700" w:val="left"/>
          <w:tab w:leader="none" w:pos="4140" w:val="left"/>
          <w:tab w:leader="none" w:pos="4700" w:val="left"/>
        </w:tabs>
        <w:rPr>
          <w:sz w:val="20"/>
          <w:szCs w:val="20"/>
          <w:color w:val="auto"/>
        </w:rPr>
      </w:pPr>
      <w:r>
        <w:rPr>
          <w:rFonts w:ascii="Arial" w:cs="Arial" w:eastAsia="Arial" w:hAnsi="Arial"/>
          <w:sz w:val="18"/>
          <w:szCs w:val="18"/>
          <w:color w:val="auto"/>
        </w:rPr>
        <w:t>As</w:t>
        <w:tab/>
        <w:t>of</w:t>
        <w:tab/>
        <w:t>March</w:t>
        <w:tab/>
        <w:t>2025,</w:t>
        <w:tab/>
        <w:t>the</w:t>
        <w:tab/>
        <w:t>EPS</w:t>
        <w:tab/>
        <w:t>business</w:t>
        <w:tab/>
        <w:t>has</w:t>
        <w:tab/>
        <w:t>been</w:t>
        <w:tab/>
        <w:t>primarily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into Credicorp’s Insurance Underwriting line, while the</w:t>
      </w:r>
    </w:p>
    <w:p>
      <w:pPr>
        <w:spacing w:after="0" w:line="234" w:lineRule="auto"/>
        <w:rPr>
          <w:sz w:val="20"/>
          <w:szCs w:val="20"/>
          <w:color w:val="auto"/>
        </w:rPr>
      </w:pPr>
      <w:r>
        <w:rPr>
          <w:rFonts w:ascii="Arial" w:cs="Arial" w:eastAsia="Arial" w:hAnsi="Arial"/>
          <w:sz w:val="18"/>
          <w:szCs w:val="18"/>
          <w:color w:val="auto"/>
        </w:rPr>
        <w:t>Medical Services operations are now reported separately under a</w:t>
      </w:r>
    </w:p>
    <w:p>
      <w:pPr>
        <w:spacing w:after="0" w:line="235" w:lineRule="auto"/>
        <w:rPr>
          <w:sz w:val="20"/>
          <w:szCs w:val="20"/>
          <w:color w:val="auto"/>
        </w:rPr>
      </w:pPr>
      <w:r>
        <w:rPr>
          <w:rFonts w:ascii="Arial" w:cs="Arial" w:eastAsia="Arial" w:hAnsi="Arial"/>
          <w:sz w:val="18"/>
          <w:szCs w:val="18"/>
          <w:color w:val="auto"/>
        </w:rPr>
        <w:t>newly created “Medical Services Result” account. Given that this</w:t>
      </w:r>
    </w:p>
    <w:p>
      <w:pPr>
        <w:spacing w:after="0" w:line="235" w:lineRule="auto"/>
        <w:rPr>
          <w:sz w:val="20"/>
          <w:szCs w:val="20"/>
          <w:color w:val="auto"/>
        </w:rPr>
      </w:pPr>
      <w:r>
        <w:rPr>
          <w:rFonts w:ascii="Arial" w:cs="Arial" w:eastAsia="Arial" w:hAnsi="Arial"/>
          <w:sz w:val="18"/>
          <w:szCs w:val="18"/>
          <w:color w:val="auto"/>
        </w:rPr>
        <w:t>quarter only reflects one month of this new consolidation structure,</w:t>
      </w:r>
    </w:p>
    <w:p>
      <w:pPr>
        <w:spacing w:after="0" w:line="235" w:lineRule="auto"/>
        <w:rPr>
          <w:sz w:val="20"/>
          <w:szCs w:val="20"/>
          <w:color w:val="auto"/>
        </w:rPr>
      </w:pPr>
      <w:r>
        <w:rPr>
          <w:rFonts w:ascii="Arial" w:cs="Arial" w:eastAsia="Arial" w:hAnsi="Arial"/>
          <w:sz w:val="18"/>
          <w:szCs w:val="18"/>
          <w:color w:val="auto"/>
        </w:rPr>
        <w:t>the transaction had no material impact on the evolution of the</w:t>
      </w:r>
    </w:p>
    <w:p>
      <w:pPr>
        <w:spacing w:after="0"/>
        <w:rPr>
          <w:sz w:val="20"/>
          <w:szCs w:val="20"/>
          <w:color w:val="auto"/>
        </w:rPr>
      </w:pPr>
      <w:r>
        <w:rPr>
          <w:rFonts w:ascii="Arial" w:cs="Arial" w:eastAsia="Arial" w:hAnsi="Arial"/>
          <w:sz w:val="18"/>
          <w:szCs w:val="18"/>
          <w:color w:val="auto"/>
        </w:rPr>
        <w:t>Insurance Underwriting Result for the period.</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Other Income</w:t>
      </w:r>
      <w:r>
        <w:rPr>
          <w:rFonts w:ascii="Arial" w:cs="Arial" w:eastAsia="Arial" w:hAnsi="Arial"/>
          <w:sz w:val="41"/>
          <w:szCs w:val="41"/>
          <w:b w:val="1"/>
          <w:bCs w:val="1"/>
          <w:color w:val="2AD2C8"/>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-249555</wp:posOffset>
            </wp:positionV>
            <wp:extent cx="3137535" cy="2314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37535" cy="2314575"/>
                    </a:xfrm>
                    <a:prstGeom prst="rect">
                      <a:avLst/>
                    </a:prstGeom>
                    <a:noFill/>
                  </pic:spPr>
                </pic:pic>
              </a:graphicData>
            </a:graphic>
          </wp:anchor>
        </w:drawing>
      </w:r>
    </w:p>
    <w:p>
      <w:pPr>
        <w:spacing w:after="0" w:line="30" w:lineRule="exact"/>
        <w:rPr>
          <w:sz w:val="20"/>
          <w:szCs w:val="20"/>
          <w:color w:val="auto"/>
        </w:rPr>
      </w:pPr>
    </w:p>
    <w:p>
      <w:pPr>
        <w:jc w:val="both"/>
        <w:ind w:right="5840"/>
        <w:spacing w:after="0" w:line="237" w:lineRule="auto"/>
        <w:rPr>
          <w:sz w:val="20"/>
          <w:szCs w:val="20"/>
          <w:color w:val="auto"/>
        </w:rPr>
      </w:pPr>
      <w:r>
        <w:rPr>
          <w:rFonts w:ascii="Arial" w:cs="Arial" w:eastAsia="Arial" w:hAnsi="Arial"/>
          <w:sz w:val="18"/>
          <w:szCs w:val="18"/>
          <w:color w:val="auto"/>
        </w:rPr>
        <w:t>QoQ, Other Income rose 6.8%, driven mainly by Other Non-Core Income, which increased on the back of the aforementioned extraordinary gain. If we exclude this effect, Other Income dropped 8.1%, spurred by exchange rate losses at BCP Bolivia. This quarterly evolution overshadowed the expansion reported by Fee Income, which was driven by high transaction levels for Yape and BCP Stand- alone.</w:t>
      </w:r>
    </w:p>
    <w:p>
      <w:pPr>
        <w:spacing w:after="0" w:line="117" w:lineRule="exact"/>
        <w:rPr>
          <w:sz w:val="20"/>
          <w:szCs w:val="20"/>
          <w:color w:val="auto"/>
        </w:rPr>
      </w:pPr>
    </w:p>
    <w:p>
      <w:pPr>
        <w:jc w:val="both"/>
        <w:ind w:right="5840"/>
        <w:spacing w:after="0" w:line="242" w:lineRule="auto"/>
        <w:rPr>
          <w:sz w:val="20"/>
          <w:szCs w:val="20"/>
          <w:color w:val="auto"/>
        </w:rPr>
      </w:pPr>
      <w:r>
        <w:rPr>
          <w:rFonts w:ascii="Arial" w:cs="Arial" w:eastAsia="Arial" w:hAnsi="Arial"/>
          <w:sz w:val="18"/>
          <w:szCs w:val="18"/>
          <w:color w:val="auto"/>
        </w:rPr>
        <w:t>YoY, Other Income rose 21.4%. If we exclude the impact of the aforementioned extraordinary gain, Other Income rose 4.5%, fueled by solid growth of 15.1% in Other Core Income, which rose on the back of an uptick in Fee Income (+16.0%) and an increase in the Net Gain on FX Transactions (+12.6%), both driven mainly by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579755</wp:posOffset>
            </wp:positionV>
            <wp:extent cx="14230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right="540" w:hanging="172"/>
        <w:spacing w:after="0" w:line="193" w:lineRule="auto"/>
        <w:tabs>
          <w:tab w:leader="none" w:pos="18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Beginning in 1Q25, reclassifications have been incorporated, affecting the presentation of Fee Income, Net Gain on Foreign Exchange Transactions, and Net Gain on Derivatives Held for Trading. Figures for prior periods have been restated to ensure comparability and may differ from those previously reported.</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0" w:name="page11"/>
    <w:bookmarkEnd w:id="10"/>
    <w:p>
      <w:pPr>
        <w:ind w:left="2720"/>
        <w:spacing w:after="0"/>
        <w:tabs>
          <w:tab w:leader="none" w:pos="296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p>
    <w:p>
      <w:pPr>
        <w:spacing w:after="0" w:line="386"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Insurance Underwriting Result</w:t>
      </w:r>
    </w:p>
    <w:p>
      <w:pPr>
        <w:spacing w:after="0" w:line="69" w:lineRule="exact"/>
        <w:rPr>
          <w:sz w:val="20"/>
          <w:szCs w:val="20"/>
          <w:color w:val="auto"/>
        </w:rPr>
      </w:pPr>
    </w:p>
    <w:p>
      <w:pPr>
        <w:jc w:val="both"/>
        <w:ind w:right="1520"/>
        <w:spacing w:after="0" w:line="247" w:lineRule="auto"/>
        <w:rPr>
          <w:sz w:val="20"/>
          <w:szCs w:val="20"/>
          <w:color w:val="auto"/>
        </w:rPr>
      </w:pPr>
      <w:r>
        <w:rPr>
          <w:rFonts w:ascii="Arial" w:cs="Arial" w:eastAsia="Arial" w:hAnsi="Arial"/>
          <w:sz w:val="18"/>
          <w:szCs w:val="18"/>
          <w:color w:val="auto"/>
        </w:rPr>
        <w:t>The Insurance Underwriting Result increased 5.3% QoQ. This evolution was spurred mainly by (i) lower Insurance Service Expenses in Life and P &amp; C, and (ii) an improvement in the Reinsurance Result in P &amp; C.</w:t>
      </w:r>
    </w:p>
    <w:p>
      <w:pPr>
        <w:spacing w:after="0" w:line="214" w:lineRule="exact"/>
        <w:rPr>
          <w:sz w:val="20"/>
          <w:szCs w:val="20"/>
          <w:color w:val="auto"/>
        </w:rPr>
      </w:pPr>
    </w:p>
    <w:p>
      <w:pPr>
        <w:jc w:val="both"/>
        <w:ind w:right="1520"/>
        <w:spacing w:after="0" w:line="247" w:lineRule="auto"/>
        <w:rPr>
          <w:sz w:val="20"/>
          <w:szCs w:val="20"/>
          <w:color w:val="auto"/>
        </w:rPr>
      </w:pPr>
      <w:r>
        <w:rPr>
          <w:rFonts w:ascii="Arial" w:cs="Arial" w:eastAsia="Arial" w:hAnsi="Arial"/>
          <w:sz w:val="18"/>
          <w:szCs w:val="18"/>
          <w:color w:val="auto"/>
        </w:rPr>
        <w:t>YoY, the Insurance Underwriting Result rose 17.9%, due to (i) an improvement in the Reinsurance Result, primarily via P &amp; C, and (ii) growth in Insurance Service Income, driven mainly by EPS and P &amp; C.</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Efficiency</w:t>
      </w:r>
    </w:p>
    <w:p>
      <w:pPr>
        <w:spacing w:after="0" w:line="204" w:lineRule="exact"/>
        <w:rPr>
          <w:sz w:val="20"/>
          <w:szCs w:val="20"/>
          <w:color w:val="auto"/>
        </w:rPr>
      </w:pPr>
    </w:p>
    <w:p>
      <w:pPr>
        <w:jc w:val="both"/>
        <w:ind w:right="1520"/>
        <w:spacing w:after="0" w:line="247" w:lineRule="auto"/>
        <w:rPr>
          <w:sz w:val="20"/>
          <w:szCs w:val="20"/>
          <w:color w:val="auto"/>
        </w:rPr>
      </w:pPr>
      <w:r>
        <w:rPr>
          <w:rFonts w:ascii="Arial" w:cs="Arial" w:eastAsia="Arial" w:hAnsi="Arial"/>
          <w:sz w:val="18"/>
          <w:szCs w:val="18"/>
          <w:color w:val="auto"/>
        </w:rPr>
        <w:t>Operating Expenses rose 15.6% YoY, driven mainly by the core business at BCP Stand-alone as well as our innovation portfolio initiatives at the Credicorp level. Operating Income, in turn, rose 8.2% YoY.</w:t>
      </w:r>
    </w:p>
    <w:p>
      <w:pPr>
        <w:spacing w:after="0" w:line="106" w:lineRule="exact"/>
        <w:rPr>
          <w:sz w:val="20"/>
          <w:szCs w:val="20"/>
          <w:color w:val="auto"/>
        </w:rPr>
      </w:pPr>
    </w:p>
    <w:p>
      <w:pPr>
        <w:jc w:val="both"/>
        <w:ind w:right="1520"/>
        <w:spacing w:after="0" w:line="271" w:lineRule="auto"/>
        <w:rPr>
          <w:sz w:val="20"/>
          <w:szCs w:val="20"/>
          <w:color w:val="auto"/>
        </w:rPr>
      </w:pPr>
      <w:r>
        <w:rPr>
          <w:rFonts w:ascii="Arial" w:cs="Arial" w:eastAsia="Arial" w:hAnsi="Arial"/>
          <w:sz w:val="18"/>
          <w:szCs w:val="18"/>
          <w:color w:val="auto"/>
        </w:rPr>
        <w:t>In this scenario, in 1Q25, the Efficiency ratio rose to stand at 45.7%, which is aligned with guidance for the year.</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Net earnings attributable to Credicorp</w:t>
      </w:r>
    </w:p>
    <w:p>
      <w:pPr>
        <w:spacing w:after="0" w:line="204" w:lineRule="exact"/>
        <w:rPr>
          <w:sz w:val="20"/>
          <w:szCs w:val="20"/>
          <w:color w:val="auto"/>
        </w:rPr>
      </w:pPr>
    </w:p>
    <w:p>
      <w:pPr>
        <w:jc w:val="both"/>
        <w:ind w:right="1520"/>
        <w:spacing w:after="0" w:line="242" w:lineRule="auto"/>
        <w:rPr>
          <w:sz w:val="20"/>
          <w:szCs w:val="20"/>
          <w:color w:val="auto"/>
        </w:rPr>
      </w:pPr>
      <w:r>
        <w:rPr>
          <w:rFonts w:ascii="Arial" w:cs="Arial" w:eastAsia="Arial" w:hAnsi="Arial"/>
          <w:sz w:val="18"/>
          <w:szCs w:val="18"/>
          <w:color w:val="auto"/>
        </w:rPr>
        <w:t>In 1Q25, Credicorp reported net earnings attributable to Credicorp of S/1,777.7 million (+57.8% QoQ and +17.6% YoY), which includes an extraordinary gain generated by the aforementioned acquisition of Empresas Banmedica. Net shareholders’ earnings rose to S/35,843 million (+4.4% QoQ and +5.9% YoY). In this context, ROE stood at 20.3%.</w:t>
      </w:r>
    </w:p>
    <w:p>
      <w:pPr>
        <w:spacing w:after="0" w:line="111" w:lineRule="exact"/>
        <w:rPr>
          <w:sz w:val="20"/>
          <w:szCs w:val="20"/>
          <w:color w:val="auto"/>
        </w:rPr>
      </w:pPr>
    </w:p>
    <w:p>
      <w:pPr>
        <w:jc w:val="both"/>
        <w:ind w:right="1520"/>
        <w:spacing w:after="0" w:line="253" w:lineRule="auto"/>
        <w:rPr>
          <w:sz w:val="20"/>
          <w:szCs w:val="20"/>
          <w:color w:val="auto"/>
        </w:rPr>
      </w:pPr>
      <w:r>
        <w:rPr>
          <w:rFonts w:ascii="Arial" w:cs="Arial" w:eastAsia="Arial" w:hAnsi="Arial"/>
          <w:sz w:val="18"/>
          <w:szCs w:val="18"/>
          <w:color w:val="auto"/>
        </w:rPr>
        <w:t>If we exclude the effect of the extraordinary gain, net earnings attributable to Credicorp increased 43.0% QoQ and 6.6% YoY while ROE situated at 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ED3FA8"/>
        </w:rPr>
        <w:t>Analysis of 1Q25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272415</wp:posOffset>
            </wp:positionV>
            <wp:extent cx="2966085" cy="6609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66085" cy="6609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2">
            <w:col w:w="6920" w:space="720"/>
            <w:col w:w="3600"/>
          </w:cols>
          <w:pgMar w:left="320" w:top="314" w:right="339" w:bottom="1440" w:gutter="0" w:footer="0" w:header="0"/>
        </w:sectPr>
      </w:pPr>
    </w:p>
    <w:bookmarkStart w:id="11" w:name="page12"/>
    <w:bookmarkEnd w:id="11"/>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4"/>
          <w:szCs w:val="14"/>
          <w:color w:val="ED3FA8"/>
        </w:rPr>
        <w:t>Analysis of 1Q25 Consolidated Results</w:t>
      </w:r>
    </w:p>
    <w:p>
      <w:pPr>
        <w:spacing w:after="0" w:line="386" w:lineRule="exact"/>
        <w:rPr>
          <w:sz w:val="20"/>
          <w:szCs w:val="20"/>
          <w:color w:val="auto"/>
        </w:rPr>
      </w:pPr>
    </w:p>
    <w:p>
      <w:pPr>
        <w:jc w:val="center"/>
        <w:ind w:right="300"/>
        <w:spacing w:after="0"/>
        <w:rPr>
          <w:sz w:val="20"/>
          <w:szCs w:val="20"/>
          <w:color w:val="auto"/>
        </w:rPr>
      </w:pPr>
      <w:r>
        <w:rPr>
          <w:rFonts w:ascii="Arial" w:cs="Arial" w:eastAsia="Arial" w:hAnsi="Arial"/>
          <w:sz w:val="25"/>
          <w:szCs w:val="25"/>
          <w:b w:val="1"/>
          <w:bCs w:val="1"/>
          <w:color w:val="2AD2C8"/>
        </w:rPr>
        <w:t>Contributions and ROE by subsidiary in 1Q25</w:t>
      </w:r>
    </w:p>
    <w:p>
      <w:pPr>
        <w:spacing w:after="0" w:line="61"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2AD2C8"/>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140970</wp:posOffset>
            </wp:positionV>
            <wp:extent cx="6077585" cy="3042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758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BCP Stand-alone, the figure is lower than the net profit since the contribution eliminates investment gains in other subsidiaries of Credicorp (Mibanco)</w:t>
      </w:r>
    </w:p>
    <w:p>
      <w:pPr>
        <w:spacing w:after="0" w:line="7" w:lineRule="exact"/>
        <w:rPr>
          <w:rFonts w:ascii="Arial" w:cs="Arial" w:eastAsia="Arial" w:hAnsi="Arial"/>
          <w:sz w:val="12"/>
          <w:szCs w:val="12"/>
          <w:color w:val="auto"/>
        </w:rPr>
      </w:pPr>
    </w:p>
    <w:p>
      <w:pPr>
        <w:ind w:left="300" w:hanging="292"/>
        <w:spacing w:after="0" w:line="234" w:lineRule="auto"/>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Mibanco, the figure is less than the net profit because Credicorp owns (directly and indirectly) 99.921% of Mibanco.</w:t>
      </w:r>
    </w:p>
    <w:p>
      <w:pPr>
        <w:ind w:left="300" w:hanging="292"/>
        <w:spacing w:after="0" w:line="234" w:lineRule="auto"/>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contribution for Grupo Pacifico presented here is greater than the profit of Pacifico Seguros since 100% of Crediseguros is being included (including 48% under Grupo Crédito).</w:t>
      </w:r>
    </w:p>
    <w:p>
      <w:pPr>
        <w:ind w:left="300" w:hanging="292"/>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Includes the extraordinary gain of approximately S/ 166 million (net of taxes) related to the acquisition of Empresas Banmedica.</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2" w:name="page13"/>
    <w:bookmarkEnd w:id="12"/>
    <w:p>
      <w:pPr>
        <w:jc w:val="both"/>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4"/>
          <w:szCs w:val="14"/>
          <w:color w:val="ED3FA8"/>
        </w:rPr>
        <w:t>Analysis of 1Q25 Consolidated Results</w:t>
      </w:r>
    </w:p>
    <w:p>
      <w:pPr>
        <w:spacing w:after="0" w:line="359" w:lineRule="exact"/>
        <w:rPr>
          <w:sz w:val="20"/>
          <w:szCs w:val="20"/>
          <w:color w:val="auto"/>
        </w:rPr>
      </w:pPr>
    </w:p>
    <w:p>
      <w:pPr>
        <w:ind w:left="1760"/>
        <w:spacing w:after="0"/>
        <w:tabs>
          <w:tab w:leader="none" w:pos="7860" w:val="left"/>
        </w:tabs>
        <w:rPr>
          <w:sz w:val="20"/>
          <w:szCs w:val="20"/>
          <w:color w:val="auto"/>
        </w:rPr>
      </w:pPr>
      <w:r>
        <w:rPr>
          <w:rFonts w:ascii="Arial" w:cs="Arial" w:eastAsia="Arial" w:hAnsi="Arial"/>
          <w:sz w:val="22"/>
          <w:szCs w:val="22"/>
          <w:b w:val="1"/>
          <w:bCs w:val="1"/>
          <w:color w:val="FFFFFF"/>
        </w:rPr>
        <w:t>Universal Banking</w:t>
      </w:r>
      <w:r>
        <w:rPr>
          <w:sz w:val="20"/>
          <w:szCs w:val="20"/>
          <w:color w:val="auto"/>
        </w:rPr>
        <w:tab/>
      </w:r>
      <w:r>
        <w:rPr>
          <w:rFonts w:ascii="Arial" w:cs="Arial" w:eastAsia="Arial" w:hAnsi="Arial"/>
          <w:sz w:val="32"/>
          <w:szCs w:val="32"/>
          <w:b w:val="1"/>
          <w:bCs w:val="1"/>
          <w:color w:val="FFFFFF"/>
          <w:vertAlign w:val="subscript"/>
        </w:rPr>
        <w:t>Microfinance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45020" cy="1932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5020" cy="193294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80"/>
        <w:spacing w:after="0" w:line="241" w:lineRule="auto"/>
        <w:rPr>
          <w:sz w:val="20"/>
          <w:szCs w:val="20"/>
          <w:color w:val="auto"/>
        </w:rPr>
      </w:pPr>
      <w:r>
        <w:rPr>
          <w:rFonts w:ascii="Arial" w:cs="Arial" w:eastAsia="Arial" w:hAnsi="Arial"/>
          <w:sz w:val="19"/>
          <w:szCs w:val="19"/>
          <w:color w:val="auto"/>
        </w:rPr>
        <w:t>BCP Stand-alone reported good results, which were driven mainly by an improvement in risk management indicators and diversified sources of income, which continued to represent a core strength. NIM stood at 5.8%, supported in large part by an improvement in the cost of funding. YoY, other core income rose 15.1% on the back of Yape’s consolidation as a key source of income and alongside a strong transactions level. These dynamics were partially offset by growth in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3420110" cy="462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0110" cy="462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60"/>
        <w:spacing w:after="0" w:line="248" w:lineRule="auto"/>
        <w:rPr>
          <w:sz w:val="20"/>
          <w:szCs w:val="20"/>
          <w:color w:val="auto"/>
        </w:rPr>
      </w:pPr>
      <w:r>
        <w:rPr>
          <w:rFonts w:ascii="Arial" w:cs="Arial" w:eastAsia="Arial" w:hAnsi="Arial"/>
          <w:sz w:val="19"/>
          <w:szCs w:val="19"/>
          <w:color w:val="auto"/>
        </w:rPr>
        <w:t>Mibanco’s profitability rose YoY, fueled mainly by a resilient NIM and fortified risk management. NIM stood at 13.9%, driven by active price management and a decrease in the funding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-596265</wp:posOffset>
            </wp:positionV>
            <wp:extent cx="3415665" cy="1256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15665" cy="1256030"/>
                    </a:xfrm>
                    <a:prstGeom prst="rect">
                      <a:avLst/>
                    </a:prstGeom>
                    <a:noFill/>
                  </pic:spPr>
                </pic:pic>
              </a:graphicData>
            </a:graphic>
          </wp:anchor>
        </w:drawing>
      </w:r>
    </w:p>
    <w:p>
      <w:pPr>
        <w:spacing w:after="0" w:line="89" w:lineRule="exact"/>
        <w:rPr>
          <w:sz w:val="20"/>
          <w:szCs w:val="20"/>
          <w:color w:val="auto"/>
        </w:rPr>
      </w:pPr>
    </w:p>
    <w:p>
      <w:pPr>
        <w:jc w:val="both"/>
        <w:ind w:right="60"/>
        <w:spacing w:after="0" w:line="248" w:lineRule="auto"/>
        <w:rPr>
          <w:sz w:val="20"/>
          <w:szCs w:val="20"/>
          <w:color w:val="auto"/>
        </w:rPr>
      </w:pPr>
      <w:r>
        <w:rPr>
          <w:rFonts w:ascii="Arial" w:cs="Arial" w:eastAsia="Arial" w:hAnsi="Arial"/>
          <w:sz w:val="19"/>
          <w:szCs w:val="19"/>
          <w:color w:val="auto"/>
        </w:rPr>
        <w:t>Mibanco Colombia’s profitability improved thanks to its focus on efficiency; improvements in processes and controls; and disciplined risk management, which helped attenuate the impact of a challenging business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172085</wp:posOffset>
            </wp:positionV>
            <wp:extent cx="3420110" cy="497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0110" cy="49720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5340" w:space="560"/>
            <w:col w:w="5340"/>
          </w:cols>
          <w:pgMar w:left="320" w:top="314" w:right="339" w:bottom="1440" w:gutter="0" w:footer="0" w:header="0"/>
          <w:type w:val="continuous"/>
        </w:sectPr>
      </w:pPr>
    </w:p>
    <w:p>
      <w:pPr>
        <w:spacing w:after="0" w:line="308" w:lineRule="exact"/>
        <w:rPr>
          <w:sz w:val="20"/>
          <w:szCs w:val="20"/>
          <w:color w:val="auto"/>
        </w:rPr>
      </w:pPr>
    </w:p>
    <w:p>
      <w:pPr>
        <w:ind w:left="1400"/>
        <w:spacing w:after="0"/>
        <w:tabs>
          <w:tab w:leader="none" w:pos="6680" w:val="left"/>
        </w:tabs>
        <w:rPr>
          <w:sz w:val="20"/>
          <w:szCs w:val="20"/>
          <w:color w:val="auto"/>
        </w:rPr>
      </w:pPr>
      <w:r>
        <w:rPr>
          <w:rFonts w:ascii="Arial" w:cs="Arial" w:eastAsia="Arial" w:hAnsi="Arial"/>
          <w:sz w:val="22"/>
          <w:szCs w:val="22"/>
          <w:b w:val="1"/>
          <w:bCs w:val="1"/>
          <w:color w:val="FFFFFF"/>
        </w:rPr>
        <w:t>Insurance and Pensions</w:t>
      </w:r>
      <w:r>
        <w:rPr>
          <w:rFonts w:ascii="Arial" w:cs="Arial" w:eastAsia="Arial" w:hAnsi="Arial"/>
          <w:sz w:val="17"/>
          <w:szCs w:val="17"/>
          <w:b w:val="1"/>
          <w:bCs w:val="1"/>
          <w:color w:val="FFFFFF"/>
        </w:rPr>
        <w:t>1</w:t>
      </w:r>
      <w:r>
        <w:rPr>
          <w:sz w:val="20"/>
          <w:szCs w:val="20"/>
          <w:color w:val="auto"/>
        </w:rPr>
        <w:tab/>
      </w:r>
      <w:r>
        <w:rPr>
          <w:rFonts w:ascii="Arial" w:cs="Arial" w:eastAsia="Arial" w:hAnsi="Arial"/>
          <w:sz w:val="21"/>
          <w:szCs w:val="21"/>
          <w:b w:val="1"/>
          <w:bCs w:val="1"/>
          <w:color w:val="FFFFFF"/>
        </w:rPr>
        <w:t>Investment Management and Advisory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3415665" cy="8870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15665" cy="88709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jc w:val="both"/>
        <w:ind w:left="60"/>
        <w:spacing w:after="0" w:line="233" w:lineRule="auto"/>
        <w:rPr>
          <w:sz w:val="20"/>
          <w:szCs w:val="20"/>
          <w:color w:val="auto"/>
        </w:rPr>
      </w:pPr>
      <w:r>
        <w:rPr>
          <w:rFonts w:ascii="Arial" w:cs="Arial" w:eastAsia="Arial" w:hAnsi="Arial"/>
          <w:sz w:val="20"/>
          <w:szCs w:val="20"/>
          <w:color w:val="auto"/>
        </w:rPr>
        <w:t>Profitability at Grupo Pacífico dropped AaA due to a reduction in the Net gain on Securities, on the back of deterioration in the investment portfolio. This dynamic was partially offset by an uptick in the Insurance Underwriting Result via Life and P &amp; C and supported by solid commercial dynamics in both businesses.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both"/>
        <w:ind w:right="60"/>
        <w:spacing w:after="0" w:line="242" w:lineRule="auto"/>
        <w:rPr>
          <w:sz w:val="20"/>
          <w:szCs w:val="20"/>
          <w:color w:val="auto"/>
        </w:rPr>
      </w:pPr>
      <w:r>
        <w:rPr>
          <w:rFonts w:ascii="Arial" w:cs="Arial" w:eastAsia="Arial" w:hAnsi="Arial"/>
          <w:sz w:val="19"/>
          <w:szCs w:val="19"/>
          <w:color w:val="auto"/>
        </w:rPr>
        <w:t>Operating dynamics for Investment Banking and Advisory were solid in 1Q25, which reaffirms that our strategic focus is on-target and puts us in good stead for 2025. Net earnings rose 10% YoY, driven primarily by a reduction in operating expenses. Our Asset Management and Capital Markets businesses also contributed to results through an uptick in AUMs and growth in transactions,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-1002030</wp:posOffset>
            </wp:positionV>
            <wp:extent cx="7157720" cy="25304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25304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560"/>
            <w:col w:w="5340"/>
          </w:cols>
          <w:pgMar w:left="320" w:top="314" w:right="339" w:bottom="1440" w:gutter="0" w:footer="0" w:header="0"/>
          <w:type w:val="continuous"/>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Outlook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right="160"/>
        <w:spacing w:after="0" w:line="237" w:lineRule="auto"/>
        <w:rPr>
          <w:sz w:val="20"/>
          <w:szCs w:val="20"/>
          <w:color w:val="auto"/>
        </w:rPr>
      </w:pPr>
      <w:r>
        <w:rPr>
          <w:rFonts w:ascii="Arial" w:cs="Arial" w:eastAsia="Arial" w:hAnsi="Arial"/>
          <w:sz w:val="20"/>
          <w:szCs w:val="20"/>
          <w:color w:val="auto"/>
        </w:rPr>
        <w:t>Although ROE in 1Q25 situates us in an advantageous position going forward, uncertainty at the global level has led us to maintain our guidance for ROE for the year 2025 at around 17.5%. These results will be supported by: (i) acceleration in the pace of growth of our loan portfolio, in the retail segment in particular, (ii) the resilience of our NIM, and (iii) a controlled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423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6" w:lineRule="exact"/>
        <w:rPr>
          <w:sz w:val="20"/>
          <w:szCs w:val="20"/>
          <w:color w:val="auto"/>
        </w:rPr>
      </w:pPr>
    </w:p>
    <w:p>
      <w:pPr>
        <w:ind w:left="180" w:right="40" w:hanging="172"/>
        <w:spacing w:after="0" w:line="285" w:lineRule="auto"/>
        <w:tabs>
          <w:tab w:leader="none" w:pos="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March 2025. Credicorp concluded the acquisition of the remaining 50% of the stake Empresas Banmedica under the joint venture with Pacifico Seguros. This consolidation did not materially impact Grupo Pacifico’s results in 1Q25.</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13" w:name="page14"/>
    <w:bookmarkEnd w:id="13"/>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23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52324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4"/>
          <w:szCs w:val="14"/>
          <w:color w:val="ED3FA8"/>
        </w:rPr>
        <w:t>Analysis of 1Q25 Consolidated Results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FFFFFF"/>
        </w:rPr>
        <w:t>Financial Overview</w:t>
      </w:r>
    </w:p>
    <w:p>
      <w:pPr>
        <w:spacing w:after="0" w:line="179" w:lineRule="exact"/>
        <w:rPr>
          <w:sz w:val="20"/>
          <w:szCs w:val="20"/>
          <w:color w:val="auto"/>
        </w:rPr>
      </w:pPr>
    </w:p>
    <w:tbl>
      <w:tblPr>
        <w:tblLayout w:type="fixed"/>
        <w:tblInd w:w="210" w:type="dxa"/>
        <w:tblCellMar>
          <w:top w:w="0" w:type="dxa"/>
          <w:left w:w="0" w:type="dxa"/>
          <w:bottom w:w="0" w:type="dxa"/>
          <w:right w:w="0" w:type="dxa"/>
        </w:tblCellMar>
      </w:tblPr>
      <w:tr>
        <w:trPr>
          <w:trHeight w:val="149"/>
        </w:trPr>
        <w:tc>
          <w:tcPr>
            <w:tcW w:w="610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Credicorp Ltd.</w:t>
            </w:r>
          </w:p>
        </w:tc>
        <w:tc>
          <w:tcPr>
            <w:tcW w:w="960" w:type="dxa"/>
            <w:vAlign w:val="bottom"/>
            <w:tcBorders>
              <w:top w:val="single" w:sz="8" w:color="auto"/>
            </w:tcBorders>
            <w:shd w:val="clear" w:color="auto" w:fill="33CCCC"/>
          </w:tcPr>
          <w:p>
            <w:pPr>
              <w:spacing w:after="0"/>
              <w:rPr>
                <w:sz w:val="12"/>
                <w:szCs w:val="12"/>
                <w:color w:val="auto"/>
              </w:rPr>
            </w:pPr>
          </w:p>
        </w:tc>
        <w:tc>
          <w:tcPr>
            <w:tcW w:w="1000" w:type="dxa"/>
            <w:vAlign w:val="bottom"/>
            <w:tcBorders>
              <w:top w:val="single" w:sz="8" w:color="auto"/>
            </w:tcBorders>
            <w:shd w:val="clear" w:color="auto" w:fill="33CCCC"/>
          </w:tcPr>
          <w:p>
            <w:pPr>
              <w:ind w:left="300"/>
              <w:spacing w:after="0"/>
              <w:rPr>
                <w:sz w:val="20"/>
                <w:szCs w:val="20"/>
                <w:color w:val="auto"/>
              </w:rPr>
            </w:pPr>
            <w:r>
              <w:rPr>
                <w:rFonts w:ascii="Arial" w:cs="Arial" w:eastAsia="Arial" w:hAnsi="Arial"/>
                <w:sz w:val="12"/>
                <w:szCs w:val="12"/>
                <w:color w:val="FFFFFF"/>
              </w:rPr>
              <w:t>Quarter</w:t>
            </w:r>
          </w:p>
        </w:tc>
        <w:tc>
          <w:tcPr>
            <w:tcW w:w="1020" w:type="dxa"/>
            <w:vAlign w:val="bottom"/>
            <w:tcBorders>
              <w:top w:val="single" w:sz="8" w:color="auto"/>
              <w:right w:val="single" w:sz="8" w:color="auto"/>
            </w:tcBorders>
            <w:shd w:val="clear" w:color="auto" w:fill="33CCCC"/>
          </w:tcPr>
          <w:p>
            <w:pPr>
              <w:spacing w:after="0"/>
              <w:rPr>
                <w:sz w:val="12"/>
                <w:szCs w:val="12"/>
                <w:color w:val="auto"/>
              </w:rPr>
            </w:pPr>
          </w:p>
        </w:tc>
        <w:tc>
          <w:tcPr>
            <w:tcW w:w="1960" w:type="dxa"/>
            <w:vAlign w:val="bottom"/>
            <w:tcBorders>
              <w:top w:val="single" w:sz="8" w:color="auto"/>
              <w:right w:val="single" w:sz="8" w:color="auto"/>
            </w:tcBorders>
            <w:gridSpan w:val="2"/>
            <w:shd w:val="clear" w:color="auto" w:fill="33CCCC"/>
          </w:tcPr>
          <w:p>
            <w:pPr>
              <w:ind w:left="700"/>
              <w:spacing w:after="0"/>
              <w:rPr>
                <w:sz w:val="20"/>
                <w:szCs w:val="20"/>
                <w:color w:val="auto"/>
              </w:rPr>
            </w:pPr>
            <w:r>
              <w:rPr>
                <w:rFonts w:ascii="Arial" w:cs="Arial" w:eastAsia="Arial" w:hAnsi="Arial"/>
                <w:sz w:val="12"/>
                <w:szCs w:val="12"/>
                <w:b w:val="1"/>
                <w:bCs w:val="1"/>
                <w:color w:val="FFFFFF"/>
              </w:rPr>
              <w:t>% change</w:t>
            </w:r>
          </w:p>
        </w:tc>
      </w:tr>
      <w:tr>
        <w:trPr>
          <w:trHeight w:val="135"/>
        </w:trPr>
        <w:tc>
          <w:tcPr>
            <w:tcW w:w="6100" w:type="dxa"/>
            <w:vAlign w:val="bottom"/>
            <w:tcBorders>
              <w:left w:val="single" w:sz="8" w:color="auto"/>
              <w:bottom w:val="single" w:sz="8" w:color="auto"/>
              <w:right w:val="single" w:sz="8" w:color="auto"/>
            </w:tcBorders>
            <w:shd w:val="clear" w:color="auto" w:fill="33CCCC"/>
          </w:tcPr>
          <w:p>
            <w:pPr>
              <w:ind w:left="20"/>
              <w:spacing w:after="0" w:line="135" w:lineRule="exact"/>
              <w:rPr>
                <w:sz w:val="20"/>
                <w:szCs w:val="20"/>
                <w:color w:val="auto"/>
              </w:rPr>
            </w:pPr>
            <w:r>
              <w:rPr>
                <w:rFonts w:ascii="Arial" w:cs="Arial" w:eastAsia="Arial" w:hAnsi="Arial"/>
                <w:sz w:val="12"/>
                <w:szCs w:val="12"/>
                <w:b w:val="1"/>
                <w:bCs w:val="1"/>
                <w:color w:val="FFFFFF"/>
              </w:rPr>
              <w:t>S/000</w:t>
            </w:r>
          </w:p>
        </w:tc>
        <w:tc>
          <w:tcPr>
            <w:tcW w:w="960" w:type="dxa"/>
            <w:vAlign w:val="bottom"/>
            <w:tcBorders>
              <w:bottom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5"/>
              </w:rPr>
              <w:t>1Q24</w:t>
            </w:r>
          </w:p>
        </w:tc>
        <w:tc>
          <w:tcPr>
            <w:tcW w:w="1000" w:type="dxa"/>
            <w:vAlign w:val="bottom"/>
            <w:tcBorders>
              <w:bottom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5"/>
              </w:rPr>
              <w:t>4Q24</w:t>
            </w:r>
          </w:p>
        </w:tc>
        <w:tc>
          <w:tcPr>
            <w:tcW w:w="1020" w:type="dxa"/>
            <w:vAlign w:val="bottom"/>
            <w:tcBorders>
              <w:bottom w:val="single" w:sz="8" w:color="auto"/>
              <w:right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5"/>
              </w:rPr>
              <w:t>1Q25</w:t>
            </w:r>
          </w:p>
        </w:tc>
        <w:tc>
          <w:tcPr>
            <w:tcW w:w="960" w:type="dxa"/>
            <w:vAlign w:val="bottom"/>
            <w:tcBorders>
              <w:bottom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9"/>
              </w:rPr>
              <w:t>QoQ</w:t>
            </w:r>
          </w:p>
        </w:tc>
        <w:tc>
          <w:tcPr>
            <w:tcW w:w="1000" w:type="dxa"/>
            <w:vAlign w:val="bottom"/>
            <w:tcBorders>
              <w:bottom w:val="single" w:sz="8" w:color="auto"/>
              <w:right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4"/>
              </w:rPr>
              <w:t>YoY</w:t>
            </w:r>
          </w:p>
        </w:tc>
      </w:tr>
      <w:tr>
        <w:trPr>
          <w:trHeight w:val="121"/>
        </w:trPr>
        <w:tc>
          <w:tcPr>
            <w:tcW w:w="6100" w:type="dxa"/>
            <w:vAlign w:val="bottom"/>
            <w:tcBorders>
              <w:left w:val="single" w:sz="8" w:color="auto"/>
              <w:right w:val="single" w:sz="8" w:color="auto"/>
            </w:tcBorders>
          </w:tcPr>
          <w:p>
            <w:pPr>
              <w:ind w:left="20"/>
              <w:spacing w:after="0" w:line="121" w:lineRule="exact"/>
              <w:rPr>
                <w:sz w:val="20"/>
                <w:szCs w:val="20"/>
                <w:color w:val="auto"/>
              </w:rPr>
            </w:pPr>
            <w:r>
              <w:rPr>
                <w:rFonts w:ascii="Arial" w:cs="Arial" w:eastAsia="Arial" w:hAnsi="Arial"/>
                <w:sz w:val="12"/>
                <w:szCs w:val="12"/>
                <w:color w:val="auto"/>
              </w:rPr>
              <w:t>Net interest, similar income and expenses</w:t>
            </w:r>
          </w:p>
        </w:tc>
        <w:tc>
          <w:tcPr>
            <w:tcW w:w="960" w:type="dxa"/>
            <w:vAlign w:val="bottom"/>
          </w:tcPr>
          <w:p>
            <w:pPr>
              <w:jc w:val="center"/>
              <w:spacing w:after="0" w:line="121" w:lineRule="exact"/>
              <w:rPr>
                <w:sz w:val="20"/>
                <w:szCs w:val="20"/>
                <w:color w:val="auto"/>
              </w:rPr>
            </w:pPr>
            <w:r>
              <w:rPr>
                <w:rFonts w:ascii="Arial" w:cs="Arial" w:eastAsia="Arial" w:hAnsi="Arial"/>
                <w:sz w:val="12"/>
                <w:szCs w:val="12"/>
                <w:color w:val="auto"/>
                <w:w w:val="97"/>
              </w:rPr>
              <w:t>3,426,123</w:t>
            </w:r>
          </w:p>
        </w:tc>
        <w:tc>
          <w:tcPr>
            <w:tcW w:w="1000" w:type="dxa"/>
            <w:vAlign w:val="bottom"/>
          </w:tcPr>
          <w:p>
            <w:pPr>
              <w:jc w:val="center"/>
              <w:spacing w:after="0" w:line="121" w:lineRule="exact"/>
              <w:rPr>
                <w:sz w:val="20"/>
                <w:szCs w:val="20"/>
                <w:color w:val="auto"/>
              </w:rPr>
            </w:pPr>
            <w:r>
              <w:rPr>
                <w:rFonts w:ascii="Arial" w:cs="Arial" w:eastAsia="Arial" w:hAnsi="Arial"/>
                <w:sz w:val="12"/>
                <w:szCs w:val="12"/>
                <w:color w:val="auto"/>
                <w:w w:val="97"/>
              </w:rPr>
              <w:t>3,629,794</w:t>
            </w:r>
          </w:p>
        </w:tc>
        <w:tc>
          <w:tcPr>
            <w:tcW w:w="10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7"/>
              </w:rPr>
              <w:t>3,572,012</w:t>
            </w:r>
          </w:p>
        </w:tc>
        <w:tc>
          <w:tcPr>
            <w:tcW w:w="960" w:type="dxa"/>
            <w:vAlign w:val="bottom"/>
          </w:tcPr>
          <w:p>
            <w:pPr>
              <w:jc w:val="center"/>
              <w:spacing w:after="0" w:line="121" w:lineRule="exact"/>
              <w:rPr>
                <w:sz w:val="20"/>
                <w:szCs w:val="20"/>
                <w:color w:val="auto"/>
              </w:rPr>
            </w:pPr>
            <w:r>
              <w:rPr>
                <w:rFonts w:ascii="Arial" w:cs="Arial" w:eastAsia="Arial" w:hAnsi="Arial"/>
                <w:sz w:val="12"/>
                <w:szCs w:val="12"/>
                <w:color w:val="auto"/>
                <w:w w:val="95"/>
              </w:rPr>
              <w:t>-1.6%</w:t>
            </w:r>
          </w:p>
        </w:tc>
        <w:tc>
          <w:tcPr>
            <w:tcW w:w="10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4"/>
              </w:rPr>
              <w:t>4.3%</w:t>
            </w:r>
          </w:p>
        </w:tc>
      </w:tr>
      <w:tr>
        <w:trPr>
          <w:trHeight w:val="133"/>
        </w:trPr>
        <w:tc>
          <w:tcPr>
            <w:tcW w:w="610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Provision for credit losses on loan portfolio, net of recoveries</w:t>
            </w:r>
          </w:p>
        </w:tc>
        <w:tc>
          <w:tcPr>
            <w:tcW w:w="960" w:type="dxa"/>
            <w:vAlign w:val="bottom"/>
          </w:tcPr>
          <w:p>
            <w:pPr>
              <w:jc w:val="center"/>
              <w:spacing w:after="0" w:line="133" w:lineRule="exact"/>
              <w:rPr>
                <w:sz w:val="20"/>
                <w:szCs w:val="20"/>
                <w:color w:val="auto"/>
              </w:rPr>
            </w:pPr>
            <w:r>
              <w:rPr>
                <w:rFonts w:ascii="Arial" w:cs="Arial" w:eastAsia="Arial" w:hAnsi="Arial"/>
                <w:sz w:val="12"/>
                <w:szCs w:val="12"/>
                <w:color w:val="auto"/>
                <w:w w:val="97"/>
              </w:rPr>
              <w:t>(814,699)</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7"/>
              </w:rPr>
              <w:t>(743,296)</w:t>
            </w:r>
          </w:p>
        </w:tc>
        <w:tc>
          <w:tcPr>
            <w:tcW w:w="10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(581,893)</w:t>
            </w:r>
          </w:p>
        </w:tc>
        <w:tc>
          <w:tcPr>
            <w:tcW w:w="960" w:type="dxa"/>
            <w:vAlign w:val="bottom"/>
          </w:tcPr>
          <w:p>
            <w:pPr>
              <w:jc w:val="center"/>
              <w:spacing w:after="0" w:line="133" w:lineRule="exact"/>
              <w:rPr>
                <w:sz w:val="20"/>
                <w:szCs w:val="20"/>
                <w:color w:val="auto"/>
              </w:rPr>
            </w:pPr>
            <w:r>
              <w:rPr>
                <w:rFonts w:ascii="Arial" w:cs="Arial" w:eastAsia="Arial" w:hAnsi="Arial"/>
                <w:sz w:val="12"/>
                <w:szCs w:val="12"/>
                <w:color w:val="auto"/>
                <w:w w:val="99"/>
              </w:rPr>
              <w:t>-21.7%</w:t>
            </w:r>
          </w:p>
        </w:tc>
        <w:tc>
          <w:tcPr>
            <w:tcW w:w="10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9"/>
              </w:rPr>
              <w:t>-28.6%</w:t>
            </w:r>
          </w:p>
        </w:tc>
      </w:tr>
      <w:tr>
        <w:trPr>
          <w:trHeight w:val="137"/>
        </w:trPr>
        <w:tc>
          <w:tcPr>
            <w:tcW w:w="6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Net interest, similar income and expenses, after provision for credit losses on loan portfolio</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7"/>
              </w:rPr>
              <w:t>2,611,424</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2,886,498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2,990,119</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4"/>
              </w:rPr>
              <w:t>3.6%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14.5%</w:t>
            </w:r>
          </w:p>
        </w:tc>
      </w:tr>
      <w:tr>
        <w:trPr>
          <w:trHeight w:val="135"/>
        </w:trPr>
        <w:tc>
          <w:tcPr>
            <w:tcW w:w="610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2"/>
                <w:szCs w:val="12"/>
                <w:color w:val="auto"/>
              </w:rPr>
              <w:t>Other income</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7"/>
              </w:rPr>
              <w:t>1,392,559</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1,582,732</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1,690,216</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4"/>
              </w:rPr>
              <w:t>6.8%</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21.4%</w:t>
            </w:r>
          </w:p>
        </w:tc>
      </w:tr>
      <w:tr>
        <w:trPr>
          <w:trHeight w:val="135"/>
        </w:trPr>
        <w:tc>
          <w:tcPr>
            <w:tcW w:w="610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2"/>
                <w:szCs w:val="12"/>
                <w:color w:val="auto"/>
              </w:rPr>
              <w:t>Insurance underwriting result</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6"/>
              </w:rPr>
              <w:t>279,062</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6"/>
              </w:rPr>
              <w:t>312,683</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6"/>
              </w:rPr>
              <w:t>329,134</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4"/>
              </w:rPr>
              <w:t>5.3%</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17.9%</w:t>
            </w:r>
          </w:p>
        </w:tc>
      </w:tr>
      <w:tr>
        <w:trPr>
          <w:trHeight w:val="135"/>
        </w:trPr>
        <w:tc>
          <w:tcPr>
            <w:tcW w:w="610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2"/>
                <w:szCs w:val="12"/>
                <w:color w:val="auto"/>
              </w:rPr>
              <w:t>Medical services result</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8"/>
              </w:rPr>
              <w:t>-</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8"/>
              </w:rPr>
              <w:t>-</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42,689</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89"/>
              </w:rPr>
              <w:t>n.a.</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89"/>
              </w:rPr>
              <w:t>n.a.</w:t>
            </w:r>
          </w:p>
        </w:tc>
      </w:tr>
      <w:tr>
        <w:trPr>
          <w:trHeight w:val="133"/>
        </w:trPr>
        <w:tc>
          <w:tcPr>
            <w:tcW w:w="610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Total expenses</w:t>
            </w:r>
          </w:p>
        </w:tc>
        <w:tc>
          <w:tcPr>
            <w:tcW w:w="960" w:type="dxa"/>
            <w:vAlign w:val="bottom"/>
          </w:tcPr>
          <w:p>
            <w:pPr>
              <w:jc w:val="center"/>
              <w:spacing w:after="0" w:line="133" w:lineRule="exact"/>
              <w:rPr>
                <w:sz w:val="20"/>
                <w:szCs w:val="20"/>
                <w:color w:val="auto"/>
              </w:rPr>
            </w:pPr>
            <w:r>
              <w:rPr>
                <w:rFonts w:ascii="Arial" w:cs="Arial" w:eastAsia="Arial" w:hAnsi="Arial"/>
                <w:sz w:val="12"/>
                <w:szCs w:val="12"/>
                <w:color w:val="auto"/>
                <w:w w:val="97"/>
              </w:rPr>
              <w:t>(2,212,482)</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7"/>
              </w:rPr>
              <w:t>(3,026,227)</w:t>
            </w:r>
          </w:p>
        </w:tc>
        <w:tc>
          <w:tcPr>
            <w:tcW w:w="10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(2,532,874)</w:t>
            </w:r>
          </w:p>
        </w:tc>
        <w:tc>
          <w:tcPr>
            <w:tcW w:w="960" w:type="dxa"/>
            <w:vAlign w:val="bottom"/>
          </w:tcPr>
          <w:p>
            <w:pPr>
              <w:jc w:val="center"/>
              <w:spacing w:after="0" w:line="133" w:lineRule="exact"/>
              <w:rPr>
                <w:sz w:val="20"/>
                <w:szCs w:val="20"/>
                <w:color w:val="auto"/>
              </w:rPr>
            </w:pPr>
            <w:r>
              <w:rPr>
                <w:rFonts w:ascii="Arial" w:cs="Arial" w:eastAsia="Arial" w:hAnsi="Arial"/>
                <w:sz w:val="12"/>
                <w:szCs w:val="12"/>
                <w:color w:val="auto"/>
                <w:w w:val="99"/>
              </w:rPr>
              <w:t>-16.3%</w:t>
            </w:r>
          </w:p>
        </w:tc>
        <w:tc>
          <w:tcPr>
            <w:tcW w:w="10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9"/>
              </w:rPr>
              <w:t>14.5%</w:t>
            </w:r>
          </w:p>
        </w:tc>
      </w:tr>
      <w:tr>
        <w:trPr>
          <w:trHeight w:val="137"/>
        </w:trPr>
        <w:tc>
          <w:tcPr>
            <w:tcW w:w="6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Profit before income tax</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7"/>
              </w:rPr>
              <w:t>2,070,563</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1,755,686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2,519,284</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9"/>
              </w:rPr>
              <w:t>43.5%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21.7%</w:t>
            </w:r>
          </w:p>
        </w:tc>
      </w:tr>
      <w:tr>
        <w:trPr>
          <w:trHeight w:val="133"/>
        </w:trPr>
        <w:tc>
          <w:tcPr>
            <w:tcW w:w="610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Income tax</w:t>
            </w:r>
          </w:p>
        </w:tc>
        <w:tc>
          <w:tcPr>
            <w:tcW w:w="960" w:type="dxa"/>
            <w:vAlign w:val="bottom"/>
          </w:tcPr>
          <w:p>
            <w:pPr>
              <w:jc w:val="center"/>
              <w:spacing w:after="0" w:line="133" w:lineRule="exact"/>
              <w:rPr>
                <w:sz w:val="20"/>
                <w:szCs w:val="20"/>
                <w:color w:val="auto"/>
              </w:rPr>
            </w:pPr>
            <w:r>
              <w:rPr>
                <w:rFonts w:ascii="Arial" w:cs="Arial" w:eastAsia="Arial" w:hAnsi="Arial"/>
                <w:sz w:val="12"/>
                <w:szCs w:val="12"/>
                <w:color w:val="auto"/>
                <w:w w:val="97"/>
              </w:rPr>
              <w:t>(528,466)</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7"/>
              </w:rPr>
              <w:t>(598,348)</w:t>
            </w:r>
          </w:p>
        </w:tc>
        <w:tc>
          <w:tcPr>
            <w:tcW w:w="10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(704,469)</w:t>
            </w:r>
          </w:p>
        </w:tc>
        <w:tc>
          <w:tcPr>
            <w:tcW w:w="960" w:type="dxa"/>
            <w:vAlign w:val="bottom"/>
          </w:tcPr>
          <w:p>
            <w:pPr>
              <w:jc w:val="center"/>
              <w:spacing w:after="0" w:line="133" w:lineRule="exact"/>
              <w:rPr>
                <w:sz w:val="20"/>
                <w:szCs w:val="20"/>
                <w:color w:val="auto"/>
              </w:rPr>
            </w:pPr>
            <w:r>
              <w:rPr>
                <w:rFonts w:ascii="Arial" w:cs="Arial" w:eastAsia="Arial" w:hAnsi="Arial"/>
                <w:sz w:val="12"/>
                <w:szCs w:val="12"/>
                <w:color w:val="auto"/>
                <w:w w:val="99"/>
              </w:rPr>
              <w:t>17.7%</w:t>
            </w:r>
          </w:p>
        </w:tc>
        <w:tc>
          <w:tcPr>
            <w:tcW w:w="10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9"/>
              </w:rPr>
              <w:t>33.3%</w:t>
            </w:r>
          </w:p>
        </w:tc>
      </w:tr>
      <w:tr>
        <w:trPr>
          <w:trHeight w:val="137"/>
        </w:trPr>
        <w:tc>
          <w:tcPr>
            <w:tcW w:w="6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Net profit</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7"/>
              </w:rPr>
              <w:t>1,542,097</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1,157,338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1,814,815</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9"/>
              </w:rPr>
              <w:t>56.8%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17.7%</w:t>
            </w:r>
          </w:p>
        </w:tc>
      </w:tr>
      <w:tr>
        <w:trPr>
          <w:trHeight w:val="133"/>
        </w:trPr>
        <w:tc>
          <w:tcPr>
            <w:tcW w:w="610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Non-controlling interest</w:t>
            </w:r>
          </w:p>
        </w:tc>
        <w:tc>
          <w:tcPr>
            <w:tcW w:w="960" w:type="dxa"/>
            <w:vAlign w:val="bottom"/>
          </w:tcPr>
          <w:p>
            <w:pPr>
              <w:jc w:val="center"/>
              <w:spacing w:after="0" w:line="133" w:lineRule="exact"/>
              <w:rPr>
                <w:sz w:val="20"/>
                <w:szCs w:val="20"/>
                <w:color w:val="auto"/>
              </w:rPr>
            </w:pPr>
            <w:r>
              <w:rPr>
                <w:rFonts w:ascii="Arial" w:cs="Arial" w:eastAsia="Arial" w:hAnsi="Arial"/>
                <w:sz w:val="12"/>
                <w:szCs w:val="12"/>
                <w:color w:val="auto"/>
                <w:w w:val="97"/>
              </w:rPr>
              <w:t>30,440</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7"/>
              </w:rPr>
              <w:t>30,625</w:t>
            </w:r>
          </w:p>
        </w:tc>
        <w:tc>
          <w:tcPr>
            <w:tcW w:w="10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37,118</w:t>
            </w:r>
          </w:p>
        </w:tc>
        <w:tc>
          <w:tcPr>
            <w:tcW w:w="960" w:type="dxa"/>
            <w:vAlign w:val="bottom"/>
          </w:tcPr>
          <w:p>
            <w:pPr>
              <w:jc w:val="center"/>
              <w:spacing w:after="0" w:line="133" w:lineRule="exact"/>
              <w:rPr>
                <w:sz w:val="20"/>
                <w:szCs w:val="20"/>
                <w:color w:val="auto"/>
              </w:rPr>
            </w:pPr>
            <w:r>
              <w:rPr>
                <w:rFonts w:ascii="Arial" w:cs="Arial" w:eastAsia="Arial" w:hAnsi="Arial"/>
                <w:sz w:val="12"/>
                <w:szCs w:val="12"/>
                <w:color w:val="auto"/>
                <w:w w:val="99"/>
              </w:rPr>
              <w:t>21.2%</w:t>
            </w:r>
          </w:p>
        </w:tc>
        <w:tc>
          <w:tcPr>
            <w:tcW w:w="10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9"/>
              </w:rPr>
              <w:t>21.9%</w:t>
            </w:r>
          </w:p>
        </w:tc>
      </w:tr>
      <w:tr>
        <w:trPr>
          <w:trHeight w:val="137"/>
        </w:trPr>
        <w:tc>
          <w:tcPr>
            <w:tcW w:w="6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Net profit attributable to Credicorp</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7"/>
              </w:rPr>
              <w:t>1,511,657</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1,126,713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1,777,697</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9"/>
              </w:rPr>
              <w:t>57.8%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17.6%</w:t>
            </w:r>
          </w:p>
        </w:tc>
      </w:tr>
      <w:tr>
        <w:trPr>
          <w:trHeight w:val="135"/>
        </w:trPr>
        <w:tc>
          <w:tcPr>
            <w:tcW w:w="610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2"/>
                <w:szCs w:val="12"/>
                <w:color w:val="auto"/>
              </w:rPr>
              <w:t>Dividends paid to third parties</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8"/>
              </w:rPr>
              <w:t>-</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8"/>
              </w:rPr>
              <w:t>-</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8"/>
              </w:rPr>
              <w:t>-</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89"/>
              </w:rPr>
              <w:t>n.a.</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89"/>
              </w:rPr>
              <w:t>n.a.</w:t>
            </w:r>
          </w:p>
        </w:tc>
      </w:tr>
      <w:tr>
        <w:trPr>
          <w:trHeight w:val="135"/>
        </w:trPr>
        <w:tc>
          <w:tcPr>
            <w:tcW w:w="610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2"/>
                <w:szCs w:val="12"/>
                <w:color w:val="auto"/>
              </w:rPr>
              <w:t>Net income / share (S/)</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3"/>
              </w:rPr>
              <w:t>19.0</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3"/>
              </w:rPr>
              <w:t>14.1</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rPr>
              <w:t>22.3</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9"/>
              </w:rPr>
              <w:t>57.8%</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17.6%</w:t>
            </w:r>
          </w:p>
        </w:tc>
      </w:tr>
      <w:tr>
        <w:trPr>
          <w:trHeight w:val="143"/>
        </w:trPr>
        <w:tc>
          <w:tcPr>
            <w:tcW w:w="6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Dividends per Share (S/)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n.a.</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n.a.</w:t>
            </w:r>
          </w:p>
        </w:tc>
      </w:tr>
      <w:tr>
        <w:trPr>
          <w:trHeight w:val="121"/>
        </w:trPr>
        <w:tc>
          <w:tcPr>
            <w:tcW w:w="6100" w:type="dxa"/>
            <w:vAlign w:val="bottom"/>
            <w:tcBorders>
              <w:left w:val="single" w:sz="8" w:color="auto"/>
              <w:right w:val="single" w:sz="8" w:color="auto"/>
            </w:tcBorders>
          </w:tcPr>
          <w:p>
            <w:pPr>
              <w:ind w:left="20"/>
              <w:spacing w:after="0" w:line="121" w:lineRule="exact"/>
              <w:rPr>
                <w:sz w:val="20"/>
                <w:szCs w:val="20"/>
                <w:color w:val="auto"/>
              </w:rPr>
            </w:pPr>
            <w:r>
              <w:rPr>
                <w:rFonts w:ascii="Arial" w:cs="Arial" w:eastAsia="Arial" w:hAnsi="Arial"/>
                <w:sz w:val="12"/>
                <w:szCs w:val="12"/>
                <w:color w:val="auto"/>
              </w:rPr>
              <w:t>Loans</w:t>
            </w:r>
          </w:p>
        </w:tc>
        <w:tc>
          <w:tcPr>
            <w:tcW w:w="960" w:type="dxa"/>
            <w:vAlign w:val="bottom"/>
          </w:tcPr>
          <w:p>
            <w:pPr>
              <w:jc w:val="center"/>
              <w:spacing w:after="0" w:line="121" w:lineRule="exact"/>
              <w:rPr>
                <w:sz w:val="20"/>
                <w:szCs w:val="20"/>
                <w:color w:val="auto"/>
              </w:rPr>
            </w:pPr>
            <w:r>
              <w:rPr>
                <w:rFonts w:ascii="Arial" w:cs="Arial" w:eastAsia="Arial" w:hAnsi="Arial"/>
                <w:sz w:val="12"/>
                <w:szCs w:val="12"/>
                <w:color w:val="auto"/>
                <w:w w:val="98"/>
              </w:rPr>
              <w:t>140,798,083</w:t>
            </w:r>
          </w:p>
        </w:tc>
        <w:tc>
          <w:tcPr>
            <w:tcW w:w="1000" w:type="dxa"/>
            <w:vAlign w:val="bottom"/>
          </w:tcPr>
          <w:p>
            <w:pPr>
              <w:jc w:val="center"/>
              <w:spacing w:after="0" w:line="121" w:lineRule="exact"/>
              <w:rPr>
                <w:sz w:val="20"/>
                <w:szCs w:val="20"/>
                <w:color w:val="auto"/>
              </w:rPr>
            </w:pPr>
            <w:r>
              <w:rPr>
                <w:rFonts w:ascii="Arial" w:cs="Arial" w:eastAsia="Arial" w:hAnsi="Arial"/>
                <w:sz w:val="12"/>
                <w:szCs w:val="12"/>
                <w:color w:val="auto"/>
                <w:w w:val="98"/>
              </w:rPr>
              <w:t>145,732,273</w:t>
            </w:r>
          </w:p>
        </w:tc>
        <w:tc>
          <w:tcPr>
            <w:tcW w:w="10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5"/>
              </w:rPr>
              <w:t>141,196,646</w:t>
            </w:r>
          </w:p>
        </w:tc>
        <w:tc>
          <w:tcPr>
            <w:tcW w:w="960" w:type="dxa"/>
            <w:vAlign w:val="bottom"/>
          </w:tcPr>
          <w:p>
            <w:pPr>
              <w:jc w:val="center"/>
              <w:spacing w:after="0" w:line="121" w:lineRule="exact"/>
              <w:rPr>
                <w:sz w:val="20"/>
                <w:szCs w:val="20"/>
                <w:color w:val="auto"/>
              </w:rPr>
            </w:pPr>
            <w:r>
              <w:rPr>
                <w:rFonts w:ascii="Arial" w:cs="Arial" w:eastAsia="Arial" w:hAnsi="Arial"/>
                <w:sz w:val="12"/>
                <w:szCs w:val="12"/>
                <w:color w:val="auto"/>
                <w:w w:val="95"/>
              </w:rPr>
              <w:t>-3.1%</w:t>
            </w:r>
          </w:p>
        </w:tc>
        <w:tc>
          <w:tcPr>
            <w:tcW w:w="10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4"/>
              </w:rPr>
              <w:t>0.3%</w:t>
            </w:r>
          </w:p>
        </w:tc>
      </w:tr>
      <w:tr>
        <w:trPr>
          <w:trHeight w:val="135"/>
        </w:trPr>
        <w:tc>
          <w:tcPr>
            <w:tcW w:w="610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2"/>
                <w:szCs w:val="12"/>
                <w:color w:val="auto"/>
              </w:rPr>
              <w:t>Deposits and obligations</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8"/>
              </w:rPr>
              <w:t>147,857,127</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8"/>
              </w:rPr>
              <w:t>161,842,066</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5"/>
              </w:rPr>
              <w:t>157,619,082</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5"/>
              </w:rPr>
              <w:t>-2.6%</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6.6%</w:t>
            </w:r>
          </w:p>
        </w:tc>
      </w:tr>
      <w:tr>
        <w:trPr>
          <w:trHeight w:val="143"/>
        </w:trPr>
        <w:tc>
          <w:tcPr>
            <w:tcW w:w="6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Net equity</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33,853,460</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34,346,451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35,843,202</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4.4%</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5.9%</w:t>
            </w:r>
          </w:p>
        </w:tc>
      </w:tr>
      <w:tr>
        <w:trPr>
          <w:trHeight w:val="113"/>
        </w:trPr>
        <w:tc>
          <w:tcPr>
            <w:tcW w:w="6100" w:type="dxa"/>
            <w:vAlign w:val="bottom"/>
            <w:tcBorders>
              <w:left w:val="single" w:sz="8" w:color="auto"/>
              <w:right w:val="single" w:sz="8" w:color="auto"/>
            </w:tcBorders>
          </w:tcPr>
          <w:p>
            <w:pPr>
              <w:ind w:left="20"/>
              <w:spacing w:after="0" w:line="114" w:lineRule="exact"/>
              <w:rPr>
                <w:sz w:val="20"/>
                <w:szCs w:val="20"/>
                <w:color w:val="auto"/>
              </w:rPr>
            </w:pPr>
            <w:r>
              <w:rPr>
                <w:rFonts w:ascii="Arial" w:cs="Arial" w:eastAsia="Arial" w:hAnsi="Arial"/>
                <w:sz w:val="12"/>
                <w:szCs w:val="12"/>
                <w:b w:val="1"/>
                <w:bCs w:val="1"/>
                <w:color w:val="auto"/>
              </w:rPr>
              <w:t>Profitability</w:t>
            </w: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r>
      <w:tr>
        <w:trPr>
          <w:trHeight w:val="142"/>
        </w:trPr>
        <w:tc>
          <w:tcPr>
            <w:tcW w:w="610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0"/>
                <w:szCs w:val="10"/>
                <w:color w:val="auto"/>
              </w:rPr>
              <w:t>Net interest margin</w:t>
            </w:r>
            <w:r>
              <w:rPr>
                <w:rFonts w:ascii="Arial" w:cs="Arial" w:eastAsia="Arial" w:hAnsi="Arial"/>
                <w:sz w:val="16"/>
                <w:szCs w:val="16"/>
                <w:color w:val="auto"/>
                <w:vertAlign w:val="superscript"/>
              </w:rPr>
              <w:t>(1)</w:t>
            </w:r>
          </w:p>
        </w:tc>
        <w:tc>
          <w:tcPr>
            <w:tcW w:w="960" w:type="dxa"/>
            <w:vAlign w:val="bottom"/>
          </w:tcPr>
          <w:p>
            <w:pPr>
              <w:jc w:val="center"/>
              <w:spacing w:after="0"/>
              <w:rPr>
                <w:sz w:val="20"/>
                <w:szCs w:val="20"/>
                <w:color w:val="auto"/>
              </w:rPr>
            </w:pPr>
            <w:r>
              <w:rPr>
                <w:rFonts w:ascii="Arial" w:cs="Arial" w:eastAsia="Arial" w:hAnsi="Arial"/>
                <w:sz w:val="12"/>
                <w:szCs w:val="12"/>
                <w:color w:val="auto"/>
                <w:w w:val="99"/>
              </w:rPr>
              <w:t>6.30%</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6.34%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6.22%</w:t>
            </w:r>
          </w:p>
        </w:tc>
        <w:tc>
          <w:tcPr>
            <w:tcW w:w="960" w:type="dxa"/>
            <w:vAlign w:val="bottom"/>
          </w:tcPr>
          <w:p>
            <w:pPr>
              <w:jc w:val="center"/>
              <w:spacing w:after="0"/>
              <w:rPr>
                <w:sz w:val="20"/>
                <w:szCs w:val="20"/>
                <w:color w:val="auto"/>
              </w:rPr>
            </w:pPr>
            <w:r>
              <w:rPr>
                <w:rFonts w:ascii="Arial" w:cs="Arial" w:eastAsia="Arial" w:hAnsi="Arial"/>
                <w:sz w:val="12"/>
                <w:szCs w:val="12"/>
                <w:color w:val="auto"/>
                <w:w w:val="94"/>
              </w:rPr>
              <w:t>-12 bps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-8 bps</w:t>
            </w:r>
          </w:p>
        </w:tc>
      </w:tr>
      <w:tr>
        <w:trPr>
          <w:trHeight w:val="128"/>
        </w:trPr>
        <w:tc>
          <w:tcPr>
            <w:tcW w:w="610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2"/>
                <w:szCs w:val="12"/>
                <w:color w:val="auto"/>
              </w:rPr>
              <w:t>Risk-adjusted Net interest margin</w:t>
            </w:r>
          </w:p>
        </w:tc>
        <w:tc>
          <w:tcPr>
            <w:tcW w:w="960" w:type="dxa"/>
            <w:vAlign w:val="bottom"/>
          </w:tcPr>
          <w:p>
            <w:pPr>
              <w:jc w:val="center"/>
              <w:spacing w:after="0" w:line="128" w:lineRule="exact"/>
              <w:rPr>
                <w:sz w:val="20"/>
                <w:szCs w:val="20"/>
                <w:color w:val="auto"/>
              </w:rPr>
            </w:pPr>
            <w:r>
              <w:rPr>
                <w:rFonts w:ascii="Arial" w:cs="Arial" w:eastAsia="Arial" w:hAnsi="Arial"/>
                <w:sz w:val="12"/>
                <w:szCs w:val="12"/>
                <w:color w:val="auto"/>
                <w:w w:val="99"/>
              </w:rPr>
              <w:t>4.85%</w:t>
            </w:r>
          </w:p>
        </w:tc>
        <w:tc>
          <w:tcPr>
            <w:tcW w:w="1000" w:type="dxa"/>
            <w:vAlign w:val="bottom"/>
          </w:tcPr>
          <w:p>
            <w:pPr>
              <w:jc w:val="center"/>
              <w:spacing w:after="0" w:line="128" w:lineRule="exact"/>
              <w:rPr>
                <w:sz w:val="20"/>
                <w:szCs w:val="20"/>
                <w:color w:val="auto"/>
              </w:rPr>
            </w:pPr>
            <w:r>
              <w:rPr>
                <w:rFonts w:ascii="Arial" w:cs="Arial" w:eastAsia="Arial" w:hAnsi="Arial"/>
                <w:sz w:val="12"/>
                <w:szCs w:val="12"/>
                <w:color w:val="auto"/>
                <w:w w:val="99"/>
              </w:rPr>
              <w:t>5.08%</w:t>
            </w:r>
          </w:p>
        </w:tc>
        <w:tc>
          <w:tcPr>
            <w:tcW w:w="10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w w:val="93"/>
              </w:rPr>
              <w:t>5.24%</w:t>
            </w:r>
          </w:p>
        </w:tc>
        <w:tc>
          <w:tcPr>
            <w:tcW w:w="960" w:type="dxa"/>
            <w:vAlign w:val="bottom"/>
          </w:tcPr>
          <w:p>
            <w:pPr>
              <w:jc w:val="center"/>
              <w:spacing w:after="0" w:line="128" w:lineRule="exact"/>
              <w:rPr>
                <w:sz w:val="20"/>
                <w:szCs w:val="20"/>
                <w:color w:val="auto"/>
              </w:rPr>
            </w:pPr>
            <w:r>
              <w:rPr>
                <w:rFonts w:ascii="Arial" w:cs="Arial" w:eastAsia="Arial" w:hAnsi="Arial"/>
                <w:sz w:val="12"/>
                <w:szCs w:val="12"/>
                <w:color w:val="auto"/>
                <w:w w:val="94"/>
              </w:rPr>
              <w:t>16 bps</w:t>
            </w:r>
          </w:p>
        </w:tc>
        <w:tc>
          <w:tcPr>
            <w:tcW w:w="100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w w:val="99"/>
              </w:rPr>
              <w:t>39 bps</w:t>
            </w:r>
          </w:p>
        </w:tc>
      </w:tr>
      <w:tr>
        <w:trPr>
          <w:trHeight w:val="142"/>
        </w:trPr>
        <w:tc>
          <w:tcPr>
            <w:tcW w:w="610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0"/>
                <w:szCs w:val="10"/>
                <w:color w:val="auto"/>
              </w:rPr>
              <w:t>Funding cost</w:t>
            </w:r>
            <w:r>
              <w:rPr>
                <w:rFonts w:ascii="Arial" w:cs="Arial" w:eastAsia="Arial" w:hAnsi="Arial"/>
                <w:sz w:val="16"/>
                <w:szCs w:val="16"/>
                <w:color w:val="auto"/>
                <w:vertAlign w:val="superscript"/>
              </w:rPr>
              <w:t>(2)</w:t>
            </w:r>
          </w:p>
        </w:tc>
        <w:tc>
          <w:tcPr>
            <w:tcW w:w="960" w:type="dxa"/>
            <w:vAlign w:val="bottom"/>
          </w:tcPr>
          <w:p>
            <w:pPr>
              <w:jc w:val="center"/>
              <w:spacing w:after="0"/>
              <w:rPr>
                <w:sz w:val="20"/>
                <w:szCs w:val="20"/>
                <w:color w:val="auto"/>
              </w:rPr>
            </w:pPr>
            <w:r>
              <w:rPr>
                <w:rFonts w:ascii="Arial" w:cs="Arial" w:eastAsia="Arial" w:hAnsi="Arial"/>
                <w:sz w:val="12"/>
                <w:szCs w:val="12"/>
                <w:color w:val="auto"/>
                <w:w w:val="99"/>
              </w:rPr>
              <w:t>2.98%</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2.56%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2.42%</w:t>
            </w:r>
          </w:p>
        </w:tc>
        <w:tc>
          <w:tcPr>
            <w:tcW w:w="960" w:type="dxa"/>
            <w:vAlign w:val="bottom"/>
          </w:tcPr>
          <w:p>
            <w:pPr>
              <w:jc w:val="center"/>
              <w:spacing w:after="0"/>
              <w:rPr>
                <w:sz w:val="20"/>
                <w:szCs w:val="20"/>
                <w:color w:val="auto"/>
              </w:rPr>
            </w:pPr>
            <w:r>
              <w:rPr>
                <w:rFonts w:ascii="Arial" w:cs="Arial" w:eastAsia="Arial" w:hAnsi="Arial"/>
                <w:sz w:val="12"/>
                <w:szCs w:val="12"/>
                <w:color w:val="auto"/>
                <w:w w:val="94"/>
              </w:rPr>
              <w:t>-14 bps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-56 bps</w:t>
            </w:r>
          </w:p>
        </w:tc>
      </w:tr>
      <w:tr>
        <w:trPr>
          <w:trHeight w:val="135"/>
        </w:trPr>
        <w:tc>
          <w:tcPr>
            <w:tcW w:w="610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2"/>
                <w:szCs w:val="12"/>
                <w:color w:val="auto"/>
              </w:rPr>
              <w:t>ROAE</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9"/>
              </w:rPr>
              <w:t>18.2%</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9"/>
              </w:rPr>
              <w:t>13.3%</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3"/>
              </w:rPr>
              <w:t>20.3%</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8"/>
              </w:rPr>
              <w:t>697 bps</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8"/>
              </w:rPr>
              <w:t>203 bps</w:t>
            </w:r>
          </w:p>
        </w:tc>
      </w:tr>
      <w:tr>
        <w:trPr>
          <w:trHeight w:val="143"/>
        </w:trPr>
        <w:tc>
          <w:tcPr>
            <w:tcW w:w="6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ROAA</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2.5%</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1.8%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2.8%</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100 bps</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30 bps</w:t>
            </w:r>
          </w:p>
        </w:tc>
      </w:tr>
      <w:tr>
        <w:trPr>
          <w:trHeight w:val="113"/>
        </w:trPr>
        <w:tc>
          <w:tcPr>
            <w:tcW w:w="6100" w:type="dxa"/>
            <w:vAlign w:val="bottom"/>
            <w:tcBorders>
              <w:left w:val="single" w:sz="8" w:color="auto"/>
              <w:right w:val="single" w:sz="8" w:color="auto"/>
            </w:tcBorders>
          </w:tcPr>
          <w:p>
            <w:pPr>
              <w:ind w:left="20"/>
              <w:spacing w:after="0" w:line="114" w:lineRule="exact"/>
              <w:rPr>
                <w:sz w:val="20"/>
                <w:szCs w:val="20"/>
                <w:color w:val="auto"/>
              </w:rPr>
            </w:pPr>
            <w:r>
              <w:rPr>
                <w:rFonts w:ascii="Arial" w:cs="Arial" w:eastAsia="Arial" w:hAnsi="Arial"/>
                <w:sz w:val="12"/>
                <w:szCs w:val="12"/>
                <w:b w:val="1"/>
                <w:bCs w:val="1"/>
                <w:color w:val="auto"/>
              </w:rPr>
              <w:t>Loan portfolio quality</w:t>
            </w: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r>
      <w:tr>
        <w:trPr>
          <w:trHeight w:val="142"/>
        </w:trPr>
        <w:tc>
          <w:tcPr>
            <w:tcW w:w="610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0"/>
                <w:szCs w:val="10"/>
                <w:color w:val="auto"/>
              </w:rPr>
              <w:t>Internal overdue ratio</w:t>
            </w:r>
            <w:r>
              <w:rPr>
                <w:rFonts w:ascii="Arial" w:cs="Arial" w:eastAsia="Arial" w:hAnsi="Arial"/>
                <w:sz w:val="16"/>
                <w:szCs w:val="16"/>
                <w:color w:val="auto"/>
                <w:vertAlign w:val="superscript"/>
              </w:rPr>
              <w:t>(3)</w:t>
            </w:r>
          </w:p>
        </w:tc>
        <w:tc>
          <w:tcPr>
            <w:tcW w:w="960" w:type="dxa"/>
            <w:vAlign w:val="bottom"/>
          </w:tcPr>
          <w:p>
            <w:pPr>
              <w:jc w:val="center"/>
              <w:spacing w:after="0"/>
              <w:rPr>
                <w:sz w:val="20"/>
                <w:szCs w:val="20"/>
                <w:color w:val="auto"/>
              </w:rPr>
            </w:pPr>
            <w:r>
              <w:rPr>
                <w:rFonts w:ascii="Arial" w:cs="Arial" w:eastAsia="Arial" w:hAnsi="Arial"/>
                <w:sz w:val="12"/>
                <w:szCs w:val="12"/>
                <w:color w:val="auto"/>
                <w:w w:val="94"/>
              </w:rPr>
              <w:t>4.4%</w:t>
            </w:r>
          </w:p>
        </w:tc>
        <w:tc>
          <w:tcPr>
            <w:tcW w:w="1000" w:type="dxa"/>
            <w:vAlign w:val="bottom"/>
          </w:tcPr>
          <w:p>
            <w:pPr>
              <w:jc w:val="center"/>
              <w:spacing w:after="0"/>
              <w:rPr>
                <w:sz w:val="20"/>
                <w:szCs w:val="20"/>
                <w:color w:val="auto"/>
              </w:rPr>
            </w:pPr>
            <w:r>
              <w:rPr>
                <w:rFonts w:ascii="Arial" w:cs="Arial" w:eastAsia="Arial" w:hAnsi="Arial"/>
                <w:sz w:val="12"/>
                <w:szCs w:val="12"/>
                <w:color w:val="auto"/>
                <w:w w:val="94"/>
              </w:rPr>
              <w:t>3.7%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3.7%</w:t>
            </w:r>
          </w:p>
        </w:tc>
        <w:tc>
          <w:tcPr>
            <w:tcW w:w="960" w:type="dxa"/>
            <w:vAlign w:val="bottom"/>
          </w:tcPr>
          <w:p>
            <w:pPr>
              <w:jc w:val="center"/>
              <w:spacing w:after="0"/>
              <w:rPr>
                <w:sz w:val="20"/>
                <w:szCs w:val="20"/>
                <w:color w:val="auto"/>
              </w:rPr>
            </w:pPr>
            <w:r>
              <w:rPr>
                <w:rFonts w:ascii="Arial" w:cs="Arial" w:eastAsia="Arial" w:hAnsi="Arial"/>
                <w:sz w:val="12"/>
                <w:szCs w:val="12"/>
                <w:color w:val="auto"/>
                <w:w w:val="95"/>
              </w:rPr>
              <w:t>-3 bps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-72 bps</w:t>
            </w:r>
          </w:p>
        </w:tc>
      </w:tr>
      <w:tr>
        <w:trPr>
          <w:trHeight w:val="128"/>
        </w:trPr>
        <w:tc>
          <w:tcPr>
            <w:tcW w:w="610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2"/>
                <w:szCs w:val="12"/>
                <w:color w:val="auto"/>
              </w:rPr>
              <w:t>Internal overdue ratio over 90 days</w:t>
            </w:r>
          </w:p>
        </w:tc>
        <w:tc>
          <w:tcPr>
            <w:tcW w:w="960" w:type="dxa"/>
            <w:vAlign w:val="bottom"/>
          </w:tcPr>
          <w:p>
            <w:pPr>
              <w:jc w:val="center"/>
              <w:spacing w:after="0" w:line="128" w:lineRule="exact"/>
              <w:rPr>
                <w:sz w:val="20"/>
                <w:szCs w:val="20"/>
                <w:color w:val="auto"/>
              </w:rPr>
            </w:pPr>
            <w:r>
              <w:rPr>
                <w:rFonts w:ascii="Arial" w:cs="Arial" w:eastAsia="Arial" w:hAnsi="Arial"/>
                <w:sz w:val="12"/>
                <w:szCs w:val="12"/>
                <w:color w:val="auto"/>
                <w:w w:val="94"/>
              </w:rPr>
              <w:t>3.3%</w:t>
            </w:r>
          </w:p>
        </w:tc>
        <w:tc>
          <w:tcPr>
            <w:tcW w:w="1000" w:type="dxa"/>
            <w:vAlign w:val="bottom"/>
          </w:tcPr>
          <w:p>
            <w:pPr>
              <w:jc w:val="center"/>
              <w:spacing w:after="0" w:line="128" w:lineRule="exact"/>
              <w:rPr>
                <w:sz w:val="20"/>
                <w:szCs w:val="20"/>
                <w:color w:val="auto"/>
              </w:rPr>
            </w:pPr>
            <w:r>
              <w:rPr>
                <w:rFonts w:ascii="Arial" w:cs="Arial" w:eastAsia="Arial" w:hAnsi="Arial"/>
                <w:sz w:val="12"/>
                <w:szCs w:val="12"/>
                <w:color w:val="auto"/>
                <w:w w:val="94"/>
              </w:rPr>
              <w:t>3.0%</w:t>
            </w:r>
          </w:p>
        </w:tc>
        <w:tc>
          <w:tcPr>
            <w:tcW w:w="10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rPr>
              <w:t>3.0%</w:t>
            </w:r>
          </w:p>
        </w:tc>
        <w:tc>
          <w:tcPr>
            <w:tcW w:w="960" w:type="dxa"/>
            <w:vAlign w:val="bottom"/>
          </w:tcPr>
          <w:p>
            <w:pPr>
              <w:jc w:val="center"/>
              <w:spacing w:after="0" w:line="128" w:lineRule="exact"/>
              <w:rPr>
                <w:sz w:val="20"/>
                <w:szCs w:val="20"/>
                <w:color w:val="auto"/>
              </w:rPr>
            </w:pPr>
            <w:r>
              <w:rPr>
                <w:rFonts w:ascii="Arial" w:cs="Arial" w:eastAsia="Arial" w:hAnsi="Arial"/>
                <w:sz w:val="12"/>
                <w:szCs w:val="12"/>
                <w:color w:val="auto"/>
                <w:w w:val="95"/>
              </w:rPr>
              <w:t>-1 bps</w:t>
            </w:r>
          </w:p>
        </w:tc>
        <w:tc>
          <w:tcPr>
            <w:tcW w:w="100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w w:val="94"/>
              </w:rPr>
              <w:t>-34 bps</w:t>
            </w:r>
          </w:p>
        </w:tc>
      </w:tr>
      <w:tr>
        <w:trPr>
          <w:trHeight w:val="135"/>
        </w:trPr>
        <w:tc>
          <w:tcPr>
            <w:tcW w:w="610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0"/>
                <w:szCs w:val="10"/>
                <w:color w:val="auto"/>
              </w:rPr>
              <w:t>NPL ratio</w:t>
            </w:r>
            <w:r>
              <w:rPr>
                <w:rFonts w:ascii="Arial" w:cs="Arial" w:eastAsia="Arial" w:hAnsi="Arial"/>
                <w:sz w:val="15"/>
                <w:szCs w:val="15"/>
                <w:color w:val="auto"/>
                <w:vertAlign w:val="superscript"/>
              </w:rPr>
              <w:t>(4)</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4"/>
              </w:rPr>
              <w:t>6.2%</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4"/>
              </w:rPr>
              <w:t>5.3%</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rPr>
              <w:t>5.1%</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4"/>
              </w:rPr>
              <w:t>-16 bps</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-112 bps</w:t>
            </w:r>
          </w:p>
        </w:tc>
      </w:tr>
      <w:tr>
        <w:trPr>
          <w:trHeight w:val="142"/>
        </w:trPr>
        <w:tc>
          <w:tcPr>
            <w:tcW w:w="610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0"/>
                <w:szCs w:val="10"/>
                <w:color w:val="auto"/>
              </w:rPr>
              <w:t>Cost of risk</w:t>
            </w:r>
            <w:r>
              <w:rPr>
                <w:rFonts w:ascii="Arial" w:cs="Arial" w:eastAsia="Arial" w:hAnsi="Arial"/>
                <w:sz w:val="16"/>
                <w:szCs w:val="16"/>
                <w:color w:val="auto"/>
                <w:vertAlign w:val="superscript"/>
              </w:rPr>
              <w:t>(5)</w:t>
            </w:r>
          </w:p>
        </w:tc>
        <w:tc>
          <w:tcPr>
            <w:tcW w:w="960" w:type="dxa"/>
            <w:vAlign w:val="bottom"/>
          </w:tcPr>
          <w:p>
            <w:pPr>
              <w:jc w:val="center"/>
              <w:spacing w:after="0"/>
              <w:rPr>
                <w:sz w:val="20"/>
                <w:szCs w:val="20"/>
                <w:color w:val="auto"/>
              </w:rPr>
            </w:pPr>
            <w:r>
              <w:rPr>
                <w:rFonts w:ascii="Arial" w:cs="Arial" w:eastAsia="Arial" w:hAnsi="Arial"/>
                <w:sz w:val="12"/>
                <w:szCs w:val="12"/>
                <w:color w:val="auto"/>
                <w:w w:val="94"/>
              </w:rPr>
              <w:t>2.3%</w:t>
            </w:r>
          </w:p>
        </w:tc>
        <w:tc>
          <w:tcPr>
            <w:tcW w:w="1000" w:type="dxa"/>
            <w:vAlign w:val="bottom"/>
          </w:tcPr>
          <w:p>
            <w:pPr>
              <w:jc w:val="center"/>
              <w:spacing w:after="0"/>
              <w:rPr>
                <w:sz w:val="20"/>
                <w:szCs w:val="20"/>
                <w:color w:val="auto"/>
              </w:rPr>
            </w:pPr>
            <w:r>
              <w:rPr>
                <w:rFonts w:ascii="Arial" w:cs="Arial" w:eastAsia="Arial" w:hAnsi="Arial"/>
                <w:sz w:val="12"/>
                <w:szCs w:val="12"/>
                <w:color w:val="auto"/>
                <w:w w:val="94"/>
              </w:rPr>
              <w:t>2.1%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1.6%</w:t>
            </w:r>
          </w:p>
        </w:tc>
        <w:tc>
          <w:tcPr>
            <w:tcW w:w="960" w:type="dxa"/>
            <w:vAlign w:val="bottom"/>
          </w:tcPr>
          <w:p>
            <w:pPr>
              <w:jc w:val="center"/>
              <w:spacing w:after="0"/>
              <w:rPr>
                <w:sz w:val="20"/>
                <w:szCs w:val="20"/>
                <w:color w:val="auto"/>
              </w:rPr>
            </w:pPr>
            <w:r>
              <w:rPr>
                <w:rFonts w:ascii="Arial" w:cs="Arial" w:eastAsia="Arial" w:hAnsi="Arial"/>
                <w:sz w:val="12"/>
                <w:szCs w:val="12"/>
                <w:color w:val="auto"/>
                <w:w w:val="94"/>
              </w:rPr>
              <w:t>-44 bps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-66 bps</w:t>
            </w:r>
          </w:p>
        </w:tc>
      </w:tr>
      <w:tr>
        <w:trPr>
          <w:trHeight w:val="135"/>
        </w:trPr>
        <w:tc>
          <w:tcPr>
            <w:tcW w:w="610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2"/>
                <w:szCs w:val="12"/>
                <w:color w:val="auto"/>
              </w:rPr>
              <w:t>Coverage ratio of IOLs</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8"/>
              </w:rPr>
              <w:t>132.0%</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8"/>
              </w:rPr>
              <w:t>147.4%</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8"/>
              </w:rPr>
              <w:t>148.7%</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8"/>
              </w:rPr>
              <w:t>130 bps</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1672 bps</w:t>
            </w:r>
          </w:p>
        </w:tc>
      </w:tr>
      <w:tr>
        <w:trPr>
          <w:trHeight w:val="143"/>
        </w:trPr>
        <w:tc>
          <w:tcPr>
            <w:tcW w:w="6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Coverage ratio of NPLs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93.5%</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104.3%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107.4%</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308 bps</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7"/>
              </w:rPr>
              <w:t>1395 bps</w:t>
            </w:r>
          </w:p>
        </w:tc>
      </w:tr>
      <w:tr>
        <w:trPr>
          <w:trHeight w:val="113"/>
        </w:trPr>
        <w:tc>
          <w:tcPr>
            <w:tcW w:w="6100" w:type="dxa"/>
            <w:vAlign w:val="bottom"/>
            <w:tcBorders>
              <w:left w:val="single" w:sz="8" w:color="auto"/>
              <w:right w:val="single" w:sz="8" w:color="auto"/>
            </w:tcBorders>
          </w:tcPr>
          <w:p>
            <w:pPr>
              <w:ind w:left="20"/>
              <w:spacing w:after="0" w:line="114" w:lineRule="exact"/>
              <w:rPr>
                <w:sz w:val="20"/>
                <w:szCs w:val="20"/>
                <w:color w:val="auto"/>
              </w:rPr>
            </w:pPr>
            <w:r>
              <w:rPr>
                <w:rFonts w:ascii="Arial" w:cs="Arial" w:eastAsia="Arial" w:hAnsi="Arial"/>
                <w:sz w:val="12"/>
                <w:szCs w:val="12"/>
                <w:b w:val="1"/>
                <w:bCs w:val="1"/>
                <w:color w:val="auto"/>
              </w:rPr>
              <w:t>Operating efficiency</w:t>
            </w: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r>
      <w:tr>
        <w:trPr>
          <w:trHeight w:val="135"/>
        </w:trPr>
        <w:tc>
          <w:tcPr>
            <w:tcW w:w="610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0"/>
                <w:szCs w:val="10"/>
                <w:color w:val="auto"/>
              </w:rPr>
              <w:t>Operating income</w:t>
            </w:r>
            <w:r>
              <w:rPr>
                <w:rFonts w:ascii="Arial" w:cs="Arial" w:eastAsia="Arial" w:hAnsi="Arial"/>
                <w:sz w:val="15"/>
                <w:szCs w:val="15"/>
                <w:color w:val="auto"/>
                <w:vertAlign w:val="superscript"/>
              </w:rPr>
              <w:t>(6)</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7"/>
              </w:rPr>
              <w:t>4,933,778</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5,396,202</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5,340,199</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5"/>
              </w:rPr>
              <w:t>-1.0%</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8.2%</w:t>
            </w:r>
          </w:p>
        </w:tc>
      </w:tr>
      <w:tr>
        <w:trPr>
          <w:trHeight w:val="135"/>
        </w:trPr>
        <w:tc>
          <w:tcPr>
            <w:tcW w:w="610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0"/>
                <w:szCs w:val="10"/>
                <w:color w:val="auto"/>
              </w:rPr>
              <w:t>Operating expenses</w:t>
            </w:r>
            <w:r>
              <w:rPr>
                <w:rFonts w:ascii="Arial" w:cs="Arial" w:eastAsia="Arial" w:hAnsi="Arial"/>
                <w:sz w:val="15"/>
                <w:szCs w:val="15"/>
                <w:color w:val="auto"/>
                <w:vertAlign w:val="superscript"/>
              </w:rPr>
              <w:t>(7)</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3"/>
              </w:rPr>
              <w:t>2,112,810</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2,612,878</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2,442,089</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5"/>
              </w:rPr>
              <w:t>-6.5%</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15.6%</w:t>
            </w:r>
          </w:p>
        </w:tc>
      </w:tr>
      <w:tr>
        <w:trPr>
          <w:trHeight w:val="142"/>
        </w:trPr>
        <w:tc>
          <w:tcPr>
            <w:tcW w:w="610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0"/>
                <w:szCs w:val="10"/>
                <w:color w:val="auto"/>
              </w:rPr>
              <w:t>Efficiency ratio</w:t>
            </w:r>
            <w:r>
              <w:rPr>
                <w:rFonts w:ascii="Arial" w:cs="Arial" w:eastAsia="Arial" w:hAnsi="Arial"/>
                <w:sz w:val="16"/>
                <w:szCs w:val="16"/>
                <w:color w:val="auto"/>
                <w:vertAlign w:val="superscript"/>
              </w:rPr>
              <w:t>(8)</w:t>
            </w:r>
          </w:p>
        </w:tc>
        <w:tc>
          <w:tcPr>
            <w:tcW w:w="960" w:type="dxa"/>
            <w:vAlign w:val="bottom"/>
          </w:tcPr>
          <w:p>
            <w:pPr>
              <w:jc w:val="center"/>
              <w:spacing w:after="0"/>
              <w:rPr>
                <w:sz w:val="20"/>
                <w:szCs w:val="20"/>
                <w:color w:val="auto"/>
              </w:rPr>
            </w:pPr>
            <w:r>
              <w:rPr>
                <w:rFonts w:ascii="Arial" w:cs="Arial" w:eastAsia="Arial" w:hAnsi="Arial"/>
                <w:sz w:val="12"/>
                <w:szCs w:val="12"/>
                <w:color w:val="auto"/>
                <w:w w:val="99"/>
              </w:rPr>
              <w:t>42.8%</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48.4%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45.7%</w:t>
            </w:r>
          </w:p>
        </w:tc>
        <w:tc>
          <w:tcPr>
            <w:tcW w:w="960" w:type="dxa"/>
            <w:vAlign w:val="bottom"/>
          </w:tcPr>
          <w:p>
            <w:pPr>
              <w:jc w:val="center"/>
              <w:spacing w:after="0"/>
              <w:rPr>
                <w:sz w:val="20"/>
                <w:szCs w:val="20"/>
                <w:color w:val="auto"/>
              </w:rPr>
            </w:pPr>
            <w:r>
              <w:rPr>
                <w:rFonts w:ascii="Arial" w:cs="Arial" w:eastAsia="Arial" w:hAnsi="Arial"/>
                <w:sz w:val="12"/>
                <w:szCs w:val="12"/>
                <w:color w:val="auto"/>
                <w:w w:val="98"/>
              </w:rPr>
              <w:t>-270 bps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291 bps</w:t>
            </w:r>
          </w:p>
        </w:tc>
      </w:tr>
      <w:tr>
        <w:trPr>
          <w:trHeight w:val="143"/>
        </w:trPr>
        <w:tc>
          <w:tcPr>
            <w:tcW w:w="6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Operating expenses / Total average assets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3.5%</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4.1%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3.8%</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-30 bps</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31 bps</w:t>
            </w:r>
          </w:p>
        </w:tc>
      </w:tr>
      <w:tr>
        <w:trPr>
          <w:trHeight w:val="113"/>
        </w:trPr>
        <w:tc>
          <w:tcPr>
            <w:tcW w:w="6100" w:type="dxa"/>
            <w:vAlign w:val="bottom"/>
            <w:tcBorders>
              <w:left w:val="single" w:sz="8" w:color="auto"/>
              <w:right w:val="single" w:sz="8" w:color="auto"/>
            </w:tcBorders>
          </w:tcPr>
          <w:p>
            <w:pPr>
              <w:ind w:left="20"/>
              <w:spacing w:after="0" w:line="114" w:lineRule="exact"/>
              <w:rPr>
                <w:sz w:val="20"/>
                <w:szCs w:val="20"/>
                <w:color w:val="auto"/>
              </w:rPr>
            </w:pPr>
            <w:r>
              <w:rPr>
                <w:rFonts w:ascii="Arial" w:cs="Arial" w:eastAsia="Arial" w:hAnsi="Arial"/>
                <w:sz w:val="12"/>
                <w:szCs w:val="12"/>
                <w:b w:val="1"/>
                <w:bCs w:val="1"/>
                <w:color w:val="auto"/>
              </w:rPr>
              <w:t>Capital adequacy - BCP Stand-alone</w:t>
            </w: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r>
      <w:tr>
        <w:trPr>
          <w:trHeight w:val="135"/>
        </w:trPr>
        <w:tc>
          <w:tcPr>
            <w:tcW w:w="610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0"/>
                <w:szCs w:val="10"/>
                <w:color w:val="auto"/>
              </w:rPr>
              <w:t>Global Capital Ratio</w:t>
            </w:r>
            <w:r>
              <w:rPr>
                <w:rFonts w:ascii="Arial" w:cs="Arial" w:eastAsia="Arial" w:hAnsi="Arial"/>
                <w:sz w:val="15"/>
                <w:szCs w:val="15"/>
                <w:color w:val="auto"/>
                <w:vertAlign w:val="superscript"/>
              </w:rPr>
              <w:t>(9)</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8"/>
              </w:rPr>
              <w:t>16.12%</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8"/>
              </w:rPr>
              <w:t>18.71%</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8"/>
              </w:rPr>
              <w:t>16.87%</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8"/>
              </w:rPr>
              <w:t>-184 bps</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75 bps</w:t>
            </w:r>
          </w:p>
        </w:tc>
      </w:tr>
      <w:tr>
        <w:trPr>
          <w:trHeight w:val="135"/>
        </w:trPr>
        <w:tc>
          <w:tcPr>
            <w:tcW w:w="610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0"/>
                <w:szCs w:val="10"/>
                <w:color w:val="auto"/>
              </w:rPr>
              <w:t>Ratio Tier 1</w:t>
            </w:r>
            <w:r>
              <w:rPr>
                <w:rFonts w:ascii="Arial" w:cs="Arial" w:eastAsia="Arial" w:hAnsi="Arial"/>
                <w:sz w:val="15"/>
                <w:szCs w:val="15"/>
                <w:color w:val="auto"/>
                <w:vertAlign w:val="superscript"/>
              </w:rPr>
              <w:t>(10)</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3"/>
              </w:rPr>
              <w:t>11.72%</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8"/>
              </w:rPr>
              <w:t>13.08%</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8"/>
              </w:rPr>
              <w:t>11.34%</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8"/>
              </w:rPr>
              <w:t>-174 bps</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-38 bps</w:t>
            </w:r>
          </w:p>
        </w:tc>
      </w:tr>
      <w:tr>
        <w:trPr>
          <w:trHeight w:val="150"/>
        </w:trPr>
        <w:tc>
          <w:tcPr>
            <w:tcW w:w="6100" w:type="dxa"/>
            <w:vAlign w:val="bottom"/>
            <w:tcBorders>
              <w:left w:val="single" w:sz="8" w:color="auto"/>
              <w:bottom w:val="single" w:sz="8" w:color="auto"/>
              <w:right w:val="single" w:sz="8" w:color="auto"/>
            </w:tcBorders>
          </w:tcPr>
          <w:p>
            <w:pPr>
              <w:ind w:left="20"/>
              <w:spacing w:after="0" w:line="150" w:lineRule="exact"/>
              <w:rPr>
                <w:sz w:val="20"/>
                <w:szCs w:val="20"/>
                <w:color w:val="auto"/>
              </w:rPr>
            </w:pPr>
            <w:r>
              <w:rPr>
                <w:rFonts w:ascii="Arial" w:cs="Arial" w:eastAsia="Arial" w:hAnsi="Arial"/>
                <w:sz w:val="11"/>
                <w:szCs w:val="11"/>
                <w:color w:val="auto"/>
              </w:rPr>
              <w:t>Ratio common equity tier 1</w:t>
            </w:r>
            <w:r>
              <w:rPr>
                <w:rFonts w:ascii="Arial" w:cs="Arial" w:eastAsia="Arial" w:hAnsi="Arial"/>
                <w:sz w:val="17"/>
                <w:szCs w:val="17"/>
                <w:color w:val="auto"/>
                <w:vertAlign w:val="superscript"/>
              </w:rPr>
              <w:t>(11) (13)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11.86%</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13.32%</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11.62%</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-170 bps</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-24 bps</w:t>
            </w:r>
          </w:p>
        </w:tc>
      </w:tr>
      <w:tr>
        <w:trPr>
          <w:trHeight w:val="113"/>
        </w:trPr>
        <w:tc>
          <w:tcPr>
            <w:tcW w:w="6100" w:type="dxa"/>
            <w:vAlign w:val="bottom"/>
            <w:tcBorders>
              <w:left w:val="single" w:sz="8" w:color="auto"/>
              <w:right w:val="single" w:sz="8" w:color="auto"/>
            </w:tcBorders>
          </w:tcPr>
          <w:p>
            <w:pPr>
              <w:ind w:left="20"/>
              <w:spacing w:after="0" w:line="114" w:lineRule="exact"/>
              <w:rPr>
                <w:sz w:val="20"/>
                <w:szCs w:val="20"/>
                <w:color w:val="auto"/>
              </w:rPr>
            </w:pPr>
            <w:r>
              <w:rPr>
                <w:rFonts w:ascii="Arial" w:cs="Arial" w:eastAsia="Arial" w:hAnsi="Arial"/>
                <w:sz w:val="12"/>
                <w:szCs w:val="12"/>
                <w:b w:val="1"/>
                <w:bCs w:val="1"/>
                <w:color w:val="auto"/>
              </w:rPr>
              <w:t>Capital adequacy - Mibanco</w:t>
            </w: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r>
      <w:tr>
        <w:trPr>
          <w:trHeight w:val="135"/>
        </w:trPr>
        <w:tc>
          <w:tcPr>
            <w:tcW w:w="610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0"/>
                <w:szCs w:val="10"/>
                <w:color w:val="auto"/>
              </w:rPr>
              <w:t>Global Capital Ratio</w:t>
            </w:r>
            <w:r>
              <w:rPr>
                <w:rFonts w:ascii="Arial" w:cs="Arial" w:eastAsia="Arial" w:hAnsi="Arial"/>
                <w:sz w:val="15"/>
                <w:szCs w:val="15"/>
                <w:color w:val="auto"/>
                <w:vertAlign w:val="superscript"/>
              </w:rPr>
              <w:t>(9)</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8"/>
              </w:rPr>
              <w:t>18.03%</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8"/>
              </w:rPr>
              <w:t>19.42%</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8"/>
              </w:rPr>
              <w:t>18.53%</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4"/>
              </w:rPr>
              <w:t>-89 bps</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50 bps</w:t>
            </w:r>
          </w:p>
        </w:tc>
      </w:tr>
      <w:tr>
        <w:trPr>
          <w:trHeight w:val="135"/>
        </w:trPr>
        <w:tc>
          <w:tcPr>
            <w:tcW w:w="610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0"/>
                <w:szCs w:val="10"/>
                <w:color w:val="auto"/>
              </w:rPr>
              <w:t>Ratio Tier 1</w:t>
            </w:r>
            <w:r>
              <w:rPr>
                <w:rFonts w:ascii="Arial" w:cs="Arial" w:eastAsia="Arial" w:hAnsi="Arial"/>
                <w:sz w:val="15"/>
                <w:szCs w:val="15"/>
                <w:color w:val="auto"/>
                <w:vertAlign w:val="superscript"/>
              </w:rPr>
              <w:t>(10)</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8"/>
              </w:rPr>
              <w:t>15.69%</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8"/>
              </w:rPr>
              <w:t>17.07%</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8"/>
              </w:rPr>
              <w:t>15.48%</w:t>
            </w:r>
          </w:p>
        </w:tc>
        <w:tc>
          <w:tcPr>
            <w:tcW w:w="960" w:type="dxa"/>
            <w:vAlign w:val="bottom"/>
          </w:tcPr>
          <w:p>
            <w:pPr>
              <w:jc w:val="center"/>
              <w:spacing w:after="0" w:line="135" w:lineRule="exact"/>
              <w:rPr>
                <w:sz w:val="20"/>
                <w:szCs w:val="20"/>
                <w:color w:val="auto"/>
              </w:rPr>
            </w:pPr>
            <w:r>
              <w:rPr>
                <w:rFonts w:ascii="Arial" w:cs="Arial" w:eastAsia="Arial" w:hAnsi="Arial"/>
                <w:sz w:val="12"/>
                <w:szCs w:val="12"/>
                <w:color w:val="auto"/>
                <w:w w:val="98"/>
              </w:rPr>
              <w:t>-159 bps</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-21 bps</w:t>
            </w:r>
          </w:p>
        </w:tc>
      </w:tr>
      <w:tr>
        <w:trPr>
          <w:trHeight w:val="150"/>
        </w:trPr>
        <w:tc>
          <w:tcPr>
            <w:tcW w:w="6100" w:type="dxa"/>
            <w:vAlign w:val="bottom"/>
            <w:tcBorders>
              <w:left w:val="single" w:sz="8" w:color="auto"/>
              <w:bottom w:val="single" w:sz="8" w:color="auto"/>
              <w:right w:val="single" w:sz="8" w:color="auto"/>
            </w:tcBorders>
          </w:tcPr>
          <w:p>
            <w:pPr>
              <w:ind w:left="20"/>
              <w:spacing w:after="0" w:line="150" w:lineRule="exact"/>
              <w:rPr>
                <w:sz w:val="20"/>
                <w:szCs w:val="20"/>
                <w:color w:val="auto"/>
              </w:rPr>
            </w:pPr>
            <w:r>
              <w:rPr>
                <w:rFonts w:ascii="Arial" w:cs="Arial" w:eastAsia="Arial" w:hAnsi="Arial"/>
                <w:sz w:val="11"/>
                <w:szCs w:val="11"/>
                <w:color w:val="auto"/>
              </w:rPr>
              <w:t>Ratio common equity tier 1</w:t>
            </w:r>
            <w:r>
              <w:rPr>
                <w:rFonts w:ascii="Arial" w:cs="Arial" w:eastAsia="Arial" w:hAnsi="Arial"/>
                <w:sz w:val="17"/>
                <w:szCs w:val="17"/>
                <w:color w:val="auto"/>
                <w:vertAlign w:val="superscript"/>
              </w:rPr>
              <w:t>(11) (13)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16.06%</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17.53%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15.89%</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-164 bps</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-17 bps</w:t>
            </w:r>
          </w:p>
        </w:tc>
      </w:tr>
      <w:tr>
        <w:trPr>
          <w:trHeight w:val="128"/>
        </w:trPr>
        <w:tc>
          <w:tcPr>
            <w:tcW w:w="610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Arial" w:cs="Arial" w:eastAsia="Arial" w:hAnsi="Arial"/>
                <w:sz w:val="9"/>
                <w:szCs w:val="9"/>
                <w:b w:val="1"/>
                <w:bCs w:val="1"/>
                <w:color w:val="auto"/>
              </w:rPr>
              <w:t>Employees</w:t>
            </w:r>
            <w:r>
              <w:rPr>
                <w:rFonts w:ascii="Arial" w:cs="Arial" w:eastAsia="Arial" w:hAnsi="Arial"/>
                <w:sz w:val="14"/>
                <w:szCs w:val="14"/>
                <w:b w:val="1"/>
                <w:bCs w:val="1"/>
                <w:color w:val="auto"/>
                <w:vertAlign w:val="superscript"/>
              </w:rPr>
              <w:t>(14)</w:t>
            </w:r>
          </w:p>
        </w:tc>
        <w:tc>
          <w:tcPr>
            <w:tcW w:w="9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color w:val="auto"/>
                <w:w w:val="97"/>
              </w:rPr>
              <w:t>36,912</w:t>
            </w:r>
          </w:p>
        </w:tc>
        <w:tc>
          <w:tcPr>
            <w:tcW w:w="10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color w:val="auto"/>
                <w:w w:val="97"/>
              </w:rPr>
              <w:t>38,695</w:t>
            </w:r>
          </w:p>
        </w:tc>
        <w:tc>
          <w:tcPr>
            <w:tcW w:w="10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7"/>
              </w:rPr>
              <w:t>46,621</w:t>
            </w:r>
          </w:p>
        </w:tc>
        <w:tc>
          <w:tcPr>
            <w:tcW w:w="9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color w:val="auto"/>
                <w:w w:val="99"/>
              </w:rPr>
              <w:t>20.5%</w:t>
            </w:r>
          </w:p>
        </w:tc>
        <w:tc>
          <w:tcPr>
            <w:tcW w:w="10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9"/>
              </w:rPr>
              <w:t>26.3%</w:t>
            </w:r>
          </w:p>
        </w:tc>
      </w:tr>
      <w:tr>
        <w:trPr>
          <w:trHeight w:val="121"/>
        </w:trPr>
        <w:tc>
          <w:tcPr>
            <w:tcW w:w="6100" w:type="dxa"/>
            <w:vAlign w:val="bottom"/>
            <w:tcBorders>
              <w:left w:val="single" w:sz="8" w:color="auto"/>
              <w:right w:val="single" w:sz="8" w:color="auto"/>
            </w:tcBorders>
          </w:tcPr>
          <w:p>
            <w:pPr>
              <w:ind w:left="20"/>
              <w:spacing w:after="0" w:line="121" w:lineRule="exact"/>
              <w:rPr>
                <w:sz w:val="20"/>
                <w:szCs w:val="20"/>
                <w:color w:val="auto"/>
              </w:rPr>
            </w:pPr>
            <w:r>
              <w:rPr>
                <w:rFonts w:ascii="Arial" w:cs="Arial" w:eastAsia="Arial" w:hAnsi="Arial"/>
                <w:sz w:val="12"/>
                <w:szCs w:val="12"/>
                <w:b w:val="1"/>
                <w:bCs w:val="1"/>
                <w:color w:val="auto"/>
              </w:rPr>
              <w:t>Share Information</w:t>
            </w: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r>
      <w:tr>
        <w:trPr>
          <w:trHeight w:val="128"/>
        </w:trPr>
        <w:tc>
          <w:tcPr>
            <w:tcW w:w="610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2"/>
                <w:szCs w:val="12"/>
                <w:color w:val="auto"/>
              </w:rPr>
              <w:t>Issued Shares</w:t>
            </w:r>
          </w:p>
        </w:tc>
        <w:tc>
          <w:tcPr>
            <w:tcW w:w="960" w:type="dxa"/>
            <w:vAlign w:val="bottom"/>
          </w:tcPr>
          <w:p>
            <w:pPr>
              <w:jc w:val="center"/>
              <w:spacing w:after="0" w:line="128" w:lineRule="exact"/>
              <w:rPr>
                <w:sz w:val="20"/>
                <w:szCs w:val="20"/>
                <w:color w:val="auto"/>
              </w:rPr>
            </w:pPr>
            <w:r>
              <w:rPr>
                <w:rFonts w:ascii="Arial" w:cs="Arial" w:eastAsia="Arial" w:hAnsi="Arial"/>
                <w:sz w:val="12"/>
                <w:szCs w:val="12"/>
                <w:color w:val="auto"/>
                <w:w w:val="97"/>
              </w:rPr>
              <w:t>94,382</w:t>
            </w:r>
          </w:p>
        </w:tc>
        <w:tc>
          <w:tcPr>
            <w:tcW w:w="1000" w:type="dxa"/>
            <w:vAlign w:val="bottom"/>
          </w:tcPr>
          <w:p>
            <w:pPr>
              <w:jc w:val="center"/>
              <w:spacing w:after="0" w:line="128" w:lineRule="exact"/>
              <w:rPr>
                <w:sz w:val="20"/>
                <w:szCs w:val="20"/>
                <w:color w:val="auto"/>
              </w:rPr>
            </w:pPr>
            <w:r>
              <w:rPr>
                <w:rFonts w:ascii="Arial" w:cs="Arial" w:eastAsia="Arial" w:hAnsi="Arial"/>
                <w:sz w:val="12"/>
                <w:szCs w:val="12"/>
                <w:color w:val="auto"/>
                <w:w w:val="97"/>
              </w:rPr>
              <w:t>94,382</w:t>
            </w:r>
          </w:p>
        </w:tc>
        <w:tc>
          <w:tcPr>
            <w:tcW w:w="10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w w:val="97"/>
              </w:rPr>
              <w:t>94,382</w:t>
            </w:r>
          </w:p>
        </w:tc>
        <w:tc>
          <w:tcPr>
            <w:tcW w:w="960" w:type="dxa"/>
            <w:vAlign w:val="bottom"/>
          </w:tcPr>
          <w:p>
            <w:pPr>
              <w:jc w:val="center"/>
              <w:spacing w:after="0" w:line="128" w:lineRule="exact"/>
              <w:rPr>
                <w:sz w:val="20"/>
                <w:szCs w:val="20"/>
                <w:color w:val="auto"/>
              </w:rPr>
            </w:pPr>
            <w:r>
              <w:rPr>
                <w:rFonts w:ascii="Arial" w:cs="Arial" w:eastAsia="Arial" w:hAnsi="Arial"/>
                <w:sz w:val="12"/>
                <w:szCs w:val="12"/>
                <w:color w:val="auto"/>
                <w:w w:val="94"/>
              </w:rPr>
              <w:t>0.0%</w:t>
            </w:r>
          </w:p>
        </w:tc>
        <w:tc>
          <w:tcPr>
            <w:tcW w:w="100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w w:val="94"/>
              </w:rPr>
              <w:t>0.0%</w:t>
            </w:r>
          </w:p>
        </w:tc>
      </w:tr>
      <w:tr>
        <w:trPr>
          <w:trHeight w:val="142"/>
        </w:trPr>
        <w:tc>
          <w:tcPr>
            <w:tcW w:w="610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0"/>
                <w:szCs w:val="10"/>
                <w:color w:val="auto"/>
              </w:rPr>
              <w:t>Treasury Shares</w:t>
            </w:r>
            <w:r>
              <w:rPr>
                <w:rFonts w:ascii="Arial" w:cs="Arial" w:eastAsia="Arial" w:hAnsi="Arial"/>
                <w:sz w:val="16"/>
                <w:szCs w:val="16"/>
                <w:color w:val="auto"/>
                <w:vertAlign w:val="superscript"/>
              </w:rPr>
              <w:t>(12)</w:t>
            </w:r>
          </w:p>
        </w:tc>
        <w:tc>
          <w:tcPr>
            <w:tcW w:w="960" w:type="dxa"/>
            <w:vAlign w:val="bottom"/>
          </w:tcPr>
          <w:p>
            <w:pPr>
              <w:jc w:val="center"/>
              <w:spacing w:after="0"/>
              <w:rPr>
                <w:sz w:val="20"/>
                <w:szCs w:val="20"/>
                <w:color w:val="auto"/>
              </w:rPr>
            </w:pPr>
            <w:r>
              <w:rPr>
                <w:rFonts w:ascii="Arial" w:cs="Arial" w:eastAsia="Arial" w:hAnsi="Arial"/>
                <w:sz w:val="12"/>
                <w:szCs w:val="12"/>
                <w:color w:val="auto"/>
                <w:w w:val="97"/>
              </w:rPr>
              <w:t>14,908</w:t>
            </w: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14,948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15,016</w:t>
            </w:r>
          </w:p>
        </w:tc>
        <w:tc>
          <w:tcPr>
            <w:tcW w:w="960" w:type="dxa"/>
            <w:vAlign w:val="bottom"/>
          </w:tcPr>
          <w:p>
            <w:pPr>
              <w:jc w:val="center"/>
              <w:spacing w:after="0"/>
              <w:rPr>
                <w:sz w:val="20"/>
                <w:szCs w:val="20"/>
                <w:color w:val="auto"/>
              </w:rPr>
            </w:pPr>
            <w:r>
              <w:rPr>
                <w:rFonts w:ascii="Arial" w:cs="Arial" w:eastAsia="Arial" w:hAnsi="Arial"/>
                <w:sz w:val="12"/>
                <w:szCs w:val="12"/>
                <w:color w:val="auto"/>
                <w:w w:val="94"/>
              </w:rPr>
              <w:t>0.5%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0.7%</w:t>
            </w:r>
          </w:p>
        </w:tc>
      </w:tr>
      <w:tr>
        <w:trPr>
          <w:trHeight w:val="143"/>
        </w:trPr>
        <w:tc>
          <w:tcPr>
            <w:tcW w:w="6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Outstanding Shares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79,474</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79,434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7"/>
              </w:rPr>
              <w:t>79,366</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-0.1%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-0.1%</w:t>
            </w:r>
          </w:p>
        </w:tc>
      </w:tr>
    </w:tbl>
    <w:p>
      <w:pPr>
        <w:spacing w:after="0" w:line="33"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Net Interest Margin = Net Interest Income (Excluding Net Insurance Financial Expenses)/ Average Interest Earning Assets</w:t>
      </w:r>
    </w:p>
    <w:p>
      <w:pPr>
        <w:spacing w:after="0" w:line="7" w:lineRule="exact"/>
        <w:rPr>
          <w:rFonts w:ascii="Arial" w:cs="Arial" w:eastAsia="Arial" w:hAnsi="Arial"/>
          <w:sz w:val="12"/>
          <w:szCs w:val="12"/>
          <w:color w:val="auto"/>
        </w:rPr>
      </w:pPr>
    </w:p>
    <w:p>
      <w:pPr>
        <w:ind w:left="300" w:hanging="292"/>
        <w:spacing w:after="0" w:line="234" w:lineRule="auto"/>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Funding Cost = Interest Expense (Does not include Net Insurance Financial Expenses) / Average Funding</w:t>
      </w:r>
    </w:p>
    <w:p>
      <w:pPr>
        <w:ind w:left="300" w:hanging="292"/>
        <w:spacing w:after="0" w:line="234" w:lineRule="auto"/>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Internal Overdue Loans: include overdue loans and loans under legal collection, according to our internal policy for overdue loans. Internal Overdue Ratio: Internal overdue loans/ Total loans</w:t>
      </w:r>
    </w:p>
    <w:p>
      <w:pPr>
        <w:ind w:left="300" w:hanging="292"/>
        <w:spacing w:after="0" w:line="234" w:lineRule="auto"/>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Non-performing loans (NPL): Internal overdue loans + Refinanced loans. NPL ratio: NPL / Total loans.</w:t>
      </w:r>
    </w:p>
    <w:p>
      <w:pPr>
        <w:ind w:left="300" w:hanging="292"/>
        <w:spacing w:after="0" w:line="234" w:lineRule="auto"/>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Cost of risk = Annualized provision for loan losses, net of recoveries/ Total loans.</w:t>
      </w:r>
    </w:p>
    <w:p>
      <w:pPr>
        <w:ind w:left="300" w:right="420" w:hanging="292"/>
        <w:spacing w:after="0" w:line="234" w:lineRule="auto"/>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Operating Income = Net interest, similar income and expenses + Fee Income+ Net gain on foreign exchange transactions + Net Gain From associates + Net gain on derivatives held for trading + Result on exchange differences + Insurance Underwriting Result + Results for Medical Services</w:t>
      </w:r>
    </w:p>
    <w:p>
      <w:pPr>
        <w:ind w:left="300" w:hanging="292"/>
        <w:spacing w:after="0" w:line="234" w:lineRule="auto"/>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Operating Expenses = Salaries and employee benefits + Administrative expenses + Depreciation and amortization + Association in participation + Acquisition cost.</w:t>
      </w:r>
    </w:p>
    <w:p>
      <w:pPr>
        <w:ind w:left="300" w:right="100" w:hanging="292"/>
        <w:spacing w:after="0" w:line="234" w:lineRule="auto"/>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Efficiency Ratio = (Salaries and employee benefits + Administrative expenses + Depreciation and amortization + Association in participation) / (Net interest, similar income and expenses + Fee Income+ Net gain on foreign exchange transactions + Net Gain From associates + Net gain on derivatives held for trading + Result on exchange differences + Insurance Underwriting Result)</w:t>
      </w:r>
    </w:p>
    <w:p>
      <w:pPr>
        <w:ind w:left="300" w:hanging="292"/>
        <w:spacing w:after="0" w:line="234" w:lineRule="auto"/>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Regulatory Capital/ Risk-weighted assets (legal minimum = 10% since July 2011).</w:t>
      </w:r>
    </w:p>
    <w:p>
      <w:pPr>
        <w:jc w:val="both"/>
        <w:ind w:left="300" w:hanging="292"/>
        <w:spacing w:after="0" w:line="234" w:lineRule="auto"/>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Tier 1 = Capital + Legal and other capital reserves + Accumulated earnings with capitalization agreement + (0.5 x Unrealized profit and net income in subsidiaries) - Goodwill - (0.5 x Investment in subsidiaries) + Perpetual subordinated debt (the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2"/>
          <w:szCs w:val="12"/>
          <w:color w:val="auto"/>
        </w:rPr>
      </w:pPr>
    </w:p>
    <w:p>
      <w:pPr>
        <w:ind w:left="300" w:right="20" w:hanging="292"/>
        <w:spacing w:after="0" w:line="234" w:lineRule="auto"/>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Common Equity TierI = Capital + Reserves – 100% of applicable deductions (investment in subsidiaries, goodwill, intangibles, and net deferred taxes that rely on future profitability) + retained earnings + unrealized gains.</w:t>
      </w:r>
    </w:p>
    <w:p>
      <w:pPr>
        <w:ind w:left="300" w:hanging="292"/>
        <w:spacing w:after="0" w:line="234" w:lineRule="auto"/>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Consider shares held by Atlantic Security Holding Corporation (ASHC) and stock awards.</w:t>
      </w:r>
    </w:p>
    <w:p>
      <w:pPr>
        <w:ind w:left="300" w:hanging="292"/>
        <w:spacing w:after="0" w:line="234" w:lineRule="auto"/>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Common Equity Tier I calculated based on IFRS Accounting</w:t>
      </w:r>
    </w:p>
    <w:p>
      <w:pPr>
        <w:ind w:left="300" w:hanging="292"/>
        <w:spacing w:after="0"/>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Internal management figures. Since 1Q25, includes corporate health and medical services employees.</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4" w:name="page15"/>
    <w:bookmarkEnd w:id="14"/>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540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54038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4"/>
          <w:szCs w:val="14"/>
          <w:color w:val="ED3FA8"/>
        </w:rPr>
        <w:t>Analysis of 1Q25 Consolidated Results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FFFFFF"/>
        </w:rPr>
        <w:t>Credicorp’s Strategy Update</w:t>
      </w:r>
    </w:p>
    <w:p>
      <w:pPr>
        <w:spacing w:after="0" w:line="150" w:lineRule="exact"/>
        <w:rPr>
          <w:sz w:val="20"/>
          <w:szCs w:val="20"/>
          <w:color w:val="auto"/>
        </w:rPr>
      </w:pPr>
    </w:p>
    <w:p>
      <w:pPr>
        <w:spacing w:after="0"/>
        <w:rPr>
          <w:sz w:val="20"/>
          <w:szCs w:val="20"/>
          <w:color w:val="auto"/>
        </w:rPr>
      </w:pPr>
      <w:r>
        <w:rPr>
          <w:rFonts w:ascii="Arial" w:cs="Arial" w:eastAsia="Arial" w:hAnsi="Arial"/>
          <w:sz w:val="32"/>
          <w:szCs w:val="32"/>
          <w:b w:val="1"/>
          <w:bCs w:val="1"/>
          <w:color w:val="E93BAC"/>
        </w:rPr>
        <w:t>Credicorp’s Strategy</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Credicorp continues to execute its strategy by investing in technology to strengthen and consolidate its core businesses while developing its innovation portfolio to fuel growth. Armed with an in-depth understanding of current and projected market trends, Credicorp constantly reviews and optimizes its business agilely and with a self-disruptive mindset to maintain a competitive advantage and ensure sustainable growth. This will generate new sources of income and capture market opportunities, as the expansion of the Total Addressable Market (TAM) is leveraged to decouple from the macroeconomic environment.</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Credicorp holds fast to its long-term objectives to offer the best client experience; optimize efficiency; and drive growth through technology. To achieve its objectives, all our businesses focus on three strategic priorities: (i) ensuring we have the best talent by offering a comprehensive value proposition; (ii) accelerating digital transformation and innovation; and (iii) integrating sustainability in our way of doing business.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Credicorp’s operating results for 1Q25 reflect the solid execution of its ‘decoupling’ strategy and the benefits of a series of measures taken to improve risk management, amid a more favorable economic context. Credicorp continues to decouple from economic performance and loan portfolio growth by diversifying its income sources. Non-financial income is accelerating, boosted by the digitalization of core businesses and our innovation portfolio. At the end of 1Q25, the innovation portfolio accounted for 5. 4% of Credicorp’s risk-adjusted revenues. Our goal is that by 2026, our innovation portfolio represents 10% of this ratio.</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6500" w:type="dxa"/>
            <w:vAlign w:val="bottom"/>
          </w:tcPr>
          <w:p>
            <w:pPr>
              <w:spacing w:after="0"/>
              <w:rPr>
                <w:sz w:val="20"/>
                <w:szCs w:val="20"/>
                <w:color w:val="auto"/>
              </w:rPr>
            </w:pPr>
            <w:r>
              <w:rPr>
                <w:rFonts w:ascii="Arial" w:cs="Arial" w:eastAsia="Arial" w:hAnsi="Arial"/>
                <w:sz w:val="18"/>
                <w:szCs w:val="18"/>
                <w:b w:val="1"/>
                <w:bCs w:val="1"/>
                <w:color w:val="auto"/>
              </w:rPr>
              <w:t>Main KPIs in Credicorp’s Strategy</w:t>
            </w:r>
          </w:p>
        </w:tc>
        <w:tc>
          <w:tcPr>
            <w:tcW w:w="15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56"/>
        </w:trPr>
        <w:tc>
          <w:tcPr>
            <w:tcW w:w="65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196"/>
        </w:trPr>
        <w:tc>
          <w:tcPr>
            <w:tcW w:w="6500" w:type="dxa"/>
            <w:vAlign w:val="bottom"/>
            <w:tcBorders>
              <w:left w:val="single" w:sz="8" w:color="auto"/>
              <w:bottom w:val="single" w:sz="8" w:color="auto"/>
              <w:right w:val="single" w:sz="8" w:color="auto"/>
            </w:tcBorders>
            <w:shd w:val="clear" w:color="auto" w:fill="33CCCC"/>
          </w:tcPr>
          <w:p>
            <w:pPr>
              <w:ind w:left="20"/>
              <w:spacing w:after="0" w:line="195" w:lineRule="exact"/>
              <w:rPr>
                <w:sz w:val="20"/>
                <w:szCs w:val="20"/>
                <w:color w:val="auto"/>
              </w:rPr>
            </w:pPr>
            <w:r>
              <w:rPr>
                <w:rFonts w:ascii="Arial" w:cs="Arial" w:eastAsia="Arial" w:hAnsi="Arial"/>
                <w:sz w:val="14"/>
                <w:szCs w:val="14"/>
                <w:b w:val="1"/>
                <w:bCs w:val="1"/>
                <w:color w:val="FFFFFF"/>
              </w:rPr>
              <w:t xml:space="preserve">Core Businesses Transformation </w:t>
            </w:r>
            <w:r>
              <w:rPr>
                <w:rFonts w:ascii="Arial" w:cs="Arial" w:eastAsia="Arial" w:hAnsi="Arial"/>
                <w:sz w:val="22"/>
                <w:szCs w:val="22"/>
                <w:b w:val="1"/>
                <w:bCs w:val="1"/>
                <w:color w:val="FFFFFF"/>
                <w:vertAlign w:val="superscript"/>
              </w:rPr>
              <w:t>(1)</w:t>
            </w:r>
          </w:p>
        </w:tc>
        <w:tc>
          <w:tcPr>
            <w:tcW w:w="1560" w:type="dxa"/>
            <w:vAlign w:val="bottom"/>
            <w:tcBorders>
              <w:bottom w:val="single" w:sz="8" w:color="auto"/>
            </w:tcBorders>
            <w:shd w:val="clear" w:color="auto" w:fill="33CCCC"/>
          </w:tcPr>
          <w:p>
            <w:pPr>
              <w:jc w:val="center"/>
              <w:spacing w:after="0" w:line="196" w:lineRule="exact"/>
              <w:rPr>
                <w:sz w:val="20"/>
                <w:szCs w:val="20"/>
                <w:color w:val="auto"/>
              </w:rPr>
            </w:pPr>
            <w:r>
              <w:rPr>
                <w:rFonts w:ascii="Arial" w:cs="Arial" w:eastAsia="Arial" w:hAnsi="Arial"/>
                <w:sz w:val="18"/>
                <w:szCs w:val="18"/>
                <w:b w:val="1"/>
                <w:bCs w:val="1"/>
                <w:color w:val="FFFFFF"/>
                <w:w w:val="99"/>
              </w:rPr>
              <w:t>1Q24</w:t>
            </w:r>
          </w:p>
        </w:tc>
        <w:tc>
          <w:tcPr>
            <w:tcW w:w="1580" w:type="dxa"/>
            <w:vAlign w:val="bottom"/>
            <w:tcBorders>
              <w:bottom w:val="single" w:sz="8" w:color="auto"/>
            </w:tcBorders>
            <w:shd w:val="clear" w:color="auto" w:fill="33CCCC"/>
          </w:tcPr>
          <w:p>
            <w:pPr>
              <w:jc w:val="center"/>
              <w:spacing w:after="0" w:line="196" w:lineRule="exact"/>
              <w:rPr>
                <w:sz w:val="20"/>
                <w:szCs w:val="20"/>
                <w:color w:val="auto"/>
              </w:rPr>
            </w:pPr>
            <w:r>
              <w:rPr>
                <w:rFonts w:ascii="Arial" w:cs="Arial" w:eastAsia="Arial" w:hAnsi="Arial"/>
                <w:sz w:val="18"/>
                <w:szCs w:val="18"/>
                <w:b w:val="1"/>
                <w:bCs w:val="1"/>
                <w:color w:val="FFFFFF"/>
                <w:w w:val="99"/>
              </w:rPr>
              <w:t>4Q24</w:t>
            </w:r>
          </w:p>
        </w:tc>
        <w:tc>
          <w:tcPr>
            <w:tcW w:w="1600" w:type="dxa"/>
            <w:vAlign w:val="bottom"/>
            <w:tcBorders>
              <w:bottom w:val="single" w:sz="8" w:color="auto"/>
              <w:right w:val="single" w:sz="8" w:color="auto"/>
            </w:tcBorders>
            <w:shd w:val="clear" w:color="auto" w:fill="33CCCC"/>
          </w:tcPr>
          <w:p>
            <w:pPr>
              <w:jc w:val="center"/>
              <w:spacing w:after="0" w:line="196" w:lineRule="exact"/>
              <w:rPr>
                <w:sz w:val="20"/>
                <w:szCs w:val="20"/>
                <w:color w:val="auto"/>
              </w:rPr>
            </w:pPr>
            <w:r>
              <w:rPr>
                <w:rFonts w:ascii="Arial" w:cs="Arial" w:eastAsia="Arial" w:hAnsi="Arial"/>
                <w:sz w:val="18"/>
                <w:szCs w:val="18"/>
                <w:b w:val="1"/>
                <w:bCs w:val="1"/>
                <w:color w:val="FFFFFF"/>
                <w:w w:val="99"/>
              </w:rPr>
              <w:t>1Q25</w:t>
            </w:r>
          </w:p>
        </w:tc>
      </w:tr>
      <w:tr>
        <w:trPr>
          <w:trHeight w:val="168"/>
        </w:trPr>
        <w:tc>
          <w:tcPr>
            <w:tcW w:w="650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8"/>
                <w:szCs w:val="18"/>
                <w:b w:val="1"/>
                <w:bCs w:val="1"/>
                <w:color w:val="auto"/>
              </w:rPr>
              <w:t>Credicorp</w:t>
            </w:r>
          </w:p>
        </w:tc>
        <w:tc>
          <w:tcPr>
            <w:tcW w:w="1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r>
      <w:tr>
        <w:trPr>
          <w:trHeight w:val="212"/>
        </w:trPr>
        <w:tc>
          <w:tcPr>
            <w:tcW w:w="6500" w:type="dxa"/>
            <w:vAlign w:val="bottom"/>
            <w:tcBorders>
              <w:left w:val="single" w:sz="8" w:color="auto"/>
              <w:right w:val="single" w:sz="8" w:color="auto"/>
            </w:tcBorders>
          </w:tcPr>
          <w:p>
            <w:pPr>
              <w:ind w:left="20"/>
              <w:spacing w:after="0" w:line="212" w:lineRule="exact"/>
              <w:rPr>
                <w:sz w:val="20"/>
                <w:szCs w:val="20"/>
                <w:color w:val="auto"/>
              </w:rPr>
            </w:pPr>
            <w:r>
              <w:rPr>
                <w:rFonts w:ascii="Arial" w:cs="Arial" w:eastAsia="Arial" w:hAnsi="Arial"/>
                <w:sz w:val="15"/>
                <w:szCs w:val="15"/>
                <w:color w:val="auto"/>
              </w:rPr>
              <w:t xml:space="preserve">Innovation Portfolio Risk-Adjusted Revenue Share </w:t>
            </w:r>
            <w:r>
              <w:rPr>
                <w:rFonts w:ascii="Arial" w:cs="Arial" w:eastAsia="Arial" w:hAnsi="Arial"/>
                <w:sz w:val="24"/>
                <w:szCs w:val="24"/>
                <w:color w:val="auto"/>
                <w:vertAlign w:val="superscript"/>
              </w:rPr>
              <w:t>(2)</w:t>
            </w:r>
          </w:p>
        </w:tc>
        <w:tc>
          <w:tcPr>
            <w:tcW w:w="1560" w:type="dxa"/>
            <w:vAlign w:val="bottom"/>
          </w:tcPr>
          <w:p>
            <w:pPr>
              <w:jc w:val="center"/>
              <w:spacing w:after="0"/>
              <w:rPr>
                <w:sz w:val="20"/>
                <w:szCs w:val="20"/>
                <w:color w:val="auto"/>
              </w:rPr>
            </w:pPr>
            <w:r>
              <w:rPr>
                <w:rFonts w:ascii="Arial" w:cs="Arial" w:eastAsia="Arial" w:hAnsi="Arial"/>
                <w:sz w:val="18"/>
                <w:szCs w:val="18"/>
                <w:color w:val="auto"/>
                <w:w w:val="97"/>
              </w:rPr>
              <w:t>3.1%</w:t>
            </w: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5.6%</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5.4%</w:t>
            </w:r>
          </w:p>
        </w:tc>
      </w:tr>
      <w:tr>
        <w:trPr>
          <w:trHeight w:val="203"/>
        </w:trPr>
        <w:tc>
          <w:tcPr>
            <w:tcW w:w="650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BCP</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193"/>
        </w:trPr>
        <w:tc>
          <w:tcPr>
            <w:tcW w:w="650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b w:val="1"/>
                <w:bCs w:val="1"/>
                <w:color w:val="auto"/>
              </w:rPr>
              <w:t>Stand-alone</w:t>
            </w:r>
          </w:p>
        </w:tc>
        <w:tc>
          <w:tcPr>
            <w:tcW w:w="1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r>
      <w:tr>
        <w:trPr>
          <w:trHeight w:val="203"/>
        </w:trPr>
        <w:tc>
          <w:tcPr>
            <w:tcW w:w="650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5"/>
                <w:szCs w:val="15"/>
                <w:color w:val="auto"/>
              </w:rPr>
              <w:t xml:space="preserve">Digital clients </w:t>
            </w:r>
            <w:r>
              <w:rPr>
                <w:rFonts w:ascii="Arial" w:cs="Arial" w:eastAsia="Arial" w:hAnsi="Arial"/>
                <w:sz w:val="23"/>
                <w:szCs w:val="23"/>
                <w:color w:val="auto"/>
                <w:vertAlign w:val="superscript"/>
              </w:rPr>
              <w:t>(3)</w:t>
            </w: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9"/>
              </w:rPr>
              <w:t>70%</w:t>
            </w: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99"/>
              </w:rPr>
              <w:t>76%</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78%</w:t>
            </w:r>
          </w:p>
        </w:tc>
      </w:tr>
      <w:tr>
        <w:trPr>
          <w:trHeight w:val="203"/>
        </w:trPr>
        <w:tc>
          <w:tcPr>
            <w:tcW w:w="650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5"/>
                <w:szCs w:val="15"/>
                <w:color w:val="auto"/>
              </w:rPr>
              <w:t xml:space="preserve">Digital monetary transactions </w:t>
            </w:r>
            <w:r>
              <w:rPr>
                <w:rFonts w:ascii="Arial" w:cs="Arial" w:eastAsia="Arial" w:hAnsi="Arial"/>
                <w:sz w:val="23"/>
                <w:szCs w:val="23"/>
                <w:color w:val="auto"/>
                <w:vertAlign w:val="superscript"/>
              </w:rPr>
              <w:t>(4)</w:t>
            </w: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9"/>
              </w:rPr>
              <w:t>83%</w:t>
            </w: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99"/>
              </w:rPr>
              <w:t>88%</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89%</w:t>
            </w:r>
          </w:p>
        </w:tc>
      </w:tr>
      <w:tr>
        <w:trPr>
          <w:trHeight w:val="212"/>
        </w:trPr>
        <w:tc>
          <w:tcPr>
            <w:tcW w:w="6500" w:type="dxa"/>
            <w:vAlign w:val="bottom"/>
            <w:tcBorders>
              <w:left w:val="single" w:sz="8" w:color="auto"/>
              <w:right w:val="single" w:sz="8" w:color="auto"/>
            </w:tcBorders>
          </w:tcPr>
          <w:p>
            <w:pPr>
              <w:ind w:left="20"/>
              <w:spacing w:after="0" w:line="212" w:lineRule="exact"/>
              <w:rPr>
                <w:sz w:val="20"/>
                <w:szCs w:val="20"/>
                <w:color w:val="auto"/>
              </w:rPr>
            </w:pPr>
            <w:r>
              <w:rPr>
                <w:rFonts w:ascii="Arial" w:cs="Arial" w:eastAsia="Arial" w:hAnsi="Arial"/>
                <w:sz w:val="15"/>
                <w:szCs w:val="15"/>
                <w:color w:val="auto"/>
              </w:rPr>
              <w:t xml:space="preserve">Cashless transactions </w:t>
            </w:r>
            <w:r>
              <w:rPr>
                <w:rFonts w:ascii="Arial" w:cs="Arial" w:eastAsia="Arial" w:hAnsi="Arial"/>
                <w:sz w:val="24"/>
                <w:szCs w:val="24"/>
                <w:color w:val="auto"/>
                <w:vertAlign w:val="superscript"/>
              </w:rPr>
              <w:t>(5)</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69%</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69%</w:t>
            </w:r>
          </w:p>
        </w:tc>
      </w:tr>
      <w:tr>
        <w:trPr>
          <w:trHeight w:val="193"/>
        </w:trPr>
        <w:tc>
          <w:tcPr>
            <w:tcW w:w="650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b w:val="1"/>
                <w:bCs w:val="1"/>
                <w:color w:val="auto"/>
              </w:rPr>
              <w:t>Mibanco</w:t>
            </w:r>
          </w:p>
        </w:tc>
        <w:tc>
          <w:tcPr>
            <w:tcW w:w="1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r>
      <w:tr>
        <w:trPr>
          <w:trHeight w:val="203"/>
        </w:trPr>
        <w:tc>
          <w:tcPr>
            <w:tcW w:w="650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5"/>
                <w:szCs w:val="15"/>
                <w:color w:val="auto"/>
              </w:rPr>
              <w:t xml:space="preserve">Disbursements through leads </w:t>
            </w:r>
            <w:r>
              <w:rPr>
                <w:rFonts w:ascii="Arial" w:cs="Arial" w:eastAsia="Arial" w:hAnsi="Arial"/>
                <w:sz w:val="23"/>
                <w:szCs w:val="23"/>
                <w:color w:val="auto"/>
                <w:vertAlign w:val="superscript"/>
              </w:rPr>
              <w:t>(6)</w:t>
            </w: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9"/>
              </w:rPr>
              <w:t>69%</w:t>
            </w: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99"/>
              </w:rPr>
              <w:t>65%</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70%</w:t>
            </w:r>
          </w:p>
        </w:tc>
      </w:tr>
      <w:tr>
        <w:trPr>
          <w:trHeight w:val="203"/>
        </w:trPr>
        <w:tc>
          <w:tcPr>
            <w:tcW w:w="650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5"/>
                <w:szCs w:val="15"/>
                <w:color w:val="auto"/>
              </w:rPr>
              <w:t xml:space="preserve">Disbursements through alternative channels </w:t>
            </w:r>
            <w:r>
              <w:rPr>
                <w:rFonts w:ascii="Arial" w:cs="Arial" w:eastAsia="Arial" w:hAnsi="Arial"/>
                <w:sz w:val="23"/>
                <w:szCs w:val="23"/>
                <w:color w:val="auto"/>
                <w:vertAlign w:val="superscript"/>
              </w:rPr>
              <w:t>(7)</w:t>
            </w: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9"/>
              </w:rPr>
              <w:t>22%</w:t>
            </w: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99"/>
              </w:rPr>
              <w:t>24%</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26%</w:t>
            </w:r>
          </w:p>
        </w:tc>
      </w:tr>
      <w:tr>
        <w:trPr>
          <w:trHeight w:val="231"/>
        </w:trPr>
        <w:tc>
          <w:tcPr>
            <w:tcW w:w="6500" w:type="dxa"/>
            <w:vAlign w:val="bottom"/>
            <w:tcBorders>
              <w:left w:val="single" w:sz="8" w:color="auto"/>
              <w:bottom w:val="single" w:sz="8" w:color="auto"/>
              <w:right w:val="single" w:sz="8" w:color="auto"/>
            </w:tcBorders>
          </w:tcPr>
          <w:p>
            <w:pPr>
              <w:ind w:left="20"/>
              <w:spacing w:after="0" w:line="231" w:lineRule="exact"/>
              <w:rPr>
                <w:sz w:val="20"/>
                <w:szCs w:val="20"/>
                <w:color w:val="auto"/>
              </w:rPr>
            </w:pPr>
            <w:r>
              <w:rPr>
                <w:rFonts w:ascii="Arial" w:cs="Arial" w:eastAsia="Arial" w:hAnsi="Arial"/>
                <w:sz w:val="16"/>
                <w:szCs w:val="16"/>
                <w:color w:val="auto"/>
              </w:rPr>
              <w:t xml:space="preserve">Relationship managers productivity </w:t>
            </w:r>
            <w:r>
              <w:rPr>
                <w:rFonts w:ascii="Arial" w:cs="Arial" w:eastAsia="Arial" w:hAnsi="Arial"/>
                <w:sz w:val="26"/>
                <w:szCs w:val="26"/>
                <w:color w:val="auto"/>
                <w:vertAlign w:val="superscript"/>
              </w:rPr>
              <w:t>(8)</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25.0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24.5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28.2</w:t>
            </w:r>
          </w:p>
        </w:tc>
      </w:tr>
    </w:tbl>
    <w:p>
      <w:pPr>
        <w:spacing w:after="0" w:line="100"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2"/>
          <w:szCs w:val="12"/>
          <w:color w:val="auto"/>
        </w:rPr>
      </w:pPr>
      <w:r>
        <w:rPr>
          <w:rFonts w:ascii="Arial" w:cs="Arial" w:eastAsia="Arial" w:hAnsi="Arial"/>
          <w:sz w:val="12"/>
          <w:szCs w:val="12"/>
          <w:color w:val="auto"/>
        </w:rPr>
        <w:t>Management figures. Figures for March 2024, December 2024, and March 2025.</w:t>
      </w:r>
    </w:p>
    <w:p>
      <w:pPr>
        <w:spacing w:after="0" w:line="13" w:lineRule="exact"/>
        <w:rPr>
          <w:rFonts w:ascii="Arial" w:cs="Arial" w:eastAsia="Arial" w:hAnsi="Arial"/>
          <w:sz w:val="12"/>
          <w:szCs w:val="12"/>
          <w:color w:val="auto"/>
        </w:rPr>
      </w:pPr>
    </w:p>
    <w:p>
      <w:pPr>
        <w:ind w:left="300" w:hanging="292"/>
        <w:spacing w:after="0"/>
        <w:tabs>
          <w:tab w:leader="none" w:pos="300" w:val="left"/>
        </w:tabs>
        <w:numPr>
          <w:ilvl w:val="0"/>
          <w:numId w:val="6"/>
        </w:numPr>
        <w:rPr>
          <w:rFonts w:ascii="Arial" w:cs="Arial" w:eastAsia="Arial" w:hAnsi="Arial"/>
          <w:sz w:val="12"/>
          <w:szCs w:val="12"/>
          <w:color w:val="auto"/>
        </w:rPr>
      </w:pPr>
      <w:r>
        <w:rPr>
          <w:rFonts w:ascii="Arial" w:cs="Arial" w:eastAsia="Arial" w:hAnsi="Arial"/>
          <w:sz w:val="12"/>
          <w:szCs w:val="12"/>
          <w:color w:val="auto"/>
        </w:rPr>
        <w:t>As a percentage of Credicorpʼs total Risk-Adjusted Revenue.</w:t>
      </w:r>
    </w:p>
    <w:p>
      <w:pPr>
        <w:spacing w:after="0" w:line="3" w:lineRule="exact"/>
        <w:rPr>
          <w:rFonts w:ascii="Arial" w:cs="Arial" w:eastAsia="Arial" w:hAnsi="Arial"/>
          <w:sz w:val="12"/>
          <w:szCs w:val="12"/>
          <w:color w:val="auto"/>
        </w:rPr>
      </w:pPr>
    </w:p>
    <w:p>
      <w:pPr>
        <w:ind w:left="300" w:hanging="292"/>
        <w:spacing w:after="0"/>
        <w:tabs>
          <w:tab w:leader="none" w:pos="30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Retail clients that made 70%, or more, of their transactions through digital channels in the last 6 months (including Yape).</w:t>
      </w:r>
    </w:p>
    <w:p>
      <w:pPr>
        <w:spacing w:after="0" w:line="3" w:lineRule="exact"/>
        <w:rPr>
          <w:rFonts w:ascii="Arial" w:cs="Arial" w:eastAsia="Arial" w:hAnsi="Arial"/>
          <w:sz w:val="12"/>
          <w:szCs w:val="12"/>
          <w:color w:val="auto"/>
        </w:rPr>
      </w:pPr>
    </w:p>
    <w:p>
      <w:pPr>
        <w:ind w:left="300" w:hanging="292"/>
        <w:spacing w:after="0"/>
        <w:tabs>
          <w:tab w:leader="none" w:pos="300" w:val="left"/>
        </w:tabs>
        <w:numPr>
          <w:ilvl w:val="0"/>
          <w:numId w:val="6"/>
        </w:numPr>
        <w:rPr>
          <w:rFonts w:ascii="Arial" w:cs="Arial" w:eastAsia="Arial" w:hAnsi="Arial"/>
          <w:sz w:val="12"/>
          <w:szCs w:val="12"/>
          <w:color w:val="auto"/>
        </w:rPr>
      </w:pPr>
      <w:r>
        <w:rPr>
          <w:rFonts w:ascii="Arial" w:cs="Arial" w:eastAsia="Arial" w:hAnsi="Arial"/>
          <w:sz w:val="12"/>
          <w:szCs w:val="12"/>
          <w:color w:val="auto"/>
        </w:rPr>
        <w:t>Monetary Transactions conducted through Mobile Banking, Internet Banking, Yape and Telecredito/Total Monetary Transactions in Retail Banking.</w:t>
      </w:r>
    </w:p>
    <w:p>
      <w:pPr>
        <w:spacing w:after="0" w:line="10" w:lineRule="exact"/>
        <w:rPr>
          <w:rFonts w:ascii="Arial" w:cs="Arial" w:eastAsia="Arial" w:hAnsi="Arial"/>
          <w:sz w:val="12"/>
          <w:szCs w:val="12"/>
          <w:color w:val="auto"/>
        </w:rPr>
      </w:pPr>
    </w:p>
    <w:p>
      <w:pPr>
        <w:ind w:left="300" w:hanging="292"/>
        <w:spacing w:after="0"/>
        <w:tabs>
          <w:tab w:leader="none" w:pos="300" w:val="left"/>
        </w:tabs>
        <w:numPr>
          <w:ilvl w:val="0"/>
          <w:numId w:val="6"/>
        </w:numPr>
        <w:rPr>
          <w:rFonts w:ascii="Arial" w:cs="Arial" w:eastAsia="Arial" w:hAnsi="Arial"/>
          <w:sz w:val="12"/>
          <w:szCs w:val="12"/>
          <w:color w:val="auto"/>
        </w:rPr>
      </w:pPr>
      <w:r>
        <w:rPr>
          <w:rFonts w:ascii="Arial" w:cs="Arial" w:eastAsia="Arial" w:hAnsi="Arial"/>
          <w:sz w:val="12"/>
          <w:szCs w:val="12"/>
          <w:color w:val="auto"/>
        </w:rPr>
        <w:t>Amount transacted through Mobile Banking, Internet Banking, Yape y POS/Total amount transacted through Retail Banking.</w:t>
      </w:r>
    </w:p>
    <w:p>
      <w:pPr>
        <w:spacing w:after="0" w:line="10" w:lineRule="exact"/>
        <w:rPr>
          <w:rFonts w:ascii="Arial" w:cs="Arial" w:eastAsia="Arial" w:hAnsi="Arial"/>
          <w:sz w:val="12"/>
          <w:szCs w:val="12"/>
          <w:color w:val="auto"/>
        </w:rPr>
      </w:pPr>
    </w:p>
    <w:p>
      <w:pPr>
        <w:ind w:left="300" w:hanging="292"/>
        <w:spacing w:after="0"/>
        <w:tabs>
          <w:tab w:leader="none" w:pos="300" w:val="left"/>
        </w:tabs>
        <w:numPr>
          <w:ilvl w:val="0"/>
          <w:numId w:val="6"/>
        </w:numPr>
        <w:rPr>
          <w:rFonts w:ascii="Arial" w:cs="Arial" w:eastAsia="Arial" w:hAnsi="Arial"/>
          <w:sz w:val="12"/>
          <w:szCs w:val="12"/>
          <w:color w:val="auto"/>
        </w:rPr>
      </w:pPr>
      <w:r>
        <w:rPr>
          <w:rFonts w:ascii="Arial" w:cs="Arial" w:eastAsia="Arial" w:hAnsi="Arial"/>
          <w:sz w:val="12"/>
          <w:szCs w:val="12"/>
          <w:color w:val="auto"/>
        </w:rPr>
        <w:t>Disbursements generated through leads/Total disbursements.</w:t>
      </w:r>
    </w:p>
    <w:p>
      <w:pPr>
        <w:spacing w:after="0" w:line="10" w:lineRule="exact"/>
        <w:rPr>
          <w:rFonts w:ascii="Arial" w:cs="Arial" w:eastAsia="Arial" w:hAnsi="Arial"/>
          <w:sz w:val="12"/>
          <w:szCs w:val="12"/>
          <w:color w:val="auto"/>
        </w:rPr>
      </w:pPr>
    </w:p>
    <w:p>
      <w:pPr>
        <w:ind w:left="300" w:hanging="292"/>
        <w:spacing w:after="0"/>
        <w:tabs>
          <w:tab w:leader="none" w:pos="300" w:val="left"/>
        </w:tabs>
        <w:numPr>
          <w:ilvl w:val="0"/>
          <w:numId w:val="6"/>
        </w:numPr>
        <w:rPr>
          <w:rFonts w:ascii="Arial" w:cs="Arial" w:eastAsia="Arial" w:hAnsi="Arial"/>
          <w:sz w:val="12"/>
          <w:szCs w:val="12"/>
          <w:color w:val="auto"/>
        </w:rPr>
      </w:pPr>
      <w:r>
        <w:rPr>
          <w:rFonts w:ascii="Arial" w:cs="Arial" w:eastAsia="Arial" w:hAnsi="Arial"/>
          <w:sz w:val="12"/>
          <w:szCs w:val="12"/>
          <w:color w:val="auto"/>
        </w:rPr>
        <w:t>Disbursements conducted through alternative channels/Total disbursements. Figures differ from previously reported due to a methodological change.</w:t>
      </w:r>
    </w:p>
    <w:p>
      <w:pPr>
        <w:spacing w:after="0" w:line="10" w:lineRule="exact"/>
        <w:rPr>
          <w:rFonts w:ascii="Arial" w:cs="Arial" w:eastAsia="Arial" w:hAnsi="Arial"/>
          <w:sz w:val="12"/>
          <w:szCs w:val="12"/>
          <w:color w:val="auto"/>
        </w:rPr>
      </w:pPr>
    </w:p>
    <w:p>
      <w:pPr>
        <w:ind w:left="300" w:hanging="292"/>
        <w:spacing w:after="0"/>
        <w:tabs>
          <w:tab w:leader="none" w:pos="300" w:val="left"/>
        </w:tabs>
        <w:numPr>
          <w:ilvl w:val="0"/>
          <w:numId w:val="6"/>
        </w:numPr>
        <w:rPr>
          <w:rFonts w:ascii="Arial" w:cs="Arial" w:eastAsia="Arial" w:hAnsi="Arial"/>
          <w:sz w:val="12"/>
          <w:szCs w:val="12"/>
          <w:color w:val="auto"/>
        </w:rPr>
      </w:pPr>
      <w:r>
        <w:rPr>
          <w:rFonts w:ascii="Arial" w:cs="Arial" w:eastAsia="Arial" w:hAnsi="Arial"/>
          <w:sz w:val="12"/>
          <w:szCs w:val="12"/>
          <w:color w:val="auto"/>
        </w:rPr>
        <w:t>Number of loans disbursed/Total relationship managers.</w:t>
      </w:r>
    </w:p>
    <w:p>
      <w:pPr>
        <w:spacing w:after="0" w:line="34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5" w:name="page16"/>
    <w:bookmarkEnd w:id="15"/>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540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54038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4"/>
          <w:szCs w:val="14"/>
          <w:color w:val="ED3FA8"/>
        </w:rPr>
        <w:t>Analysis of 1Q25 Consolidated Results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FFFFFF"/>
        </w:rPr>
        <w:t>Credicorp’s Strategy Update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 Management KPI’s</w:t>
      </w:r>
    </w:p>
    <w:p>
      <w:pPr>
        <w:spacing w:after="0" w:line="97" w:lineRule="exact"/>
        <w:rPr>
          <w:sz w:val="20"/>
          <w:szCs w:val="20"/>
          <w:color w:val="auto"/>
        </w:rPr>
      </w:pPr>
    </w:p>
    <w:tbl>
      <w:tblPr>
        <w:tblLayout w:type="fixed"/>
        <w:tblInd w:w="470" w:type="dxa"/>
        <w:tblCellMar>
          <w:top w:w="0" w:type="dxa"/>
          <w:left w:w="0" w:type="dxa"/>
          <w:bottom w:w="0" w:type="dxa"/>
          <w:right w:w="0" w:type="dxa"/>
        </w:tblCellMar>
      </w:tblPr>
      <w:tr>
        <w:trPr>
          <w:trHeight w:val="198"/>
        </w:trPr>
        <w:tc>
          <w:tcPr>
            <w:tcW w:w="4360" w:type="dxa"/>
            <w:vAlign w:val="bottom"/>
            <w:tcBorders>
              <w:top w:val="single" w:sz="8" w:color="auto"/>
              <w:left w:val="single" w:sz="8" w:color="auto"/>
              <w:right w:val="single" w:sz="8" w:color="auto"/>
            </w:tcBorders>
            <w:shd w:val="clear" w:color="auto" w:fill="33CCCC"/>
          </w:tcPr>
          <w:p>
            <w:pPr>
              <w:spacing w:after="0" w:line="198" w:lineRule="exact"/>
              <w:rPr>
                <w:sz w:val="20"/>
                <w:szCs w:val="20"/>
                <w:color w:val="auto"/>
              </w:rPr>
            </w:pPr>
            <w:r>
              <w:rPr>
                <w:rFonts w:ascii="Arial" w:cs="Arial" w:eastAsia="Arial" w:hAnsi="Arial"/>
                <w:sz w:val="14"/>
                <w:szCs w:val="14"/>
                <w:b w:val="1"/>
                <w:bCs w:val="1"/>
                <w:color w:val="FFFFFF"/>
              </w:rPr>
              <w:t xml:space="preserve">Management KPI’s </w:t>
            </w:r>
            <w:r>
              <w:rPr>
                <w:rFonts w:ascii="Arial" w:cs="Arial" w:eastAsia="Arial" w:hAnsi="Arial"/>
                <w:sz w:val="22"/>
                <w:szCs w:val="22"/>
                <w:b w:val="1"/>
                <w:bCs w:val="1"/>
                <w:color w:val="FFFFFF"/>
                <w:vertAlign w:val="superscript"/>
              </w:rPr>
              <w:t>(1)</w:t>
            </w:r>
          </w:p>
        </w:tc>
        <w:tc>
          <w:tcPr>
            <w:tcW w:w="1260" w:type="dxa"/>
            <w:vAlign w:val="bottom"/>
            <w:tcBorders>
              <w:top w:val="single" w:sz="8" w:color="auto"/>
            </w:tcBorders>
            <w:shd w:val="clear" w:color="auto" w:fill="33CCCC"/>
          </w:tcPr>
          <w:p>
            <w:pPr>
              <w:spacing w:after="0"/>
              <w:rPr>
                <w:sz w:val="17"/>
                <w:szCs w:val="17"/>
                <w:color w:val="auto"/>
              </w:rPr>
            </w:pPr>
          </w:p>
        </w:tc>
        <w:tc>
          <w:tcPr>
            <w:tcW w:w="1300" w:type="dxa"/>
            <w:vAlign w:val="bottom"/>
            <w:tcBorders>
              <w:top w:val="single" w:sz="8" w:color="auto"/>
            </w:tcBorders>
            <w:shd w:val="clear" w:color="auto" w:fill="33CCCC"/>
          </w:tcPr>
          <w:p>
            <w:pPr>
              <w:ind w:left="320"/>
              <w:spacing w:after="0" w:line="198" w:lineRule="exact"/>
              <w:rPr>
                <w:sz w:val="20"/>
                <w:szCs w:val="20"/>
                <w:color w:val="auto"/>
              </w:rPr>
            </w:pPr>
            <w:r>
              <w:rPr>
                <w:rFonts w:ascii="Arial" w:cs="Arial" w:eastAsia="Arial" w:hAnsi="Arial"/>
                <w:sz w:val="18"/>
                <w:szCs w:val="18"/>
                <w:b w:val="1"/>
                <w:bCs w:val="1"/>
                <w:color w:val="FFFFFF"/>
              </w:rPr>
              <w:t>Quarter</w:t>
            </w:r>
          </w:p>
        </w:tc>
        <w:tc>
          <w:tcPr>
            <w:tcW w:w="1280" w:type="dxa"/>
            <w:vAlign w:val="bottom"/>
            <w:tcBorders>
              <w:top w:val="single" w:sz="8" w:color="auto"/>
              <w:right w:val="single" w:sz="8" w:color="auto"/>
            </w:tcBorders>
            <w:shd w:val="clear" w:color="auto" w:fill="33CCCC"/>
          </w:tcPr>
          <w:p>
            <w:pPr>
              <w:spacing w:after="0"/>
              <w:rPr>
                <w:sz w:val="17"/>
                <w:szCs w:val="17"/>
                <w:color w:val="auto"/>
              </w:rPr>
            </w:pPr>
          </w:p>
        </w:tc>
        <w:tc>
          <w:tcPr>
            <w:tcW w:w="2580" w:type="dxa"/>
            <w:vAlign w:val="bottom"/>
            <w:tcBorders>
              <w:top w:val="single" w:sz="8" w:color="auto"/>
              <w:right w:val="single" w:sz="8" w:color="auto"/>
            </w:tcBorders>
            <w:gridSpan w:val="2"/>
            <w:shd w:val="clear" w:color="auto" w:fill="33CCCC"/>
          </w:tcPr>
          <w:p>
            <w:pPr>
              <w:ind w:left="840"/>
              <w:spacing w:after="0" w:line="198" w:lineRule="exact"/>
              <w:rPr>
                <w:sz w:val="20"/>
                <w:szCs w:val="20"/>
                <w:color w:val="auto"/>
              </w:rPr>
            </w:pPr>
            <w:r>
              <w:rPr>
                <w:rFonts w:ascii="Arial" w:cs="Arial" w:eastAsia="Arial" w:hAnsi="Arial"/>
                <w:sz w:val="18"/>
                <w:szCs w:val="18"/>
                <w:b w:val="1"/>
                <w:bCs w:val="1"/>
                <w:color w:val="FFFFFF"/>
              </w:rPr>
              <w:t>Change %</w:t>
            </w:r>
          </w:p>
        </w:tc>
      </w:tr>
      <w:tr>
        <w:trPr>
          <w:trHeight w:val="221"/>
        </w:trPr>
        <w:tc>
          <w:tcPr>
            <w:tcW w:w="4360" w:type="dxa"/>
            <w:vAlign w:val="bottom"/>
            <w:tcBorders>
              <w:left w:val="single" w:sz="8" w:color="auto"/>
              <w:bottom w:val="single" w:sz="8" w:color="auto"/>
              <w:right w:val="single" w:sz="8" w:color="auto"/>
            </w:tcBorders>
            <w:shd w:val="clear" w:color="auto" w:fill="33CCCC"/>
          </w:tcPr>
          <w:p>
            <w:pPr>
              <w:spacing w:after="0"/>
              <w:rPr>
                <w:sz w:val="19"/>
                <w:szCs w:val="19"/>
                <w:color w:val="auto"/>
              </w:rPr>
            </w:pPr>
          </w:p>
        </w:tc>
        <w:tc>
          <w:tcPr>
            <w:tcW w:w="12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1Q24</w:t>
            </w:r>
          </w:p>
        </w:tc>
        <w:tc>
          <w:tcPr>
            <w:tcW w:w="13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4Q24</w:t>
            </w:r>
          </w:p>
        </w:tc>
        <w:tc>
          <w:tcPr>
            <w:tcW w:w="12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1Q25</w:t>
            </w:r>
          </w:p>
        </w:tc>
        <w:tc>
          <w:tcPr>
            <w:tcW w:w="1280" w:type="dxa"/>
            <w:vAlign w:val="bottom"/>
            <w:tcBorders>
              <w:bottom w:val="single" w:sz="8" w:color="auto"/>
            </w:tcBorders>
            <w:shd w:val="clear" w:color="auto" w:fill="33CCCC"/>
          </w:tcPr>
          <w:p>
            <w:pPr>
              <w:ind w:left="440"/>
              <w:spacing w:after="0"/>
              <w:rPr>
                <w:sz w:val="20"/>
                <w:szCs w:val="20"/>
                <w:color w:val="auto"/>
              </w:rPr>
            </w:pPr>
            <w:r>
              <w:rPr>
                <w:rFonts w:ascii="Arial" w:cs="Arial" w:eastAsia="Arial" w:hAnsi="Arial"/>
                <w:sz w:val="18"/>
                <w:szCs w:val="18"/>
                <w:b w:val="1"/>
                <w:bCs w:val="1"/>
                <w:color w:val="FFFFFF"/>
              </w:rPr>
              <w:t>QoQ</w:t>
            </w:r>
          </w:p>
        </w:tc>
        <w:tc>
          <w:tcPr>
            <w:tcW w:w="130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18"/>
                <w:szCs w:val="18"/>
                <w:b w:val="1"/>
                <w:bCs w:val="1"/>
                <w:color w:val="FFFFFF"/>
              </w:rPr>
              <w:t>YoY</w:t>
            </w:r>
          </w:p>
        </w:tc>
      </w:tr>
      <w:tr>
        <w:trPr>
          <w:trHeight w:val="177"/>
        </w:trPr>
        <w:tc>
          <w:tcPr>
            <w:tcW w:w="4360" w:type="dxa"/>
            <w:vAlign w:val="bottom"/>
            <w:tcBorders>
              <w:left w:val="single" w:sz="8" w:color="auto"/>
              <w:right w:val="single" w:sz="8" w:color="auto"/>
            </w:tcBorders>
          </w:tcPr>
          <w:p>
            <w:pPr>
              <w:spacing w:after="0" w:line="177" w:lineRule="exact"/>
              <w:rPr>
                <w:sz w:val="20"/>
                <w:szCs w:val="20"/>
                <w:color w:val="auto"/>
              </w:rPr>
            </w:pPr>
            <w:r>
              <w:rPr>
                <w:rFonts w:ascii="Arial" w:cs="Arial" w:eastAsia="Arial" w:hAnsi="Arial"/>
                <w:sz w:val="18"/>
                <w:szCs w:val="18"/>
                <w:b w:val="1"/>
                <w:bCs w:val="1"/>
                <w:color w:val="auto"/>
              </w:rPr>
              <w:t>Users</w:t>
            </w: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193"/>
        </w:trPr>
        <w:tc>
          <w:tcPr>
            <w:tcW w:w="4360" w:type="dxa"/>
            <w:vAlign w:val="bottom"/>
            <w:tcBorders>
              <w:left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Users (millions)</w:t>
            </w:r>
          </w:p>
        </w:tc>
        <w:tc>
          <w:tcPr>
            <w:tcW w:w="1260" w:type="dxa"/>
            <w:vAlign w:val="bottom"/>
          </w:tcPr>
          <w:p>
            <w:pPr>
              <w:jc w:val="center"/>
              <w:spacing w:after="0" w:line="193" w:lineRule="exact"/>
              <w:rPr>
                <w:sz w:val="20"/>
                <w:szCs w:val="20"/>
                <w:color w:val="auto"/>
              </w:rPr>
            </w:pPr>
            <w:r>
              <w:rPr>
                <w:rFonts w:ascii="Arial" w:cs="Arial" w:eastAsia="Arial" w:hAnsi="Arial"/>
                <w:sz w:val="18"/>
                <w:szCs w:val="18"/>
                <w:color w:val="auto"/>
              </w:rPr>
              <w:t>15.1</w:t>
            </w:r>
          </w:p>
        </w:tc>
        <w:tc>
          <w:tcPr>
            <w:tcW w:w="1300" w:type="dxa"/>
            <w:vAlign w:val="bottom"/>
          </w:tcPr>
          <w:p>
            <w:pPr>
              <w:jc w:val="center"/>
              <w:spacing w:after="0" w:line="193" w:lineRule="exact"/>
              <w:rPr>
                <w:sz w:val="20"/>
                <w:szCs w:val="20"/>
                <w:color w:val="auto"/>
              </w:rPr>
            </w:pPr>
            <w:r>
              <w:rPr>
                <w:rFonts w:ascii="Arial" w:cs="Arial" w:eastAsia="Arial" w:hAnsi="Arial"/>
                <w:sz w:val="18"/>
                <w:szCs w:val="18"/>
                <w:color w:val="auto"/>
              </w:rPr>
              <w:t>17.3</w:t>
            </w:r>
          </w:p>
        </w:tc>
        <w:tc>
          <w:tcPr>
            <w:tcW w:w="128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rPr>
              <w:t>18.0</w:t>
            </w:r>
          </w:p>
        </w:tc>
        <w:tc>
          <w:tcPr>
            <w:tcW w:w="1280" w:type="dxa"/>
            <w:vAlign w:val="bottom"/>
          </w:tcPr>
          <w:p>
            <w:pPr>
              <w:jc w:val="center"/>
              <w:spacing w:after="0" w:line="193" w:lineRule="exact"/>
              <w:rPr>
                <w:sz w:val="20"/>
                <w:szCs w:val="20"/>
                <w:color w:val="auto"/>
              </w:rPr>
            </w:pPr>
            <w:r>
              <w:rPr>
                <w:rFonts w:ascii="Arial" w:cs="Arial" w:eastAsia="Arial" w:hAnsi="Arial"/>
                <w:sz w:val="18"/>
                <w:szCs w:val="18"/>
                <w:color w:val="auto"/>
              </w:rPr>
              <w:t>3.9%</w:t>
            </w:r>
          </w:p>
        </w:tc>
        <w:tc>
          <w:tcPr>
            <w:tcW w:w="13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7"/>
              </w:rPr>
              <w:t>18.9%</w:t>
            </w:r>
          </w:p>
        </w:tc>
      </w:tr>
      <w:tr>
        <w:trPr>
          <w:trHeight w:val="212"/>
        </w:trPr>
        <w:tc>
          <w:tcPr>
            <w:tcW w:w="4360" w:type="dxa"/>
            <w:vAlign w:val="bottom"/>
            <w:tcBorders>
              <w:left w:val="single" w:sz="8" w:color="auto"/>
              <w:right w:val="single" w:sz="8" w:color="auto"/>
            </w:tcBorders>
          </w:tcPr>
          <w:p>
            <w:pPr>
              <w:spacing w:after="0" w:line="212" w:lineRule="exact"/>
              <w:rPr>
                <w:sz w:val="20"/>
                <w:szCs w:val="20"/>
                <w:color w:val="auto"/>
              </w:rPr>
            </w:pPr>
            <w:r>
              <w:rPr>
                <w:rFonts w:ascii="Arial" w:cs="Arial" w:eastAsia="Arial" w:hAnsi="Arial"/>
                <w:sz w:val="15"/>
                <w:szCs w:val="15"/>
                <w:color w:val="auto"/>
              </w:rPr>
              <w:t xml:space="preserve">Monthly Active Users (MAU) (millions) </w:t>
            </w:r>
            <w:r>
              <w:rPr>
                <w:rFonts w:ascii="Arial" w:cs="Arial" w:eastAsia="Arial" w:hAnsi="Arial"/>
                <w:sz w:val="24"/>
                <w:szCs w:val="24"/>
                <w:color w:val="auto"/>
                <w:vertAlign w:val="superscript"/>
              </w:rPr>
              <w:t>(2)</w:t>
            </w: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11.5</w:t>
            </w:r>
          </w:p>
        </w:tc>
        <w:tc>
          <w:tcPr>
            <w:tcW w:w="1300" w:type="dxa"/>
            <w:vAlign w:val="bottom"/>
          </w:tcPr>
          <w:p>
            <w:pPr>
              <w:jc w:val="center"/>
              <w:spacing w:after="0"/>
              <w:rPr>
                <w:sz w:val="20"/>
                <w:szCs w:val="20"/>
                <w:color w:val="auto"/>
              </w:rPr>
            </w:pPr>
            <w:r>
              <w:rPr>
                <w:rFonts w:ascii="Arial" w:cs="Arial" w:eastAsia="Arial" w:hAnsi="Arial"/>
                <w:sz w:val="18"/>
                <w:szCs w:val="18"/>
                <w:color w:val="auto"/>
              </w:rPr>
              <w:t>13.7</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14.3</w:t>
            </w:r>
          </w:p>
        </w:tc>
        <w:tc>
          <w:tcPr>
            <w:tcW w:w="1280" w:type="dxa"/>
            <w:vAlign w:val="bottom"/>
          </w:tcPr>
          <w:p>
            <w:pPr>
              <w:jc w:val="center"/>
              <w:spacing w:after="0"/>
              <w:rPr>
                <w:sz w:val="20"/>
                <w:szCs w:val="20"/>
                <w:color w:val="auto"/>
              </w:rPr>
            </w:pPr>
            <w:r>
              <w:rPr>
                <w:rFonts w:ascii="Arial" w:cs="Arial" w:eastAsia="Arial" w:hAnsi="Arial"/>
                <w:sz w:val="18"/>
                <w:szCs w:val="18"/>
                <w:color w:val="auto"/>
              </w:rPr>
              <w:t>4.4%</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24.3%</w:t>
            </w:r>
          </w:p>
        </w:tc>
      </w:tr>
      <w:tr>
        <w:trPr>
          <w:trHeight w:val="221"/>
        </w:trPr>
        <w:tc>
          <w:tcPr>
            <w:tcW w:w="43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Fee Income Generating MAU (millions)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8.6</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11.4</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12.0</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5.2%</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38.7%</w:t>
            </w:r>
          </w:p>
        </w:tc>
      </w:tr>
      <w:tr>
        <w:trPr>
          <w:trHeight w:val="177"/>
        </w:trPr>
        <w:tc>
          <w:tcPr>
            <w:tcW w:w="4360" w:type="dxa"/>
            <w:vAlign w:val="bottom"/>
            <w:tcBorders>
              <w:left w:val="single" w:sz="8" w:color="auto"/>
              <w:right w:val="single" w:sz="8" w:color="auto"/>
            </w:tcBorders>
          </w:tcPr>
          <w:p>
            <w:pPr>
              <w:spacing w:after="0" w:line="177" w:lineRule="exact"/>
              <w:rPr>
                <w:sz w:val="20"/>
                <w:szCs w:val="20"/>
                <w:color w:val="auto"/>
              </w:rPr>
            </w:pPr>
            <w:r>
              <w:rPr>
                <w:rFonts w:ascii="Arial" w:cs="Arial" w:eastAsia="Arial" w:hAnsi="Arial"/>
                <w:sz w:val="18"/>
                <w:szCs w:val="18"/>
                <w:b w:val="1"/>
                <w:bCs w:val="1"/>
                <w:color w:val="auto"/>
              </w:rPr>
              <w:t>Engagement</w:t>
            </w: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203"/>
        </w:trPr>
        <w:tc>
          <w:tcPr>
            <w:tcW w:w="4360" w:type="dxa"/>
            <w:vAlign w:val="bottom"/>
            <w:tcBorders>
              <w:left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 Transactions (millions)</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9"/>
              </w:rPr>
              <w:t>1,127.7</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1,953.1</w:t>
            </w:r>
          </w:p>
        </w:tc>
        <w:tc>
          <w:tcPr>
            <w:tcW w:w="1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2,025.4</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rPr>
              <w:t>3.7%</w:t>
            </w: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79.6%</w:t>
            </w:r>
          </w:p>
        </w:tc>
      </w:tr>
      <w:tr>
        <w:trPr>
          <w:trHeight w:val="203"/>
        </w:trPr>
        <w:tc>
          <w:tcPr>
            <w:tcW w:w="4360" w:type="dxa"/>
            <w:vAlign w:val="bottom"/>
            <w:tcBorders>
              <w:left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 Transactions / MAU</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rPr>
              <w:t>36.0</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rPr>
              <w:t>51.0</w:t>
            </w:r>
          </w:p>
        </w:tc>
        <w:tc>
          <w:tcPr>
            <w:tcW w:w="1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52.1</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rPr>
              <w:t>2.1%</w:t>
            </w: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44.5%</w:t>
            </w:r>
          </w:p>
        </w:tc>
      </w:tr>
      <w:tr>
        <w:trPr>
          <w:trHeight w:val="221"/>
        </w:trPr>
        <w:tc>
          <w:tcPr>
            <w:tcW w:w="43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 Average Functionalities / MAU</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2.2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2.6</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2.6</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2.7%</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18.0%</w:t>
            </w:r>
          </w:p>
        </w:tc>
      </w:tr>
      <w:tr>
        <w:trPr>
          <w:trHeight w:val="168"/>
        </w:trPr>
        <w:tc>
          <w:tcPr>
            <w:tcW w:w="4360" w:type="dxa"/>
            <w:vAlign w:val="bottom"/>
            <w:tcBorders>
              <w:left w:val="single" w:sz="8" w:color="auto"/>
              <w:right w:val="single" w:sz="8" w:color="auto"/>
            </w:tcBorders>
          </w:tcPr>
          <w:p>
            <w:pPr>
              <w:spacing w:after="0" w:line="168" w:lineRule="exact"/>
              <w:rPr>
                <w:sz w:val="20"/>
                <w:szCs w:val="20"/>
                <w:color w:val="auto"/>
              </w:rPr>
            </w:pPr>
            <w:r>
              <w:rPr>
                <w:rFonts w:ascii="Arial" w:cs="Arial" w:eastAsia="Arial" w:hAnsi="Arial"/>
                <w:sz w:val="18"/>
                <w:szCs w:val="18"/>
                <w:b w:val="1"/>
                <w:bCs w:val="1"/>
                <w:color w:val="auto"/>
              </w:rPr>
              <w:t>Experience</w:t>
            </w: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r>
      <w:tr>
        <w:trPr>
          <w:trHeight w:val="231"/>
        </w:trPr>
        <w:tc>
          <w:tcPr>
            <w:tcW w:w="4360" w:type="dxa"/>
            <w:vAlign w:val="bottom"/>
            <w:tcBorders>
              <w:left w:val="single" w:sz="8" w:color="auto"/>
              <w:bottom w:val="single" w:sz="8" w:color="auto"/>
              <w:right w:val="single" w:sz="8" w:color="auto"/>
            </w:tcBorders>
          </w:tcPr>
          <w:p>
            <w:pPr>
              <w:spacing w:after="0" w:line="231" w:lineRule="exact"/>
              <w:rPr>
                <w:sz w:val="20"/>
                <w:szCs w:val="20"/>
                <w:color w:val="auto"/>
              </w:rPr>
            </w:pPr>
            <w:r>
              <w:rPr>
                <w:rFonts w:ascii="Arial" w:cs="Arial" w:eastAsia="Arial" w:hAnsi="Arial"/>
                <w:sz w:val="16"/>
                <w:szCs w:val="16"/>
                <w:color w:val="auto"/>
              </w:rPr>
              <w:t xml:space="preserve">NPS </w:t>
            </w:r>
            <w:r>
              <w:rPr>
                <w:rFonts w:ascii="Arial" w:cs="Arial" w:eastAsia="Arial" w:hAnsi="Arial"/>
                <w:sz w:val="26"/>
                <w:szCs w:val="26"/>
                <w:color w:val="auto"/>
                <w:vertAlign w:val="superscript"/>
              </w:rPr>
              <w:t>(3)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78</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79</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77</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-200.0%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-140.0%</w:t>
            </w:r>
          </w:p>
        </w:tc>
      </w:tr>
      <w:tr>
        <w:trPr>
          <w:trHeight w:val="168"/>
        </w:trPr>
        <w:tc>
          <w:tcPr>
            <w:tcW w:w="4360" w:type="dxa"/>
            <w:vAlign w:val="bottom"/>
            <w:tcBorders>
              <w:left w:val="single" w:sz="8" w:color="auto"/>
              <w:right w:val="single" w:sz="8" w:color="auto"/>
            </w:tcBorders>
          </w:tcPr>
          <w:p>
            <w:pPr>
              <w:spacing w:after="0" w:line="168" w:lineRule="exact"/>
              <w:rPr>
                <w:sz w:val="20"/>
                <w:szCs w:val="20"/>
                <w:color w:val="auto"/>
              </w:rPr>
            </w:pPr>
            <w:r>
              <w:rPr>
                <w:rFonts w:ascii="Arial" w:cs="Arial" w:eastAsia="Arial" w:hAnsi="Arial"/>
                <w:sz w:val="18"/>
                <w:szCs w:val="18"/>
                <w:b w:val="1"/>
                <w:bCs w:val="1"/>
                <w:color w:val="auto"/>
              </w:rPr>
              <w:t>Unit Economics</w:t>
            </w: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r>
      <w:tr>
        <w:trPr>
          <w:trHeight w:val="203"/>
        </w:trPr>
        <w:tc>
          <w:tcPr>
            <w:tcW w:w="4360" w:type="dxa"/>
            <w:vAlign w:val="bottom"/>
            <w:tcBorders>
              <w:left w:val="single" w:sz="8" w:color="auto"/>
              <w:right w:val="single" w:sz="8" w:color="auto"/>
            </w:tcBorders>
          </w:tcPr>
          <w:p>
            <w:pPr>
              <w:spacing w:after="0" w:line="202" w:lineRule="exact"/>
              <w:rPr>
                <w:sz w:val="20"/>
                <w:szCs w:val="20"/>
                <w:color w:val="auto"/>
              </w:rPr>
            </w:pPr>
            <w:r>
              <w:rPr>
                <w:rFonts w:ascii="Arial" w:cs="Arial" w:eastAsia="Arial" w:hAnsi="Arial"/>
                <w:sz w:val="15"/>
                <w:szCs w:val="15"/>
                <w:b w:val="1"/>
                <w:bCs w:val="1"/>
                <w:color w:val="auto"/>
              </w:rPr>
              <w:t xml:space="preserve">Monthly Indicators </w:t>
            </w:r>
            <w:r>
              <w:rPr>
                <w:rFonts w:ascii="Arial" w:cs="Arial" w:eastAsia="Arial" w:hAnsi="Arial"/>
                <w:sz w:val="23"/>
                <w:szCs w:val="23"/>
                <w:b w:val="1"/>
                <w:bCs w:val="1"/>
                <w:color w:val="auto"/>
                <w:vertAlign w:val="superscript"/>
              </w:rPr>
              <w:t>(4)</w:t>
            </w: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r>
      <w:tr>
        <w:trPr>
          <w:trHeight w:val="203"/>
        </w:trPr>
        <w:tc>
          <w:tcPr>
            <w:tcW w:w="4360" w:type="dxa"/>
            <w:vAlign w:val="bottom"/>
            <w:tcBorders>
              <w:left w:val="single" w:sz="8" w:color="auto"/>
              <w:right w:val="single" w:sz="8" w:color="auto"/>
            </w:tcBorders>
          </w:tcPr>
          <w:p>
            <w:pPr>
              <w:spacing w:after="0" w:line="202" w:lineRule="exact"/>
              <w:rPr>
                <w:sz w:val="20"/>
                <w:szCs w:val="20"/>
                <w:color w:val="auto"/>
              </w:rPr>
            </w:pPr>
            <w:r>
              <w:rPr>
                <w:rFonts w:ascii="Arial" w:cs="Arial" w:eastAsia="Arial" w:hAnsi="Arial"/>
                <w:sz w:val="15"/>
                <w:szCs w:val="15"/>
                <w:color w:val="auto"/>
              </w:rPr>
              <w:t xml:space="preserve">Revenues / MAU (S/) </w:t>
            </w:r>
            <w:r>
              <w:rPr>
                <w:rFonts w:ascii="Arial" w:cs="Arial" w:eastAsia="Arial" w:hAnsi="Arial"/>
                <w:sz w:val="23"/>
                <w:szCs w:val="23"/>
                <w:color w:val="auto"/>
                <w:vertAlign w:val="superscript"/>
              </w:rPr>
              <w:t>(5)</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5"/>
              </w:rPr>
              <w:t>3.4</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5"/>
              </w:rPr>
              <w:t>6.1</w:t>
            </w:r>
          </w:p>
        </w:tc>
        <w:tc>
          <w:tcPr>
            <w:tcW w:w="1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5"/>
              </w:rPr>
              <w:t>6.2</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rPr>
              <w:t>1.1%</w:t>
            </w: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80.4%</w:t>
            </w:r>
          </w:p>
        </w:tc>
      </w:tr>
      <w:tr>
        <w:trPr>
          <w:trHeight w:val="203"/>
        </w:trPr>
        <w:tc>
          <w:tcPr>
            <w:tcW w:w="4360" w:type="dxa"/>
            <w:vAlign w:val="bottom"/>
            <w:tcBorders>
              <w:left w:val="single" w:sz="8" w:color="auto"/>
              <w:right w:val="single" w:sz="8" w:color="auto"/>
            </w:tcBorders>
          </w:tcPr>
          <w:p>
            <w:pPr>
              <w:spacing w:after="0" w:line="202" w:lineRule="exact"/>
              <w:rPr>
                <w:sz w:val="20"/>
                <w:szCs w:val="20"/>
                <w:color w:val="auto"/>
              </w:rPr>
            </w:pPr>
            <w:r>
              <w:rPr>
                <w:rFonts w:ascii="Arial" w:cs="Arial" w:eastAsia="Arial" w:hAnsi="Arial"/>
                <w:sz w:val="15"/>
                <w:szCs w:val="15"/>
                <w:color w:val="auto"/>
              </w:rPr>
              <w:t xml:space="preserve">Expenses / MAU (S/) </w:t>
            </w:r>
            <w:r>
              <w:rPr>
                <w:rFonts w:ascii="Arial" w:cs="Arial" w:eastAsia="Arial" w:hAnsi="Arial"/>
                <w:sz w:val="23"/>
                <w:szCs w:val="23"/>
                <w:color w:val="auto"/>
                <w:vertAlign w:val="superscript"/>
              </w:rPr>
              <w:t>(5)</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rPr>
              <w:t>-3.9</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rPr>
              <w:t>-5.0</w:t>
            </w:r>
          </w:p>
        </w:tc>
        <w:tc>
          <w:tcPr>
            <w:tcW w:w="1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-4.7</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97"/>
              </w:rPr>
              <w:t>-6.1%</w:t>
            </w: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21.2%</w:t>
            </w:r>
          </w:p>
        </w:tc>
      </w:tr>
      <w:tr>
        <w:trPr>
          <w:trHeight w:val="212"/>
        </w:trPr>
        <w:tc>
          <w:tcPr>
            <w:tcW w:w="4360" w:type="dxa"/>
            <w:vAlign w:val="bottom"/>
            <w:tcBorders>
              <w:left w:val="single" w:sz="8" w:color="auto"/>
              <w:right w:val="single" w:sz="8" w:color="auto"/>
            </w:tcBorders>
          </w:tcPr>
          <w:p>
            <w:pPr>
              <w:spacing w:after="0" w:line="212" w:lineRule="exact"/>
              <w:rPr>
                <w:sz w:val="20"/>
                <w:szCs w:val="20"/>
                <w:color w:val="auto"/>
              </w:rPr>
            </w:pPr>
            <w:r>
              <w:rPr>
                <w:rFonts w:ascii="Arial" w:cs="Arial" w:eastAsia="Arial" w:hAnsi="Arial"/>
                <w:sz w:val="15"/>
                <w:szCs w:val="15"/>
                <w:b w:val="1"/>
                <w:bCs w:val="1"/>
                <w:color w:val="auto"/>
              </w:rPr>
              <w:t xml:space="preserve">Quarterly Indicators </w:t>
            </w:r>
            <w:r>
              <w:rPr>
                <w:rFonts w:ascii="Arial" w:cs="Arial" w:eastAsia="Arial" w:hAnsi="Arial"/>
                <w:sz w:val="24"/>
                <w:szCs w:val="24"/>
                <w:b w:val="1"/>
                <w:bCs w:val="1"/>
                <w:color w:val="auto"/>
                <w:vertAlign w:val="superscript"/>
              </w:rPr>
              <w:t>(6)</w:t>
            </w: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03"/>
        </w:trPr>
        <w:tc>
          <w:tcPr>
            <w:tcW w:w="4360" w:type="dxa"/>
            <w:vAlign w:val="bottom"/>
            <w:tcBorders>
              <w:left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Revenues / MAU (S/)</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5"/>
              </w:rPr>
              <w:t>9.8</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rPr>
              <w:t>16.0</w:t>
            </w:r>
          </w:p>
        </w:tc>
        <w:tc>
          <w:tcPr>
            <w:tcW w:w="1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16.6</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rPr>
              <w:t>4.0%</w:t>
            </w: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69.0%</w:t>
            </w:r>
          </w:p>
        </w:tc>
      </w:tr>
      <w:tr>
        <w:trPr>
          <w:trHeight w:val="221"/>
        </w:trPr>
        <w:tc>
          <w:tcPr>
            <w:tcW w:w="43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Expenses / MAU (S/)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-11.5</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-13.4</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-12.7</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-5.4%</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10.5%</w:t>
            </w:r>
          </w:p>
        </w:tc>
      </w:tr>
      <w:tr>
        <w:trPr>
          <w:trHeight w:val="168"/>
        </w:trPr>
        <w:tc>
          <w:tcPr>
            <w:tcW w:w="4360" w:type="dxa"/>
            <w:vAlign w:val="bottom"/>
            <w:tcBorders>
              <w:left w:val="single" w:sz="8" w:color="auto"/>
              <w:right w:val="single" w:sz="8" w:color="auto"/>
            </w:tcBorders>
          </w:tcPr>
          <w:p>
            <w:pPr>
              <w:spacing w:after="0" w:line="168" w:lineRule="exact"/>
              <w:rPr>
                <w:sz w:val="20"/>
                <w:szCs w:val="20"/>
                <w:color w:val="auto"/>
              </w:rPr>
            </w:pPr>
            <w:r>
              <w:rPr>
                <w:rFonts w:ascii="Arial" w:cs="Arial" w:eastAsia="Arial" w:hAnsi="Arial"/>
                <w:sz w:val="18"/>
                <w:szCs w:val="18"/>
                <w:b w:val="1"/>
                <w:bCs w:val="1"/>
                <w:color w:val="auto"/>
              </w:rPr>
              <w:t>Drivers Monetization</w:t>
            </w: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r>
      <w:tr>
        <w:trPr>
          <w:trHeight w:val="212"/>
        </w:trPr>
        <w:tc>
          <w:tcPr>
            <w:tcW w:w="4360" w:type="dxa"/>
            <w:vAlign w:val="bottom"/>
            <w:tcBorders>
              <w:left w:val="single" w:sz="8" w:color="auto"/>
              <w:right w:val="single" w:sz="8" w:color="auto"/>
            </w:tcBorders>
          </w:tcPr>
          <w:p>
            <w:pPr>
              <w:spacing w:after="0" w:line="212" w:lineRule="exact"/>
              <w:rPr>
                <w:sz w:val="20"/>
                <w:szCs w:val="20"/>
                <w:color w:val="auto"/>
              </w:rPr>
            </w:pPr>
            <w:r>
              <w:rPr>
                <w:rFonts w:ascii="Arial" w:cs="Arial" w:eastAsia="Arial" w:hAnsi="Arial"/>
                <w:sz w:val="15"/>
                <w:szCs w:val="15"/>
                <w:color w:val="auto"/>
              </w:rPr>
              <w:t xml:space="preserve">Total TPV (S/, billions) </w:t>
            </w:r>
            <w:r>
              <w:rPr>
                <w:rFonts w:ascii="Arial" w:cs="Arial" w:eastAsia="Arial" w:hAnsi="Arial"/>
                <w:sz w:val="24"/>
                <w:szCs w:val="24"/>
                <w:color w:val="auto"/>
                <w:vertAlign w:val="superscript"/>
              </w:rPr>
              <w:t>(7)</w:t>
            </w:r>
          </w:p>
        </w:tc>
        <w:tc>
          <w:tcPr>
            <w:tcW w:w="1260" w:type="dxa"/>
            <w:vAlign w:val="bottom"/>
          </w:tcPr>
          <w:p>
            <w:pPr>
              <w:jc w:val="center"/>
              <w:spacing w:after="0"/>
              <w:rPr>
                <w:sz w:val="20"/>
                <w:szCs w:val="20"/>
                <w:color w:val="auto"/>
              </w:rPr>
            </w:pPr>
            <w:r>
              <w:rPr>
                <w:rFonts w:ascii="Arial" w:cs="Arial" w:eastAsia="Arial" w:hAnsi="Arial"/>
                <w:sz w:val="18"/>
                <w:szCs w:val="18"/>
                <w:color w:val="auto"/>
              </w:rPr>
              <w:t>50.5</w:t>
            </w:r>
          </w:p>
        </w:tc>
        <w:tc>
          <w:tcPr>
            <w:tcW w:w="1300" w:type="dxa"/>
            <w:vAlign w:val="bottom"/>
          </w:tcPr>
          <w:p>
            <w:pPr>
              <w:jc w:val="center"/>
              <w:spacing w:after="0"/>
              <w:rPr>
                <w:sz w:val="20"/>
                <w:szCs w:val="20"/>
                <w:color w:val="auto"/>
              </w:rPr>
            </w:pPr>
            <w:r>
              <w:rPr>
                <w:rFonts w:ascii="Arial" w:cs="Arial" w:eastAsia="Arial" w:hAnsi="Arial"/>
                <w:sz w:val="18"/>
                <w:szCs w:val="18"/>
                <w:color w:val="auto"/>
              </w:rPr>
              <w:t>90.3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91.6</w:t>
            </w:r>
          </w:p>
        </w:tc>
        <w:tc>
          <w:tcPr>
            <w:tcW w:w="1280" w:type="dxa"/>
            <w:vAlign w:val="bottom"/>
          </w:tcPr>
          <w:p>
            <w:pPr>
              <w:jc w:val="center"/>
              <w:spacing w:after="0"/>
              <w:rPr>
                <w:sz w:val="20"/>
                <w:szCs w:val="20"/>
                <w:color w:val="auto"/>
              </w:rPr>
            </w:pPr>
            <w:r>
              <w:rPr>
                <w:rFonts w:ascii="Arial" w:cs="Arial" w:eastAsia="Arial" w:hAnsi="Arial"/>
                <w:sz w:val="18"/>
                <w:szCs w:val="18"/>
                <w:color w:val="auto"/>
              </w:rPr>
              <w:t>1.4%</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81.4%</w:t>
            </w:r>
          </w:p>
        </w:tc>
      </w:tr>
      <w:tr>
        <w:trPr>
          <w:trHeight w:val="203"/>
        </w:trPr>
        <w:tc>
          <w:tcPr>
            <w:tcW w:w="4360" w:type="dxa"/>
            <w:vAlign w:val="bottom"/>
            <w:tcBorders>
              <w:left w:val="single" w:sz="8" w:color="auto"/>
              <w:right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Payments</w:t>
            </w: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r>
      <w:tr>
        <w:trPr>
          <w:trHeight w:val="203"/>
        </w:trPr>
        <w:tc>
          <w:tcPr>
            <w:tcW w:w="4360" w:type="dxa"/>
            <w:vAlign w:val="bottom"/>
            <w:tcBorders>
              <w:left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 Bill Payments transactions (millions)</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rPr>
              <w:t>23.4</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rPr>
              <w:t>40.5</w:t>
            </w:r>
          </w:p>
        </w:tc>
        <w:tc>
          <w:tcPr>
            <w:tcW w:w="1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45.0</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97"/>
              </w:rPr>
              <w:t>11.3%</w:t>
            </w: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92.0%</w:t>
            </w:r>
          </w:p>
        </w:tc>
      </w:tr>
      <w:tr>
        <w:trPr>
          <w:trHeight w:val="203"/>
        </w:trPr>
        <w:tc>
          <w:tcPr>
            <w:tcW w:w="4360" w:type="dxa"/>
            <w:vAlign w:val="bottom"/>
            <w:tcBorders>
              <w:left w:val="single" w:sz="8" w:color="auto"/>
              <w:right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Financials</w:t>
            </w: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r>
      <w:tr>
        <w:trPr>
          <w:trHeight w:val="203"/>
        </w:trPr>
        <w:tc>
          <w:tcPr>
            <w:tcW w:w="4360" w:type="dxa"/>
            <w:vAlign w:val="bottom"/>
            <w:tcBorders>
              <w:left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 Loans Disbursements (thousands)</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7"/>
              </w:rPr>
              <w:t>472.4</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2,143.1</w:t>
            </w:r>
          </w:p>
        </w:tc>
        <w:tc>
          <w:tcPr>
            <w:tcW w:w="1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3,097.1</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97"/>
              </w:rPr>
              <w:t>44.5%</w:t>
            </w: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555.7%</w:t>
            </w:r>
          </w:p>
        </w:tc>
      </w:tr>
      <w:tr>
        <w:trPr>
          <w:trHeight w:val="193"/>
        </w:trPr>
        <w:tc>
          <w:tcPr>
            <w:tcW w:w="4360" w:type="dxa"/>
            <w:vAlign w:val="bottom"/>
            <w:tcBorders>
              <w:left w:val="single" w:sz="8" w:color="auto"/>
              <w:right w:val="single" w:sz="8" w:color="auto"/>
            </w:tcBorders>
          </w:tcPr>
          <w:p>
            <w:pPr>
              <w:spacing w:after="0" w:line="193" w:lineRule="exact"/>
              <w:rPr>
                <w:sz w:val="20"/>
                <w:szCs w:val="20"/>
                <w:color w:val="auto"/>
              </w:rPr>
            </w:pPr>
            <w:r>
              <w:rPr>
                <w:rFonts w:ascii="Arial" w:cs="Arial" w:eastAsia="Arial" w:hAnsi="Arial"/>
                <w:sz w:val="18"/>
                <w:szCs w:val="18"/>
                <w:b w:val="1"/>
                <w:bCs w:val="1"/>
                <w:color w:val="auto"/>
              </w:rPr>
              <w:t>E-Commerce</w:t>
            </w: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r>
      <w:tr>
        <w:trPr>
          <w:trHeight w:val="231"/>
        </w:trPr>
        <w:tc>
          <w:tcPr>
            <w:tcW w:w="4360" w:type="dxa"/>
            <w:vAlign w:val="bottom"/>
            <w:tcBorders>
              <w:left w:val="single" w:sz="8" w:color="auto"/>
              <w:bottom w:val="single" w:sz="8" w:color="auto"/>
              <w:right w:val="single" w:sz="8" w:color="auto"/>
            </w:tcBorders>
          </w:tcPr>
          <w:p>
            <w:pPr>
              <w:spacing w:after="0" w:line="231" w:lineRule="exact"/>
              <w:rPr>
                <w:sz w:val="20"/>
                <w:szCs w:val="20"/>
                <w:color w:val="auto"/>
              </w:rPr>
            </w:pPr>
            <w:r>
              <w:rPr>
                <w:rFonts w:ascii="Arial" w:cs="Arial" w:eastAsia="Arial" w:hAnsi="Arial"/>
                <w:sz w:val="16"/>
                <w:szCs w:val="16"/>
                <w:color w:val="auto"/>
              </w:rPr>
              <w:t xml:space="preserve">GMV (S/, millions) </w:t>
            </w:r>
            <w:r>
              <w:rPr>
                <w:rFonts w:ascii="Arial" w:cs="Arial" w:eastAsia="Arial" w:hAnsi="Arial"/>
                <w:sz w:val="26"/>
                <w:szCs w:val="26"/>
                <w:color w:val="auto"/>
                <w:vertAlign w:val="superscript"/>
              </w:rPr>
              <w:t>(8)</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59.1</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120.4</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119.2</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101.7%</w:t>
            </w:r>
          </w:p>
        </w:tc>
      </w:tr>
    </w:tbl>
    <w:p>
      <w:pPr>
        <w:spacing w:after="0" w:line="222"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2"/>
          <w:szCs w:val="12"/>
          <w:color w:val="auto"/>
        </w:rPr>
      </w:pPr>
      <w:r>
        <w:rPr>
          <w:rFonts w:ascii="Arial" w:cs="Arial" w:eastAsia="Arial" w:hAnsi="Arial"/>
          <w:sz w:val="12"/>
          <w:szCs w:val="12"/>
          <w:color w:val="auto"/>
        </w:rPr>
        <w:t>Management Figures.</w:t>
      </w:r>
    </w:p>
    <w:p>
      <w:pPr>
        <w:spacing w:after="0" w:line="13" w:lineRule="exact"/>
        <w:rPr>
          <w:rFonts w:ascii="Arial" w:cs="Arial" w:eastAsia="Arial" w:hAnsi="Arial"/>
          <w:sz w:val="12"/>
          <w:szCs w:val="12"/>
          <w:color w:val="auto"/>
        </w:rPr>
      </w:pPr>
    </w:p>
    <w:p>
      <w:pPr>
        <w:ind w:left="300" w:hanging="292"/>
        <w:spacing w:after="0"/>
        <w:tabs>
          <w:tab w:leader="none" w:pos="300" w:val="left"/>
        </w:tabs>
        <w:numPr>
          <w:ilvl w:val="0"/>
          <w:numId w:val="7"/>
        </w:numPr>
        <w:rPr>
          <w:rFonts w:ascii="Arial" w:cs="Arial" w:eastAsia="Arial" w:hAnsi="Arial"/>
          <w:sz w:val="12"/>
          <w:szCs w:val="12"/>
          <w:color w:val="auto"/>
        </w:rPr>
      </w:pPr>
      <w:r>
        <w:rPr>
          <w:rFonts w:ascii="Arial" w:cs="Arial" w:eastAsia="Arial" w:hAnsi="Arial"/>
          <w:sz w:val="12"/>
          <w:szCs w:val="12"/>
          <w:color w:val="auto"/>
        </w:rPr>
        <w:t>Yape users that have made at least one outgoing transaction in the measurement month.</w:t>
      </w:r>
    </w:p>
    <w:p>
      <w:pPr>
        <w:spacing w:after="0" w:line="10" w:lineRule="exact"/>
        <w:rPr>
          <w:rFonts w:ascii="Arial" w:cs="Arial" w:eastAsia="Arial" w:hAnsi="Arial"/>
          <w:sz w:val="12"/>
          <w:szCs w:val="12"/>
          <w:color w:val="auto"/>
        </w:rPr>
      </w:pPr>
    </w:p>
    <w:p>
      <w:pPr>
        <w:ind w:left="300" w:hanging="292"/>
        <w:spacing w:after="0"/>
        <w:tabs>
          <w:tab w:leader="none" w:pos="300" w:val="left"/>
        </w:tabs>
        <w:numPr>
          <w:ilvl w:val="0"/>
          <w:numId w:val="7"/>
        </w:numPr>
        <w:rPr>
          <w:rFonts w:ascii="Arial" w:cs="Arial" w:eastAsia="Arial" w:hAnsi="Arial"/>
          <w:sz w:val="12"/>
          <w:szCs w:val="12"/>
          <w:color w:val="auto"/>
        </w:rPr>
      </w:pPr>
      <w:r>
        <w:rPr>
          <w:rFonts w:ascii="Arial" w:cs="Arial" w:eastAsia="Arial" w:hAnsi="Arial"/>
          <w:sz w:val="12"/>
          <w:szCs w:val="12"/>
          <w:color w:val="auto"/>
        </w:rPr>
        <w:t>Net Promoter Score.</w:t>
      </w:r>
    </w:p>
    <w:p>
      <w:pPr>
        <w:spacing w:after="0" w:line="3" w:lineRule="exact"/>
        <w:rPr>
          <w:rFonts w:ascii="Arial" w:cs="Arial" w:eastAsia="Arial" w:hAnsi="Arial"/>
          <w:sz w:val="12"/>
          <w:szCs w:val="12"/>
          <w:color w:val="auto"/>
        </w:rPr>
      </w:pPr>
    </w:p>
    <w:p>
      <w:pPr>
        <w:ind w:left="300" w:hanging="292"/>
        <w:spacing w:after="0"/>
        <w:tabs>
          <w:tab w:leader="none" w:pos="300" w:val="left"/>
        </w:tabs>
        <w:numPr>
          <w:ilvl w:val="0"/>
          <w:numId w:val="7"/>
        </w:numPr>
        <w:rPr>
          <w:rFonts w:ascii="Arial" w:cs="Arial" w:eastAsia="Arial" w:hAnsi="Arial"/>
          <w:sz w:val="12"/>
          <w:szCs w:val="12"/>
          <w:color w:val="auto"/>
        </w:rPr>
      </w:pPr>
      <w:r>
        <w:rPr>
          <w:rFonts w:ascii="Arial" w:cs="Arial" w:eastAsia="Arial" w:hAnsi="Arial"/>
          <w:sz w:val="12"/>
          <w:szCs w:val="12"/>
          <w:color w:val="auto"/>
        </w:rPr>
        <w:t>Monthly indicators consider the results of the last month of the quarter for the numerator and denominator.</w:t>
      </w:r>
    </w:p>
    <w:p>
      <w:pPr>
        <w:spacing w:after="0" w:line="3" w:lineRule="exact"/>
        <w:rPr>
          <w:rFonts w:ascii="Arial" w:cs="Arial" w:eastAsia="Arial" w:hAnsi="Arial"/>
          <w:sz w:val="12"/>
          <w:szCs w:val="12"/>
          <w:color w:val="auto"/>
        </w:rPr>
      </w:pPr>
    </w:p>
    <w:p>
      <w:pPr>
        <w:ind w:left="300" w:right="340" w:hanging="292"/>
        <w:spacing w:after="0" w:line="246" w:lineRule="auto"/>
        <w:tabs>
          <w:tab w:leader="none" w:pos="300" w:val="left"/>
        </w:tabs>
        <w:numPr>
          <w:ilvl w:val="0"/>
          <w:numId w:val="7"/>
        </w:numPr>
        <w:rPr>
          <w:rFonts w:ascii="Arial" w:cs="Arial" w:eastAsia="Arial" w:hAnsi="Arial"/>
          <w:sz w:val="12"/>
          <w:szCs w:val="12"/>
          <w:color w:val="auto"/>
        </w:rPr>
      </w:pPr>
      <w:r>
        <w:rPr>
          <w:rFonts w:ascii="Arial" w:cs="Arial" w:eastAsia="Arial" w:hAnsi="Arial"/>
          <w:sz w:val="12"/>
          <w:szCs w:val="12"/>
          <w:color w:val="auto"/>
        </w:rPr>
        <w:t>Beginning in 1Q25, Credicorp incorporated reclassifications between Operating Expenses and Fee Income, along with new accounting allocations—primarily related to interest expenses associated with the Deposit Insurance Fund. Figures for prior periods have been restated for comparability and may differ from those previously reported.</w:t>
      </w:r>
    </w:p>
    <w:p>
      <w:pPr>
        <w:ind w:left="300" w:right="20" w:hanging="292"/>
        <w:spacing w:after="0"/>
        <w:tabs>
          <w:tab w:leader="none" w:pos="300" w:val="left"/>
        </w:tabs>
        <w:numPr>
          <w:ilvl w:val="0"/>
          <w:numId w:val="7"/>
        </w:numPr>
        <w:rPr>
          <w:rFonts w:ascii="Arial" w:cs="Arial" w:eastAsia="Arial" w:hAnsi="Arial"/>
          <w:sz w:val="12"/>
          <w:szCs w:val="12"/>
          <w:color w:val="auto"/>
        </w:rPr>
      </w:pPr>
      <w:r>
        <w:rPr>
          <w:rFonts w:ascii="Arial" w:cs="Arial" w:eastAsia="Arial" w:hAnsi="Arial"/>
          <w:sz w:val="12"/>
          <w:szCs w:val="12"/>
          <w:color w:val="auto"/>
        </w:rPr>
        <w:t>Quarterly indicators are calculated using the sum of the three months in the period for numerator accounts, and the average of the denominator—based on the last month’s data from both the current and previous quarters.</w:t>
      </w:r>
    </w:p>
    <w:p>
      <w:pPr>
        <w:ind w:left="300" w:hanging="292"/>
        <w:spacing w:after="0"/>
        <w:tabs>
          <w:tab w:leader="none" w:pos="300" w:val="left"/>
        </w:tabs>
        <w:numPr>
          <w:ilvl w:val="0"/>
          <w:numId w:val="7"/>
        </w:numPr>
        <w:rPr>
          <w:rFonts w:ascii="Arial" w:cs="Arial" w:eastAsia="Arial" w:hAnsi="Arial"/>
          <w:sz w:val="12"/>
          <w:szCs w:val="12"/>
          <w:color w:val="auto"/>
        </w:rPr>
      </w:pPr>
      <w:r>
        <w:rPr>
          <w:rFonts w:ascii="Arial" w:cs="Arial" w:eastAsia="Arial" w:hAnsi="Arial"/>
          <w:sz w:val="12"/>
          <w:szCs w:val="12"/>
          <w:color w:val="auto"/>
        </w:rPr>
        <w:t>Total Payment Volume.</w:t>
      </w:r>
    </w:p>
    <w:p>
      <w:pPr>
        <w:spacing w:after="0" w:line="3" w:lineRule="exact"/>
        <w:rPr>
          <w:rFonts w:ascii="Arial" w:cs="Arial" w:eastAsia="Arial" w:hAnsi="Arial"/>
          <w:sz w:val="12"/>
          <w:szCs w:val="12"/>
          <w:color w:val="auto"/>
        </w:rPr>
      </w:pPr>
    </w:p>
    <w:p>
      <w:pPr>
        <w:ind w:left="300" w:hanging="292"/>
        <w:spacing w:after="0"/>
        <w:tabs>
          <w:tab w:leader="none" w:pos="300" w:val="left"/>
        </w:tabs>
        <w:numPr>
          <w:ilvl w:val="0"/>
          <w:numId w:val="7"/>
        </w:numPr>
        <w:rPr>
          <w:rFonts w:ascii="Arial" w:cs="Arial" w:eastAsia="Arial" w:hAnsi="Arial"/>
          <w:sz w:val="12"/>
          <w:szCs w:val="12"/>
          <w:color w:val="auto"/>
        </w:rPr>
      </w:pPr>
      <w:r>
        <w:rPr>
          <w:rFonts w:ascii="Arial" w:cs="Arial" w:eastAsia="Arial" w:hAnsi="Arial"/>
          <w:sz w:val="12"/>
          <w:szCs w:val="12"/>
          <w:color w:val="auto"/>
        </w:rPr>
        <w:t>Gross Merchant Volume, includes the following functionalities: Yape Promos, Yape Store, Ticketing, Gaming, Delivery, Buses, Insurance, Gas, Brand Solutions and Insurance.</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Main Financial Results</w:t>
            </w:r>
          </w:p>
        </w:tc>
        <w:tc>
          <w:tcPr>
            <w:tcW w:w="1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560" w:type="dxa"/>
            <w:vAlign w:val="bottom"/>
            <w:tcBorders>
              <w:left w:val="single" w:sz="8" w:color="auto"/>
              <w:right w:val="single" w:sz="8" w:color="auto"/>
            </w:tcBorders>
            <w:shd w:val="clear" w:color="auto" w:fill="33CCCC"/>
          </w:tcPr>
          <w:p>
            <w:pPr>
              <w:ind w:left="20"/>
              <w:spacing w:after="0" w:line="177" w:lineRule="exact"/>
              <w:rPr>
                <w:sz w:val="20"/>
                <w:szCs w:val="20"/>
                <w:color w:val="auto"/>
              </w:rPr>
            </w:pPr>
            <w:r>
              <w:rPr>
                <w:rFonts w:ascii="Arial" w:cs="Arial" w:eastAsia="Arial" w:hAnsi="Arial"/>
                <w:sz w:val="13"/>
                <w:szCs w:val="13"/>
                <w:b w:val="1"/>
                <w:bCs w:val="1"/>
                <w:color w:val="FFFFFF"/>
              </w:rPr>
              <w:t xml:space="preserve">Financial results </w:t>
            </w:r>
            <w:r>
              <w:rPr>
                <w:rFonts w:ascii="Arial" w:cs="Arial" w:eastAsia="Arial" w:hAnsi="Arial"/>
                <w:sz w:val="20"/>
                <w:szCs w:val="20"/>
                <w:b w:val="1"/>
                <w:bCs w:val="1"/>
                <w:color w:val="FFFFFF"/>
                <w:vertAlign w:val="superscript"/>
              </w:rPr>
              <w:t>(1)</w:t>
            </w:r>
          </w:p>
        </w:tc>
        <w:tc>
          <w:tcPr>
            <w:tcW w:w="1280" w:type="dxa"/>
            <w:vAlign w:val="bottom"/>
            <w:shd w:val="clear" w:color="auto" w:fill="33CCCC"/>
          </w:tcPr>
          <w:p>
            <w:pPr>
              <w:spacing w:after="0"/>
              <w:rPr>
                <w:sz w:val="15"/>
                <w:szCs w:val="15"/>
                <w:color w:val="auto"/>
              </w:rPr>
            </w:pPr>
          </w:p>
        </w:tc>
        <w:tc>
          <w:tcPr>
            <w:tcW w:w="1400" w:type="dxa"/>
            <w:vAlign w:val="bottom"/>
            <w:shd w:val="clear" w:color="auto" w:fill="33CCCC"/>
          </w:tcPr>
          <w:p>
            <w:pPr>
              <w:ind w:left="380"/>
              <w:spacing w:after="0" w:line="177" w:lineRule="exact"/>
              <w:rPr>
                <w:sz w:val="20"/>
                <w:szCs w:val="20"/>
                <w:color w:val="auto"/>
              </w:rPr>
            </w:pPr>
            <w:r>
              <w:rPr>
                <w:rFonts w:ascii="Arial" w:cs="Arial" w:eastAsia="Arial" w:hAnsi="Arial"/>
                <w:sz w:val="18"/>
                <w:szCs w:val="18"/>
                <w:b w:val="1"/>
                <w:bCs w:val="1"/>
                <w:color w:val="FFFFFF"/>
              </w:rPr>
              <w:t>Quarter</w:t>
            </w:r>
          </w:p>
        </w:tc>
        <w:tc>
          <w:tcPr>
            <w:tcW w:w="1320" w:type="dxa"/>
            <w:vAlign w:val="bottom"/>
            <w:tcBorders>
              <w:right w:val="single" w:sz="8" w:color="auto"/>
            </w:tcBorders>
            <w:shd w:val="clear" w:color="auto" w:fill="33CCCC"/>
          </w:tcPr>
          <w:p>
            <w:pPr>
              <w:spacing w:after="0"/>
              <w:rPr>
                <w:sz w:val="15"/>
                <w:szCs w:val="15"/>
                <w:color w:val="auto"/>
              </w:rPr>
            </w:pPr>
          </w:p>
        </w:tc>
        <w:tc>
          <w:tcPr>
            <w:tcW w:w="2680" w:type="dxa"/>
            <w:vAlign w:val="bottom"/>
            <w:tcBorders>
              <w:right w:val="single" w:sz="8" w:color="auto"/>
            </w:tcBorders>
            <w:gridSpan w:val="2"/>
            <w:shd w:val="clear" w:color="auto" w:fill="33CCCC"/>
          </w:tcPr>
          <w:p>
            <w:pPr>
              <w:ind w:left="900"/>
              <w:spacing w:after="0" w:line="177" w:lineRule="exact"/>
              <w:rPr>
                <w:sz w:val="20"/>
                <w:szCs w:val="20"/>
                <w:color w:val="auto"/>
              </w:rPr>
            </w:pPr>
            <w:r>
              <w:rPr>
                <w:rFonts w:ascii="Arial" w:cs="Arial" w:eastAsia="Arial" w:hAnsi="Arial"/>
                <w:sz w:val="18"/>
                <w:szCs w:val="18"/>
                <w:b w:val="1"/>
                <w:bCs w:val="1"/>
                <w:color w:val="FFFFFF"/>
              </w:rPr>
              <w:t>Change %</w:t>
            </w:r>
          </w:p>
        </w:tc>
        <w:tc>
          <w:tcPr>
            <w:tcW w:w="0" w:type="dxa"/>
            <w:vAlign w:val="bottom"/>
          </w:tcPr>
          <w:p>
            <w:pPr>
              <w:spacing w:after="0"/>
              <w:rPr>
                <w:sz w:val="1"/>
                <w:szCs w:val="1"/>
                <w:color w:val="auto"/>
              </w:rPr>
            </w:pPr>
          </w:p>
        </w:tc>
      </w:tr>
      <w:tr>
        <w:trPr>
          <w:trHeight w:val="221"/>
        </w:trPr>
        <w:tc>
          <w:tcPr>
            <w:tcW w:w="4560" w:type="dxa"/>
            <w:vAlign w:val="bottom"/>
            <w:tcBorders>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8"/>
                <w:szCs w:val="18"/>
                <w:b w:val="1"/>
                <w:bCs w:val="1"/>
                <w:color w:val="FFFFFF"/>
              </w:rPr>
              <w:t>S/ millions</w:t>
            </w:r>
          </w:p>
        </w:tc>
        <w:tc>
          <w:tcPr>
            <w:tcW w:w="1280" w:type="dxa"/>
            <w:vAlign w:val="bottom"/>
            <w:vMerge w:val="restart"/>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1Q24</w:t>
            </w:r>
          </w:p>
        </w:tc>
        <w:tc>
          <w:tcPr>
            <w:tcW w:w="1400" w:type="dxa"/>
            <w:vAlign w:val="bottom"/>
            <w:vMerge w:val="restart"/>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4Q24</w:t>
            </w:r>
          </w:p>
        </w:tc>
        <w:tc>
          <w:tcPr>
            <w:tcW w:w="1320" w:type="dxa"/>
            <w:vAlign w:val="bottom"/>
            <w:tcBorders>
              <w:right w:val="single" w:sz="8" w:color="auto"/>
            </w:tcBorders>
            <w:vMerge w:val="restart"/>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1Q25</w:t>
            </w:r>
          </w:p>
        </w:tc>
        <w:tc>
          <w:tcPr>
            <w:tcW w:w="1300" w:type="dxa"/>
            <w:vAlign w:val="bottom"/>
            <w:vMerge w:val="restart"/>
            <w:shd w:val="clear" w:color="auto" w:fill="33CCCC"/>
          </w:tcPr>
          <w:p>
            <w:pPr>
              <w:ind w:left="460"/>
              <w:spacing w:after="0"/>
              <w:rPr>
                <w:sz w:val="20"/>
                <w:szCs w:val="20"/>
                <w:color w:val="auto"/>
              </w:rPr>
            </w:pPr>
            <w:r>
              <w:rPr>
                <w:rFonts w:ascii="Arial" w:cs="Arial" w:eastAsia="Arial" w:hAnsi="Arial"/>
                <w:sz w:val="18"/>
                <w:szCs w:val="18"/>
                <w:b w:val="1"/>
                <w:bCs w:val="1"/>
                <w:color w:val="FFFFFF"/>
              </w:rPr>
              <w:t>QoQ</w:t>
            </w:r>
          </w:p>
        </w:tc>
        <w:tc>
          <w:tcPr>
            <w:tcW w:w="1380" w:type="dxa"/>
            <w:vAlign w:val="bottom"/>
            <w:tcBorders>
              <w:right w:val="single" w:sz="8" w:color="auto"/>
            </w:tcBorders>
            <w:vMerge w:val="restart"/>
            <w:shd w:val="clear" w:color="auto" w:fill="33CCCC"/>
          </w:tcPr>
          <w:p>
            <w:pPr>
              <w:ind w:left="520"/>
              <w:spacing w:after="0"/>
              <w:rPr>
                <w:sz w:val="20"/>
                <w:szCs w:val="20"/>
                <w:color w:val="auto"/>
              </w:rPr>
            </w:pPr>
            <w:r>
              <w:rPr>
                <w:rFonts w:ascii="Arial" w:cs="Arial" w:eastAsia="Arial" w:hAnsi="Arial"/>
                <w:sz w:val="18"/>
                <w:szCs w:val="18"/>
                <w:b w:val="1"/>
                <w:bCs w:val="1"/>
                <w:color w:val="FFFFFF"/>
              </w:rPr>
              <w:t>YoY</w:t>
            </w:r>
          </w:p>
        </w:tc>
        <w:tc>
          <w:tcPr>
            <w:tcW w:w="0" w:type="dxa"/>
            <w:vAlign w:val="bottom"/>
          </w:tcPr>
          <w:p>
            <w:pPr>
              <w:spacing w:after="0"/>
              <w:rPr>
                <w:sz w:val="1"/>
                <w:szCs w:val="1"/>
                <w:color w:val="auto"/>
              </w:rPr>
            </w:pPr>
          </w:p>
        </w:tc>
      </w:tr>
      <w:tr>
        <w:trPr>
          <w:trHeight w:val="203"/>
        </w:trPr>
        <w:tc>
          <w:tcPr>
            <w:tcW w:w="4560" w:type="dxa"/>
            <w:vAlign w:val="bottom"/>
            <w:tcBorders>
              <w:left w:val="single" w:sz="8" w:color="auto"/>
              <w:bottom w:val="single" w:sz="8" w:color="auto"/>
              <w:right w:val="single" w:sz="8" w:color="auto"/>
            </w:tcBorders>
            <w:shd w:val="clear" w:color="auto" w:fill="33CCCC"/>
          </w:tcPr>
          <w:p>
            <w:pPr>
              <w:spacing w:after="0"/>
              <w:rPr>
                <w:sz w:val="17"/>
                <w:szCs w:val="17"/>
                <w:color w:val="auto"/>
              </w:rPr>
            </w:pPr>
          </w:p>
        </w:tc>
        <w:tc>
          <w:tcPr>
            <w:tcW w:w="1280" w:type="dxa"/>
            <w:vAlign w:val="bottom"/>
            <w:tcBorders>
              <w:bottom w:val="single" w:sz="8" w:color="auto"/>
            </w:tcBorders>
            <w:vMerge w:val="continue"/>
            <w:shd w:val="clear" w:color="auto" w:fill="33CCCC"/>
          </w:tcPr>
          <w:p>
            <w:pPr>
              <w:spacing w:after="0"/>
              <w:rPr>
                <w:sz w:val="17"/>
                <w:szCs w:val="17"/>
                <w:color w:val="auto"/>
              </w:rPr>
            </w:pPr>
          </w:p>
        </w:tc>
        <w:tc>
          <w:tcPr>
            <w:tcW w:w="1400" w:type="dxa"/>
            <w:vAlign w:val="bottom"/>
            <w:tcBorders>
              <w:bottom w:val="single" w:sz="8" w:color="auto"/>
            </w:tcBorders>
            <w:vMerge w:val="continue"/>
            <w:shd w:val="clear" w:color="auto" w:fill="33CCCC"/>
          </w:tcPr>
          <w:p>
            <w:pPr>
              <w:spacing w:after="0"/>
              <w:rPr>
                <w:sz w:val="17"/>
                <w:szCs w:val="17"/>
                <w:color w:val="auto"/>
              </w:rPr>
            </w:pPr>
          </w:p>
        </w:tc>
        <w:tc>
          <w:tcPr>
            <w:tcW w:w="1320" w:type="dxa"/>
            <w:vAlign w:val="bottom"/>
            <w:tcBorders>
              <w:bottom w:val="single" w:sz="8" w:color="auto"/>
              <w:right w:val="single" w:sz="8" w:color="auto"/>
            </w:tcBorders>
            <w:vMerge w:val="continue"/>
            <w:shd w:val="clear" w:color="auto" w:fill="33CCCC"/>
          </w:tcPr>
          <w:p>
            <w:pPr>
              <w:spacing w:after="0"/>
              <w:rPr>
                <w:sz w:val="17"/>
                <w:szCs w:val="17"/>
                <w:color w:val="auto"/>
              </w:rPr>
            </w:pPr>
          </w:p>
        </w:tc>
        <w:tc>
          <w:tcPr>
            <w:tcW w:w="1300" w:type="dxa"/>
            <w:vAlign w:val="bottom"/>
            <w:tcBorders>
              <w:bottom w:val="single" w:sz="8" w:color="auto"/>
            </w:tcBorders>
            <w:vMerge w:val="continue"/>
            <w:shd w:val="clear" w:color="auto" w:fill="33CCCC"/>
          </w:tcPr>
          <w:p>
            <w:pPr>
              <w:spacing w:after="0"/>
              <w:rPr>
                <w:sz w:val="17"/>
                <w:szCs w:val="17"/>
                <w:color w:val="auto"/>
              </w:rPr>
            </w:pPr>
          </w:p>
        </w:tc>
        <w:tc>
          <w:tcPr>
            <w:tcW w:w="1380" w:type="dxa"/>
            <w:vAlign w:val="bottom"/>
            <w:tcBorders>
              <w:bottom w:val="single" w:sz="8" w:color="auto"/>
              <w:right w:val="single" w:sz="8" w:color="auto"/>
            </w:tcBorders>
            <w:vMerge w:val="continue"/>
            <w:shd w:val="clear" w:color="auto" w:fill="33CCC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56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3"/>
                <w:szCs w:val="13"/>
                <w:color w:val="auto"/>
              </w:rPr>
              <w:t xml:space="preserve">Net Interest Income after Provisions </w:t>
            </w:r>
            <w:r>
              <w:rPr>
                <w:rFonts w:ascii="Arial" w:cs="Arial" w:eastAsia="Arial" w:hAnsi="Arial"/>
                <w:sz w:val="19"/>
                <w:szCs w:val="19"/>
                <w:color w:val="auto"/>
                <w:vertAlign w:val="superscript"/>
              </w:rPr>
              <w:t>(2)</w:t>
            </w:r>
          </w:p>
        </w:tc>
        <w:tc>
          <w:tcPr>
            <w:tcW w:w="1280" w:type="dxa"/>
            <w:vAlign w:val="bottom"/>
          </w:tcPr>
          <w:p>
            <w:pPr>
              <w:jc w:val="center"/>
              <w:spacing w:after="0" w:line="168" w:lineRule="exact"/>
              <w:rPr>
                <w:sz w:val="20"/>
                <w:szCs w:val="20"/>
                <w:color w:val="auto"/>
              </w:rPr>
            </w:pPr>
            <w:r>
              <w:rPr>
                <w:rFonts w:ascii="Arial" w:cs="Arial" w:eastAsia="Arial" w:hAnsi="Arial"/>
                <w:sz w:val="18"/>
                <w:szCs w:val="18"/>
                <w:color w:val="auto"/>
                <w:w w:val="96"/>
              </w:rPr>
              <w:t>50.7</w:t>
            </w:r>
          </w:p>
        </w:tc>
        <w:tc>
          <w:tcPr>
            <w:tcW w:w="1400" w:type="dxa"/>
            <w:vAlign w:val="bottom"/>
          </w:tcPr>
          <w:p>
            <w:pPr>
              <w:jc w:val="center"/>
              <w:spacing w:after="0" w:line="168" w:lineRule="exact"/>
              <w:rPr>
                <w:sz w:val="20"/>
                <w:szCs w:val="20"/>
                <w:color w:val="auto"/>
              </w:rPr>
            </w:pPr>
            <w:r>
              <w:rPr>
                <w:rFonts w:ascii="Arial" w:cs="Arial" w:eastAsia="Arial" w:hAnsi="Arial"/>
                <w:sz w:val="18"/>
                <w:szCs w:val="18"/>
                <w:color w:val="auto"/>
              </w:rPr>
              <w:t>88.3</w:t>
            </w:r>
          </w:p>
        </w:tc>
        <w:tc>
          <w:tcPr>
            <w:tcW w:w="132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8"/>
                <w:szCs w:val="18"/>
                <w:color w:val="auto"/>
                <w:w w:val="96"/>
              </w:rPr>
              <w:t>93.0</w:t>
            </w:r>
          </w:p>
        </w:tc>
        <w:tc>
          <w:tcPr>
            <w:tcW w:w="1300" w:type="dxa"/>
            <w:vAlign w:val="bottom"/>
          </w:tcPr>
          <w:p>
            <w:pPr>
              <w:jc w:val="center"/>
              <w:spacing w:after="0" w:line="168" w:lineRule="exact"/>
              <w:rPr>
                <w:sz w:val="20"/>
                <w:szCs w:val="20"/>
                <w:color w:val="auto"/>
              </w:rPr>
            </w:pPr>
            <w:r>
              <w:rPr>
                <w:rFonts w:ascii="Arial" w:cs="Arial" w:eastAsia="Arial" w:hAnsi="Arial"/>
                <w:sz w:val="18"/>
                <w:szCs w:val="18"/>
                <w:color w:val="auto"/>
                <w:w w:val="97"/>
              </w:rPr>
              <w:t>5.3%</w:t>
            </w:r>
          </w:p>
        </w:tc>
        <w:tc>
          <w:tcPr>
            <w:tcW w:w="138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8"/>
                <w:szCs w:val="18"/>
                <w:color w:val="auto"/>
                <w:w w:val="97"/>
              </w:rPr>
              <w:t>83.6%</w:t>
            </w:r>
          </w:p>
        </w:tc>
        <w:tc>
          <w:tcPr>
            <w:tcW w:w="0" w:type="dxa"/>
            <w:vAlign w:val="bottom"/>
          </w:tcPr>
          <w:p>
            <w:pPr>
              <w:spacing w:after="0"/>
              <w:rPr>
                <w:sz w:val="1"/>
                <w:szCs w:val="1"/>
                <w:color w:val="auto"/>
              </w:rPr>
            </w:pPr>
          </w:p>
        </w:tc>
      </w:tr>
      <w:tr>
        <w:trPr>
          <w:trHeight w:val="231"/>
        </w:trPr>
        <w:tc>
          <w:tcPr>
            <w:tcW w:w="4560" w:type="dxa"/>
            <w:vAlign w:val="bottom"/>
            <w:tcBorders>
              <w:left w:val="single" w:sz="8" w:color="auto"/>
              <w:bottom w:val="single" w:sz="8" w:color="auto"/>
              <w:right w:val="single" w:sz="8" w:color="auto"/>
            </w:tcBorders>
          </w:tcPr>
          <w:p>
            <w:pPr>
              <w:ind w:left="20"/>
              <w:spacing w:after="0" w:line="231" w:lineRule="exact"/>
              <w:rPr>
                <w:sz w:val="20"/>
                <w:szCs w:val="20"/>
                <w:color w:val="auto"/>
              </w:rPr>
            </w:pPr>
            <w:r>
              <w:rPr>
                <w:rFonts w:ascii="Arial" w:cs="Arial" w:eastAsia="Arial" w:hAnsi="Arial"/>
                <w:sz w:val="16"/>
                <w:szCs w:val="16"/>
                <w:color w:val="auto"/>
              </w:rPr>
              <w:t xml:space="preserve">Other Income </w:t>
            </w:r>
            <w:r>
              <w:rPr>
                <w:rFonts w:ascii="Arial" w:cs="Arial" w:eastAsia="Arial" w:hAnsi="Arial"/>
                <w:sz w:val="26"/>
                <w:szCs w:val="26"/>
                <w:color w:val="auto"/>
                <w:vertAlign w:val="superscript"/>
              </w:rPr>
              <w:t>(3)</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59.7</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127.7</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141.6</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10.9%</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196"/>
        </w:trPr>
        <w:tc>
          <w:tcPr>
            <w:tcW w:w="45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Total Income</w:t>
            </w:r>
          </w:p>
        </w:tc>
        <w:tc>
          <w:tcPr>
            <w:tcW w:w="12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110.4</w:t>
            </w:r>
          </w:p>
        </w:tc>
        <w:tc>
          <w:tcPr>
            <w:tcW w:w="14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216.0</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234.6</w:t>
            </w:r>
          </w:p>
        </w:tc>
        <w:tc>
          <w:tcPr>
            <w:tcW w:w="13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8.6%</w:t>
            </w:r>
          </w:p>
        </w:tc>
        <w:tc>
          <w:tcPr>
            <w:tcW w:w="1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112.5%</w:t>
            </w:r>
          </w:p>
        </w:tc>
        <w:tc>
          <w:tcPr>
            <w:tcW w:w="0" w:type="dxa"/>
            <w:vAlign w:val="bottom"/>
          </w:tcPr>
          <w:p>
            <w:pPr>
              <w:spacing w:after="0"/>
              <w:rPr>
                <w:sz w:val="1"/>
                <w:szCs w:val="1"/>
                <w:color w:val="auto"/>
              </w:rPr>
            </w:pPr>
          </w:p>
        </w:tc>
      </w:tr>
      <w:tr>
        <w:trPr>
          <w:trHeight w:val="196"/>
        </w:trPr>
        <w:tc>
          <w:tcPr>
            <w:tcW w:w="45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12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-128.8</w:t>
            </w:r>
          </w:p>
        </w:tc>
        <w:tc>
          <w:tcPr>
            <w:tcW w:w="14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-181.3</w:t>
            </w:r>
          </w:p>
        </w:tc>
        <w:tc>
          <w:tcPr>
            <w:tcW w:w="13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-179.1</w:t>
            </w:r>
          </w:p>
        </w:tc>
        <w:tc>
          <w:tcPr>
            <w:tcW w:w="13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-1.2%</w:t>
            </w:r>
          </w:p>
        </w:tc>
        <w:tc>
          <w:tcPr>
            <w:tcW w:w="1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39.1%</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00" w:right="140" w:hanging="292"/>
        <w:spacing w:after="0" w:line="243" w:lineRule="auto"/>
        <w:tabs>
          <w:tab w:leader="none" w:pos="300" w:val="left"/>
        </w:tabs>
        <w:numPr>
          <w:ilvl w:val="0"/>
          <w:numId w:val="8"/>
        </w:numPr>
        <w:rPr>
          <w:rFonts w:ascii="Arial" w:cs="Arial" w:eastAsia="Arial" w:hAnsi="Arial"/>
          <w:sz w:val="12"/>
          <w:szCs w:val="12"/>
          <w:color w:val="auto"/>
        </w:rPr>
      </w:pPr>
      <w:r>
        <w:rPr>
          <w:rFonts w:ascii="Arial" w:cs="Arial" w:eastAsia="Arial" w:hAnsi="Arial"/>
          <w:sz w:val="12"/>
          <w:szCs w:val="12"/>
          <w:color w:val="auto"/>
        </w:rPr>
        <w:t>Management figures. Beginning in 1Q25, reclassifications between Operating Expenses and Fee Income have been incorporated, along with new accounting allocations — primarily related to interest expenses associated with the Deposit Insurance Fund. Figures for prior periods have been restated for comparability and may differ from those previously reported.</w:t>
      </w:r>
    </w:p>
    <w:p>
      <w:pPr>
        <w:ind w:left="300" w:hanging="292"/>
        <w:spacing w:after="0"/>
        <w:tabs>
          <w:tab w:leader="none" w:pos="30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interest income, interest expense and net provisions.</w:t>
      </w:r>
    </w:p>
    <w:p>
      <w:pPr>
        <w:spacing w:after="0" w:line="3" w:lineRule="exact"/>
        <w:rPr>
          <w:rFonts w:ascii="Arial" w:cs="Arial" w:eastAsia="Arial" w:hAnsi="Arial"/>
          <w:sz w:val="12"/>
          <w:szCs w:val="12"/>
          <w:color w:val="auto"/>
        </w:rPr>
      </w:pPr>
    </w:p>
    <w:p>
      <w:pPr>
        <w:ind w:left="300" w:hanging="292"/>
        <w:spacing w:after="0"/>
        <w:tabs>
          <w:tab w:leader="none" w:pos="30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Other Income recorded in BCP and in Yape Market.</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6" w:name="page17"/>
    <w:bookmarkEnd w:id="16"/>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540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54038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4"/>
          <w:szCs w:val="14"/>
          <w:color w:val="ED3FA8"/>
        </w:rPr>
        <w:t>Analysis of 1Q25 Consolidated Results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FFFFFF"/>
        </w:rPr>
        <w:t>Credicorp’s Strategy Update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20"/>
                <w:szCs w:val="20"/>
                <w:color w:val="auto"/>
              </w:rPr>
            </w:pPr>
            <w:r>
              <w:rPr>
                <w:rFonts w:ascii="Arial" w:cs="Arial" w:eastAsia="Arial" w:hAnsi="Arial"/>
                <w:sz w:val="18"/>
                <w:szCs w:val="18"/>
                <w:b w:val="1"/>
                <w:bCs w:val="1"/>
                <w:color w:val="auto"/>
              </w:rPr>
              <w:t>Operating Results</w:t>
            </w:r>
          </w:p>
        </w:tc>
        <w:tc>
          <w:tcPr>
            <w:tcW w:w="544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Evolution of MAU, # of Transactions and # of Functionalities</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At the end of 1Q25, Yape reached the 14.3-million monthly active</w:t>
            </w:r>
          </w:p>
        </w:tc>
        <w:tc>
          <w:tcPr>
            <w:tcW w:w="5440" w:type="dxa"/>
            <w:vAlign w:val="bottom"/>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users (MAU) mark after having registered growth of more than half</w:t>
            </w:r>
          </w:p>
        </w:tc>
        <w:tc>
          <w:tcPr>
            <w:tcW w:w="5440" w:type="dxa"/>
            <w:vAlign w:val="bottom"/>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a million users per quarter. These MAUs represent 72% of the</w:t>
            </w:r>
          </w:p>
        </w:tc>
        <w:tc>
          <w:tcPr>
            <w:tcW w:w="5440" w:type="dxa"/>
            <w:vAlign w:val="bottom"/>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economically active population, which attests to Yape’s popularity.</w:t>
            </w:r>
          </w:p>
        </w:tc>
        <w:tc>
          <w:tcPr>
            <w:tcW w:w="5440" w:type="dxa"/>
            <w:vAlign w:val="bottom"/>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We aspire to reach 16.5 million MAU in 2026, as we focus on</w:t>
            </w:r>
          </w:p>
        </w:tc>
        <w:tc>
          <w:tcPr>
            <w:tcW w:w="5440" w:type="dxa"/>
            <w:vAlign w:val="bottom"/>
          </w:tcPr>
          <w:p>
            <w:pPr>
              <w:spacing w:after="0"/>
              <w:rPr>
                <w:sz w:val="17"/>
                <w:szCs w:val="17"/>
                <w:color w:val="auto"/>
              </w:rPr>
            </w:pPr>
          </w:p>
        </w:tc>
      </w:tr>
      <w:tr>
        <w:trPr>
          <w:trHeight w:val="239"/>
        </w:trPr>
        <w:tc>
          <w:tcPr>
            <w:tcW w:w="5680" w:type="dxa"/>
            <w:vAlign w:val="bottom"/>
          </w:tcPr>
          <w:p>
            <w:pPr>
              <w:spacing w:after="0"/>
              <w:rPr>
                <w:sz w:val="20"/>
                <w:szCs w:val="20"/>
                <w:color w:val="auto"/>
              </w:rPr>
            </w:pPr>
            <w:r>
              <w:rPr>
                <w:rFonts w:ascii="Arial" w:cs="Arial" w:eastAsia="Arial" w:hAnsi="Arial"/>
                <w:sz w:val="18"/>
                <w:szCs w:val="18"/>
                <w:color w:val="auto"/>
              </w:rPr>
              <w:t>increasing the share of Yaperos that generate fee income.</w:t>
            </w:r>
          </w:p>
        </w:tc>
        <w:tc>
          <w:tcPr>
            <w:tcW w:w="5440" w:type="dxa"/>
            <w:vAlign w:val="bottom"/>
          </w:tcPr>
          <w:p>
            <w:pPr>
              <w:spacing w:after="0"/>
              <w:rPr>
                <w:sz w:val="20"/>
                <w:szCs w:val="20"/>
                <w:color w:val="auto"/>
              </w:rPr>
            </w:pPr>
          </w:p>
        </w:tc>
      </w:tr>
      <w:tr>
        <w:trPr>
          <w:trHeight w:val="369"/>
        </w:trPr>
        <w:tc>
          <w:tcPr>
            <w:tcW w:w="5680" w:type="dxa"/>
            <w:vAlign w:val="bottom"/>
          </w:tcPr>
          <w:p>
            <w:pPr>
              <w:spacing w:after="0"/>
              <w:rPr>
                <w:sz w:val="20"/>
                <w:szCs w:val="20"/>
                <w:color w:val="auto"/>
              </w:rPr>
            </w:pPr>
            <w:r>
              <w:rPr>
                <w:rFonts w:ascii="Arial" w:cs="Arial" w:eastAsia="Arial" w:hAnsi="Arial"/>
                <w:sz w:val="18"/>
                <w:szCs w:val="18"/>
                <w:color w:val="auto"/>
              </w:rPr>
              <w:t>Monthly transactions per MAU situated at 52.1, which is proof that</w:t>
            </w:r>
          </w:p>
        </w:tc>
        <w:tc>
          <w:tcPr>
            <w:tcW w:w="5440" w:type="dxa"/>
            <w:vAlign w:val="bottom"/>
          </w:tcPr>
          <w:p>
            <w:pPr>
              <w:spacing w:after="0"/>
              <w:rPr>
                <w:sz w:val="24"/>
                <w:szCs w:val="24"/>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Yape has become part of Peruvians’ day-to-day. The average</w:t>
            </w:r>
          </w:p>
        </w:tc>
        <w:tc>
          <w:tcPr>
            <w:tcW w:w="5440" w:type="dxa"/>
            <w:vAlign w:val="bottom"/>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number  of  functionalities  used  per  MAU  has  been  growing</w:t>
            </w:r>
          </w:p>
        </w:tc>
        <w:tc>
          <w:tcPr>
            <w:tcW w:w="5440" w:type="dxa"/>
            <w:vAlign w:val="bottom"/>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sustainedly, as users start learning about and using the rest of the</w:t>
            </w:r>
          </w:p>
        </w:tc>
        <w:tc>
          <w:tcPr>
            <w:tcW w:w="5440" w:type="dxa"/>
            <w:vAlign w:val="bottom"/>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functionalities available in the app. These indicators of engagement</w:t>
            </w:r>
          </w:p>
        </w:tc>
        <w:tc>
          <w:tcPr>
            <w:tcW w:w="5440" w:type="dxa"/>
            <w:vAlign w:val="bottom"/>
          </w:tcPr>
          <w:p>
            <w:pPr>
              <w:spacing w:after="0"/>
              <w:rPr>
                <w:sz w:val="17"/>
                <w:szCs w:val="17"/>
                <w:color w:val="auto"/>
              </w:rPr>
            </w:pPr>
          </w:p>
        </w:tc>
      </w:tr>
      <w:tr>
        <w:trPr>
          <w:trHeight w:val="239"/>
        </w:trPr>
        <w:tc>
          <w:tcPr>
            <w:tcW w:w="5680" w:type="dxa"/>
            <w:vAlign w:val="bottom"/>
          </w:tcPr>
          <w:p>
            <w:pPr>
              <w:spacing w:after="0"/>
              <w:rPr>
                <w:sz w:val="20"/>
                <w:szCs w:val="20"/>
                <w:color w:val="auto"/>
              </w:rPr>
            </w:pPr>
            <w:r>
              <w:rPr>
                <w:rFonts w:ascii="Arial" w:cs="Arial" w:eastAsia="Arial" w:hAnsi="Arial"/>
                <w:sz w:val="18"/>
                <w:szCs w:val="18"/>
                <w:color w:val="auto"/>
              </w:rPr>
              <w:t>attest to Yape’s usability.</w:t>
            </w:r>
          </w:p>
        </w:tc>
        <w:tc>
          <w:tcPr>
            <w:tcW w:w="5440" w:type="dxa"/>
            <w:vAlign w:val="bottom"/>
          </w:tcPr>
          <w:p>
            <w:pPr>
              <w:spacing w:after="0"/>
              <w:rPr>
                <w:sz w:val="20"/>
                <w:szCs w:val="20"/>
                <w:color w:val="auto"/>
              </w:rPr>
            </w:pPr>
          </w:p>
        </w:tc>
      </w:tr>
      <w:tr>
        <w:trPr>
          <w:trHeight w:val="396"/>
        </w:trPr>
        <w:tc>
          <w:tcPr>
            <w:tcW w:w="5680" w:type="dxa"/>
            <w:vAlign w:val="bottom"/>
          </w:tcPr>
          <w:p>
            <w:pPr>
              <w:spacing w:after="0"/>
              <w:rPr>
                <w:sz w:val="20"/>
                <w:szCs w:val="20"/>
                <w:color w:val="auto"/>
              </w:rPr>
            </w:pPr>
            <w:r>
              <w:rPr>
                <w:rFonts w:ascii="Arial" w:cs="Arial" w:eastAsia="Arial" w:hAnsi="Arial"/>
                <w:sz w:val="18"/>
                <w:szCs w:val="18"/>
                <w:b w:val="1"/>
                <w:bCs w:val="1"/>
                <w:color w:val="auto"/>
              </w:rPr>
              <w:t>Monetization Drivers</w:t>
            </w:r>
          </w:p>
        </w:tc>
        <w:tc>
          <w:tcPr>
            <w:tcW w:w="5440" w:type="dxa"/>
            <w:vAlign w:val="bottom"/>
          </w:tcPr>
          <w:p>
            <w:pPr>
              <w:spacing w:after="0"/>
              <w:rPr>
                <w:sz w:val="24"/>
                <w:szCs w:val="24"/>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Yape is advancing in its monetization strategy, where the gap</w:t>
            </w:r>
          </w:p>
        </w:tc>
        <w:tc>
          <w:tcPr>
            <w:tcW w:w="544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Evolution of monthly revenue and expenses / MAU</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between monthly income (S/6.2) and expense (S/4.7) per MAU</w:t>
            </w:r>
          </w:p>
        </w:tc>
        <w:tc>
          <w:tcPr>
            <w:tcW w:w="5440" w:type="dxa"/>
            <w:vAlign w:val="bottom"/>
          </w:tcPr>
          <w:p>
            <w:pPr>
              <w:spacing w:after="0"/>
              <w:rPr>
                <w:sz w:val="17"/>
                <w:szCs w:val="17"/>
                <w:color w:val="auto"/>
              </w:rPr>
            </w:pPr>
          </w:p>
        </w:tc>
      </w:tr>
      <w:tr>
        <w:trPr>
          <w:trHeight w:val="239"/>
        </w:trPr>
        <w:tc>
          <w:tcPr>
            <w:tcW w:w="5680" w:type="dxa"/>
            <w:vAlign w:val="bottom"/>
          </w:tcPr>
          <w:p>
            <w:pPr>
              <w:spacing w:after="0"/>
              <w:rPr>
                <w:sz w:val="20"/>
                <w:szCs w:val="20"/>
                <w:color w:val="auto"/>
              </w:rPr>
            </w:pPr>
            <w:r>
              <w:rPr>
                <w:rFonts w:ascii="Arial" w:cs="Arial" w:eastAsia="Arial" w:hAnsi="Arial"/>
                <w:sz w:val="18"/>
                <w:szCs w:val="18"/>
                <w:color w:val="auto"/>
              </w:rPr>
              <w:t>continues to widen steadily.</w:t>
            </w:r>
          </w:p>
        </w:tc>
        <w:tc>
          <w:tcPr>
            <w:tcW w:w="5440" w:type="dxa"/>
            <w:vAlign w:val="bottom"/>
          </w:tcPr>
          <w:p>
            <w:pPr>
              <w:spacing w:after="0"/>
              <w:rPr>
                <w:sz w:val="20"/>
                <w:szCs w:val="20"/>
                <w:color w:val="auto"/>
              </w:rPr>
            </w:pPr>
          </w:p>
        </w:tc>
      </w:tr>
      <w:tr>
        <w:trPr>
          <w:trHeight w:val="396"/>
        </w:trPr>
        <w:tc>
          <w:tcPr>
            <w:tcW w:w="5680" w:type="dxa"/>
            <w:vAlign w:val="bottom"/>
          </w:tcPr>
          <w:p>
            <w:pPr>
              <w:spacing w:after="0"/>
              <w:rPr>
                <w:sz w:val="20"/>
                <w:szCs w:val="20"/>
                <w:color w:val="auto"/>
              </w:rPr>
            </w:pPr>
            <w:r>
              <w:rPr>
                <w:rFonts w:ascii="Arial" w:cs="Arial" w:eastAsia="Arial" w:hAnsi="Arial"/>
                <w:sz w:val="18"/>
                <w:szCs w:val="18"/>
                <w:color w:val="auto"/>
              </w:rPr>
              <w:t>The  main  driver  in  Yape’s  monetization  continues  to  be  the</w:t>
            </w:r>
          </w:p>
        </w:tc>
        <w:tc>
          <w:tcPr>
            <w:tcW w:w="5440" w:type="dxa"/>
            <w:vAlign w:val="bottom"/>
          </w:tcPr>
          <w:p>
            <w:pPr>
              <w:spacing w:after="0"/>
              <w:rPr>
                <w:sz w:val="24"/>
                <w:szCs w:val="24"/>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Payments </w:t>
            </w:r>
            <w:r>
              <w:rPr>
                <w:rFonts w:ascii="Arial" w:cs="Arial" w:eastAsia="Arial" w:hAnsi="Arial"/>
                <w:sz w:val="18"/>
                <w:szCs w:val="18"/>
                <w:color w:val="auto"/>
              </w:rPr>
              <w:t>business, where Bill Payment transactions totaled 45.0</w:t>
            </w:r>
          </w:p>
        </w:tc>
        <w:tc>
          <w:tcPr>
            <w:tcW w:w="5440" w:type="dxa"/>
            <w:vAlign w:val="bottom"/>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million. This growth was driven mainly by expansion in the number</w:t>
            </w:r>
          </w:p>
        </w:tc>
        <w:tc>
          <w:tcPr>
            <w:tcW w:w="5440" w:type="dxa"/>
            <w:vAlign w:val="bottom"/>
          </w:tcPr>
          <w:p>
            <w:pPr>
              <w:spacing w:after="0"/>
              <w:rPr>
                <w:sz w:val="17"/>
                <w:szCs w:val="17"/>
                <w:color w:val="auto"/>
              </w:rPr>
            </w:pPr>
          </w:p>
        </w:tc>
      </w:tr>
      <w:tr>
        <w:trPr>
          <w:trHeight w:val="202"/>
        </w:trPr>
        <w:tc>
          <w:tcPr>
            <w:tcW w:w="5680" w:type="dxa"/>
            <w:vAlign w:val="bottom"/>
          </w:tcPr>
          <w:p>
            <w:pPr>
              <w:spacing w:after="0" w:line="202" w:lineRule="exact"/>
              <w:rPr>
                <w:sz w:val="20"/>
                <w:szCs w:val="20"/>
                <w:color w:val="auto"/>
              </w:rPr>
            </w:pPr>
            <w:r>
              <w:rPr>
                <w:rFonts w:ascii="Arial" w:cs="Arial" w:eastAsia="Arial" w:hAnsi="Arial"/>
                <w:sz w:val="18"/>
                <w:szCs w:val="18"/>
                <w:color w:val="auto"/>
              </w:rPr>
              <w:t>of affiliated establishments and due to the increase in MAUs using</w:t>
            </w:r>
          </w:p>
        </w:tc>
        <w:tc>
          <w:tcPr>
            <w:tcW w:w="5440" w:type="dxa"/>
            <w:vAlign w:val="bottom"/>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 xml:space="preserve">the functionality. In the </w:t>
            </w:r>
            <w:r>
              <w:rPr>
                <w:rFonts w:ascii="Arial" w:cs="Arial" w:eastAsia="Arial" w:hAnsi="Arial"/>
                <w:sz w:val="18"/>
                <w:szCs w:val="18"/>
                <w:b w:val="1"/>
                <w:bCs w:val="1"/>
                <w:color w:val="auto"/>
              </w:rPr>
              <w:t>Financial</w:t>
            </w:r>
            <w:r>
              <w:rPr>
                <w:rFonts w:ascii="Arial" w:cs="Arial" w:eastAsia="Arial" w:hAnsi="Arial"/>
                <w:sz w:val="18"/>
                <w:szCs w:val="18"/>
                <w:color w:val="auto"/>
              </w:rPr>
              <w:t xml:space="preserve"> business, floating volumes have</w:t>
            </w:r>
          </w:p>
        </w:tc>
        <w:tc>
          <w:tcPr>
            <w:tcW w:w="5440" w:type="dxa"/>
            <w:vAlign w:val="bottom"/>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continued  to  increase  alongside  growth  in  average  balances.</w:t>
            </w:r>
          </w:p>
        </w:tc>
        <w:tc>
          <w:tcPr>
            <w:tcW w:w="5440" w:type="dxa"/>
            <w:vAlign w:val="bottom"/>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Additionally,  the  Lending  business  is  gradually  expanding  and</w:t>
            </w:r>
          </w:p>
        </w:tc>
        <w:tc>
          <w:tcPr>
            <w:tcW w:w="5440" w:type="dxa"/>
            <w:vAlign w:val="bottom"/>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reached the 3.1-million mark for disbursements in 1Q25. At the end</w:t>
            </w:r>
          </w:p>
        </w:tc>
        <w:tc>
          <w:tcPr>
            <w:tcW w:w="5440" w:type="dxa"/>
            <w:vAlign w:val="bottom"/>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of the quarter, Yape reached the 2.4-million mark for users that</w:t>
            </w:r>
          </w:p>
        </w:tc>
        <w:tc>
          <w:tcPr>
            <w:tcW w:w="5440" w:type="dxa"/>
            <w:vAlign w:val="bottom"/>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received loan disbursements, which brings us closer to our target of</w:t>
            </w:r>
          </w:p>
        </w:tc>
        <w:tc>
          <w:tcPr>
            <w:tcW w:w="5440" w:type="dxa"/>
            <w:vAlign w:val="bottom"/>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 xml:space="preserve">5 million. The GMV for the </w:t>
            </w:r>
            <w:r>
              <w:rPr>
                <w:rFonts w:ascii="Arial" w:cs="Arial" w:eastAsia="Arial" w:hAnsi="Arial"/>
                <w:sz w:val="18"/>
                <w:szCs w:val="18"/>
                <w:b w:val="1"/>
                <w:bCs w:val="1"/>
                <w:color w:val="auto"/>
              </w:rPr>
              <w:t>E-Commerce</w:t>
            </w:r>
            <w:r>
              <w:rPr>
                <w:rFonts w:ascii="Arial" w:cs="Arial" w:eastAsia="Arial" w:hAnsi="Arial"/>
                <w:sz w:val="18"/>
                <w:szCs w:val="18"/>
                <w:color w:val="auto"/>
              </w:rPr>
              <w:t xml:space="preserve"> business was S/119.2</w:t>
            </w:r>
          </w:p>
        </w:tc>
        <w:tc>
          <w:tcPr>
            <w:tcW w:w="5440" w:type="dxa"/>
            <w:vAlign w:val="bottom"/>
          </w:tcPr>
          <w:p>
            <w:pPr>
              <w:spacing w:after="0"/>
              <w:rPr>
                <w:sz w:val="17"/>
                <w:szCs w:val="17"/>
                <w:color w:val="auto"/>
              </w:rPr>
            </w:pPr>
          </w:p>
        </w:tc>
      </w:tr>
      <w:tr>
        <w:trPr>
          <w:trHeight w:val="239"/>
        </w:trPr>
        <w:tc>
          <w:tcPr>
            <w:tcW w:w="5680" w:type="dxa"/>
            <w:vAlign w:val="bottom"/>
          </w:tcPr>
          <w:p>
            <w:pPr>
              <w:spacing w:after="0"/>
              <w:rPr>
                <w:sz w:val="20"/>
                <w:szCs w:val="20"/>
                <w:color w:val="auto"/>
              </w:rPr>
            </w:pPr>
            <w:r>
              <w:rPr>
                <w:rFonts w:ascii="Arial" w:cs="Arial" w:eastAsia="Arial" w:hAnsi="Arial"/>
                <w:sz w:val="18"/>
                <w:szCs w:val="18"/>
                <w:color w:val="auto"/>
              </w:rPr>
              <w:t>million, buoyed by Yaperos’ high transaction and adoption levels</w:t>
            </w:r>
          </w:p>
        </w:tc>
        <w:tc>
          <w:tcPr>
            <w:tcW w:w="5440" w:type="dxa"/>
            <w:vAlign w:val="bottom"/>
          </w:tcPr>
          <w:p>
            <w:pPr>
              <w:spacing w:after="0"/>
              <w:rPr>
                <w:sz w:val="20"/>
                <w:szCs w:val="20"/>
                <w:color w:val="auto"/>
              </w:rPr>
            </w:pPr>
          </w:p>
        </w:tc>
      </w:tr>
      <w:tr>
        <w:trPr>
          <w:trHeight w:val="360"/>
        </w:trPr>
        <w:tc>
          <w:tcPr>
            <w:tcW w:w="5680" w:type="dxa"/>
            <w:vAlign w:val="bottom"/>
          </w:tcPr>
          <w:p>
            <w:pPr>
              <w:spacing w:after="0"/>
              <w:rPr>
                <w:sz w:val="20"/>
                <w:szCs w:val="20"/>
                <w:color w:val="auto"/>
              </w:rPr>
            </w:pPr>
            <w:r>
              <w:rPr>
                <w:rFonts w:ascii="Arial" w:cs="Arial" w:eastAsia="Arial" w:hAnsi="Arial"/>
                <w:sz w:val="18"/>
                <w:szCs w:val="18"/>
                <w:b w:val="1"/>
                <w:bCs w:val="1"/>
                <w:color w:val="auto"/>
              </w:rPr>
              <w:t>Financial results</w:t>
            </w:r>
          </w:p>
        </w:tc>
        <w:tc>
          <w:tcPr>
            <w:tcW w:w="5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-4130675</wp:posOffset>
            </wp:positionV>
            <wp:extent cx="2957830" cy="1688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57830" cy="168846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-2056130</wp:posOffset>
            </wp:positionV>
            <wp:extent cx="2974975" cy="16033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74975" cy="1603375"/>
                    </a:xfrm>
                    <a:prstGeom prst="rect">
                      <a:avLst/>
                    </a:prstGeom>
                    <a:noFill/>
                  </pic:spPr>
                </pic:pic>
              </a:graphicData>
            </a:graphic>
          </wp:anchor>
        </w:drawing>
      </w:r>
    </w:p>
    <w:p>
      <w:pPr>
        <w:jc w:val="both"/>
        <w:spacing w:after="0" w:line="242" w:lineRule="auto"/>
        <w:rPr>
          <w:sz w:val="20"/>
          <w:szCs w:val="20"/>
          <w:color w:val="auto"/>
        </w:rPr>
      </w:pPr>
      <w:r>
        <w:rPr>
          <w:rFonts w:ascii="Arial" w:cs="Arial" w:eastAsia="Arial" w:hAnsi="Arial"/>
          <w:sz w:val="18"/>
          <w:szCs w:val="18"/>
          <w:color w:val="auto"/>
        </w:rPr>
        <w:t xml:space="preserve">Within the evolution of revenue, the share of the </w:t>
      </w:r>
      <w:r>
        <w:rPr>
          <w:rFonts w:ascii="Arial" w:cs="Arial" w:eastAsia="Arial" w:hAnsi="Arial"/>
          <w:sz w:val="18"/>
          <w:szCs w:val="18"/>
          <w:b w:val="1"/>
          <w:bCs w:val="1"/>
          <w:color w:val="auto"/>
        </w:rPr>
        <w:t>Payments</w:t>
      </w:r>
      <w:r>
        <w:rPr>
          <w:rFonts w:ascii="Arial" w:cs="Arial" w:eastAsia="Arial" w:hAnsi="Arial"/>
          <w:sz w:val="18"/>
          <w:szCs w:val="18"/>
          <w:color w:val="auto"/>
        </w:rPr>
        <w:t xml:space="preserve"> business, the main driver of income, continued to grow and represented 56% of Yape’s income. The Bill Payments and Top-up functionalities are the most mature solutions. Additionally, we have been making significant progress in QR code payments, Yape for Business, and Checkout, which all have substantial growth potential.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Financial</w:t>
            </w:r>
            <w:r>
              <w:rPr>
                <w:rFonts w:ascii="Arial" w:cs="Arial" w:eastAsia="Arial" w:hAnsi="Arial"/>
                <w:sz w:val="18"/>
                <w:szCs w:val="18"/>
                <w:color w:val="auto"/>
              </w:rPr>
              <w:t xml:space="preserve"> business generated 40% of Yape’s revenue this</w:t>
            </w:r>
          </w:p>
        </w:tc>
        <w:tc>
          <w:tcPr>
            <w:tcW w:w="3720" w:type="dxa"/>
            <w:vAlign w:val="bottom"/>
            <w:vMerge w:val="restart"/>
          </w:tcPr>
          <w:p>
            <w:pPr>
              <w:ind w:left="840"/>
              <w:spacing w:after="0"/>
              <w:rPr>
                <w:sz w:val="20"/>
                <w:szCs w:val="20"/>
                <w:color w:val="auto"/>
              </w:rPr>
            </w:pPr>
            <w:r>
              <w:rPr>
                <w:rFonts w:ascii="Arial" w:cs="Arial" w:eastAsia="Arial" w:hAnsi="Arial"/>
                <w:sz w:val="18"/>
                <w:szCs w:val="18"/>
                <w:b w:val="1"/>
                <w:bCs w:val="1"/>
                <w:color w:val="auto"/>
                <w:w w:val="99"/>
              </w:rPr>
              <w:t>Evolution of revenue by business</w:t>
            </w:r>
          </w:p>
        </w:tc>
        <w:tc>
          <w:tcPr>
            <w:tcW w:w="0" w:type="dxa"/>
            <w:vAlign w:val="bottom"/>
          </w:tcPr>
          <w:p>
            <w:pPr>
              <w:spacing w:after="0"/>
              <w:rPr>
                <w:sz w:val="1"/>
                <w:szCs w:val="1"/>
                <w:color w:val="auto"/>
              </w:rPr>
            </w:pPr>
          </w:p>
        </w:tc>
      </w:tr>
      <w:tr>
        <w:trPr>
          <w:trHeight w:val="125"/>
        </w:trPr>
        <w:tc>
          <w:tcPr>
            <w:tcW w:w="6260" w:type="dxa"/>
            <w:vAlign w:val="bottom"/>
            <w:vMerge w:val="restart"/>
          </w:tcPr>
          <w:p>
            <w:pPr>
              <w:spacing w:after="0" w:line="202" w:lineRule="exact"/>
              <w:rPr>
                <w:sz w:val="20"/>
                <w:szCs w:val="20"/>
                <w:color w:val="auto"/>
              </w:rPr>
            </w:pPr>
            <w:r>
              <w:rPr>
                <w:rFonts w:ascii="Arial" w:cs="Arial" w:eastAsia="Arial" w:hAnsi="Arial"/>
                <w:sz w:val="18"/>
                <w:szCs w:val="18"/>
                <w:color w:val="auto"/>
              </w:rPr>
              <w:t>quarter, mainly through Floating volumes. The Lending business is</w:t>
            </w:r>
          </w:p>
        </w:tc>
        <w:tc>
          <w:tcPr>
            <w:tcW w:w="3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6260" w:type="dxa"/>
            <w:vAlign w:val="bottom"/>
            <w:vMerge w:val="continue"/>
          </w:tcPr>
          <w:p>
            <w:pPr>
              <w:spacing w:after="0"/>
              <w:rPr>
                <w:sz w:val="6"/>
                <w:szCs w:val="6"/>
                <w:color w:val="auto"/>
              </w:rPr>
            </w:pPr>
          </w:p>
        </w:tc>
        <w:tc>
          <w:tcPr>
            <w:tcW w:w="3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gaining relevance in the consumer loan portfolio. Multi- installment</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60" w:type="dxa"/>
            <w:vAlign w:val="bottom"/>
          </w:tcPr>
          <w:p>
            <w:pPr>
              <w:spacing w:after="0" w:line="202" w:lineRule="exact"/>
              <w:rPr>
                <w:sz w:val="20"/>
                <w:szCs w:val="20"/>
                <w:color w:val="auto"/>
              </w:rPr>
            </w:pPr>
            <w:r>
              <w:rPr>
                <w:rFonts w:ascii="Arial" w:cs="Arial" w:eastAsia="Arial" w:hAnsi="Arial"/>
                <w:sz w:val="18"/>
                <w:szCs w:val="18"/>
                <w:color w:val="auto"/>
              </w:rPr>
              <w:t>loans,  which  have  more  favorable  risk  profiles  than  those</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associated with single-installment loans, have accelerated and now</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represent approximately 50% of the portfolio balance (compared to</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approximately 25% at the beginning of 2024). As of 1Q25, the</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260" w:type="dxa"/>
            <w:vAlign w:val="bottom"/>
          </w:tcPr>
          <w:p>
            <w:pPr>
              <w:spacing w:after="0"/>
              <w:rPr>
                <w:sz w:val="20"/>
                <w:szCs w:val="20"/>
                <w:color w:val="auto"/>
              </w:rPr>
            </w:pPr>
            <w:r>
              <w:rPr>
                <w:rFonts w:ascii="Arial" w:cs="Arial" w:eastAsia="Arial" w:hAnsi="Arial"/>
                <w:sz w:val="18"/>
                <w:szCs w:val="18"/>
                <w:color w:val="auto"/>
              </w:rPr>
              <w:t>Lending business generates 13% of Yape’s total income.</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260" w:type="dxa"/>
            <w:vAlign w:val="bottom"/>
          </w:tcPr>
          <w:p>
            <w:pPr>
              <w:spacing w:after="0"/>
              <w:rPr>
                <w:sz w:val="20"/>
                <w:szCs w:val="20"/>
                <w:color w:val="auto"/>
              </w:rPr>
            </w:pPr>
            <w:r>
              <w:rPr>
                <w:rFonts w:ascii="Arial" w:cs="Arial" w:eastAsia="Arial" w:hAnsi="Arial"/>
                <w:sz w:val="18"/>
                <w:szCs w:val="18"/>
                <w:color w:val="auto"/>
              </w:rPr>
              <w:t xml:space="preserve">Finally, the </w:t>
            </w:r>
            <w:r>
              <w:rPr>
                <w:rFonts w:ascii="Arial" w:cs="Arial" w:eastAsia="Arial" w:hAnsi="Arial"/>
                <w:sz w:val="18"/>
                <w:szCs w:val="18"/>
                <w:b w:val="1"/>
                <w:bCs w:val="1"/>
                <w:color w:val="auto"/>
              </w:rPr>
              <w:t>E-commerce</w:t>
            </w:r>
            <w:r>
              <w:rPr>
                <w:rFonts w:ascii="Arial" w:cs="Arial" w:eastAsia="Arial" w:hAnsi="Arial"/>
                <w:sz w:val="18"/>
                <w:szCs w:val="18"/>
                <w:color w:val="auto"/>
              </w:rPr>
              <w:t xml:space="preserve"> business continues to bring us closer to</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new clients as it bolsters daily use, mainly through Yape Promos,</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260" w:type="dxa"/>
            <w:vAlign w:val="bottom"/>
          </w:tcPr>
          <w:p>
            <w:pPr>
              <w:spacing w:after="0"/>
              <w:rPr>
                <w:sz w:val="20"/>
                <w:szCs w:val="20"/>
                <w:color w:val="auto"/>
              </w:rPr>
            </w:pPr>
            <w:r>
              <w:rPr>
                <w:rFonts w:ascii="Arial" w:cs="Arial" w:eastAsia="Arial" w:hAnsi="Arial"/>
                <w:sz w:val="18"/>
                <w:szCs w:val="18"/>
                <w:color w:val="auto"/>
              </w:rPr>
              <w:t>which receives more than 10 million visits per month.</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-1253490</wp:posOffset>
            </wp:positionV>
            <wp:extent cx="3000375" cy="1431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0037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7" w:name="page18"/>
    <w:bookmarkEnd w:id="17"/>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540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54038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4"/>
          <w:szCs w:val="14"/>
          <w:color w:val="ED3FA8"/>
        </w:rPr>
        <w:t>Analysis of 1Q25 Consolidated Results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FFFFFF"/>
        </w:rPr>
        <w:t>Credicorp’s Strategy Update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Integrating Sustainability in Our Businesses</w:t>
      </w:r>
    </w:p>
    <w:p>
      <w:pPr>
        <w:spacing w:after="0" w:line="22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In the 1Q25, we approved our new </w:t>
      </w:r>
      <w:r>
        <w:rPr>
          <w:rFonts w:ascii="Arial" w:cs="Arial" w:eastAsia="Arial" w:hAnsi="Arial"/>
          <w:sz w:val="18"/>
          <w:szCs w:val="18"/>
          <w:u w:val="single" w:color="auto"/>
          <w:color w:val="0562C1"/>
        </w:rPr>
        <w:t>Sustainability Strategy 2025-2030</w:t>
      </w:r>
      <w:r>
        <w:rPr>
          <w:rFonts w:ascii="Arial" w:cs="Arial" w:eastAsia="Arial" w:hAnsi="Arial"/>
          <w:sz w:val="18"/>
          <w:szCs w:val="18"/>
          <w:color w:val="auto"/>
        </w:rPr>
        <w:t>. We have renewed the focus that builds on the vision of sustainability that we have implemented over the last few years, which is anchored by our purpose. The strategy is focused on three pillars and one axis from the perspective of the impact plan:</w:t>
      </w:r>
    </w:p>
    <w:p>
      <w:pPr>
        <w:ind w:left="260" w:hanging="252"/>
        <w:spacing w:after="0" w:line="237"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Inclusion</w:t>
      </w:r>
      <w:r>
        <w:rPr>
          <w:rFonts w:ascii="Arial" w:cs="Arial" w:eastAsia="Arial" w:hAnsi="Arial"/>
          <w:sz w:val="18"/>
          <w:szCs w:val="18"/>
          <w:color w:val="auto"/>
        </w:rPr>
        <w:t>: Includes the financial inclusion and financial education fronts, as well as access to quality healthcare.</w:t>
      </w:r>
    </w:p>
    <w:p>
      <w:pPr>
        <w:ind w:left="260" w:right="340" w:hanging="252"/>
        <w:spacing w:after="0" w:line="234"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Finance for the Future</w:t>
      </w:r>
      <w:r>
        <w:rPr>
          <w:rFonts w:ascii="Arial" w:cs="Arial" w:eastAsia="Arial" w:hAnsi="Arial"/>
          <w:sz w:val="18"/>
          <w:szCs w:val="18"/>
          <w:color w:val="auto"/>
        </w:rPr>
        <w:t>: involves the fronts of support to micro, small and medium enterprises (MSMEs), resilience of businesses and</w:t>
      </w:r>
      <w:r>
        <w:rPr>
          <w:rFonts w:ascii="Arial" w:cs="Arial" w:eastAsia="Arial" w:hAnsi="Arial"/>
          <w:sz w:val="18"/>
          <w:szCs w:val="18"/>
          <w:b w:val="1"/>
          <w:bCs w:val="1"/>
          <w:color w:val="auto"/>
        </w:rPr>
        <w:t xml:space="preserve"> </w:t>
      </w:r>
      <w:r>
        <w:rPr>
          <w:rFonts w:ascii="Arial" w:cs="Arial" w:eastAsia="Arial" w:hAnsi="Arial"/>
          <w:sz w:val="18"/>
          <w:szCs w:val="18"/>
          <w:color w:val="auto"/>
        </w:rPr>
        <w:t>people, and sustainable financing and investments.</w:t>
      </w:r>
    </w:p>
    <w:p>
      <w:pPr>
        <w:spacing w:after="0" w:line="1" w:lineRule="exact"/>
        <w:rPr>
          <w:rFonts w:ascii="Arial" w:cs="Arial" w:eastAsia="Arial" w:hAnsi="Arial"/>
          <w:sz w:val="18"/>
          <w:szCs w:val="18"/>
          <w:color w:val="auto"/>
        </w:rPr>
      </w:pPr>
    </w:p>
    <w:p>
      <w:pPr>
        <w:ind w:left="260" w:hanging="252"/>
        <w:spacing w:after="0" w:line="234"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Trust</w:t>
      </w:r>
      <w:r>
        <w:rPr>
          <w:rFonts w:ascii="Arial" w:cs="Arial" w:eastAsia="Arial" w:hAnsi="Arial"/>
          <w:sz w:val="18"/>
          <w:szCs w:val="18"/>
          <w:color w:val="auto"/>
        </w:rPr>
        <w:t>: Encompasses promoting trust in Credicorp and its subsidiaries, as well as in the private sector in general.</w:t>
      </w: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Country Vision</w:t>
      </w:r>
      <w:r>
        <w:rPr>
          <w:rFonts w:ascii="Arial" w:cs="Arial" w:eastAsia="Arial" w:hAnsi="Arial"/>
          <w:sz w:val="18"/>
          <w:szCs w:val="18"/>
          <w:color w:val="auto"/>
        </w:rPr>
        <w:t>: Seeks to promote development in the countries in which we operate by leveraging the three pillars mentioned above.</w:t>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We have also published our </w:t>
      </w:r>
      <w:r>
        <w:rPr>
          <w:rFonts w:ascii="Arial" w:cs="Arial" w:eastAsia="Arial" w:hAnsi="Arial"/>
          <w:sz w:val="18"/>
          <w:szCs w:val="18"/>
          <w:u w:val="single" w:color="auto"/>
          <w:color w:val="0562C1"/>
        </w:rPr>
        <w:t>Sustainability Report 2024</w:t>
      </w:r>
      <w:r>
        <w:rPr>
          <w:rFonts w:ascii="Arial" w:cs="Arial" w:eastAsia="Arial" w:hAnsi="Arial"/>
          <w:sz w:val="18"/>
          <w:szCs w:val="18"/>
          <w:color w:val="auto"/>
        </w:rPr>
        <w:t xml:space="preserve"> and the </w:t>
      </w:r>
      <w:r>
        <w:rPr>
          <w:rFonts w:ascii="Arial" w:cs="Arial" w:eastAsia="Arial" w:hAnsi="Arial"/>
          <w:sz w:val="18"/>
          <w:szCs w:val="18"/>
          <w:u w:val="single" w:color="auto"/>
          <w:color w:val="0562C1"/>
        </w:rPr>
        <w:t>TCFD Report 2024</w:t>
      </w:r>
      <w:r>
        <w:rPr>
          <w:rFonts w:ascii="Arial" w:cs="Arial" w:eastAsia="Arial" w:hAnsi="Arial"/>
          <w:sz w:val="19"/>
          <w:szCs w:val="19"/>
          <w:u w:val="single" w:color="auto"/>
          <w:color w:val="0562C1"/>
        </w:rPr>
        <w:t>,</w:t>
      </w:r>
      <w:r>
        <w:rPr>
          <w:rFonts w:ascii="Arial" w:cs="Arial" w:eastAsia="Arial" w:hAnsi="Arial"/>
          <w:sz w:val="18"/>
          <w:szCs w:val="18"/>
          <w:color w:val="auto"/>
        </w:rPr>
        <w:t xml:space="preserve"> which outline our achievements for 2024. For more information, please review the published documents.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Among the milestones achieved in the 1Q25, the following stand out: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Inclusion</w:t>
      </w:r>
    </w:p>
    <w:p>
      <w:pPr>
        <w:spacing w:after="0" w:line="27" w:lineRule="exact"/>
        <w:rPr>
          <w:sz w:val="20"/>
          <w:szCs w:val="20"/>
          <w:color w:val="auto"/>
        </w:rPr>
      </w:pPr>
    </w:p>
    <w:p>
      <w:pPr>
        <w:ind w:left="260" w:right="120" w:hanging="252"/>
        <w:spacing w:after="0" w:line="234"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BCP and Yape financially included 200 thousand people this quarter, accumulating a total of 6.0 million since 2020. More than 1.6 million clients received loan disbursements through Yape in the first quarter.</w:t>
      </w:r>
    </w:p>
    <w:p>
      <w:pPr>
        <w:spacing w:after="0" w:line="1" w:lineRule="exact"/>
        <w:rPr>
          <w:rFonts w:ascii="Arial" w:cs="Arial" w:eastAsia="Arial" w:hAnsi="Arial"/>
          <w:sz w:val="18"/>
          <w:szCs w:val="18"/>
          <w:color w:val="auto"/>
        </w:rPr>
      </w:pPr>
    </w:p>
    <w:p>
      <w:pPr>
        <w:ind w:left="260" w:hanging="252"/>
        <w:spacing w:after="0" w:line="234"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BCP reached 81 thousand clients in 1Q25 through financial education initiatives that focus on promoting changes in behavior to safeguard and improve their financial health (avoid over-indebtedness, late payments, overdraws on credit cards, among others).</w:t>
      </w:r>
    </w:p>
    <w:p>
      <w:pPr>
        <w:spacing w:after="0" w:line="1" w:lineRule="exact"/>
        <w:rPr>
          <w:rFonts w:ascii="Arial" w:cs="Arial" w:eastAsia="Arial" w:hAnsi="Arial"/>
          <w:sz w:val="18"/>
          <w:szCs w:val="18"/>
          <w:color w:val="auto"/>
        </w:rPr>
      </w:pPr>
    </w:p>
    <w:p>
      <w:pPr>
        <w:ind w:left="260" w:right="260" w:hanging="252"/>
        <w:spacing w:after="0" w:line="187"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Pacifico closed the 1Q25 with +2.7 million clients included through inclusive insurance products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placed through the BCP, Mibanco and Yape channels.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for the Future</w:t>
      </w:r>
    </w:p>
    <w:p>
      <w:pPr>
        <w:spacing w:after="0" w:line="27" w:lineRule="exact"/>
        <w:rPr>
          <w:sz w:val="20"/>
          <w:szCs w:val="20"/>
          <w:color w:val="auto"/>
        </w:rPr>
      </w:pPr>
    </w:p>
    <w:p>
      <w:pPr>
        <w:ind w:left="260" w:right="60" w:hanging="252"/>
        <w:spacing w:after="0" w:line="234"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Mibanco reported a YTD increase of 16 thousand SME clients in its loan portfolio. Additionally, the bank reached more than 108 thousand clients through its financial education programs.</w:t>
      </w:r>
    </w:p>
    <w:p>
      <w:pPr>
        <w:spacing w:after="0" w:line="1" w:lineRule="exact"/>
        <w:rPr>
          <w:rFonts w:ascii="Arial" w:cs="Arial" w:eastAsia="Arial" w:hAnsi="Arial"/>
          <w:sz w:val="18"/>
          <w:szCs w:val="18"/>
          <w:color w:val="auto"/>
        </w:rPr>
      </w:pPr>
    </w:p>
    <w:p>
      <w:pPr>
        <w:ind w:left="260" w:right="20" w:hanging="252"/>
        <w:spacing w:after="0" w:line="234"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Mibanco disbursed 231 million soles in the 1Q25 through its Crediagua product, which equips households with drinking water and sewage connections.</w:t>
      </w:r>
    </w:p>
    <w:p>
      <w:pPr>
        <w:spacing w:after="0" w:line="1" w:lineRule="exact"/>
        <w:rPr>
          <w:rFonts w:ascii="Arial" w:cs="Arial" w:eastAsia="Arial" w:hAnsi="Arial"/>
          <w:sz w:val="18"/>
          <w:szCs w:val="18"/>
          <w:color w:val="auto"/>
        </w:rPr>
      </w:pPr>
    </w:p>
    <w:p>
      <w:pPr>
        <w:ind w:left="260" w:right="360" w:hanging="252"/>
        <w:spacing w:after="0" w:line="234"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BCP, in the framework of the program “Contigo Emprendedor,” rolled out the program “Despegue Empresarial,” which benefitted more than 70 thousand clients by helping them improve their credit score.</w:t>
      </w:r>
    </w:p>
    <w:p>
      <w:pPr>
        <w:spacing w:after="0" w:line="1" w:lineRule="exact"/>
        <w:rPr>
          <w:rFonts w:ascii="Arial" w:cs="Arial" w:eastAsia="Arial" w:hAnsi="Arial"/>
          <w:sz w:val="18"/>
          <w:szCs w:val="18"/>
          <w:color w:val="auto"/>
        </w:rPr>
      </w:pPr>
    </w:p>
    <w:p>
      <w:pPr>
        <w:ind w:left="260" w:right="20" w:hanging="252"/>
        <w:spacing w:after="0" w:line="242"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BCP disbursed more than US$ 430 million in sustainable financing in the 1Q25, led by loans for working capital for sustainable fishing and agriculture.</w:t>
      </w:r>
    </w:p>
    <w:p>
      <w:pPr>
        <w:spacing w:after="0" w:line="1" w:lineRule="exact"/>
        <w:rPr>
          <w:rFonts w:ascii="Arial" w:cs="Arial" w:eastAsia="Arial" w:hAnsi="Arial"/>
          <w:sz w:val="18"/>
          <w:szCs w:val="18"/>
          <w:color w:val="auto"/>
        </w:rPr>
      </w:pPr>
    </w:p>
    <w:p>
      <w:pPr>
        <w:ind w:left="260" w:right="240" w:hanging="252"/>
        <w:spacing w:after="0" w:line="250"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Pacifico certified more than 11 thousand people (including clients, non-clients and businesses’ employees) in risk prevention through its “ABC de Pacifico”, “Comunidad Segura” and “Protege365” programs, which bolster resilience.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summaries some of our main results:</w:t>
      </w:r>
    </w:p>
    <w:p>
      <w:pPr>
        <w:spacing w:after="0" w:line="197" w:lineRule="exact"/>
        <w:rPr>
          <w:sz w:val="20"/>
          <w:szCs w:val="20"/>
          <w:color w:val="auto"/>
        </w:rPr>
      </w:pPr>
    </w:p>
    <w:tbl>
      <w:tblPr>
        <w:tblLayout w:type="fixed"/>
        <w:tblInd w:w="190" w:type="dxa"/>
        <w:tblCellMar>
          <w:top w:w="0" w:type="dxa"/>
          <w:left w:w="0" w:type="dxa"/>
          <w:bottom w:w="0" w:type="dxa"/>
          <w:right w:w="0" w:type="dxa"/>
        </w:tblCellMar>
      </w:tblPr>
      <w:tr>
        <w:trPr>
          <w:trHeight w:val="216"/>
        </w:trPr>
        <w:tc>
          <w:tcPr>
            <w:tcW w:w="5000" w:type="dxa"/>
            <w:vAlign w:val="bottom"/>
            <w:tcBorders>
              <w:top w:val="single" w:sz="8" w:color="auto"/>
              <w:left w:val="single" w:sz="8" w:color="auto"/>
              <w:bottom w:val="single" w:sz="8" w:color="auto"/>
              <w:right w:val="single" w:sz="8" w:color="auto"/>
            </w:tcBorders>
            <w:shd w:val="clear" w:color="auto" w:fill="33CCCC"/>
          </w:tcPr>
          <w:p>
            <w:pPr>
              <w:ind w:left="2120"/>
              <w:spacing w:after="0"/>
              <w:rPr>
                <w:sz w:val="20"/>
                <w:szCs w:val="20"/>
                <w:color w:val="auto"/>
              </w:rPr>
            </w:pPr>
            <w:r>
              <w:rPr>
                <w:rFonts w:ascii="Arial" w:cs="Arial" w:eastAsia="Arial" w:hAnsi="Arial"/>
                <w:sz w:val="18"/>
                <w:szCs w:val="18"/>
                <w:b w:val="1"/>
                <w:bCs w:val="1"/>
                <w:color w:val="FFFFFF"/>
              </w:rPr>
              <w:t>Indicator</w:t>
            </w:r>
          </w:p>
        </w:tc>
        <w:tc>
          <w:tcPr>
            <w:tcW w:w="166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Company</w:t>
            </w:r>
          </w:p>
        </w:tc>
        <w:tc>
          <w:tcPr>
            <w:tcW w:w="110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8"/>
                <w:szCs w:val="18"/>
                <w:b w:val="1"/>
                <w:bCs w:val="1"/>
                <w:color w:val="FFFFFF"/>
              </w:rPr>
              <w:t>Unit</w:t>
            </w:r>
          </w:p>
        </w:tc>
        <w:tc>
          <w:tcPr>
            <w:tcW w:w="110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2024</w:t>
            </w:r>
          </w:p>
        </w:tc>
        <w:tc>
          <w:tcPr>
            <w:tcW w:w="108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1Q24</w:t>
            </w:r>
          </w:p>
        </w:tc>
        <w:tc>
          <w:tcPr>
            <w:tcW w:w="112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1Q25</w:t>
            </w:r>
          </w:p>
        </w:tc>
      </w:tr>
      <w:tr>
        <w:trPr>
          <w:trHeight w:val="196"/>
        </w:trPr>
        <w:tc>
          <w:tcPr>
            <w:tcW w:w="5000" w:type="dxa"/>
            <w:vAlign w:val="bottom"/>
            <w:tcBorders>
              <w:left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Inclusion</w:t>
            </w:r>
          </w:p>
        </w:tc>
        <w:tc>
          <w:tcPr>
            <w:tcW w:w="1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r>
      <w:tr>
        <w:trPr>
          <w:trHeight w:val="168"/>
        </w:trPr>
        <w:tc>
          <w:tcPr>
            <w:tcW w:w="500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8"/>
                <w:szCs w:val="18"/>
                <w:color w:val="auto"/>
              </w:rPr>
              <w:t>People included financially through BCP and Yape –</w:t>
            </w:r>
          </w:p>
        </w:tc>
        <w:tc>
          <w:tcPr>
            <w:tcW w:w="166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8"/>
                <w:szCs w:val="18"/>
                <w:color w:val="auto"/>
                <w:w w:val="99"/>
              </w:rPr>
              <w:t>BCP Peru and Yape</w:t>
            </w:r>
          </w:p>
        </w:tc>
        <w:tc>
          <w:tcPr>
            <w:tcW w:w="110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8"/>
                <w:szCs w:val="18"/>
                <w:color w:val="auto"/>
              </w:rPr>
              <w:t>Million</w:t>
            </w:r>
          </w:p>
        </w:tc>
        <w:tc>
          <w:tcPr>
            <w:tcW w:w="110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8"/>
                <w:szCs w:val="18"/>
                <w:color w:val="auto"/>
                <w:w w:val="95"/>
              </w:rPr>
              <w:t>5.7</w:t>
            </w:r>
          </w:p>
        </w:tc>
        <w:tc>
          <w:tcPr>
            <w:tcW w:w="108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8"/>
                <w:szCs w:val="18"/>
                <w:color w:val="auto"/>
              </w:rPr>
              <w:t>4.2</w:t>
            </w:r>
          </w:p>
        </w:tc>
        <w:tc>
          <w:tcPr>
            <w:tcW w:w="112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8"/>
                <w:szCs w:val="18"/>
                <w:color w:val="auto"/>
              </w:rPr>
              <w:t>6.0</w:t>
            </w:r>
          </w:p>
        </w:tc>
      </w:tr>
      <w:tr>
        <w:trPr>
          <w:trHeight w:val="231"/>
        </w:trPr>
        <w:tc>
          <w:tcPr>
            <w:tcW w:w="5000" w:type="dxa"/>
            <w:vAlign w:val="bottom"/>
            <w:tcBorders>
              <w:left w:val="single" w:sz="8" w:color="auto"/>
              <w:bottom w:val="single" w:sz="8" w:color="auto"/>
              <w:right w:val="single" w:sz="8" w:color="auto"/>
            </w:tcBorders>
          </w:tcPr>
          <w:p>
            <w:pPr>
              <w:ind w:left="20"/>
              <w:spacing w:after="0" w:line="231" w:lineRule="exact"/>
              <w:rPr>
                <w:sz w:val="20"/>
                <w:szCs w:val="20"/>
                <w:color w:val="auto"/>
              </w:rPr>
            </w:pPr>
            <w:r>
              <w:rPr>
                <w:rFonts w:ascii="Arial" w:cs="Arial" w:eastAsia="Arial" w:hAnsi="Arial"/>
                <w:sz w:val="16"/>
                <w:szCs w:val="16"/>
                <w:color w:val="auto"/>
              </w:rPr>
              <w:t>cumulative since 2020</w:t>
            </w:r>
            <w:r>
              <w:rPr>
                <w:rFonts w:ascii="Arial" w:cs="Arial" w:eastAsia="Arial" w:hAnsi="Arial"/>
                <w:sz w:val="26"/>
                <w:szCs w:val="26"/>
                <w:color w:val="auto"/>
                <w:vertAlign w:val="superscript"/>
              </w:rPr>
              <w:t>2</w:t>
            </w:r>
          </w:p>
        </w:tc>
        <w:tc>
          <w:tcPr>
            <w:tcW w:w="16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196"/>
        </w:trPr>
        <w:tc>
          <w:tcPr>
            <w:tcW w:w="5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Clients included in inclusive insurance services</w:t>
            </w:r>
          </w:p>
        </w:tc>
        <w:tc>
          <w:tcPr>
            <w:tcW w:w="1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Pacifico</w:t>
            </w:r>
          </w:p>
        </w:tc>
        <w:tc>
          <w:tcPr>
            <w:tcW w:w="11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Million</w:t>
            </w:r>
          </w:p>
        </w:tc>
        <w:tc>
          <w:tcPr>
            <w:tcW w:w="11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2.67</w:t>
            </w:r>
          </w:p>
        </w:tc>
        <w:tc>
          <w:tcPr>
            <w:tcW w:w="1080" w:type="dxa"/>
            <w:vAlign w:val="bottom"/>
            <w:tcBorders>
              <w:bottom w:val="single" w:sz="8" w:color="auto"/>
              <w:right w:val="single" w:sz="8" w:color="auto"/>
            </w:tcBorders>
          </w:tcPr>
          <w:p>
            <w:pPr>
              <w:ind w:left="360"/>
              <w:spacing w:after="0" w:line="196" w:lineRule="exact"/>
              <w:rPr>
                <w:sz w:val="20"/>
                <w:szCs w:val="20"/>
                <w:color w:val="auto"/>
              </w:rPr>
            </w:pPr>
            <w:r>
              <w:rPr>
                <w:rFonts w:ascii="Arial" w:cs="Arial" w:eastAsia="Arial" w:hAnsi="Arial"/>
                <w:sz w:val="18"/>
                <w:szCs w:val="18"/>
                <w:color w:val="auto"/>
              </w:rPr>
              <w:t>N.D.</w:t>
            </w:r>
          </w:p>
        </w:tc>
        <w:tc>
          <w:tcPr>
            <w:tcW w:w="11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6"/>
              </w:rPr>
              <w:t>2.77</w:t>
            </w:r>
          </w:p>
        </w:tc>
      </w:tr>
      <w:tr>
        <w:trPr>
          <w:trHeight w:val="196"/>
        </w:trPr>
        <w:tc>
          <w:tcPr>
            <w:tcW w:w="5000" w:type="dxa"/>
            <w:vAlign w:val="bottom"/>
            <w:tcBorders>
              <w:left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Finance for the Future</w:t>
            </w:r>
          </w:p>
        </w:tc>
        <w:tc>
          <w:tcPr>
            <w:tcW w:w="1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r>
      <w:tr>
        <w:trPr>
          <w:trHeight w:val="196"/>
        </w:trPr>
        <w:tc>
          <w:tcPr>
            <w:tcW w:w="5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Total loan balance for micro and small businesses</w:t>
            </w:r>
          </w:p>
        </w:tc>
        <w:tc>
          <w:tcPr>
            <w:tcW w:w="1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Mibanco Peru</w:t>
            </w:r>
          </w:p>
        </w:tc>
        <w:tc>
          <w:tcPr>
            <w:tcW w:w="11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S/ Million</w:t>
            </w:r>
          </w:p>
        </w:tc>
        <w:tc>
          <w:tcPr>
            <w:tcW w:w="11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11,356</w:t>
            </w:r>
          </w:p>
        </w:tc>
        <w:tc>
          <w:tcPr>
            <w:tcW w:w="10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11,618</w:t>
            </w:r>
          </w:p>
        </w:tc>
        <w:tc>
          <w:tcPr>
            <w:tcW w:w="11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11,629</w:t>
            </w:r>
          </w:p>
        </w:tc>
      </w:tr>
      <w:tr>
        <w:trPr>
          <w:trHeight w:val="210"/>
        </w:trPr>
        <w:tc>
          <w:tcPr>
            <w:tcW w:w="500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Arial" w:cs="Arial" w:eastAsia="Arial" w:hAnsi="Arial"/>
                <w:sz w:val="20"/>
                <w:szCs w:val="20"/>
                <w:color w:val="auto"/>
              </w:rPr>
              <w:t>Disbursements of sustainable financings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BCP Peru</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 Million</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1,600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147</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5"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Simple and affordable optional insurance products with single or monthly payments of S/40 or less.</w:t>
      </w:r>
    </w:p>
    <w:p>
      <w:pPr>
        <w:spacing w:after="0" w:line="12" w:lineRule="exact"/>
        <w:rPr>
          <w:sz w:val="20"/>
          <w:szCs w:val="20"/>
          <w:color w:val="auto"/>
        </w:rPr>
      </w:pPr>
    </w:p>
    <w:p>
      <w:pPr>
        <w:ind w:left="300" w:right="140" w:hanging="292"/>
        <w:spacing w:after="0" w:line="192" w:lineRule="auto"/>
        <w:tabs>
          <w:tab w:leader="none" w:pos="300"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Stock of financially included clients through BCP since 2020: (i) New clients with savings accounts or affiliated to Yape. (ii) New clients without debt in the financial system or BCP products in the last twelve months. (iii) Clients with 3 monthly average transactions in the last three months.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8" w:name="page19"/>
    <w:bookmarkEnd w:id="18"/>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140335</wp:posOffset>
            </wp:positionV>
            <wp:extent cx="7132320" cy="3860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4"/>
          <w:szCs w:val="14"/>
          <w:color w:val="ED3FA8"/>
        </w:rPr>
        <w:t>Analysis of 1Q25 Consolidated Results</w:t>
      </w:r>
    </w:p>
    <w:p>
      <w:pPr>
        <w:spacing w:after="0" w:line="200" w:lineRule="exact"/>
        <w:rPr>
          <w:sz w:val="20"/>
          <w:szCs w:val="20"/>
          <w:color w:val="auto"/>
        </w:rPr>
      </w:pPr>
    </w:p>
    <w:p>
      <w:pPr>
        <w:spacing w:after="0" w:line="265" w:lineRule="exact"/>
        <w:rPr>
          <w:sz w:val="20"/>
          <w:szCs w:val="20"/>
          <w:color w:val="auto"/>
        </w:rPr>
      </w:pPr>
    </w:p>
    <w:p>
      <w:pPr>
        <w:ind w:left="460"/>
        <w:spacing w:after="0"/>
        <w:rPr>
          <w:sz w:val="20"/>
          <w:szCs w:val="20"/>
          <w:color w:val="auto"/>
        </w:rPr>
      </w:pPr>
      <w:r>
        <w:rPr>
          <w:rFonts w:ascii="Arial" w:cs="Arial" w:eastAsia="Arial" w:hAnsi="Arial"/>
          <w:sz w:val="52"/>
          <w:szCs w:val="52"/>
          <w:b w:val="1"/>
          <w:bCs w:val="1"/>
          <w:color w:val="E93BAC"/>
        </w:rPr>
        <w:t xml:space="preserve">01 </w:t>
      </w:r>
      <w:r>
        <w:rPr>
          <w:rFonts w:ascii="Arial" w:cs="Arial" w:eastAsia="Arial" w:hAnsi="Arial"/>
          <w:sz w:val="32"/>
          <w:szCs w:val="32"/>
          <w:color w:val="E93BAC"/>
        </w:rPr>
        <w:t>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203200</wp:posOffset>
            </wp:positionV>
            <wp:extent cx="6557645" cy="130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1303020"/>
                    </a:xfrm>
                    <a:prstGeom prst="rect">
                      <a:avLst/>
                    </a:prstGeom>
                    <a:noFill/>
                  </pic:spPr>
                </pic:pic>
              </a:graphicData>
            </a:graphic>
          </wp:anchor>
        </w:drawing>
      </w:r>
    </w:p>
    <w:p>
      <w:pPr>
        <w:spacing w:after="0" w:line="389" w:lineRule="exact"/>
        <w:rPr>
          <w:sz w:val="20"/>
          <w:szCs w:val="20"/>
          <w:color w:val="auto"/>
        </w:rPr>
      </w:pPr>
    </w:p>
    <w:p>
      <w:pPr>
        <w:jc w:val="both"/>
        <w:ind w:left="580" w:right="560"/>
        <w:spacing w:after="0" w:line="247" w:lineRule="auto"/>
        <w:rPr>
          <w:sz w:val="20"/>
          <w:szCs w:val="20"/>
          <w:color w:val="auto"/>
        </w:rPr>
      </w:pPr>
      <w:r>
        <w:rPr>
          <w:rFonts w:ascii="Arial" w:cs="Arial" w:eastAsia="Arial" w:hAnsi="Arial"/>
          <w:sz w:val="18"/>
          <w:szCs w:val="18"/>
          <w:color w:val="FFFFFF"/>
        </w:rPr>
        <w:t>After reaching a turning point last quarter, total loans in average daily balances (ADB) rose 0.8% (+1.4% FX Neutral). QoQ, this evolution was primarily driven by i) an increase in disbursements of short-term loans in Wholesale Banking, and ii) growth in loan disbursements through Yape and BCP in Consumer, and iii) an upturn in disbursements at Mibanco. This growth was partially offset by a drop in loans in Small Businesses.</w:t>
      </w:r>
    </w:p>
    <w:p>
      <w:pPr>
        <w:spacing w:after="0" w:line="187" w:lineRule="exact"/>
        <w:rPr>
          <w:sz w:val="20"/>
          <w:szCs w:val="20"/>
          <w:color w:val="auto"/>
        </w:rPr>
      </w:pPr>
    </w:p>
    <w:p>
      <w:pPr>
        <w:ind w:left="580" w:right="680"/>
        <w:spacing w:after="0" w:line="247" w:lineRule="auto"/>
        <w:rPr>
          <w:sz w:val="20"/>
          <w:szCs w:val="20"/>
          <w:color w:val="auto"/>
        </w:rPr>
      </w:pPr>
      <w:r>
        <w:rPr>
          <w:rFonts w:ascii="Arial" w:cs="Arial" w:eastAsia="Arial" w:hAnsi="Arial"/>
          <w:sz w:val="18"/>
          <w:szCs w:val="18"/>
          <w:color w:val="FFFFFF"/>
        </w:rPr>
        <w:t>YoY, total loans in average daily balances rose 1.5% (+2.3% FX Neutral). This evolution was mainly driven by i) an uptick in disbursements of short-term loans in Corporate Banking, ii) an upturn in disbursements in Mortgage and by iii) growth in disbursements in SME-Business. YoY growth was partially attenuated by the application of stricter loan guidelines at Mibanco and by a drop in disbursements for long-term loans in SME-Pyme.</w:t>
      </w:r>
    </w:p>
    <w:p>
      <w:pPr>
        <w:spacing w:after="0" w:line="200" w:lineRule="exact"/>
        <w:rPr>
          <w:sz w:val="20"/>
          <w:szCs w:val="20"/>
          <w:color w:val="auto"/>
        </w:rPr>
      </w:pPr>
    </w:p>
    <w:p>
      <w:pPr>
        <w:spacing w:after="0" w:line="27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tab/>
        <w:t>Loans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1Q25 balance sheet was affected by a non-cash accounting adjustment introduced in March, related to our operations in Bolivia. The adjustment involved updating the exchange rate used to translate BCP Bolivia’s balance sheet to more accurately reflect prevailing market conditions. As a result, </w:t>
      </w:r>
      <w:r>
        <w:rPr>
          <w:rFonts w:ascii="Arial" w:cs="Arial" w:eastAsia="Arial" w:hAnsi="Arial"/>
          <w:sz w:val="18"/>
          <w:szCs w:val="18"/>
          <w:b w:val="1"/>
          <w:bCs w:val="1"/>
          <w:color w:val="auto"/>
        </w:rPr>
        <w:t>Credicorp</w:t>
      </w:r>
      <w:r>
        <w:rPr>
          <w:rFonts w:ascii="Arial" w:cs="Arial" w:eastAsia="Arial" w:hAnsi="Arial"/>
          <w:sz w:val="18"/>
          <w:szCs w:val="18"/>
          <w:color w:val="auto"/>
        </w:rPr>
        <w:t>’s total assets declined 2.0% on an accounting basis, with no impact on cash flow.</w:t>
      </w:r>
    </w:p>
    <w:p>
      <w:pPr>
        <w:spacing w:after="0" w:line="13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analysis of loans in quarter-end balances is run with and without the aforementioned accounting adjustment. The analysis of loans in average daily balances, however, excludes this effect and focuses on operating trends.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of Loans measured in Quarter-end Balances</w:t>
      </w:r>
    </w:p>
    <w:p>
      <w:pPr>
        <w:spacing w:after="0" w:line="212"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 xml:space="preserve">This quarter, loans measured in quarter-end balances dropped 3.1% QoQ and rose 0.3% YoY. If we exclude the effect of the accounting adjustment related to </w:t>
      </w:r>
      <w:r>
        <w:rPr>
          <w:rFonts w:ascii="Arial" w:cs="Arial" w:eastAsia="Arial" w:hAnsi="Arial"/>
          <w:sz w:val="18"/>
          <w:szCs w:val="18"/>
          <w:b w:val="1"/>
          <w:bCs w:val="1"/>
          <w:color w:val="auto"/>
        </w:rPr>
        <w:t>BCP Bolivia</w:t>
      </w:r>
      <w:r>
        <w:rPr>
          <w:rFonts w:ascii="Arial" w:cs="Arial" w:eastAsia="Arial" w:hAnsi="Arial"/>
          <w:sz w:val="18"/>
          <w:szCs w:val="18"/>
          <w:color w:val="auto"/>
        </w:rPr>
        <w:t xml:space="preserve">’s balance sheet, loans measured in quarter-end balances contracted 0.7% </w:t>
      </w:r>
      <w:r>
        <w:rPr>
          <w:rFonts w:ascii="Arial" w:cs="Arial" w:eastAsia="Arial" w:hAnsi="Arial"/>
          <w:sz w:val="18"/>
          <w:szCs w:val="18"/>
          <w:b w:val="1"/>
          <w:bCs w:val="1"/>
          <w:color w:val="auto"/>
        </w:rPr>
        <w:t>QoQ</w:t>
      </w:r>
      <w:r>
        <w:rPr>
          <w:rFonts w:ascii="Arial" w:cs="Arial" w:eastAsia="Arial" w:hAnsi="Arial"/>
          <w:sz w:val="18"/>
          <w:szCs w:val="18"/>
          <w:color w:val="auto"/>
        </w:rPr>
        <w:t xml:space="preserve"> and rose 2.8% </w:t>
      </w:r>
      <w:r>
        <w:rPr>
          <w:rFonts w:ascii="Arial" w:cs="Arial" w:eastAsia="Arial" w:hAnsi="Arial"/>
          <w:sz w:val="18"/>
          <w:szCs w:val="18"/>
          <w:b w:val="1"/>
          <w:bCs w:val="1"/>
          <w:color w:val="auto"/>
        </w:rPr>
        <w:t>YoY</w:t>
      </w:r>
      <w:r>
        <w:rPr>
          <w:rFonts w:ascii="Arial" w:cs="Arial" w:eastAsia="Arial" w:hAnsi="Arial"/>
          <w:sz w:val="18"/>
          <w:szCs w:val="18"/>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of Loans measured in Average Daily Balances</w:t>
      </w:r>
    </w:p>
    <w:p>
      <w:pPr>
        <w:spacing w:after="0" w:line="11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xml:space="preserve">Total Loans (in Average Daily Balances) </w:t>
      </w:r>
      <w:r>
        <w:rPr>
          <w:rFonts w:ascii="Arial" w:cs="Arial" w:eastAsia="Arial" w:hAnsi="Arial"/>
          <w:sz w:val="29"/>
          <w:szCs w:val="29"/>
          <w:b w:val="1"/>
          <w:bCs w:val="1"/>
          <w:color w:val="auto"/>
          <w:vertAlign w:val="superscript"/>
        </w:rPr>
        <w:t>(1)(2)(3)</w:t>
      </w:r>
    </w:p>
    <w:tbl>
      <w:tblPr>
        <w:tblLayout w:type="fixed"/>
        <w:tblInd w:w="250" w:type="dxa"/>
        <w:tblCellMar>
          <w:top w:w="0" w:type="dxa"/>
          <w:left w:w="0" w:type="dxa"/>
          <w:bottom w:w="0" w:type="dxa"/>
          <w:right w:w="0" w:type="dxa"/>
        </w:tblCellMar>
      </w:tblPr>
      <w:tr>
        <w:trPr>
          <w:trHeight w:val="177"/>
        </w:trPr>
        <w:tc>
          <w:tcPr>
            <w:tcW w:w="2120" w:type="dxa"/>
            <w:vAlign w:val="bottom"/>
            <w:tcBorders>
              <w:top w:val="single" w:sz="8" w:color="auto"/>
              <w:left w:val="single" w:sz="8" w:color="auto"/>
              <w:right w:val="single" w:sz="8" w:color="auto"/>
            </w:tcBorders>
            <w:shd w:val="clear" w:color="auto" w:fill="33CCCC"/>
          </w:tcPr>
          <w:p>
            <w:pPr>
              <w:ind w:left="20"/>
              <w:spacing w:after="0" w:line="177" w:lineRule="exact"/>
              <w:rPr>
                <w:sz w:val="20"/>
                <w:szCs w:val="20"/>
                <w:color w:val="auto"/>
              </w:rPr>
            </w:pPr>
            <w:r>
              <w:rPr>
                <w:rFonts w:ascii="Arial" w:cs="Arial" w:eastAsia="Arial" w:hAnsi="Arial"/>
                <w:sz w:val="13"/>
                <w:szCs w:val="13"/>
                <w:b w:val="1"/>
                <w:bCs w:val="1"/>
                <w:color w:val="FFFFFF"/>
              </w:rPr>
              <w:t xml:space="preserve">Total Loans </w:t>
            </w:r>
            <w:r>
              <w:rPr>
                <w:rFonts w:ascii="Arial" w:cs="Arial" w:eastAsia="Arial" w:hAnsi="Arial"/>
                <w:sz w:val="20"/>
                <w:szCs w:val="20"/>
                <w:b w:val="1"/>
                <w:bCs w:val="1"/>
                <w:color w:val="FFFFFF"/>
                <w:vertAlign w:val="superscript"/>
              </w:rPr>
              <w:t>(1) (2) (3)</w:t>
            </w:r>
          </w:p>
        </w:tc>
        <w:tc>
          <w:tcPr>
            <w:tcW w:w="860" w:type="dxa"/>
            <w:vAlign w:val="bottom"/>
            <w:tcBorders>
              <w:top w:val="single" w:sz="8" w:color="auto"/>
            </w:tcBorders>
            <w:shd w:val="clear" w:color="auto" w:fill="33CCCC"/>
          </w:tcPr>
          <w:p>
            <w:pPr>
              <w:spacing w:after="0"/>
              <w:rPr>
                <w:sz w:val="15"/>
                <w:szCs w:val="15"/>
                <w:color w:val="auto"/>
              </w:rPr>
            </w:pPr>
          </w:p>
        </w:tc>
        <w:tc>
          <w:tcPr>
            <w:tcW w:w="86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5"/>
                <w:szCs w:val="15"/>
                <w:b w:val="1"/>
                <w:bCs w:val="1"/>
                <w:color w:val="FFFFFF"/>
              </w:rPr>
              <w:t>As of</w:t>
            </w:r>
          </w:p>
        </w:tc>
        <w:tc>
          <w:tcPr>
            <w:tcW w:w="900" w:type="dxa"/>
            <w:vAlign w:val="bottom"/>
            <w:tcBorders>
              <w:top w:val="single" w:sz="8" w:color="auto"/>
              <w:right w:val="single" w:sz="8" w:color="auto"/>
            </w:tcBorders>
            <w:shd w:val="clear" w:color="auto" w:fill="33CCCC"/>
          </w:tcPr>
          <w:p>
            <w:pPr>
              <w:spacing w:after="0"/>
              <w:rPr>
                <w:sz w:val="15"/>
                <w:szCs w:val="15"/>
                <w:color w:val="auto"/>
              </w:rPr>
            </w:pPr>
          </w:p>
        </w:tc>
        <w:tc>
          <w:tcPr>
            <w:tcW w:w="1720" w:type="dxa"/>
            <w:vAlign w:val="bottom"/>
            <w:tcBorders>
              <w:top w:val="single" w:sz="8" w:color="auto"/>
              <w:right w:val="single" w:sz="8" w:color="auto"/>
            </w:tcBorders>
            <w:gridSpan w:val="2"/>
            <w:shd w:val="clear" w:color="auto" w:fill="33CCCC"/>
          </w:tcPr>
          <w:p>
            <w:pPr>
              <w:jc w:val="right"/>
              <w:ind w:right="224"/>
              <w:spacing w:after="0"/>
              <w:rPr>
                <w:sz w:val="20"/>
                <w:szCs w:val="20"/>
                <w:color w:val="auto"/>
              </w:rPr>
            </w:pPr>
            <w:r>
              <w:rPr>
                <w:rFonts w:ascii="Arial" w:cs="Arial" w:eastAsia="Arial" w:hAnsi="Arial"/>
                <w:sz w:val="15"/>
                <w:szCs w:val="15"/>
                <w:b w:val="1"/>
                <w:bCs w:val="1"/>
                <w:color w:val="FFFFFF"/>
              </w:rPr>
              <w:t>Volume change</w:t>
            </w:r>
          </w:p>
        </w:tc>
        <w:tc>
          <w:tcPr>
            <w:tcW w:w="1720" w:type="dxa"/>
            <w:vAlign w:val="bottom"/>
            <w:tcBorders>
              <w:top w:val="single" w:sz="8" w:color="auto"/>
              <w:right w:val="single" w:sz="8" w:color="auto"/>
            </w:tcBorders>
            <w:gridSpan w:val="2"/>
            <w:shd w:val="clear" w:color="auto" w:fill="33CCCC"/>
          </w:tcPr>
          <w:p>
            <w:pPr>
              <w:ind w:left="500"/>
              <w:spacing w:after="0"/>
              <w:rPr>
                <w:sz w:val="20"/>
                <w:szCs w:val="20"/>
                <w:color w:val="auto"/>
              </w:rPr>
            </w:pPr>
            <w:r>
              <w:rPr>
                <w:rFonts w:ascii="Arial" w:cs="Arial" w:eastAsia="Arial" w:hAnsi="Arial"/>
                <w:sz w:val="15"/>
                <w:szCs w:val="15"/>
                <w:b w:val="1"/>
                <w:bCs w:val="1"/>
                <w:color w:val="FFFFFF"/>
              </w:rPr>
              <w:t>% change</w:t>
            </w:r>
          </w:p>
        </w:tc>
        <w:tc>
          <w:tcPr>
            <w:tcW w:w="1600" w:type="dxa"/>
            <w:vAlign w:val="bottom"/>
            <w:tcBorders>
              <w:top w:val="single" w:sz="8" w:color="auto"/>
            </w:tcBorders>
            <w:gridSpan w:val="2"/>
            <w:shd w:val="clear" w:color="auto" w:fill="33CCCC"/>
          </w:tcPr>
          <w:p>
            <w:pPr>
              <w:ind w:left="280"/>
              <w:spacing w:after="0"/>
              <w:rPr>
                <w:sz w:val="20"/>
                <w:szCs w:val="20"/>
                <w:color w:val="auto"/>
              </w:rPr>
            </w:pPr>
            <w:r>
              <w:rPr>
                <w:rFonts w:ascii="Arial" w:cs="Arial" w:eastAsia="Arial" w:hAnsi="Arial"/>
                <w:sz w:val="15"/>
                <w:szCs w:val="15"/>
                <w:b w:val="1"/>
                <w:bCs w:val="1"/>
                <w:color w:val="FFFFFF"/>
              </w:rPr>
              <w:t>% Part. In total</w:t>
            </w:r>
          </w:p>
        </w:tc>
        <w:tc>
          <w:tcPr>
            <w:tcW w:w="680" w:type="dxa"/>
            <w:vAlign w:val="bottom"/>
            <w:tcBorders>
              <w:top w:val="single" w:sz="8" w:color="auto"/>
              <w:right w:val="single" w:sz="8" w:color="auto"/>
            </w:tcBorders>
            <w:shd w:val="clear" w:color="auto" w:fill="33CCCC"/>
          </w:tcPr>
          <w:p>
            <w:pPr>
              <w:ind w:left="80"/>
              <w:spacing w:after="0"/>
              <w:rPr>
                <w:sz w:val="20"/>
                <w:szCs w:val="20"/>
                <w:color w:val="auto"/>
              </w:rPr>
            </w:pPr>
            <w:r>
              <w:rPr>
                <w:rFonts w:ascii="Arial" w:cs="Arial" w:eastAsia="Arial" w:hAnsi="Arial"/>
                <w:sz w:val="15"/>
                <w:szCs w:val="15"/>
                <w:b w:val="1"/>
                <w:bCs w:val="1"/>
                <w:color w:val="FFFFFF"/>
              </w:rPr>
              <w:t>loans</w:t>
            </w:r>
          </w:p>
        </w:tc>
      </w:tr>
      <w:tr>
        <w:trPr>
          <w:trHeight w:val="181"/>
        </w:trPr>
        <w:tc>
          <w:tcPr>
            <w:tcW w:w="212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5"/>
                <w:szCs w:val="15"/>
                <w:b w:val="1"/>
                <w:bCs w:val="1"/>
                <w:color w:val="FFFFFF"/>
              </w:rPr>
              <w:t>(S/ millions)</w:t>
            </w:r>
          </w:p>
        </w:tc>
        <w:tc>
          <w:tcPr>
            <w:tcW w:w="860" w:type="dxa"/>
            <w:vAlign w:val="bottom"/>
            <w:tcBorders>
              <w:bottom w:val="single" w:sz="8" w:color="auto"/>
            </w:tcBorders>
            <w:shd w:val="clear" w:color="auto" w:fill="33CCCC"/>
          </w:tcPr>
          <w:p>
            <w:pPr>
              <w:ind w:left="180"/>
              <w:spacing w:after="0"/>
              <w:rPr>
                <w:sz w:val="20"/>
                <w:szCs w:val="20"/>
                <w:color w:val="auto"/>
              </w:rPr>
            </w:pPr>
            <w:r>
              <w:rPr>
                <w:rFonts w:ascii="Arial" w:cs="Arial" w:eastAsia="Arial" w:hAnsi="Arial"/>
                <w:sz w:val="15"/>
                <w:szCs w:val="15"/>
                <w:b w:val="1"/>
                <w:bCs w:val="1"/>
                <w:color w:val="FFFFFF"/>
              </w:rPr>
              <w:t>Mar 24</w:t>
            </w:r>
          </w:p>
        </w:tc>
        <w:tc>
          <w:tcPr>
            <w:tcW w:w="8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5"/>
                <w:szCs w:val="15"/>
                <w:b w:val="1"/>
                <w:bCs w:val="1"/>
                <w:color w:val="FFFFFF"/>
              </w:rPr>
              <w:t>Dec 24</w:t>
            </w:r>
          </w:p>
        </w:tc>
        <w:tc>
          <w:tcPr>
            <w:tcW w:w="900" w:type="dxa"/>
            <w:vAlign w:val="bottom"/>
            <w:tcBorders>
              <w:bottom w:val="single" w:sz="8" w:color="auto"/>
              <w:right w:val="single" w:sz="8" w:color="auto"/>
            </w:tcBorders>
            <w:shd w:val="clear" w:color="auto" w:fill="33CCCC"/>
          </w:tcPr>
          <w:p>
            <w:pPr>
              <w:ind w:left="200"/>
              <w:spacing w:after="0"/>
              <w:rPr>
                <w:sz w:val="20"/>
                <w:szCs w:val="20"/>
                <w:color w:val="auto"/>
              </w:rPr>
            </w:pPr>
            <w:r>
              <w:rPr>
                <w:rFonts w:ascii="Arial" w:cs="Arial" w:eastAsia="Arial" w:hAnsi="Arial"/>
                <w:sz w:val="15"/>
                <w:szCs w:val="15"/>
                <w:b w:val="1"/>
                <w:bCs w:val="1"/>
                <w:color w:val="FFFFFF"/>
              </w:rPr>
              <w:t>Mar 25</w:t>
            </w:r>
          </w:p>
        </w:tc>
        <w:tc>
          <w:tcPr>
            <w:tcW w:w="820" w:type="dxa"/>
            <w:vAlign w:val="bottom"/>
            <w:tcBorders>
              <w:bottom w:val="single" w:sz="8" w:color="auto"/>
            </w:tcBorders>
            <w:shd w:val="clear" w:color="auto" w:fill="33CCCC"/>
          </w:tcPr>
          <w:p>
            <w:pPr>
              <w:ind w:left="240"/>
              <w:spacing w:after="0"/>
              <w:rPr>
                <w:sz w:val="20"/>
                <w:szCs w:val="20"/>
                <w:color w:val="auto"/>
              </w:rPr>
            </w:pPr>
            <w:r>
              <w:rPr>
                <w:rFonts w:ascii="Arial" w:cs="Arial" w:eastAsia="Arial" w:hAnsi="Arial"/>
                <w:sz w:val="15"/>
                <w:szCs w:val="15"/>
                <w:b w:val="1"/>
                <w:bCs w:val="1"/>
                <w:color w:val="FFFFFF"/>
              </w:rPr>
              <w:t>QoQ</w:t>
            </w:r>
          </w:p>
        </w:tc>
        <w:tc>
          <w:tcPr>
            <w:tcW w:w="900" w:type="dxa"/>
            <w:vAlign w:val="bottom"/>
            <w:tcBorders>
              <w:bottom w:val="single" w:sz="8" w:color="auto"/>
              <w:right w:val="single" w:sz="8" w:color="auto"/>
            </w:tcBorders>
            <w:shd w:val="clear" w:color="auto" w:fill="33CCCC"/>
          </w:tcPr>
          <w:p>
            <w:pPr>
              <w:jc w:val="right"/>
              <w:ind w:right="244"/>
              <w:spacing w:after="0"/>
              <w:rPr>
                <w:sz w:val="20"/>
                <w:szCs w:val="20"/>
                <w:color w:val="auto"/>
              </w:rPr>
            </w:pPr>
            <w:r>
              <w:rPr>
                <w:rFonts w:ascii="Arial" w:cs="Arial" w:eastAsia="Arial" w:hAnsi="Arial"/>
                <w:sz w:val="15"/>
                <w:szCs w:val="15"/>
                <w:b w:val="1"/>
                <w:bCs w:val="1"/>
                <w:color w:val="FFFFFF"/>
              </w:rPr>
              <w:t>YoY</w:t>
            </w:r>
          </w:p>
        </w:tc>
        <w:tc>
          <w:tcPr>
            <w:tcW w:w="820" w:type="dxa"/>
            <w:vAlign w:val="bottom"/>
            <w:tcBorders>
              <w:bottom w:val="single" w:sz="8" w:color="auto"/>
            </w:tcBorders>
            <w:shd w:val="clear" w:color="auto" w:fill="33CCCC"/>
          </w:tcPr>
          <w:p>
            <w:pPr>
              <w:ind w:left="260"/>
              <w:spacing w:after="0"/>
              <w:rPr>
                <w:sz w:val="20"/>
                <w:szCs w:val="20"/>
                <w:color w:val="auto"/>
              </w:rPr>
            </w:pPr>
            <w:r>
              <w:rPr>
                <w:rFonts w:ascii="Arial" w:cs="Arial" w:eastAsia="Arial" w:hAnsi="Arial"/>
                <w:sz w:val="15"/>
                <w:szCs w:val="15"/>
                <w:b w:val="1"/>
                <w:bCs w:val="1"/>
                <w:color w:val="FFFFFF"/>
              </w:rPr>
              <w:t>QoQ</w:t>
            </w:r>
          </w:p>
        </w:tc>
        <w:tc>
          <w:tcPr>
            <w:tcW w:w="900" w:type="dxa"/>
            <w:vAlign w:val="bottom"/>
            <w:tcBorders>
              <w:bottom w:val="single" w:sz="8" w:color="auto"/>
              <w:right w:val="single" w:sz="8" w:color="auto"/>
            </w:tcBorders>
            <w:shd w:val="clear" w:color="auto" w:fill="33CCCC"/>
          </w:tcPr>
          <w:p>
            <w:pPr>
              <w:ind w:left="320"/>
              <w:spacing w:after="0"/>
              <w:rPr>
                <w:sz w:val="20"/>
                <w:szCs w:val="20"/>
                <w:color w:val="auto"/>
              </w:rPr>
            </w:pPr>
            <w:r>
              <w:rPr>
                <w:rFonts w:ascii="Arial" w:cs="Arial" w:eastAsia="Arial" w:hAnsi="Arial"/>
                <w:sz w:val="15"/>
                <w:szCs w:val="15"/>
                <w:b w:val="1"/>
                <w:bCs w:val="1"/>
                <w:color w:val="FFFFFF"/>
              </w:rPr>
              <w:t>YoY</w:t>
            </w:r>
          </w:p>
        </w:tc>
        <w:tc>
          <w:tcPr>
            <w:tcW w:w="820" w:type="dxa"/>
            <w:vAlign w:val="bottom"/>
            <w:tcBorders>
              <w:bottom w:val="single" w:sz="8" w:color="auto"/>
            </w:tcBorders>
            <w:shd w:val="clear" w:color="auto" w:fill="33CCCC"/>
          </w:tcPr>
          <w:p>
            <w:pPr>
              <w:ind w:left="160"/>
              <w:spacing w:after="0"/>
              <w:rPr>
                <w:sz w:val="20"/>
                <w:szCs w:val="20"/>
                <w:color w:val="auto"/>
              </w:rPr>
            </w:pPr>
            <w:r>
              <w:rPr>
                <w:rFonts w:ascii="Arial" w:cs="Arial" w:eastAsia="Arial" w:hAnsi="Arial"/>
                <w:sz w:val="15"/>
                <w:szCs w:val="15"/>
                <w:b w:val="1"/>
                <w:bCs w:val="1"/>
                <w:color w:val="FFFFFF"/>
              </w:rPr>
              <w:t>Mar 24</w:t>
            </w:r>
          </w:p>
        </w:tc>
        <w:tc>
          <w:tcPr>
            <w:tcW w:w="780" w:type="dxa"/>
            <w:vAlign w:val="bottom"/>
            <w:tcBorders>
              <w:bottom w:val="single" w:sz="8" w:color="auto"/>
            </w:tcBorders>
            <w:shd w:val="clear" w:color="auto" w:fill="33CCCC"/>
          </w:tcPr>
          <w:p>
            <w:pPr>
              <w:ind w:left="180"/>
              <w:spacing w:after="0"/>
              <w:rPr>
                <w:sz w:val="20"/>
                <w:szCs w:val="20"/>
                <w:color w:val="auto"/>
              </w:rPr>
            </w:pPr>
            <w:r>
              <w:rPr>
                <w:rFonts w:ascii="Arial" w:cs="Arial" w:eastAsia="Arial" w:hAnsi="Arial"/>
                <w:sz w:val="15"/>
                <w:szCs w:val="15"/>
                <w:b w:val="1"/>
                <w:bCs w:val="1"/>
                <w:color w:val="FFFFFF"/>
              </w:rPr>
              <w:t>Dec 24</w:t>
            </w:r>
          </w:p>
        </w:tc>
        <w:tc>
          <w:tcPr>
            <w:tcW w:w="680" w:type="dxa"/>
            <w:vAlign w:val="bottom"/>
            <w:tcBorders>
              <w:bottom w:val="single" w:sz="8" w:color="auto"/>
              <w:right w:val="single" w:sz="8" w:color="auto"/>
            </w:tcBorders>
            <w:shd w:val="clear" w:color="auto" w:fill="33CCCC"/>
          </w:tcPr>
          <w:p>
            <w:pPr>
              <w:ind w:left="120"/>
              <w:spacing w:after="0"/>
              <w:rPr>
                <w:sz w:val="20"/>
                <w:szCs w:val="20"/>
                <w:color w:val="auto"/>
              </w:rPr>
            </w:pPr>
            <w:r>
              <w:rPr>
                <w:rFonts w:ascii="Arial" w:cs="Arial" w:eastAsia="Arial" w:hAnsi="Arial"/>
                <w:sz w:val="15"/>
                <w:szCs w:val="15"/>
                <w:b w:val="1"/>
                <w:bCs w:val="1"/>
                <w:color w:val="FFFFFF"/>
              </w:rPr>
              <w:t>Mar 25</w:t>
            </w:r>
          </w:p>
        </w:tc>
      </w:tr>
      <w:tr>
        <w:trPr>
          <w:trHeight w:val="136"/>
        </w:trPr>
        <w:tc>
          <w:tcPr>
            <w:tcW w:w="212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5"/>
                <w:szCs w:val="15"/>
                <w:b w:val="1"/>
                <w:bCs w:val="1"/>
                <w:color w:val="auto"/>
              </w:rPr>
              <w:t>BCP Stand-alone</w:t>
            </w:r>
          </w:p>
        </w:tc>
        <w:tc>
          <w:tcPr>
            <w:tcW w:w="86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rPr>
              <w:t>115,412</w:t>
            </w:r>
          </w:p>
        </w:tc>
        <w:tc>
          <w:tcPr>
            <w:tcW w:w="86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w w:val="99"/>
              </w:rPr>
              <w:t>117,601</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w w:val="99"/>
              </w:rPr>
              <w:t>118,771</w:t>
            </w:r>
          </w:p>
        </w:tc>
        <w:tc>
          <w:tcPr>
            <w:tcW w:w="82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rPr>
              <w:t>1,169</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rPr>
              <w:t>3,359</w:t>
            </w:r>
          </w:p>
        </w:tc>
        <w:tc>
          <w:tcPr>
            <w:tcW w:w="82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rPr>
              <w:t>1.0%</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rPr>
              <w:t>2.9%</w:t>
            </w:r>
          </w:p>
        </w:tc>
        <w:tc>
          <w:tcPr>
            <w:tcW w:w="82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w w:val="98"/>
              </w:rPr>
              <w:t>81.4%</w:t>
            </w:r>
          </w:p>
        </w:tc>
        <w:tc>
          <w:tcPr>
            <w:tcW w:w="78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rPr>
              <w:t>82.4%</w:t>
            </w:r>
          </w:p>
        </w:tc>
        <w:tc>
          <w:tcPr>
            <w:tcW w:w="6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w w:val="98"/>
              </w:rPr>
              <w:t>82.6%</w:t>
            </w:r>
          </w:p>
        </w:tc>
      </w:tr>
      <w:tr>
        <w:trPr>
          <w:trHeight w:val="164"/>
        </w:trPr>
        <w:tc>
          <w:tcPr>
            <w:tcW w:w="212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5"/>
                <w:szCs w:val="15"/>
                <w:b w:val="1"/>
                <w:bCs w:val="1"/>
                <w:color w:val="auto"/>
              </w:rPr>
              <w:t>Wholesale Banking</w:t>
            </w:r>
          </w:p>
        </w:tc>
        <w:tc>
          <w:tcPr>
            <w:tcW w:w="860" w:type="dxa"/>
            <w:vAlign w:val="bottom"/>
          </w:tcPr>
          <w:p>
            <w:pPr>
              <w:jc w:val="center"/>
              <w:spacing w:after="0" w:line="164" w:lineRule="exact"/>
              <w:rPr>
                <w:sz w:val="20"/>
                <w:szCs w:val="20"/>
                <w:color w:val="auto"/>
              </w:rPr>
            </w:pPr>
            <w:r>
              <w:rPr>
                <w:rFonts w:ascii="Arial" w:cs="Arial" w:eastAsia="Arial" w:hAnsi="Arial"/>
                <w:sz w:val="15"/>
                <w:szCs w:val="15"/>
                <w:b w:val="1"/>
                <w:bCs w:val="1"/>
                <w:color w:val="auto"/>
              </w:rPr>
              <w:t>51,835</w:t>
            </w:r>
          </w:p>
        </w:tc>
        <w:tc>
          <w:tcPr>
            <w:tcW w:w="860" w:type="dxa"/>
            <w:vAlign w:val="bottom"/>
          </w:tcPr>
          <w:p>
            <w:pPr>
              <w:jc w:val="center"/>
              <w:spacing w:after="0" w:line="164" w:lineRule="exact"/>
              <w:rPr>
                <w:sz w:val="20"/>
                <w:szCs w:val="20"/>
                <w:color w:val="auto"/>
              </w:rPr>
            </w:pPr>
            <w:r>
              <w:rPr>
                <w:rFonts w:ascii="Arial" w:cs="Arial" w:eastAsia="Arial" w:hAnsi="Arial"/>
                <w:sz w:val="15"/>
                <w:szCs w:val="15"/>
                <w:b w:val="1"/>
                <w:bCs w:val="1"/>
                <w:color w:val="auto"/>
              </w:rPr>
              <w:t>53,068</w:t>
            </w:r>
          </w:p>
        </w:tc>
        <w:tc>
          <w:tcPr>
            <w:tcW w:w="9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54,548</w:t>
            </w:r>
          </w:p>
        </w:tc>
        <w:tc>
          <w:tcPr>
            <w:tcW w:w="820" w:type="dxa"/>
            <w:vAlign w:val="bottom"/>
          </w:tcPr>
          <w:p>
            <w:pPr>
              <w:jc w:val="center"/>
              <w:spacing w:after="0" w:line="164" w:lineRule="exact"/>
              <w:rPr>
                <w:sz w:val="20"/>
                <w:szCs w:val="20"/>
                <w:color w:val="auto"/>
              </w:rPr>
            </w:pPr>
            <w:r>
              <w:rPr>
                <w:rFonts w:ascii="Arial" w:cs="Arial" w:eastAsia="Arial" w:hAnsi="Arial"/>
                <w:sz w:val="15"/>
                <w:szCs w:val="15"/>
                <w:b w:val="1"/>
                <w:bCs w:val="1"/>
                <w:color w:val="auto"/>
              </w:rPr>
              <w:t>1,480</w:t>
            </w:r>
          </w:p>
        </w:tc>
        <w:tc>
          <w:tcPr>
            <w:tcW w:w="9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2,713</w:t>
            </w:r>
          </w:p>
        </w:tc>
        <w:tc>
          <w:tcPr>
            <w:tcW w:w="820" w:type="dxa"/>
            <w:vAlign w:val="bottom"/>
          </w:tcPr>
          <w:p>
            <w:pPr>
              <w:jc w:val="center"/>
              <w:spacing w:after="0" w:line="164" w:lineRule="exact"/>
              <w:rPr>
                <w:sz w:val="20"/>
                <w:szCs w:val="20"/>
                <w:color w:val="auto"/>
              </w:rPr>
            </w:pPr>
            <w:r>
              <w:rPr>
                <w:rFonts w:ascii="Arial" w:cs="Arial" w:eastAsia="Arial" w:hAnsi="Arial"/>
                <w:sz w:val="15"/>
                <w:szCs w:val="15"/>
                <w:b w:val="1"/>
                <w:bCs w:val="1"/>
                <w:color w:val="auto"/>
              </w:rPr>
              <w:t>2.8%</w:t>
            </w:r>
          </w:p>
        </w:tc>
        <w:tc>
          <w:tcPr>
            <w:tcW w:w="9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5.2%</w:t>
            </w:r>
          </w:p>
        </w:tc>
        <w:tc>
          <w:tcPr>
            <w:tcW w:w="820" w:type="dxa"/>
            <w:vAlign w:val="bottom"/>
          </w:tcPr>
          <w:p>
            <w:pPr>
              <w:jc w:val="center"/>
              <w:spacing w:after="0" w:line="164" w:lineRule="exact"/>
              <w:rPr>
                <w:sz w:val="20"/>
                <w:szCs w:val="20"/>
                <w:color w:val="auto"/>
              </w:rPr>
            </w:pPr>
            <w:r>
              <w:rPr>
                <w:rFonts w:ascii="Arial" w:cs="Arial" w:eastAsia="Arial" w:hAnsi="Arial"/>
                <w:sz w:val="15"/>
                <w:szCs w:val="15"/>
                <w:b w:val="1"/>
                <w:bCs w:val="1"/>
                <w:color w:val="auto"/>
                <w:w w:val="98"/>
              </w:rPr>
              <w:t>36.6%</w:t>
            </w:r>
          </w:p>
        </w:tc>
        <w:tc>
          <w:tcPr>
            <w:tcW w:w="780" w:type="dxa"/>
            <w:vAlign w:val="bottom"/>
          </w:tcPr>
          <w:p>
            <w:pPr>
              <w:jc w:val="center"/>
              <w:spacing w:after="0" w:line="164" w:lineRule="exact"/>
              <w:rPr>
                <w:sz w:val="20"/>
                <w:szCs w:val="20"/>
                <w:color w:val="auto"/>
              </w:rPr>
            </w:pPr>
            <w:r>
              <w:rPr>
                <w:rFonts w:ascii="Arial" w:cs="Arial" w:eastAsia="Arial" w:hAnsi="Arial"/>
                <w:sz w:val="15"/>
                <w:szCs w:val="15"/>
                <w:b w:val="1"/>
                <w:bCs w:val="1"/>
                <w:color w:val="auto"/>
              </w:rPr>
              <w:t>37.2%</w:t>
            </w:r>
          </w:p>
        </w:tc>
        <w:tc>
          <w:tcPr>
            <w:tcW w:w="6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w w:val="98"/>
              </w:rPr>
              <w:t>37.9%</w:t>
            </w:r>
          </w:p>
        </w:tc>
      </w:tr>
      <w:tr>
        <w:trPr>
          <w:trHeight w:val="179"/>
        </w:trPr>
        <w:tc>
          <w:tcPr>
            <w:tcW w:w="2120" w:type="dxa"/>
            <w:vAlign w:val="bottom"/>
            <w:tcBorders>
              <w:left w:val="single" w:sz="8" w:color="auto"/>
              <w:right w:val="single" w:sz="8" w:color="auto"/>
            </w:tcBorders>
          </w:tcPr>
          <w:p>
            <w:pPr>
              <w:ind w:left="140"/>
              <w:spacing w:after="0" w:line="162" w:lineRule="exact"/>
              <w:rPr>
                <w:sz w:val="20"/>
                <w:szCs w:val="20"/>
                <w:color w:val="auto"/>
              </w:rPr>
            </w:pPr>
            <w:r>
              <w:rPr>
                <w:rFonts w:ascii="Arial" w:cs="Arial" w:eastAsia="Arial" w:hAnsi="Arial"/>
                <w:sz w:val="15"/>
                <w:szCs w:val="15"/>
                <w:color w:val="auto"/>
              </w:rPr>
              <w:t>Corporate</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30,063</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32,318</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32,977</w:t>
            </w:r>
          </w:p>
        </w:tc>
        <w:tc>
          <w:tcPr>
            <w:tcW w:w="820" w:type="dxa"/>
            <w:vAlign w:val="bottom"/>
            <w:shd w:val="clear" w:color="auto" w:fill="00B249"/>
          </w:tcPr>
          <w:p>
            <w:pPr>
              <w:jc w:val="center"/>
              <w:spacing w:after="0" w:line="162" w:lineRule="exact"/>
              <w:rPr>
                <w:sz w:val="20"/>
                <w:szCs w:val="20"/>
                <w:color w:val="auto"/>
              </w:rPr>
            </w:pPr>
            <w:r>
              <w:rPr>
                <w:rFonts w:ascii="Arial" w:cs="Arial" w:eastAsia="Arial" w:hAnsi="Arial"/>
                <w:sz w:val="15"/>
                <w:szCs w:val="15"/>
                <w:color w:val="auto"/>
              </w:rPr>
              <w:t>659</w:t>
            </w:r>
          </w:p>
        </w:tc>
        <w:tc>
          <w:tcPr>
            <w:tcW w:w="900" w:type="dxa"/>
            <w:vAlign w:val="bottom"/>
            <w:tcBorders>
              <w:right w:val="single" w:sz="8" w:color="auto"/>
            </w:tcBorders>
            <w:shd w:val="clear" w:color="auto" w:fill="00B249"/>
          </w:tcPr>
          <w:p>
            <w:pPr>
              <w:jc w:val="center"/>
              <w:spacing w:after="0" w:line="162" w:lineRule="exact"/>
              <w:rPr>
                <w:sz w:val="20"/>
                <w:szCs w:val="20"/>
                <w:color w:val="auto"/>
              </w:rPr>
            </w:pPr>
            <w:r>
              <w:rPr>
                <w:rFonts w:ascii="Arial" w:cs="Arial" w:eastAsia="Arial" w:hAnsi="Arial"/>
                <w:sz w:val="15"/>
                <w:szCs w:val="15"/>
                <w:color w:val="auto"/>
              </w:rPr>
              <w:t>2,914</w:t>
            </w:r>
          </w:p>
        </w:tc>
        <w:tc>
          <w:tcPr>
            <w:tcW w:w="820" w:type="dxa"/>
            <w:vAlign w:val="bottom"/>
          </w:tcPr>
          <w:p>
            <w:pPr>
              <w:jc w:val="center"/>
              <w:spacing w:after="0" w:line="162" w:lineRule="exact"/>
              <w:rPr>
                <w:sz w:val="20"/>
                <w:szCs w:val="20"/>
                <w:color w:val="auto"/>
              </w:rPr>
            </w:pPr>
            <w:r>
              <w:rPr>
                <w:rFonts w:ascii="Arial" w:cs="Arial" w:eastAsia="Arial" w:hAnsi="Arial"/>
                <w:sz w:val="15"/>
                <w:szCs w:val="15"/>
                <w:color w:val="auto"/>
              </w:rPr>
              <w:t>2.0%</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9.7%</w:t>
            </w:r>
          </w:p>
        </w:tc>
        <w:tc>
          <w:tcPr>
            <w:tcW w:w="820" w:type="dxa"/>
            <w:vAlign w:val="bottom"/>
          </w:tcPr>
          <w:p>
            <w:pPr>
              <w:jc w:val="center"/>
              <w:spacing w:after="0" w:line="162" w:lineRule="exact"/>
              <w:rPr>
                <w:sz w:val="20"/>
                <w:szCs w:val="20"/>
                <w:color w:val="auto"/>
              </w:rPr>
            </w:pPr>
            <w:r>
              <w:rPr>
                <w:rFonts w:ascii="Arial" w:cs="Arial" w:eastAsia="Arial" w:hAnsi="Arial"/>
                <w:sz w:val="15"/>
                <w:szCs w:val="15"/>
                <w:color w:val="auto"/>
                <w:w w:val="98"/>
              </w:rPr>
              <w:t>21.2%</w:t>
            </w:r>
          </w:p>
        </w:tc>
        <w:tc>
          <w:tcPr>
            <w:tcW w:w="780" w:type="dxa"/>
            <w:vAlign w:val="bottom"/>
          </w:tcPr>
          <w:p>
            <w:pPr>
              <w:jc w:val="center"/>
              <w:spacing w:after="0" w:line="162" w:lineRule="exact"/>
              <w:rPr>
                <w:sz w:val="20"/>
                <w:szCs w:val="20"/>
                <w:color w:val="auto"/>
              </w:rPr>
            </w:pPr>
            <w:r>
              <w:rPr>
                <w:rFonts w:ascii="Arial" w:cs="Arial" w:eastAsia="Arial" w:hAnsi="Arial"/>
                <w:sz w:val="15"/>
                <w:szCs w:val="15"/>
                <w:color w:val="auto"/>
              </w:rPr>
              <w:t>22.6%</w:t>
            </w:r>
          </w:p>
        </w:tc>
        <w:tc>
          <w:tcPr>
            <w:tcW w:w="6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8"/>
              </w:rPr>
              <w:t>22.9%</w:t>
            </w:r>
          </w:p>
        </w:tc>
      </w:tr>
      <w:tr>
        <w:trPr>
          <w:trHeight w:val="162"/>
        </w:trPr>
        <w:tc>
          <w:tcPr>
            <w:tcW w:w="2120" w:type="dxa"/>
            <w:vAlign w:val="bottom"/>
            <w:tcBorders>
              <w:left w:val="single" w:sz="8" w:color="auto"/>
              <w:right w:val="single" w:sz="8" w:color="auto"/>
            </w:tcBorders>
          </w:tcPr>
          <w:p>
            <w:pPr>
              <w:ind w:left="140"/>
              <w:spacing w:after="0" w:line="160" w:lineRule="exact"/>
              <w:rPr>
                <w:sz w:val="20"/>
                <w:szCs w:val="20"/>
                <w:color w:val="auto"/>
              </w:rPr>
            </w:pPr>
            <w:r>
              <w:rPr>
                <w:rFonts w:ascii="Arial" w:cs="Arial" w:eastAsia="Arial" w:hAnsi="Arial"/>
                <w:sz w:val="15"/>
                <w:szCs w:val="15"/>
                <w:color w:val="auto"/>
              </w:rPr>
              <w:t>Middle - Market</w:t>
            </w:r>
          </w:p>
        </w:tc>
        <w:tc>
          <w:tcPr>
            <w:tcW w:w="860" w:type="dxa"/>
            <w:vAlign w:val="bottom"/>
          </w:tcPr>
          <w:p>
            <w:pPr>
              <w:jc w:val="center"/>
              <w:spacing w:after="0" w:line="160" w:lineRule="exact"/>
              <w:rPr>
                <w:sz w:val="20"/>
                <w:szCs w:val="20"/>
                <w:color w:val="auto"/>
              </w:rPr>
            </w:pPr>
            <w:r>
              <w:rPr>
                <w:rFonts w:ascii="Arial" w:cs="Arial" w:eastAsia="Arial" w:hAnsi="Arial"/>
                <w:sz w:val="15"/>
                <w:szCs w:val="15"/>
                <w:color w:val="auto"/>
              </w:rPr>
              <w:t>21,772</w:t>
            </w:r>
          </w:p>
        </w:tc>
        <w:tc>
          <w:tcPr>
            <w:tcW w:w="860" w:type="dxa"/>
            <w:vAlign w:val="bottom"/>
          </w:tcPr>
          <w:p>
            <w:pPr>
              <w:jc w:val="center"/>
              <w:spacing w:after="0" w:line="160" w:lineRule="exact"/>
              <w:rPr>
                <w:sz w:val="20"/>
                <w:szCs w:val="20"/>
                <w:color w:val="auto"/>
              </w:rPr>
            </w:pPr>
            <w:r>
              <w:rPr>
                <w:rFonts w:ascii="Arial" w:cs="Arial" w:eastAsia="Arial" w:hAnsi="Arial"/>
                <w:sz w:val="15"/>
                <w:szCs w:val="15"/>
                <w:color w:val="auto"/>
              </w:rPr>
              <w:t>20,750</w:t>
            </w:r>
          </w:p>
        </w:tc>
        <w:tc>
          <w:tcPr>
            <w:tcW w:w="9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5"/>
                <w:szCs w:val="15"/>
                <w:color w:val="auto"/>
              </w:rPr>
              <w:t>21,571</w:t>
            </w:r>
          </w:p>
        </w:tc>
        <w:tc>
          <w:tcPr>
            <w:tcW w:w="820" w:type="dxa"/>
            <w:vAlign w:val="bottom"/>
            <w:shd w:val="clear" w:color="auto" w:fill="00B249"/>
          </w:tcPr>
          <w:p>
            <w:pPr>
              <w:jc w:val="center"/>
              <w:spacing w:after="0" w:line="160" w:lineRule="exact"/>
              <w:rPr>
                <w:sz w:val="20"/>
                <w:szCs w:val="20"/>
                <w:color w:val="auto"/>
              </w:rPr>
            </w:pPr>
            <w:r>
              <w:rPr>
                <w:rFonts w:ascii="Arial" w:cs="Arial" w:eastAsia="Arial" w:hAnsi="Arial"/>
                <w:sz w:val="15"/>
                <w:szCs w:val="15"/>
                <w:color w:val="auto"/>
              </w:rPr>
              <w:t>821</w:t>
            </w:r>
          </w:p>
        </w:tc>
        <w:tc>
          <w:tcPr>
            <w:tcW w:w="9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5"/>
                <w:szCs w:val="15"/>
                <w:color w:val="auto"/>
              </w:rPr>
              <w:t>-201</w:t>
            </w:r>
          </w:p>
        </w:tc>
        <w:tc>
          <w:tcPr>
            <w:tcW w:w="820" w:type="dxa"/>
            <w:vAlign w:val="bottom"/>
          </w:tcPr>
          <w:p>
            <w:pPr>
              <w:jc w:val="center"/>
              <w:spacing w:after="0" w:line="160" w:lineRule="exact"/>
              <w:rPr>
                <w:sz w:val="20"/>
                <w:szCs w:val="20"/>
                <w:color w:val="auto"/>
              </w:rPr>
            </w:pPr>
            <w:r>
              <w:rPr>
                <w:rFonts w:ascii="Arial" w:cs="Arial" w:eastAsia="Arial" w:hAnsi="Arial"/>
                <w:sz w:val="15"/>
                <w:szCs w:val="15"/>
                <w:color w:val="auto"/>
              </w:rPr>
              <w:t>4.0%</w:t>
            </w:r>
          </w:p>
        </w:tc>
        <w:tc>
          <w:tcPr>
            <w:tcW w:w="9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5"/>
                <w:szCs w:val="15"/>
                <w:color w:val="auto"/>
              </w:rPr>
              <w:t>-0.9%</w:t>
            </w:r>
          </w:p>
        </w:tc>
        <w:tc>
          <w:tcPr>
            <w:tcW w:w="820" w:type="dxa"/>
            <w:vAlign w:val="bottom"/>
          </w:tcPr>
          <w:p>
            <w:pPr>
              <w:jc w:val="center"/>
              <w:spacing w:after="0" w:line="160" w:lineRule="exact"/>
              <w:rPr>
                <w:sz w:val="20"/>
                <w:szCs w:val="20"/>
                <w:color w:val="auto"/>
              </w:rPr>
            </w:pPr>
            <w:r>
              <w:rPr>
                <w:rFonts w:ascii="Arial" w:cs="Arial" w:eastAsia="Arial" w:hAnsi="Arial"/>
                <w:sz w:val="15"/>
                <w:szCs w:val="15"/>
                <w:color w:val="auto"/>
                <w:w w:val="98"/>
              </w:rPr>
              <w:t>15.4%</w:t>
            </w:r>
          </w:p>
        </w:tc>
        <w:tc>
          <w:tcPr>
            <w:tcW w:w="780" w:type="dxa"/>
            <w:vAlign w:val="bottom"/>
          </w:tcPr>
          <w:p>
            <w:pPr>
              <w:jc w:val="center"/>
              <w:spacing w:after="0" w:line="160" w:lineRule="exact"/>
              <w:rPr>
                <w:sz w:val="20"/>
                <w:szCs w:val="20"/>
                <w:color w:val="auto"/>
              </w:rPr>
            </w:pPr>
            <w:r>
              <w:rPr>
                <w:rFonts w:ascii="Arial" w:cs="Arial" w:eastAsia="Arial" w:hAnsi="Arial"/>
                <w:sz w:val="15"/>
                <w:szCs w:val="15"/>
                <w:color w:val="auto"/>
              </w:rPr>
              <w:t>14.5%</w:t>
            </w:r>
          </w:p>
        </w:tc>
        <w:tc>
          <w:tcPr>
            <w:tcW w:w="6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5"/>
                <w:szCs w:val="15"/>
                <w:color w:val="auto"/>
                <w:w w:val="98"/>
              </w:rPr>
              <w:t>15.0%</w:t>
            </w:r>
          </w:p>
        </w:tc>
      </w:tr>
      <w:tr>
        <w:trPr>
          <w:trHeight w:val="145"/>
        </w:trPr>
        <w:tc>
          <w:tcPr>
            <w:tcW w:w="212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5"/>
                <w:szCs w:val="15"/>
                <w:b w:val="1"/>
                <w:bCs w:val="1"/>
                <w:color w:val="auto"/>
              </w:rPr>
              <w:t>Retail Banking</w:t>
            </w:r>
          </w:p>
        </w:tc>
        <w:tc>
          <w:tcPr>
            <w:tcW w:w="860" w:type="dxa"/>
            <w:vAlign w:val="bottom"/>
          </w:tcPr>
          <w:p>
            <w:pPr>
              <w:jc w:val="center"/>
              <w:spacing w:after="0" w:line="145" w:lineRule="exact"/>
              <w:rPr>
                <w:sz w:val="20"/>
                <w:szCs w:val="20"/>
                <w:color w:val="auto"/>
              </w:rPr>
            </w:pPr>
            <w:r>
              <w:rPr>
                <w:rFonts w:ascii="Arial" w:cs="Arial" w:eastAsia="Arial" w:hAnsi="Arial"/>
                <w:sz w:val="15"/>
                <w:szCs w:val="15"/>
                <w:b w:val="1"/>
                <w:bCs w:val="1"/>
                <w:color w:val="auto"/>
              </w:rPr>
              <w:t>63,577</w:t>
            </w:r>
          </w:p>
        </w:tc>
        <w:tc>
          <w:tcPr>
            <w:tcW w:w="860" w:type="dxa"/>
            <w:vAlign w:val="bottom"/>
          </w:tcPr>
          <w:p>
            <w:pPr>
              <w:jc w:val="center"/>
              <w:spacing w:after="0" w:line="145" w:lineRule="exact"/>
              <w:rPr>
                <w:sz w:val="20"/>
                <w:szCs w:val="20"/>
                <w:color w:val="auto"/>
              </w:rPr>
            </w:pPr>
            <w:r>
              <w:rPr>
                <w:rFonts w:ascii="Arial" w:cs="Arial" w:eastAsia="Arial" w:hAnsi="Arial"/>
                <w:sz w:val="15"/>
                <w:szCs w:val="15"/>
                <w:b w:val="1"/>
                <w:bCs w:val="1"/>
                <w:color w:val="auto"/>
              </w:rPr>
              <w:t>64,533</w:t>
            </w:r>
          </w:p>
        </w:tc>
        <w:tc>
          <w:tcPr>
            <w:tcW w:w="9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5"/>
                <w:szCs w:val="15"/>
                <w:b w:val="1"/>
                <w:bCs w:val="1"/>
                <w:color w:val="auto"/>
              </w:rPr>
              <w:t>64,223</w:t>
            </w:r>
          </w:p>
        </w:tc>
        <w:tc>
          <w:tcPr>
            <w:tcW w:w="820" w:type="dxa"/>
            <w:vAlign w:val="bottom"/>
          </w:tcPr>
          <w:p>
            <w:pPr>
              <w:jc w:val="center"/>
              <w:spacing w:after="0" w:line="145" w:lineRule="exact"/>
              <w:rPr>
                <w:sz w:val="20"/>
                <w:szCs w:val="20"/>
                <w:color w:val="auto"/>
              </w:rPr>
            </w:pPr>
            <w:r>
              <w:rPr>
                <w:rFonts w:ascii="Arial" w:cs="Arial" w:eastAsia="Arial" w:hAnsi="Arial"/>
                <w:sz w:val="15"/>
                <w:szCs w:val="15"/>
                <w:b w:val="1"/>
                <w:bCs w:val="1"/>
                <w:color w:val="auto"/>
                <w:w w:val="99"/>
              </w:rPr>
              <w:t>-311</w:t>
            </w:r>
          </w:p>
        </w:tc>
        <w:tc>
          <w:tcPr>
            <w:tcW w:w="9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5"/>
                <w:szCs w:val="15"/>
                <w:b w:val="1"/>
                <w:bCs w:val="1"/>
                <w:color w:val="auto"/>
              </w:rPr>
              <w:t>646</w:t>
            </w:r>
          </w:p>
        </w:tc>
        <w:tc>
          <w:tcPr>
            <w:tcW w:w="820" w:type="dxa"/>
            <w:vAlign w:val="bottom"/>
          </w:tcPr>
          <w:p>
            <w:pPr>
              <w:jc w:val="center"/>
              <w:spacing w:after="0" w:line="145" w:lineRule="exact"/>
              <w:rPr>
                <w:sz w:val="20"/>
                <w:szCs w:val="20"/>
                <w:color w:val="auto"/>
              </w:rPr>
            </w:pPr>
            <w:r>
              <w:rPr>
                <w:rFonts w:ascii="Arial" w:cs="Arial" w:eastAsia="Arial" w:hAnsi="Arial"/>
                <w:sz w:val="15"/>
                <w:szCs w:val="15"/>
                <w:b w:val="1"/>
                <w:bCs w:val="1"/>
                <w:color w:val="auto"/>
              </w:rPr>
              <w:t>-0.5%</w:t>
            </w:r>
          </w:p>
        </w:tc>
        <w:tc>
          <w:tcPr>
            <w:tcW w:w="9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5"/>
                <w:szCs w:val="15"/>
                <w:b w:val="1"/>
                <w:bCs w:val="1"/>
                <w:color w:val="auto"/>
              </w:rPr>
              <w:t>1.0%</w:t>
            </w:r>
          </w:p>
        </w:tc>
        <w:tc>
          <w:tcPr>
            <w:tcW w:w="820" w:type="dxa"/>
            <w:vAlign w:val="bottom"/>
          </w:tcPr>
          <w:p>
            <w:pPr>
              <w:jc w:val="center"/>
              <w:spacing w:after="0" w:line="145" w:lineRule="exact"/>
              <w:rPr>
                <w:sz w:val="20"/>
                <w:szCs w:val="20"/>
                <w:color w:val="auto"/>
              </w:rPr>
            </w:pPr>
            <w:r>
              <w:rPr>
                <w:rFonts w:ascii="Arial" w:cs="Arial" w:eastAsia="Arial" w:hAnsi="Arial"/>
                <w:sz w:val="15"/>
                <w:szCs w:val="15"/>
                <w:b w:val="1"/>
                <w:bCs w:val="1"/>
                <w:color w:val="auto"/>
                <w:w w:val="98"/>
              </w:rPr>
              <w:t>44.9%</w:t>
            </w:r>
          </w:p>
        </w:tc>
        <w:tc>
          <w:tcPr>
            <w:tcW w:w="780" w:type="dxa"/>
            <w:vAlign w:val="bottom"/>
          </w:tcPr>
          <w:p>
            <w:pPr>
              <w:jc w:val="center"/>
              <w:spacing w:after="0" w:line="145" w:lineRule="exact"/>
              <w:rPr>
                <w:sz w:val="20"/>
                <w:szCs w:val="20"/>
                <w:color w:val="auto"/>
              </w:rPr>
            </w:pPr>
            <w:r>
              <w:rPr>
                <w:rFonts w:ascii="Arial" w:cs="Arial" w:eastAsia="Arial" w:hAnsi="Arial"/>
                <w:sz w:val="15"/>
                <w:szCs w:val="15"/>
                <w:b w:val="1"/>
                <w:bCs w:val="1"/>
                <w:color w:val="auto"/>
              </w:rPr>
              <w:t>45.2%</w:t>
            </w:r>
          </w:p>
        </w:tc>
        <w:tc>
          <w:tcPr>
            <w:tcW w:w="6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5"/>
                <w:szCs w:val="15"/>
                <w:b w:val="1"/>
                <w:bCs w:val="1"/>
                <w:color w:val="auto"/>
                <w:w w:val="98"/>
              </w:rPr>
              <w:t>44.6%</w:t>
            </w:r>
          </w:p>
        </w:tc>
      </w:tr>
      <w:tr>
        <w:trPr>
          <w:trHeight w:val="179"/>
        </w:trPr>
        <w:tc>
          <w:tcPr>
            <w:tcW w:w="2120" w:type="dxa"/>
            <w:vAlign w:val="bottom"/>
            <w:tcBorders>
              <w:left w:val="single" w:sz="8" w:color="auto"/>
              <w:right w:val="single" w:sz="8" w:color="auto"/>
            </w:tcBorders>
          </w:tcPr>
          <w:p>
            <w:pPr>
              <w:ind w:left="140"/>
              <w:spacing w:after="0" w:line="162" w:lineRule="exact"/>
              <w:rPr>
                <w:sz w:val="20"/>
                <w:szCs w:val="20"/>
                <w:color w:val="auto"/>
              </w:rPr>
            </w:pPr>
            <w:r>
              <w:rPr>
                <w:rFonts w:ascii="Arial" w:cs="Arial" w:eastAsia="Arial" w:hAnsi="Arial"/>
                <w:sz w:val="15"/>
                <w:szCs w:val="15"/>
                <w:color w:val="auto"/>
              </w:rPr>
              <w:t>SME - Business</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7,294</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7,956</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7,590</w:t>
            </w:r>
          </w:p>
        </w:tc>
        <w:tc>
          <w:tcPr>
            <w:tcW w:w="820" w:type="dxa"/>
            <w:vAlign w:val="bottom"/>
            <w:shd w:val="clear" w:color="auto" w:fill="D80094"/>
          </w:tcPr>
          <w:p>
            <w:pPr>
              <w:jc w:val="center"/>
              <w:spacing w:after="0" w:line="162" w:lineRule="exact"/>
              <w:rPr>
                <w:sz w:val="20"/>
                <w:szCs w:val="20"/>
                <w:color w:val="auto"/>
              </w:rPr>
            </w:pPr>
            <w:r>
              <w:rPr>
                <w:rFonts w:ascii="Arial" w:cs="Arial" w:eastAsia="Arial" w:hAnsi="Arial"/>
                <w:sz w:val="15"/>
                <w:szCs w:val="15"/>
                <w:color w:val="auto"/>
                <w:w w:val="99"/>
              </w:rPr>
              <w:t>-367</w:t>
            </w:r>
          </w:p>
        </w:tc>
        <w:tc>
          <w:tcPr>
            <w:tcW w:w="900" w:type="dxa"/>
            <w:vAlign w:val="bottom"/>
            <w:tcBorders>
              <w:right w:val="single" w:sz="8" w:color="auto"/>
            </w:tcBorders>
            <w:shd w:val="clear" w:color="auto" w:fill="00B249"/>
          </w:tcPr>
          <w:p>
            <w:pPr>
              <w:jc w:val="center"/>
              <w:spacing w:after="0" w:line="162" w:lineRule="exact"/>
              <w:rPr>
                <w:sz w:val="20"/>
                <w:szCs w:val="20"/>
                <w:color w:val="auto"/>
              </w:rPr>
            </w:pPr>
            <w:r>
              <w:rPr>
                <w:rFonts w:ascii="Arial" w:cs="Arial" w:eastAsia="Arial" w:hAnsi="Arial"/>
                <w:sz w:val="15"/>
                <w:szCs w:val="15"/>
                <w:color w:val="auto"/>
              </w:rPr>
              <w:t>295</w:t>
            </w:r>
          </w:p>
        </w:tc>
        <w:tc>
          <w:tcPr>
            <w:tcW w:w="820" w:type="dxa"/>
            <w:vAlign w:val="bottom"/>
          </w:tcPr>
          <w:p>
            <w:pPr>
              <w:jc w:val="center"/>
              <w:spacing w:after="0" w:line="162" w:lineRule="exact"/>
              <w:rPr>
                <w:sz w:val="20"/>
                <w:szCs w:val="20"/>
                <w:color w:val="auto"/>
              </w:rPr>
            </w:pPr>
            <w:r>
              <w:rPr>
                <w:rFonts w:ascii="Arial" w:cs="Arial" w:eastAsia="Arial" w:hAnsi="Arial"/>
                <w:sz w:val="15"/>
                <w:szCs w:val="15"/>
                <w:color w:val="auto"/>
              </w:rPr>
              <w:t>-4.6%</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4.0%</w:t>
            </w:r>
          </w:p>
        </w:tc>
        <w:tc>
          <w:tcPr>
            <w:tcW w:w="820" w:type="dxa"/>
            <w:vAlign w:val="bottom"/>
          </w:tcPr>
          <w:p>
            <w:pPr>
              <w:jc w:val="center"/>
              <w:spacing w:after="0" w:line="162" w:lineRule="exact"/>
              <w:rPr>
                <w:sz w:val="20"/>
                <w:szCs w:val="20"/>
                <w:color w:val="auto"/>
              </w:rPr>
            </w:pPr>
            <w:r>
              <w:rPr>
                <w:rFonts w:ascii="Arial" w:cs="Arial" w:eastAsia="Arial" w:hAnsi="Arial"/>
                <w:sz w:val="15"/>
                <w:szCs w:val="15"/>
                <w:color w:val="auto"/>
                <w:w w:val="99"/>
              </w:rPr>
              <w:t>5.1%</w:t>
            </w:r>
          </w:p>
        </w:tc>
        <w:tc>
          <w:tcPr>
            <w:tcW w:w="780" w:type="dxa"/>
            <w:vAlign w:val="bottom"/>
          </w:tcPr>
          <w:p>
            <w:pPr>
              <w:jc w:val="center"/>
              <w:ind w:left="4"/>
              <w:spacing w:after="0" w:line="162" w:lineRule="exact"/>
              <w:rPr>
                <w:sz w:val="20"/>
                <w:szCs w:val="20"/>
                <w:color w:val="auto"/>
              </w:rPr>
            </w:pPr>
            <w:r>
              <w:rPr>
                <w:rFonts w:ascii="Arial" w:cs="Arial" w:eastAsia="Arial" w:hAnsi="Arial"/>
                <w:sz w:val="15"/>
                <w:szCs w:val="15"/>
                <w:color w:val="auto"/>
                <w:w w:val="99"/>
              </w:rPr>
              <w:t>5.6%</w:t>
            </w:r>
          </w:p>
        </w:tc>
        <w:tc>
          <w:tcPr>
            <w:tcW w:w="6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9"/>
              </w:rPr>
              <w:t>5.3%</w:t>
            </w:r>
          </w:p>
        </w:tc>
      </w:tr>
      <w:tr>
        <w:trPr>
          <w:trHeight w:val="162"/>
        </w:trPr>
        <w:tc>
          <w:tcPr>
            <w:tcW w:w="2120" w:type="dxa"/>
            <w:vAlign w:val="bottom"/>
            <w:tcBorders>
              <w:left w:val="single" w:sz="8" w:color="auto"/>
              <w:right w:val="single" w:sz="8" w:color="auto"/>
            </w:tcBorders>
          </w:tcPr>
          <w:p>
            <w:pPr>
              <w:ind w:left="140"/>
              <w:spacing w:after="0" w:line="162" w:lineRule="exact"/>
              <w:rPr>
                <w:sz w:val="20"/>
                <w:szCs w:val="20"/>
                <w:color w:val="auto"/>
              </w:rPr>
            </w:pPr>
            <w:r>
              <w:rPr>
                <w:rFonts w:ascii="Arial" w:cs="Arial" w:eastAsia="Arial" w:hAnsi="Arial"/>
                <w:sz w:val="15"/>
                <w:szCs w:val="15"/>
                <w:color w:val="auto"/>
              </w:rPr>
              <w:t>SME - Pyme</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16,499</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16,251</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15,940</w:t>
            </w:r>
          </w:p>
        </w:tc>
        <w:tc>
          <w:tcPr>
            <w:tcW w:w="820" w:type="dxa"/>
            <w:vAlign w:val="bottom"/>
            <w:shd w:val="clear" w:color="auto" w:fill="D80094"/>
          </w:tcPr>
          <w:p>
            <w:pPr>
              <w:jc w:val="center"/>
              <w:spacing w:after="0" w:line="162" w:lineRule="exact"/>
              <w:rPr>
                <w:sz w:val="20"/>
                <w:szCs w:val="20"/>
                <w:color w:val="auto"/>
              </w:rPr>
            </w:pPr>
            <w:r>
              <w:rPr>
                <w:rFonts w:ascii="Arial" w:cs="Arial" w:eastAsia="Arial" w:hAnsi="Arial"/>
                <w:sz w:val="15"/>
                <w:szCs w:val="15"/>
                <w:color w:val="auto"/>
                <w:w w:val="99"/>
              </w:rPr>
              <w:t>-311</w:t>
            </w:r>
          </w:p>
        </w:tc>
        <w:tc>
          <w:tcPr>
            <w:tcW w:w="900" w:type="dxa"/>
            <w:vAlign w:val="bottom"/>
            <w:tcBorders>
              <w:right w:val="single" w:sz="8" w:color="auto"/>
            </w:tcBorders>
            <w:shd w:val="clear" w:color="auto" w:fill="D80094"/>
          </w:tcPr>
          <w:p>
            <w:pPr>
              <w:jc w:val="center"/>
              <w:spacing w:after="0" w:line="145" w:lineRule="exact"/>
              <w:rPr>
                <w:sz w:val="20"/>
                <w:szCs w:val="20"/>
                <w:color w:val="auto"/>
              </w:rPr>
            </w:pPr>
            <w:r>
              <w:rPr>
                <w:rFonts w:ascii="Arial" w:cs="Arial" w:eastAsia="Arial" w:hAnsi="Arial"/>
                <w:sz w:val="15"/>
                <w:szCs w:val="15"/>
                <w:color w:val="auto"/>
              </w:rPr>
              <w:t>-559</w:t>
            </w:r>
          </w:p>
        </w:tc>
        <w:tc>
          <w:tcPr>
            <w:tcW w:w="820" w:type="dxa"/>
            <w:vAlign w:val="bottom"/>
          </w:tcPr>
          <w:p>
            <w:pPr>
              <w:jc w:val="center"/>
              <w:spacing w:after="0" w:line="162" w:lineRule="exact"/>
              <w:rPr>
                <w:sz w:val="20"/>
                <w:szCs w:val="20"/>
                <w:color w:val="auto"/>
              </w:rPr>
            </w:pPr>
            <w:r>
              <w:rPr>
                <w:rFonts w:ascii="Arial" w:cs="Arial" w:eastAsia="Arial" w:hAnsi="Arial"/>
                <w:sz w:val="15"/>
                <w:szCs w:val="15"/>
                <w:color w:val="auto"/>
              </w:rPr>
              <w:t>-1.9%</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-3.4%</w:t>
            </w:r>
          </w:p>
        </w:tc>
        <w:tc>
          <w:tcPr>
            <w:tcW w:w="820" w:type="dxa"/>
            <w:vAlign w:val="bottom"/>
          </w:tcPr>
          <w:p>
            <w:pPr>
              <w:jc w:val="center"/>
              <w:spacing w:after="0" w:line="162" w:lineRule="exact"/>
              <w:rPr>
                <w:sz w:val="20"/>
                <w:szCs w:val="20"/>
                <w:color w:val="auto"/>
              </w:rPr>
            </w:pPr>
            <w:r>
              <w:rPr>
                <w:rFonts w:ascii="Arial" w:cs="Arial" w:eastAsia="Arial" w:hAnsi="Arial"/>
                <w:sz w:val="15"/>
                <w:szCs w:val="15"/>
                <w:color w:val="auto"/>
                <w:w w:val="98"/>
              </w:rPr>
              <w:t>11.6%</w:t>
            </w:r>
          </w:p>
        </w:tc>
        <w:tc>
          <w:tcPr>
            <w:tcW w:w="780" w:type="dxa"/>
            <w:vAlign w:val="bottom"/>
          </w:tcPr>
          <w:p>
            <w:pPr>
              <w:jc w:val="center"/>
              <w:ind w:left="4"/>
              <w:spacing w:after="0" w:line="162" w:lineRule="exact"/>
              <w:rPr>
                <w:sz w:val="20"/>
                <w:szCs w:val="20"/>
                <w:color w:val="auto"/>
              </w:rPr>
            </w:pPr>
            <w:r>
              <w:rPr>
                <w:rFonts w:ascii="Arial" w:cs="Arial" w:eastAsia="Arial" w:hAnsi="Arial"/>
                <w:sz w:val="15"/>
                <w:szCs w:val="15"/>
                <w:color w:val="auto"/>
                <w:w w:val="98"/>
              </w:rPr>
              <w:t>11.4%</w:t>
            </w:r>
          </w:p>
        </w:tc>
        <w:tc>
          <w:tcPr>
            <w:tcW w:w="6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8"/>
              </w:rPr>
              <w:t>11.1%</w:t>
            </w:r>
          </w:p>
        </w:tc>
      </w:tr>
      <w:tr>
        <w:trPr>
          <w:trHeight w:val="162"/>
        </w:trPr>
        <w:tc>
          <w:tcPr>
            <w:tcW w:w="2120" w:type="dxa"/>
            <w:vAlign w:val="bottom"/>
            <w:tcBorders>
              <w:left w:val="single" w:sz="8" w:color="auto"/>
              <w:right w:val="single" w:sz="8" w:color="auto"/>
            </w:tcBorders>
          </w:tcPr>
          <w:p>
            <w:pPr>
              <w:ind w:left="140"/>
              <w:spacing w:after="0" w:line="162" w:lineRule="exact"/>
              <w:rPr>
                <w:sz w:val="20"/>
                <w:szCs w:val="20"/>
                <w:color w:val="auto"/>
              </w:rPr>
            </w:pPr>
            <w:r>
              <w:rPr>
                <w:rFonts w:ascii="Arial" w:cs="Arial" w:eastAsia="Arial" w:hAnsi="Arial"/>
                <w:sz w:val="15"/>
                <w:szCs w:val="15"/>
                <w:color w:val="auto"/>
              </w:rPr>
              <w:t>Mortgage</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21,050</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21,709</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21,870</w:t>
            </w:r>
          </w:p>
        </w:tc>
        <w:tc>
          <w:tcPr>
            <w:tcW w:w="820" w:type="dxa"/>
            <w:vAlign w:val="bottom"/>
          </w:tcPr>
          <w:p>
            <w:pPr>
              <w:jc w:val="center"/>
              <w:spacing w:after="0" w:line="145" w:lineRule="exact"/>
              <w:rPr>
                <w:sz w:val="20"/>
                <w:szCs w:val="20"/>
                <w:color w:val="auto"/>
              </w:rPr>
            </w:pPr>
            <w:r>
              <w:rPr>
                <w:rFonts w:ascii="Arial" w:cs="Arial" w:eastAsia="Arial" w:hAnsi="Arial"/>
                <w:sz w:val="15"/>
                <w:szCs w:val="15"/>
                <w:color w:val="auto"/>
              </w:rPr>
              <w:t>161</w:t>
            </w:r>
          </w:p>
        </w:tc>
        <w:tc>
          <w:tcPr>
            <w:tcW w:w="900" w:type="dxa"/>
            <w:vAlign w:val="bottom"/>
            <w:tcBorders>
              <w:right w:val="single" w:sz="8" w:color="auto"/>
            </w:tcBorders>
            <w:shd w:val="clear" w:color="auto" w:fill="00B249"/>
          </w:tcPr>
          <w:p>
            <w:pPr>
              <w:jc w:val="center"/>
              <w:spacing w:after="0" w:line="145" w:lineRule="exact"/>
              <w:rPr>
                <w:sz w:val="20"/>
                <w:szCs w:val="20"/>
                <w:color w:val="auto"/>
              </w:rPr>
            </w:pPr>
            <w:r>
              <w:rPr>
                <w:rFonts w:ascii="Arial" w:cs="Arial" w:eastAsia="Arial" w:hAnsi="Arial"/>
                <w:sz w:val="15"/>
                <w:szCs w:val="15"/>
                <w:color w:val="auto"/>
              </w:rPr>
              <w:t>821</w:t>
            </w:r>
          </w:p>
        </w:tc>
        <w:tc>
          <w:tcPr>
            <w:tcW w:w="820" w:type="dxa"/>
            <w:vAlign w:val="bottom"/>
          </w:tcPr>
          <w:p>
            <w:pPr>
              <w:jc w:val="center"/>
              <w:spacing w:after="0" w:line="162" w:lineRule="exact"/>
              <w:rPr>
                <w:sz w:val="20"/>
                <w:szCs w:val="20"/>
                <w:color w:val="auto"/>
              </w:rPr>
            </w:pPr>
            <w:r>
              <w:rPr>
                <w:rFonts w:ascii="Arial" w:cs="Arial" w:eastAsia="Arial" w:hAnsi="Arial"/>
                <w:sz w:val="15"/>
                <w:szCs w:val="15"/>
                <w:color w:val="auto"/>
              </w:rPr>
              <w:t>0.7%</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3.9%</w:t>
            </w:r>
          </w:p>
        </w:tc>
        <w:tc>
          <w:tcPr>
            <w:tcW w:w="820" w:type="dxa"/>
            <w:vAlign w:val="bottom"/>
          </w:tcPr>
          <w:p>
            <w:pPr>
              <w:jc w:val="center"/>
              <w:spacing w:after="0" w:line="162" w:lineRule="exact"/>
              <w:rPr>
                <w:sz w:val="20"/>
                <w:szCs w:val="20"/>
                <w:color w:val="auto"/>
              </w:rPr>
            </w:pPr>
            <w:r>
              <w:rPr>
                <w:rFonts w:ascii="Arial" w:cs="Arial" w:eastAsia="Arial" w:hAnsi="Arial"/>
                <w:sz w:val="15"/>
                <w:szCs w:val="15"/>
                <w:color w:val="auto"/>
                <w:w w:val="98"/>
              </w:rPr>
              <w:t>14.9%</w:t>
            </w:r>
          </w:p>
        </w:tc>
        <w:tc>
          <w:tcPr>
            <w:tcW w:w="780" w:type="dxa"/>
            <w:vAlign w:val="bottom"/>
          </w:tcPr>
          <w:p>
            <w:pPr>
              <w:jc w:val="center"/>
              <w:spacing w:after="0" w:line="162" w:lineRule="exact"/>
              <w:rPr>
                <w:sz w:val="20"/>
                <w:szCs w:val="20"/>
                <w:color w:val="auto"/>
              </w:rPr>
            </w:pPr>
            <w:r>
              <w:rPr>
                <w:rFonts w:ascii="Arial" w:cs="Arial" w:eastAsia="Arial" w:hAnsi="Arial"/>
                <w:sz w:val="15"/>
                <w:szCs w:val="15"/>
                <w:color w:val="auto"/>
              </w:rPr>
              <w:t>15.2%</w:t>
            </w:r>
          </w:p>
        </w:tc>
        <w:tc>
          <w:tcPr>
            <w:tcW w:w="6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8"/>
              </w:rPr>
              <w:t>15.2%</w:t>
            </w:r>
          </w:p>
        </w:tc>
      </w:tr>
      <w:tr>
        <w:trPr>
          <w:trHeight w:val="162"/>
        </w:trPr>
        <w:tc>
          <w:tcPr>
            <w:tcW w:w="2120" w:type="dxa"/>
            <w:vAlign w:val="bottom"/>
            <w:tcBorders>
              <w:left w:val="single" w:sz="8" w:color="auto"/>
              <w:right w:val="single" w:sz="8" w:color="auto"/>
            </w:tcBorders>
          </w:tcPr>
          <w:p>
            <w:pPr>
              <w:ind w:left="140"/>
              <w:spacing w:after="0" w:line="162" w:lineRule="exact"/>
              <w:rPr>
                <w:sz w:val="20"/>
                <w:szCs w:val="20"/>
                <w:color w:val="auto"/>
              </w:rPr>
            </w:pPr>
            <w:r>
              <w:rPr>
                <w:rFonts w:ascii="Arial" w:cs="Arial" w:eastAsia="Arial" w:hAnsi="Arial"/>
                <w:sz w:val="15"/>
                <w:szCs w:val="15"/>
                <w:color w:val="auto"/>
              </w:rPr>
              <w:t>Consumer</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12,723</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12,755</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12,961</w:t>
            </w:r>
          </w:p>
        </w:tc>
        <w:tc>
          <w:tcPr>
            <w:tcW w:w="820" w:type="dxa"/>
            <w:vAlign w:val="bottom"/>
            <w:shd w:val="clear" w:color="auto" w:fill="00B249"/>
          </w:tcPr>
          <w:p>
            <w:pPr>
              <w:jc w:val="center"/>
              <w:spacing w:after="0" w:line="145" w:lineRule="exact"/>
              <w:rPr>
                <w:sz w:val="20"/>
                <w:szCs w:val="20"/>
                <w:color w:val="auto"/>
              </w:rPr>
            </w:pPr>
            <w:r>
              <w:rPr>
                <w:rFonts w:ascii="Arial" w:cs="Arial" w:eastAsia="Arial" w:hAnsi="Arial"/>
                <w:sz w:val="15"/>
                <w:szCs w:val="15"/>
                <w:color w:val="auto"/>
              </w:rPr>
              <w:t>206</w:t>
            </w:r>
          </w:p>
        </w:tc>
        <w:tc>
          <w:tcPr>
            <w:tcW w:w="9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5"/>
                <w:szCs w:val="15"/>
                <w:color w:val="auto"/>
              </w:rPr>
              <w:t>237</w:t>
            </w:r>
          </w:p>
        </w:tc>
        <w:tc>
          <w:tcPr>
            <w:tcW w:w="820" w:type="dxa"/>
            <w:vAlign w:val="bottom"/>
          </w:tcPr>
          <w:p>
            <w:pPr>
              <w:jc w:val="center"/>
              <w:spacing w:after="0" w:line="162" w:lineRule="exact"/>
              <w:rPr>
                <w:sz w:val="20"/>
                <w:szCs w:val="20"/>
                <w:color w:val="auto"/>
              </w:rPr>
            </w:pPr>
            <w:r>
              <w:rPr>
                <w:rFonts w:ascii="Arial" w:cs="Arial" w:eastAsia="Arial" w:hAnsi="Arial"/>
                <w:sz w:val="15"/>
                <w:szCs w:val="15"/>
                <w:color w:val="auto"/>
              </w:rPr>
              <w:t>1.6%</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1.9%</w:t>
            </w:r>
          </w:p>
        </w:tc>
        <w:tc>
          <w:tcPr>
            <w:tcW w:w="820" w:type="dxa"/>
            <w:vAlign w:val="bottom"/>
          </w:tcPr>
          <w:p>
            <w:pPr>
              <w:jc w:val="center"/>
              <w:spacing w:after="0" w:line="162" w:lineRule="exact"/>
              <w:rPr>
                <w:sz w:val="20"/>
                <w:szCs w:val="20"/>
                <w:color w:val="auto"/>
              </w:rPr>
            </w:pPr>
            <w:r>
              <w:rPr>
                <w:rFonts w:ascii="Arial" w:cs="Arial" w:eastAsia="Arial" w:hAnsi="Arial"/>
                <w:sz w:val="15"/>
                <w:szCs w:val="15"/>
                <w:color w:val="auto"/>
                <w:w w:val="99"/>
              </w:rPr>
              <w:t>9.0%</w:t>
            </w:r>
          </w:p>
        </w:tc>
        <w:tc>
          <w:tcPr>
            <w:tcW w:w="780" w:type="dxa"/>
            <w:vAlign w:val="bottom"/>
          </w:tcPr>
          <w:p>
            <w:pPr>
              <w:jc w:val="center"/>
              <w:ind w:left="4"/>
              <w:spacing w:after="0" w:line="162" w:lineRule="exact"/>
              <w:rPr>
                <w:sz w:val="20"/>
                <w:szCs w:val="20"/>
                <w:color w:val="auto"/>
              </w:rPr>
            </w:pPr>
            <w:r>
              <w:rPr>
                <w:rFonts w:ascii="Arial" w:cs="Arial" w:eastAsia="Arial" w:hAnsi="Arial"/>
                <w:sz w:val="15"/>
                <w:szCs w:val="15"/>
                <w:color w:val="auto"/>
                <w:w w:val="99"/>
              </w:rPr>
              <w:t>8.9%</w:t>
            </w:r>
          </w:p>
        </w:tc>
        <w:tc>
          <w:tcPr>
            <w:tcW w:w="6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9"/>
              </w:rPr>
              <w:t>9.0%</w:t>
            </w:r>
          </w:p>
        </w:tc>
      </w:tr>
      <w:tr>
        <w:trPr>
          <w:trHeight w:val="143"/>
        </w:trPr>
        <w:tc>
          <w:tcPr>
            <w:tcW w:w="2120" w:type="dxa"/>
            <w:vAlign w:val="bottom"/>
            <w:tcBorders>
              <w:left w:val="single" w:sz="8" w:color="auto"/>
              <w:right w:val="single" w:sz="8" w:color="auto"/>
            </w:tcBorders>
          </w:tcPr>
          <w:p>
            <w:pPr>
              <w:ind w:left="140"/>
              <w:spacing w:after="0" w:line="143" w:lineRule="exact"/>
              <w:rPr>
                <w:sz w:val="20"/>
                <w:szCs w:val="20"/>
                <w:color w:val="auto"/>
              </w:rPr>
            </w:pPr>
            <w:r>
              <w:rPr>
                <w:rFonts w:ascii="Arial" w:cs="Arial" w:eastAsia="Arial" w:hAnsi="Arial"/>
                <w:sz w:val="15"/>
                <w:szCs w:val="15"/>
                <w:color w:val="auto"/>
              </w:rPr>
              <w:t>Credit Card</w:t>
            </w:r>
          </w:p>
        </w:tc>
        <w:tc>
          <w:tcPr>
            <w:tcW w:w="860" w:type="dxa"/>
            <w:vAlign w:val="bottom"/>
          </w:tcPr>
          <w:p>
            <w:pPr>
              <w:jc w:val="center"/>
              <w:spacing w:after="0" w:line="143" w:lineRule="exact"/>
              <w:rPr>
                <w:sz w:val="20"/>
                <w:szCs w:val="20"/>
                <w:color w:val="auto"/>
              </w:rPr>
            </w:pPr>
            <w:r>
              <w:rPr>
                <w:rFonts w:ascii="Arial" w:cs="Arial" w:eastAsia="Arial" w:hAnsi="Arial"/>
                <w:sz w:val="15"/>
                <w:szCs w:val="15"/>
                <w:color w:val="auto"/>
              </w:rPr>
              <w:t>6,010</w:t>
            </w:r>
          </w:p>
        </w:tc>
        <w:tc>
          <w:tcPr>
            <w:tcW w:w="860" w:type="dxa"/>
            <w:vAlign w:val="bottom"/>
          </w:tcPr>
          <w:p>
            <w:pPr>
              <w:jc w:val="center"/>
              <w:spacing w:after="0" w:line="143" w:lineRule="exact"/>
              <w:rPr>
                <w:sz w:val="20"/>
                <w:szCs w:val="20"/>
                <w:color w:val="auto"/>
              </w:rPr>
            </w:pPr>
            <w:r>
              <w:rPr>
                <w:rFonts w:ascii="Arial" w:cs="Arial" w:eastAsia="Arial" w:hAnsi="Arial"/>
                <w:sz w:val="15"/>
                <w:szCs w:val="15"/>
                <w:color w:val="auto"/>
              </w:rPr>
              <w:t>5,862</w:t>
            </w:r>
          </w:p>
        </w:tc>
        <w:tc>
          <w:tcPr>
            <w:tcW w:w="9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5"/>
                <w:szCs w:val="15"/>
                <w:color w:val="auto"/>
              </w:rPr>
              <w:t>5,862</w:t>
            </w:r>
          </w:p>
        </w:tc>
        <w:tc>
          <w:tcPr>
            <w:tcW w:w="820" w:type="dxa"/>
            <w:vAlign w:val="bottom"/>
          </w:tcPr>
          <w:p>
            <w:pPr>
              <w:jc w:val="center"/>
              <w:spacing w:after="0" w:line="143" w:lineRule="exact"/>
              <w:rPr>
                <w:sz w:val="20"/>
                <w:szCs w:val="20"/>
                <w:color w:val="auto"/>
              </w:rPr>
            </w:pPr>
            <w:r>
              <w:rPr>
                <w:rFonts w:ascii="Arial" w:cs="Arial" w:eastAsia="Arial" w:hAnsi="Arial"/>
                <w:sz w:val="15"/>
                <w:szCs w:val="15"/>
                <w:color w:val="auto"/>
              </w:rPr>
              <w:t>1</w:t>
            </w:r>
          </w:p>
        </w:tc>
        <w:tc>
          <w:tcPr>
            <w:tcW w:w="9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5"/>
                <w:szCs w:val="15"/>
                <w:color w:val="auto"/>
              </w:rPr>
              <w:t>-148</w:t>
            </w:r>
          </w:p>
        </w:tc>
        <w:tc>
          <w:tcPr>
            <w:tcW w:w="820" w:type="dxa"/>
            <w:vAlign w:val="bottom"/>
          </w:tcPr>
          <w:p>
            <w:pPr>
              <w:jc w:val="center"/>
              <w:spacing w:after="0" w:line="143" w:lineRule="exact"/>
              <w:rPr>
                <w:sz w:val="20"/>
                <w:szCs w:val="20"/>
                <w:color w:val="auto"/>
              </w:rPr>
            </w:pPr>
            <w:r>
              <w:rPr>
                <w:rFonts w:ascii="Arial" w:cs="Arial" w:eastAsia="Arial" w:hAnsi="Arial"/>
                <w:sz w:val="15"/>
                <w:szCs w:val="15"/>
                <w:color w:val="auto"/>
              </w:rPr>
              <w:t>0.0%</w:t>
            </w:r>
          </w:p>
        </w:tc>
        <w:tc>
          <w:tcPr>
            <w:tcW w:w="9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5"/>
                <w:szCs w:val="15"/>
                <w:color w:val="auto"/>
              </w:rPr>
              <w:t>-2.5%</w:t>
            </w:r>
          </w:p>
        </w:tc>
        <w:tc>
          <w:tcPr>
            <w:tcW w:w="820" w:type="dxa"/>
            <w:vAlign w:val="bottom"/>
          </w:tcPr>
          <w:p>
            <w:pPr>
              <w:jc w:val="center"/>
              <w:spacing w:after="0" w:line="143" w:lineRule="exact"/>
              <w:rPr>
                <w:sz w:val="20"/>
                <w:szCs w:val="20"/>
                <w:color w:val="auto"/>
              </w:rPr>
            </w:pPr>
            <w:r>
              <w:rPr>
                <w:rFonts w:ascii="Arial" w:cs="Arial" w:eastAsia="Arial" w:hAnsi="Arial"/>
                <w:sz w:val="15"/>
                <w:szCs w:val="15"/>
                <w:color w:val="auto"/>
                <w:w w:val="99"/>
              </w:rPr>
              <w:t>4.2%</w:t>
            </w:r>
          </w:p>
        </w:tc>
        <w:tc>
          <w:tcPr>
            <w:tcW w:w="780" w:type="dxa"/>
            <w:vAlign w:val="bottom"/>
          </w:tcPr>
          <w:p>
            <w:pPr>
              <w:jc w:val="center"/>
              <w:ind w:left="4"/>
              <w:spacing w:after="0" w:line="143" w:lineRule="exact"/>
              <w:rPr>
                <w:sz w:val="20"/>
                <w:szCs w:val="20"/>
                <w:color w:val="auto"/>
              </w:rPr>
            </w:pPr>
            <w:r>
              <w:rPr>
                <w:rFonts w:ascii="Arial" w:cs="Arial" w:eastAsia="Arial" w:hAnsi="Arial"/>
                <w:sz w:val="15"/>
                <w:szCs w:val="15"/>
                <w:color w:val="auto"/>
                <w:w w:val="99"/>
              </w:rPr>
              <w:t>4.1%</w:t>
            </w:r>
          </w:p>
        </w:tc>
        <w:tc>
          <w:tcPr>
            <w:tcW w:w="6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5"/>
                <w:szCs w:val="15"/>
                <w:color w:val="auto"/>
                <w:w w:val="99"/>
              </w:rPr>
              <w:t>4.1%</w:t>
            </w:r>
          </w:p>
        </w:tc>
      </w:tr>
      <w:tr>
        <w:trPr>
          <w:trHeight w:val="181"/>
        </w:trPr>
        <w:tc>
          <w:tcPr>
            <w:tcW w:w="212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5"/>
                <w:szCs w:val="15"/>
                <w:b w:val="1"/>
                <w:bCs w:val="1"/>
                <w:color w:val="auto"/>
              </w:rPr>
              <w:t>Mibanco</w:t>
            </w:r>
          </w:p>
        </w:tc>
        <w:tc>
          <w:tcPr>
            <w:tcW w:w="8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13,244</w:t>
            </w:r>
          </w:p>
        </w:tc>
        <w:tc>
          <w:tcPr>
            <w:tcW w:w="8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12,057</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rPr>
              <w:t>12,147</w:t>
            </w:r>
          </w:p>
        </w:tc>
        <w:tc>
          <w:tcPr>
            <w:tcW w:w="820" w:type="dxa"/>
            <w:vAlign w:val="bottom"/>
            <w:shd w:val="clear" w:color="auto" w:fill="00B249"/>
          </w:tcPr>
          <w:p>
            <w:pPr>
              <w:jc w:val="center"/>
              <w:spacing w:after="0" w:line="162" w:lineRule="exact"/>
              <w:rPr>
                <w:sz w:val="20"/>
                <w:szCs w:val="20"/>
                <w:color w:val="auto"/>
              </w:rPr>
            </w:pPr>
            <w:r>
              <w:rPr>
                <w:rFonts w:ascii="Arial" w:cs="Arial" w:eastAsia="Arial" w:hAnsi="Arial"/>
                <w:sz w:val="15"/>
                <w:szCs w:val="15"/>
                <w:b w:val="1"/>
                <w:bCs w:val="1"/>
                <w:color w:val="auto"/>
              </w:rPr>
              <w:t>90</w:t>
            </w:r>
          </w:p>
        </w:tc>
        <w:tc>
          <w:tcPr>
            <w:tcW w:w="900" w:type="dxa"/>
            <w:vAlign w:val="bottom"/>
            <w:tcBorders>
              <w:right w:val="single" w:sz="8" w:color="auto"/>
            </w:tcBorders>
            <w:shd w:val="clear" w:color="auto" w:fill="D80094"/>
          </w:tcPr>
          <w:p>
            <w:pPr>
              <w:jc w:val="center"/>
              <w:spacing w:after="0" w:line="162" w:lineRule="exact"/>
              <w:rPr>
                <w:sz w:val="20"/>
                <w:szCs w:val="20"/>
                <w:color w:val="auto"/>
              </w:rPr>
            </w:pPr>
            <w:r>
              <w:rPr>
                <w:rFonts w:ascii="Arial" w:cs="Arial" w:eastAsia="Arial" w:hAnsi="Arial"/>
                <w:sz w:val="15"/>
                <w:szCs w:val="15"/>
                <w:b w:val="1"/>
                <w:bCs w:val="1"/>
                <w:color w:val="auto"/>
              </w:rPr>
              <w:t>-1,097</w:t>
            </w: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0.7%</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rPr>
              <w:t>-8.3%</w:t>
            </w: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9"/>
              </w:rPr>
              <w:t>9.3%</w:t>
            </w:r>
          </w:p>
        </w:tc>
        <w:tc>
          <w:tcPr>
            <w:tcW w:w="780" w:type="dxa"/>
            <w:vAlign w:val="bottom"/>
          </w:tcPr>
          <w:p>
            <w:pPr>
              <w:jc w:val="center"/>
              <w:ind w:left="4"/>
              <w:spacing w:after="0" w:line="162" w:lineRule="exact"/>
              <w:rPr>
                <w:sz w:val="20"/>
                <w:szCs w:val="20"/>
                <w:color w:val="auto"/>
              </w:rPr>
            </w:pPr>
            <w:r>
              <w:rPr>
                <w:rFonts w:ascii="Arial" w:cs="Arial" w:eastAsia="Arial" w:hAnsi="Arial"/>
                <w:sz w:val="15"/>
                <w:szCs w:val="15"/>
                <w:b w:val="1"/>
                <w:bCs w:val="1"/>
                <w:color w:val="auto"/>
                <w:w w:val="99"/>
              </w:rPr>
              <w:t>8.4%</w:t>
            </w:r>
          </w:p>
        </w:tc>
        <w:tc>
          <w:tcPr>
            <w:tcW w:w="6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9"/>
              </w:rPr>
              <w:t>8.4%</w:t>
            </w:r>
          </w:p>
        </w:tc>
      </w:tr>
      <w:tr>
        <w:trPr>
          <w:trHeight w:val="143"/>
        </w:trPr>
        <w:tc>
          <w:tcPr>
            <w:tcW w:w="2120" w:type="dxa"/>
            <w:vAlign w:val="bottom"/>
            <w:tcBorders>
              <w:left w:val="single" w:sz="8" w:color="auto"/>
              <w:right w:val="single" w:sz="8" w:color="auto"/>
            </w:tcBorders>
          </w:tcPr>
          <w:p>
            <w:pPr>
              <w:ind w:left="20"/>
              <w:spacing w:after="0" w:line="143" w:lineRule="exact"/>
              <w:rPr>
                <w:sz w:val="20"/>
                <w:szCs w:val="20"/>
                <w:color w:val="auto"/>
              </w:rPr>
            </w:pPr>
            <w:r>
              <w:rPr>
                <w:rFonts w:ascii="Arial" w:cs="Arial" w:eastAsia="Arial" w:hAnsi="Arial"/>
                <w:sz w:val="15"/>
                <w:szCs w:val="15"/>
                <w:b w:val="1"/>
                <w:bCs w:val="1"/>
                <w:color w:val="auto"/>
              </w:rPr>
              <w:t>Mibanco Colombia</w:t>
            </w:r>
          </w:p>
        </w:tc>
        <w:tc>
          <w:tcPr>
            <w:tcW w:w="860" w:type="dxa"/>
            <w:vAlign w:val="bottom"/>
          </w:tcPr>
          <w:p>
            <w:pPr>
              <w:jc w:val="center"/>
              <w:spacing w:after="0" w:line="143" w:lineRule="exact"/>
              <w:rPr>
                <w:sz w:val="20"/>
                <w:szCs w:val="20"/>
                <w:color w:val="auto"/>
              </w:rPr>
            </w:pPr>
            <w:r>
              <w:rPr>
                <w:rFonts w:ascii="Arial" w:cs="Arial" w:eastAsia="Arial" w:hAnsi="Arial"/>
                <w:sz w:val="15"/>
                <w:szCs w:val="15"/>
                <w:b w:val="1"/>
                <w:bCs w:val="1"/>
                <w:color w:val="auto"/>
              </w:rPr>
              <w:t>1,730</w:t>
            </w:r>
          </w:p>
        </w:tc>
        <w:tc>
          <w:tcPr>
            <w:tcW w:w="860" w:type="dxa"/>
            <w:vAlign w:val="bottom"/>
          </w:tcPr>
          <w:p>
            <w:pPr>
              <w:jc w:val="center"/>
              <w:spacing w:after="0" w:line="143" w:lineRule="exact"/>
              <w:rPr>
                <w:sz w:val="20"/>
                <w:szCs w:val="20"/>
                <w:color w:val="auto"/>
              </w:rPr>
            </w:pPr>
            <w:r>
              <w:rPr>
                <w:rFonts w:ascii="Arial" w:cs="Arial" w:eastAsia="Arial" w:hAnsi="Arial"/>
                <w:sz w:val="15"/>
                <w:szCs w:val="15"/>
                <w:b w:val="1"/>
                <w:bCs w:val="1"/>
                <w:color w:val="auto"/>
              </w:rPr>
              <w:t>1,715</w:t>
            </w:r>
          </w:p>
        </w:tc>
        <w:tc>
          <w:tcPr>
            <w:tcW w:w="9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5"/>
                <w:szCs w:val="15"/>
                <w:b w:val="1"/>
                <w:bCs w:val="1"/>
                <w:color w:val="auto"/>
              </w:rPr>
              <w:t>1,832</w:t>
            </w:r>
          </w:p>
        </w:tc>
        <w:tc>
          <w:tcPr>
            <w:tcW w:w="820" w:type="dxa"/>
            <w:vAlign w:val="bottom"/>
          </w:tcPr>
          <w:p>
            <w:pPr>
              <w:jc w:val="center"/>
              <w:spacing w:after="0" w:line="143" w:lineRule="exact"/>
              <w:rPr>
                <w:sz w:val="20"/>
                <w:szCs w:val="20"/>
                <w:color w:val="auto"/>
              </w:rPr>
            </w:pPr>
            <w:r>
              <w:rPr>
                <w:rFonts w:ascii="Arial" w:cs="Arial" w:eastAsia="Arial" w:hAnsi="Arial"/>
                <w:sz w:val="15"/>
                <w:szCs w:val="15"/>
                <w:b w:val="1"/>
                <w:bCs w:val="1"/>
                <w:color w:val="auto"/>
              </w:rPr>
              <w:t>118</w:t>
            </w:r>
          </w:p>
        </w:tc>
        <w:tc>
          <w:tcPr>
            <w:tcW w:w="9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5"/>
                <w:szCs w:val="15"/>
                <w:b w:val="1"/>
                <w:bCs w:val="1"/>
                <w:color w:val="auto"/>
              </w:rPr>
              <w:t>103</w:t>
            </w:r>
          </w:p>
        </w:tc>
        <w:tc>
          <w:tcPr>
            <w:tcW w:w="820" w:type="dxa"/>
            <w:vAlign w:val="bottom"/>
          </w:tcPr>
          <w:p>
            <w:pPr>
              <w:jc w:val="center"/>
              <w:spacing w:after="0" w:line="143" w:lineRule="exact"/>
              <w:rPr>
                <w:sz w:val="20"/>
                <w:szCs w:val="20"/>
                <w:color w:val="auto"/>
              </w:rPr>
            </w:pPr>
            <w:r>
              <w:rPr>
                <w:rFonts w:ascii="Arial" w:cs="Arial" w:eastAsia="Arial" w:hAnsi="Arial"/>
                <w:sz w:val="15"/>
                <w:szCs w:val="15"/>
                <w:b w:val="1"/>
                <w:bCs w:val="1"/>
                <w:color w:val="auto"/>
              </w:rPr>
              <w:t>6.9%</w:t>
            </w:r>
          </w:p>
        </w:tc>
        <w:tc>
          <w:tcPr>
            <w:tcW w:w="9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5"/>
                <w:szCs w:val="15"/>
                <w:b w:val="1"/>
                <w:bCs w:val="1"/>
                <w:color w:val="auto"/>
              </w:rPr>
              <w:t>5.9%</w:t>
            </w:r>
          </w:p>
        </w:tc>
        <w:tc>
          <w:tcPr>
            <w:tcW w:w="820" w:type="dxa"/>
            <w:vAlign w:val="bottom"/>
          </w:tcPr>
          <w:p>
            <w:pPr>
              <w:jc w:val="center"/>
              <w:spacing w:after="0" w:line="143" w:lineRule="exact"/>
              <w:rPr>
                <w:sz w:val="20"/>
                <w:szCs w:val="20"/>
                <w:color w:val="auto"/>
              </w:rPr>
            </w:pPr>
            <w:r>
              <w:rPr>
                <w:rFonts w:ascii="Arial" w:cs="Arial" w:eastAsia="Arial" w:hAnsi="Arial"/>
                <w:sz w:val="15"/>
                <w:szCs w:val="15"/>
                <w:b w:val="1"/>
                <w:bCs w:val="1"/>
                <w:color w:val="auto"/>
                <w:w w:val="99"/>
              </w:rPr>
              <w:t>1.2%</w:t>
            </w:r>
          </w:p>
        </w:tc>
        <w:tc>
          <w:tcPr>
            <w:tcW w:w="780" w:type="dxa"/>
            <w:vAlign w:val="bottom"/>
          </w:tcPr>
          <w:p>
            <w:pPr>
              <w:jc w:val="center"/>
              <w:ind w:left="4"/>
              <w:spacing w:after="0" w:line="143" w:lineRule="exact"/>
              <w:rPr>
                <w:sz w:val="20"/>
                <w:szCs w:val="20"/>
                <w:color w:val="auto"/>
              </w:rPr>
            </w:pPr>
            <w:r>
              <w:rPr>
                <w:rFonts w:ascii="Arial" w:cs="Arial" w:eastAsia="Arial" w:hAnsi="Arial"/>
                <w:sz w:val="15"/>
                <w:szCs w:val="15"/>
                <w:b w:val="1"/>
                <w:bCs w:val="1"/>
                <w:color w:val="auto"/>
                <w:w w:val="99"/>
              </w:rPr>
              <w:t>1.2%</w:t>
            </w:r>
          </w:p>
        </w:tc>
        <w:tc>
          <w:tcPr>
            <w:tcW w:w="6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5"/>
                <w:szCs w:val="15"/>
                <w:b w:val="1"/>
                <w:bCs w:val="1"/>
                <w:color w:val="auto"/>
                <w:w w:val="99"/>
              </w:rPr>
              <w:t>1.3%</w:t>
            </w:r>
          </w:p>
        </w:tc>
      </w:tr>
      <w:tr>
        <w:trPr>
          <w:trHeight w:val="162"/>
        </w:trPr>
        <w:tc>
          <w:tcPr>
            <w:tcW w:w="212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5"/>
                <w:szCs w:val="15"/>
                <w:b w:val="1"/>
                <w:bCs w:val="1"/>
                <w:color w:val="auto"/>
              </w:rPr>
              <w:t>Bolivia</w:t>
            </w:r>
          </w:p>
        </w:tc>
        <w:tc>
          <w:tcPr>
            <w:tcW w:w="8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9,362</w:t>
            </w:r>
          </w:p>
        </w:tc>
        <w:tc>
          <w:tcPr>
            <w:tcW w:w="8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9,628</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rPr>
              <w:t>9,469</w:t>
            </w: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9"/>
              </w:rPr>
              <w:t>-159</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rPr>
              <w:t>107</w:t>
            </w: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-1.7%</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rPr>
              <w:t>1.1%</w:t>
            </w: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9"/>
              </w:rPr>
              <w:t>6.6%</w:t>
            </w:r>
          </w:p>
        </w:tc>
        <w:tc>
          <w:tcPr>
            <w:tcW w:w="780" w:type="dxa"/>
            <w:vAlign w:val="bottom"/>
          </w:tcPr>
          <w:p>
            <w:pPr>
              <w:jc w:val="center"/>
              <w:ind w:left="4"/>
              <w:spacing w:after="0" w:line="162" w:lineRule="exact"/>
              <w:rPr>
                <w:sz w:val="20"/>
                <w:szCs w:val="20"/>
                <w:color w:val="auto"/>
              </w:rPr>
            </w:pPr>
            <w:r>
              <w:rPr>
                <w:rFonts w:ascii="Arial" w:cs="Arial" w:eastAsia="Arial" w:hAnsi="Arial"/>
                <w:sz w:val="15"/>
                <w:szCs w:val="15"/>
                <w:b w:val="1"/>
                <w:bCs w:val="1"/>
                <w:color w:val="auto"/>
                <w:w w:val="99"/>
              </w:rPr>
              <w:t>6.7%</w:t>
            </w:r>
          </w:p>
        </w:tc>
        <w:tc>
          <w:tcPr>
            <w:tcW w:w="6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9"/>
              </w:rPr>
              <w:t>6.6%</w:t>
            </w:r>
          </w:p>
        </w:tc>
      </w:tr>
      <w:tr>
        <w:trPr>
          <w:trHeight w:val="181"/>
        </w:trPr>
        <w:tc>
          <w:tcPr>
            <w:tcW w:w="2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ASB</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1,989</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1,779</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1,648</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-131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-340</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-7.4%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-17.1%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1.4%</w:t>
            </w:r>
          </w:p>
        </w:tc>
        <w:tc>
          <w:tcPr>
            <w:tcW w:w="7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b w:val="1"/>
                <w:bCs w:val="1"/>
                <w:color w:val="auto"/>
                <w:w w:val="99"/>
              </w:rPr>
              <w:t>1.2%</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1.1%</w:t>
            </w:r>
          </w:p>
        </w:tc>
      </w:tr>
      <w:tr>
        <w:trPr>
          <w:trHeight w:val="155"/>
        </w:trPr>
        <w:tc>
          <w:tcPr>
            <w:tcW w:w="2120" w:type="dxa"/>
            <w:vAlign w:val="bottom"/>
            <w:tcBorders>
              <w:left w:val="single" w:sz="8" w:color="auto"/>
              <w:bottom w:val="single" w:sz="8" w:color="auto"/>
              <w:right w:val="single" w:sz="8" w:color="auto"/>
            </w:tcBorders>
          </w:tcPr>
          <w:p>
            <w:pPr>
              <w:ind w:left="20"/>
              <w:spacing w:after="0" w:line="156" w:lineRule="exact"/>
              <w:rPr>
                <w:sz w:val="20"/>
                <w:szCs w:val="20"/>
                <w:color w:val="auto"/>
              </w:rPr>
            </w:pPr>
            <w:r>
              <w:rPr>
                <w:rFonts w:ascii="Arial" w:cs="Arial" w:eastAsia="Arial" w:hAnsi="Arial"/>
                <w:sz w:val="15"/>
                <w:szCs w:val="15"/>
                <w:b w:val="1"/>
                <w:bCs w:val="1"/>
                <w:color w:val="auto"/>
              </w:rPr>
              <w:t>BAP’s total loans</w:t>
            </w:r>
          </w:p>
        </w:tc>
        <w:tc>
          <w:tcPr>
            <w:tcW w:w="8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141,735</w:t>
            </w:r>
          </w:p>
        </w:tc>
        <w:tc>
          <w:tcPr>
            <w:tcW w:w="8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9"/>
              </w:rPr>
              <w:t>142,780</w:t>
            </w:r>
          </w:p>
        </w:tc>
        <w:tc>
          <w:tcPr>
            <w:tcW w:w="9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9"/>
              </w:rPr>
              <w:t>143,867</w:t>
            </w:r>
          </w:p>
        </w:tc>
        <w:tc>
          <w:tcPr>
            <w:tcW w:w="8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1,087</w:t>
            </w:r>
          </w:p>
        </w:tc>
        <w:tc>
          <w:tcPr>
            <w:tcW w:w="9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2,132</w:t>
            </w:r>
          </w:p>
        </w:tc>
        <w:tc>
          <w:tcPr>
            <w:tcW w:w="8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0.8%</w:t>
            </w:r>
          </w:p>
        </w:tc>
        <w:tc>
          <w:tcPr>
            <w:tcW w:w="9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1.5%</w:t>
            </w:r>
          </w:p>
        </w:tc>
        <w:tc>
          <w:tcPr>
            <w:tcW w:w="8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100.0%</w:t>
            </w:r>
          </w:p>
        </w:tc>
        <w:tc>
          <w:tcPr>
            <w:tcW w:w="7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100.0%</w:t>
            </w:r>
          </w:p>
        </w:tc>
        <w:tc>
          <w:tcPr>
            <w:tcW w:w="6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137160</wp:posOffset>
            </wp:positionV>
            <wp:extent cx="108839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88390" cy="19685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2"/>
          <w:szCs w:val="12"/>
          <w:color w:val="auto"/>
        </w:rPr>
        <w:t>For consolidation purposes. Loans generated in Foreign Currency (FC) are converted into Local Currency (LC).</w:t>
      </w:r>
    </w:p>
    <w:p>
      <w:pPr>
        <w:ind w:left="300" w:hanging="292"/>
        <w:spacing w:after="0" w:line="234" w:lineRule="auto"/>
        <w:tabs>
          <w:tab w:leader="none" w:pos="3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Includes Special Accounts and other banking. For Quarter-end balance figures, please refer to “12. Annexes – 12.3 Loan Portfolio Quality”.</w:t>
      </w:r>
    </w:p>
    <w:p>
      <w:pPr>
        <w:ind w:left="300" w:hanging="292"/>
        <w:spacing w:after="0" w:line="234" w:lineRule="auto"/>
        <w:tabs>
          <w:tab w:leader="none" w:pos="3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Internal Management Figures, non-audited.</w:t>
      </w:r>
    </w:p>
    <w:p>
      <w:pPr>
        <w:ind w:left="300" w:hanging="292"/>
        <w:spacing w:after="0"/>
        <w:tabs>
          <w:tab w:leader="none" w:pos="3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Segmentation criteria have been updated and historical information restated to ensure comparability and better alignment with managerial reporting standards.</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9" w:name="page20"/>
    <w:bookmarkEnd w:id="19"/>
    <w:p>
      <w:pPr>
        <w:ind w:left="2720"/>
        <w:spacing w:after="0"/>
        <w:tabs>
          <w:tab w:leader="none" w:pos="2960" w:val="left"/>
        </w:tabs>
        <w:rPr>
          <w:sz w:val="20"/>
          <w:szCs w:val="20"/>
          <w:color w:val="auto"/>
        </w:rPr>
      </w:pPr>
      <w:r>
        <w:rPr>
          <w:rFonts w:ascii="Arial" w:cs="Arial" w:eastAsia="Arial" w:hAnsi="Arial"/>
          <w:sz w:val="16"/>
          <w:szCs w:val="16"/>
          <w:color w:val="A6A6A6"/>
        </w:rPr>
        <w:t>|</w:t>
      </w:r>
      <w:r>
        <w:rPr>
          <w:rFonts w:ascii="Arial" w:cs="Arial" w:eastAsia="Arial" w:hAnsi="Arial"/>
          <w:sz w:val="16"/>
          <w:szCs w:val="16"/>
          <w:color w:val="FFFFFF"/>
        </w:rPr>
        <w:tab/>
        <w:t>Earnings Release 1Q / 2025</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01. Loan Portfolio</w:t>
      </w:r>
    </w:p>
    <w:p>
      <w:pPr>
        <w:spacing w:after="0" w:line="18"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total loans in average daily balances rose 0.8% (+1.4% FX</w:t>
      </w:r>
      <w:r>
        <w:rPr>
          <w:rFonts w:ascii="Arial" w:cs="Arial" w:eastAsia="Arial" w:hAnsi="Arial"/>
          <w:sz w:val="18"/>
          <w:szCs w:val="18"/>
          <w:b w:val="1"/>
          <w:bCs w:val="1"/>
          <w:color w:val="auto"/>
        </w:rPr>
        <w:t xml:space="preserve"> </w:t>
      </w:r>
      <w:r>
        <w:rPr>
          <w:rFonts w:ascii="Arial" w:cs="Arial" w:eastAsia="Arial" w:hAnsi="Arial"/>
          <w:sz w:val="18"/>
          <w:szCs w:val="18"/>
          <w:color w:val="auto"/>
        </w:rPr>
        <w:t>Neutral). Growth was driven mainly by:</w:t>
      </w:r>
    </w:p>
    <w:p>
      <w:pPr>
        <w:spacing w:after="0" w:line="104" w:lineRule="exact"/>
        <w:rPr>
          <w:sz w:val="20"/>
          <w:szCs w:val="20"/>
          <w:color w:val="auto"/>
        </w:rPr>
      </w:pPr>
    </w:p>
    <w:p>
      <w:pPr>
        <w:jc w:val="both"/>
        <w:ind w:left="620" w:hanging="288"/>
        <w:spacing w:after="0" w:line="23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Wholesale Banking, </w:t>
      </w:r>
      <w:r>
        <w:rPr>
          <w:rFonts w:ascii="Arial" w:cs="Arial" w:eastAsia="Arial" w:hAnsi="Arial"/>
          <w:sz w:val="18"/>
          <w:szCs w:val="18"/>
          <w:color w:val="auto"/>
        </w:rPr>
        <w:t>due to an uptick in financing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working capital. In </w:t>
      </w:r>
      <w:r>
        <w:rPr>
          <w:rFonts w:ascii="Arial" w:cs="Arial" w:eastAsia="Arial" w:hAnsi="Arial"/>
          <w:sz w:val="18"/>
          <w:szCs w:val="18"/>
          <w:b w:val="1"/>
          <w:bCs w:val="1"/>
          <w:color w:val="auto"/>
        </w:rPr>
        <w:t>Middle Market Banking</w:t>
      </w:r>
      <w:r>
        <w:rPr>
          <w:rFonts w:ascii="Arial" w:cs="Arial" w:eastAsia="Arial" w:hAnsi="Arial"/>
          <w:sz w:val="18"/>
          <w:szCs w:val="18"/>
          <w:color w:val="auto"/>
        </w:rPr>
        <w:t xml:space="preserve">, growth was concentrated mainly in the fishing sector, spurred by the fishing campaign that began at the end of 2024. In </w:t>
      </w:r>
      <w:r>
        <w:rPr>
          <w:rFonts w:ascii="Arial" w:cs="Arial" w:eastAsia="Arial" w:hAnsi="Arial"/>
          <w:sz w:val="18"/>
          <w:szCs w:val="18"/>
          <w:b w:val="1"/>
          <w:bCs w:val="1"/>
          <w:color w:val="auto"/>
        </w:rPr>
        <w:t>Corporate Banking</w:t>
      </w:r>
      <w:r>
        <w:rPr>
          <w:rFonts w:ascii="Arial" w:cs="Arial" w:eastAsia="Arial" w:hAnsi="Arial"/>
          <w:sz w:val="18"/>
          <w:szCs w:val="18"/>
          <w:color w:val="auto"/>
        </w:rPr>
        <w:t>, expansion was driven primarily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and mining sectors.</w:t>
      </w:r>
    </w:p>
    <w:p>
      <w:pPr>
        <w:spacing w:after="0" w:line="1" w:lineRule="exact"/>
        <w:rPr>
          <w:rFonts w:ascii="Arial" w:cs="Arial" w:eastAsia="Arial" w:hAnsi="Arial"/>
          <w:sz w:val="18"/>
          <w:szCs w:val="18"/>
          <w:color w:val="auto"/>
        </w:rPr>
      </w:pPr>
    </w:p>
    <w:p>
      <w:pPr>
        <w:ind w:left="620" w:right="20" w:hanging="288"/>
        <w:spacing w:after="0" w:line="234"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Consumer</w:t>
      </w:r>
      <w:r>
        <w:rPr>
          <w:rFonts w:ascii="Arial" w:cs="Arial" w:eastAsia="Arial" w:hAnsi="Arial"/>
          <w:sz w:val="18"/>
          <w:szCs w:val="18"/>
          <w:color w:val="auto"/>
        </w:rPr>
        <w:t>, mainly through an uptick in disbursements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Yape and BCP.</w:t>
      </w:r>
    </w:p>
    <w:p>
      <w:pPr>
        <w:spacing w:after="0" w:line="1" w:lineRule="exact"/>
        <w:rPr>
          <w:rFonts w:ascii="Arial" w:cs="Arial" w:eastAsia="Arial" w:hAnsi="Arial"/>
          <w:sz w:val="18"/>
          <w:szCs w:val="18"/>
          <w:color w:val="auto"/>
        </w:rPr>
      </w:pPr>
    </w:p>
    <w:p>
      <w:pPr>
        <w:jc w:val="both"/>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Mibanco, </w:t>
      </w:r>
      <w:r>
        <w:rPr>
          <w:rFonts w:ascii="Arial" w:cs="Arial" w:eastAsia="Arial" w:hAnsi="Arial"/>
          <w:sz w:val="18"/>
          <w:szCs w:val="18"/>
          <w:color w:val="auto"/>
        </w:rPr>
        <w:t>due to an upturn in disbursements, particularly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month of March, which reflects the improvements incorporated in our models to better assess risk profiles and subsequently expand loan offerings.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partially offset by a drop in loans in:</w:t>
      </w:r>
    </w:p>
    <w:p>
      <w:pPr>
        <w:spacing w:after="0" w:line="144" w:lineRule="exact"/>
        <w:rPr>
          <w:sz w:val="20"/>
          <w:szCs w:val="20"/>
          <w:color w:val="auto"/>
        </w:rPr>
      </w:pPr>
    </w:p>
    <w:p>
      <w:pPr>
        <w:jc w:val="both"/>
        <w:ind w:left="620" w:right="20" w:hanging="288"/>
        <w:spacing w:after="0" w:line="253"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SME-Business, </w:t>
      </w:r>
      <w:r>
        <w:rPr>
          <w:rFonts w:ascii="Arial" w:cs="Arial" w:eastAsia="Arial" w:hAnsi="Arial"/>
          <w:sz w:val="18"/>
          <w:szCs w:val="18"/>
          <w:color w:val="auto"/>
        </w:rPr>
        <w:t>due to a seasonal effect given that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that took on debt for working capital in 4Q24 amortized loans in 1Q25.</w:t>
      </w:r>
    </w:p>
    <w:p>
      <w:pPr>
        <w:spacing w:after="0" w:line="20" w:lineRule="exact"/>
        <w:rPr>
          <w:sz w:val="20"/>
          <w:szCs w:val="20"/>
          <w:color w:val="auto"/>
        </w:rPr>
      </w:pPr>
      <w:r>
        <w:rPr>
          <w:sz w:val="20"/>
          <w:szCs w:val="20"/>
          <w:color w:val="auto"/>
        </w:rPr>
        <w:br w:type="column"/>
      </w:r>
    </w:p>
    <w:p>
      <w:pPr>
        <w:ind w:left="1800"/>
        <w:spacing w:after="0"/>
        <w:rPr>
          <w:sz w:val="20"/>
          <w:szCs w:val="20"/>
          <w:color w:val="auto"/>
        </w:rPr>
      </w:pPr>
      <w:r>
        <w:rPr>
          <w:rFonts w:ascii="Arial" w:cs="Arial" w:eastAsia="Arial" w:hAnsi="Arial"/>
          <w:sz w:val="14"/>
          <w:szCs w:val="14"/>
          <w:color w:val="ED3FA8"/>
        </w:rPr>
        <w:t>Analysis of 1Q25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132320" cy="539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5397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20" w:right="420" w:hanging="287"/>
        <w:spacing w:after="0" w:line="271"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SME-Pyme, </w:t>
      </w:r>
      <w:r>
        <w:rPr>
          <w:rFonts w:ascii="Arial" w:cs="Arial" w:eastAsia="Arial" w:hAnsi="Arial"/>
          <w:sz w:val="18"/>
          <w:szCs w:val="18"/>
          <w:color w:val="auto"/>
        </w:rPr>
        <w:t>attributable to a drop in disbursements for</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loans.</w:t>
      </w:r>
    </w:p>
    <w:p>
      <w:pPr>
        <w:spacing w:after="0" w:line="8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total loans in average daily balances rose 1.5% (+2.3% FX</w:t>
      </w:r>
      <w:r>
        <w:rPr>
          <w:rFonts w:ascii="Arial" w:cs="Arial" w:eastAsia="Arial" w:hAnsi="Arial"/>
          <w:sz w:val="18"/>
          <w:szCs w:val="18"/>
          <w:b w:val="1"/>
          <w:bCs w:val="1"/>
          <w:color w:val="auto"/>
        </w:rPr>
        <w:t xml:space="preserve"> </w:t>
      </w:r>
      <w:r>
        <w:rPr>
          <w:rFonts w:ascii="Arial" w:cs="Arial" w:eastAsia="Arial" w:hAnsi="Arial"/>
          <w:sz w:val="18"/>
          <w:szCs w:val="18"/>
          <w:color w:val="auto"/>
        </w:rPr>
        <w:t>Neutral). Growth was fueled mainly by:</w:t>
      </w:r>
    </w:p>
    <w:p>
      <w:pPr>
        <w:spacing w:after="0" w:line="73" w:lineRule="exact"/>
        <w:rPr>
          <w:sz w:val="20"/>
          <w:szCs w:val="20"/>
          <w:color w:val="auto"/>
        </w:rPr>
      </w:pPr>
    </w:p>
    <w:p>
      <w:pPr>
        <w:ind w:left="620" w:hanging="28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Corporate Banking, </w:t>
      </w:r>
      <w:r>
        <w:rPr>
          <w:rFonts w:ascii="Arial" w:cs="Arial" w:eastAsia="Arial" w:hAnsi="Arial"/>
          <w:sz w:val="18"/>
          <w:szCs w:val="18"/>
          <w:color w:val="auto"/>
        </w:rPr>
        <w:t>due to the same dynamics seen</w:t>
      </w:r>
      <w:r>
        <w:rPr>
          <w:rFonts w:ascii="Arial" w:cs="Arial" w:eastAsia="Arial" w:hAnsi="Arial"/>
          <w:sz w:val="18"/>
          <w:szCs w:val="18"/>
          <w:b w:val="1"/>
          <w:bCs w:val="1"/>
          <w:color w:val="auto"/>
        </w:rPr>
        <w:t xml:space="preserve"> QoQ</w:t>
      </w:r>
      <w:r>
        <w:rPr>
          <w:rFonts w:ascii="Arial" w:cs="Arial" w:eastAsia="Arial" w:hAnsi="Arial"/>
          <w:sz w:val="18"/>
          <w:szCs w:val="18"/>
          <w:color w:val="auto"/>
        </w:rPr>
        <w:t>.</w:t>
      </w:r>
    </w:p>
    <w:p>
      <w:pPr>
        <w:spacing w:after="0" w:line="13" w:lineRule="exact"/>
        <w:rPr>
          <w:rFonts w:ascii="Arial" w:cs="Arial" w:eastAsia="Arial" w:hAnsi="Arial"/>
          <w:sz w:val="18"/>
          <w:szCs w:val="18"/>
          <w:color w:val="auto"/>
        </w:rPr>
      </w:pPr>
    </w:p>
    <w:p>
      <w:pPr>
        <w:ind w:left="620" w:right="20" w:hanging="287"/>
        <w:spacing w:after="0" w:line="234"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Mortgage, </w:t>
      </w:r>
      <w:r>
        <w:rPr>
          <w:rFonts w:ascii="Arial" w:cs="Arial" w:eastAsia="Arial" w:hAnsi="Arial"/>
          <w:sz w:val="18"/>
          <w:szCs w:val="18"/>
          <w:color w:val="auto"/>
        </w:rPr>
        <w:t>attributable to an uptick in the demand for loans</w:t>
      </w:r>
      <w:r>
        <w:rPr>
          <w:rFonts w:ascii="Arial" w:cs="Arial" w:eastAsia="Arial" w:hAnsi="Arial"/>
          <w:sz w:val="18"/>
          <w:szCs w:val="18"/>
          <w:b w:val="1"/>
          <w:bCs w:val="1"/>
          <w:color w:val="auto"/>
        </w:rPr>
        <w:t xml:space="preserve"> </w:t>
      </w:r>
      <w:r>
        <w:rPr>
          <w:rFonts w:ascii="Arial" w:cs="Arial" w:eastAsia="Arial" w:hAnsi="Arial"/>
          <w:sz w:val="18"/>
          <w:szCs w:val="18"/>
          <w:color w:val="auto"/>
        </w:rPr>
        <w:t>due to favorable interest rates and economic reactivation.</w:t>
      </w:r>
    </w:p>
    <w:p>
      <w:pPr>
        <w:spacing w:after="0" w:line="1" w:lineRule="exact"/>
        <w:rPr>
          <w:rFonts w:ascii="Arial" w:cs="Arial" w:eastAsia="Arial" w:hAnsi="Arial"/>
          <w:sz w:val="18"/>
          <w:szCs w:val="18"/>
          <w:color w:val="auto"/>
        </w:rPr>
      </w:pPr>
    </w:p>
    <w:p>
      <w:pPr>
        <w:jc w:val="both"/>
        <w:ind w:left="620" w:hanging="28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SME-Business, </w:t>
      </w:r>
      <w:r>
        <w:rPr>
          <w:rFonts w:ascii="Arial" w:cs="Arial" w:eastAsia="Arial" w:hAnsi="Arial"/>
          <w:sz w:val="18"/>
          <w:szCs w:val="18"/>
          <w:color w:val="auto"/>
        </w:rPr>
        <w:t>due to growth in loan disbursements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Government Programs (Impulso MyPerú), which were rolled out in 2Q24, and to an increase in disbursements of negotiable invoices.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partially offset by a drop in loans at:</w:t>
      </w:r>
    </w:p>
    <w:p>
      <w:pPr>
        <w:spacing w:after="0" w:line="131" w:lineRule="exact"/>
        <w:rPr>
          <w:sz w:val="20"/>
          <w:szCs w:val="20"/>
          <w:color w:val="auto"/>
        </w:rPr>
      </w:pPr>
    </w:p>
    <w:p>
      <w:pPr>
        <w:ind w:left="620" w:right="40" w:hanging="287"/>
        <w:spacing w:after="0" w:line="245"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Mibanco, </w:t>
      </w:r>
      <w:r>
        <w:rPr>
          <w:rFonts w:ascii="Arial" w:cs="Arial" w:eastAsia="Arial" w:hAnsi="Arial"/>
          <w:sz w:val="18"/>
          <w:szCs w:val="18"/>
          <w:color w:val="auto"/>
        </w:rPr>
        <w:t>after stricter lending guidelines were into effect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end of 2Q24.</w:t>
      </w:r>
    </w:p>
    <w:p>
      <w:pPr>
        <w:ind w:left="620" w:hanging="287"/>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Pyme, </w:t>
      </w:r>
      <w:r>
        <w:rPr>
          <w:rFonts w:ascii="Arial" w:cs="Arial" w:eastAsia="Arial" w:hAnsi="Arial"/>
          <w:sz w:val="18"/>
          <w:szCs w:val="18"/>
          <w:color w:val="auto"/>
        </w:rPr>
        <w:t>due to the same drivers in play</w:t>
      </w:r>
      <w:r>
        <w:rPr>
          <w:rFonts w:ascii="Arial" w:cs="Arial" w:eastAsia="Arial" w:hAnsi="Arial"/>
          <w:sz w:val="18"/>
          <w:szCs w:val="18"/>
          <w:b w:val="1"/>
          <w:bCs w:val="1"/>
          <w:color w:val="auto"/>
        </w:rPr>
        <w:t xml:space="preserve"> QoQ</w:t>
      </w:r>
      <w:r>
        <w:rPr>
          <w:rFonts w:ascii="Arial" w:cs="Arial" w:eastAsia="Arial" w:hAnsi="Arial"/>
          <w:sz w:val="18"/>
          <w:szCs w:val="18"/>
          <w:color w:val="auto"/>
        </w:rPr>
        <w:t>.</w:t>
      </w:r>
    </w:p>
    <w:p>
      <w:pPr>
        <w:spacing w:after="0" w:line="643" w:lineRule="exact"/>
        <w:rPr>
          <w:sz w:val="20"/>
          <w:szCs w:val="20"/>
          <w:color w:val="auto"/>
        </w:rPr>
      </w:pPr>
    </w:p>
    <w:p>
      <w:pPr>
        <w:sectPr>
          <w:pgSz w:w="11900" w:h="16838" w:orient="portrait"/>
          <w:cols w:equalWidth="0" w:num="2">
            <w:col w:w="5400" w:space="440"/>
            <w:col w:w="5400"/>
          </w:cols>
          <w:pgMar w:left="320" w:top="314" w:right="339" w:bottom="1440" w:gutter="0" w:footer="0" w:header="0"/>
        </w:sectPr>
      </w:pPr>
    </w:p>
    <w:p>
      <w:pPr>
        <w:spacing w:after="0" w:line="4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Evolution of the Dollarization Level of Total Loans (in Average Daily Balances) </w:t>
      </w:r>
      <w:r>
        <w:rPr>
          <w:rFonts w:ascii="Arial" w:cs="Arial" w:eastAsia="Arial" w:hAnsi="Arial"/>
          <w:sz w:val="29"/>
          <w:szCs w:val="29"/>
          <w:b w:val="1"/>
          <w:bCs w:val="1"/>
          <w:color w:val="auto"/>
          <w:vertAlign w:val="superscript"/>
        </w:rPr>
        <w:t>(1)(2)(3)</w:t>
      </w:r>
    </w:p>
    <w:tbl>
      <w:tblPr>
        <w:tblLayout w:type="fixed"/>
        <w:tblInd w:w="130" w:type="dxa"/>
        <w:tblCellMar>
          <w:top w:w="0" w:type="dxa"/>
          <w:left w:w="0" w:type="dxa"/>
          <w:bottom w:w="0" w:type="dxa"/>
          <w:right w:w="0" w:type="dxa"/>
        </w:tblCellMar>
      </w:tblPr>
      <w:tr>
        <w:trPr>
          <w:trHeight w:val="111"/>
        </w:trPr>
        <w:tc>
          <w:tcPr>
            <w:tcW w:w="2280" w:type="dxa"/>
            <w:vAlign w:val="bottom"/>
            <w:tcBorders>
              <w:top w:val="single" w:sz="8" w:color="auto"/>
              <w:left w:val="single" w:sz="8" w:color="auto"/>
              <w:right w:val="single" w:sz="8" w:color="auto"/>
            </w:tcBorders>
            <w:shd w:val="clear" w:color="auto" w:fill="33CCCC"/>
          </w:tcPr>
          <w:p>
            <w:pPr>
              <w:ind w:left="20"/>
              <w:spacing w:after="0" w:line="111" w:lineRule="exact"/>
              <w:rPr>
                <w:sz w:val="20"/>
                <w:szCs w:val="20"/>
                <w:color w:val="auto"/>
              </w:rPr>
            </w:pPr>
            <w:r>
              <w:rPr>
                <w:rFonts w:ascii="Arial" w:cs="Arial" w:eastAsia="Arial" w:hAnsi="Arial"/>
                <w:sz w:val="12"/>
                <w:szCs w:val="12"/>
                <w:b w:val="1"/>
                <w:bCs w:val="1"/>
                <w:color w:val="FFFFFF"/>
              </w:rPr>
              <w:t>Total Loans</w:t>
            </w:r>
          </w:p>
        </w:tc>
        <w:tc>
          <w:tcPr>
            <w:tcW w:w="2140" w:type="dxa"/>
            <w:vAlign w:val="bottom"/>
            <w:tcBorders>
              <w:top w:val="single" w:sz="8" w:color="auto"/>
            </w:tcBorders>
            <w:gridSpan w:val="3"/>
            <w:shd w:val="clear" w:color="auto" w:fill="33CCCC"/>
          </w:tcPr>
          <w:p>
            <w:pPr>
              <w:ind w:left="160"/>
              <w:spacing w:after="0" w:line="111" w:lineRule="exact"/>
              <w:rPr>
                <w:sz w:val="20"/>
                <w:szCs w:val="20"/>
                <w:color w:val="auto"/>
              </w:rPr>
            </w:pPr>
            <w:r>
              <w:rPr>
                <w:rFonts w:ascii="Arial" w:cs="Arial" w:eastAsia="Arial" w:hAnsi="Arial"/>
                <w:sz w:val="12"/>
                <w:szCs w:val="12"/>
                <w:b w:val="1"/>
                <w:bCs w:val="1"/>
                <w:color w:val="FFFFFF"/>
              </w:rPr>
              <w:t>Local Currency (LC) - S/ millions</w:t>
            </w:r>
          </w:p>
        </w:tc>
        <w:tc>
          <w:tcPr>
            <w:tcW w:w="140" w:type="dxa"/>
            <w:vAlign w:val="bottom"/>
            <w:tcBorders>
              <w:top w:val="single" w:sz="8" w:color="auto"/>
              <w:right w:val="single" w:sz="8" w:color="auto"/>
            </w:tcBorders>
            <w:shd w:val="clear" w:color="auto" w:fill="33CCCC"/>
          </w:tcPr>
          <w:p>
            <w:pPr>
              <w:spacing w:after="0"/>
              <w:rPr>
                <w:sz w:val="9"/>
                <w:szCs w:val="9"/>
                <w:color w:val="auto"/>
              </w:rPr>
            </w:pPr>
          </w:p>
        </w:tc>
        <w:tc>
          <w:tcPr>
            <w:tcW w:w="1360" w:type="dxa"/>
            <w:vAlign w:val="bottom"/>
            <w:tcBorders>
              <w:top w:val="single" w:sz="8" w:color="auto"/>
              <w:right w:val="single" w:sz="8" w:color="auto"/>
            </w:tcBorders>
            <w:gridSpan w:val="2"/>
            <w:shd w:val="clear" w:color="auto" w:fill="33CCCC"/>
          </w:tcPr>
          <w:p>
            <w:pPr>
              <w:ind w:left="380"/>
              <w:spacing w:after="0" w:line="111" w:lineRule="exact"/>
              <w:rPr>
                <w:sz w:val="20"/>
                <w:szCs w:val="20"/>
                <w:color w:val="auto"/>
              </w:rPr>
            </w:pPr>
            <w:r>
              <w:rPr>
                <w:rFonts w:ascii="Arial" w:cs="Arial" w:eastAsia="Arial" w:hAnsi="Arial"/>
                <w:sz w:val="12"/>
                <w:szCs w:val="12"/>
                <w:b w:val="1"/>
                <w:bCs w:val="1"/>
                <w:color w:val="FFFFFF"/>
              </w:rPr>
              <w:t>% change</w:t>
            </w:r>
          </w:p>
        </w:tc>
        <w:tc>
          <w:tcPr>
            <w:tcW w:w="2540" w:type="dxa"/>
            <w:vAlign w:val="bottom"/>
            <w:tcBorders>
              <w:top w:val="single" w:sz="8" w:color="auto"/>
              <w:right w:val="single" w:sz="8" w:color="auto"/>
            </w:tcBorders>
            <w:gridSpan w:val="3"/>
            <w:shd w:val="clear" w:color="auto" w:fill="33CCCC"/>
          </w:tcPr>
          <w:p>
            <w:pPr>
              <w:ind w:left="160"/>
              <w:spacing w:after="0" w:line="111" w:lineRule="exact"/>
              <w:rPr>
                <w:sz w:val="20"/>
                <w:szCs w:val="20"/>
                <w:color w:val="auto"/>
              </w:rPr>
            </w:pPr>
            <w:r>
              <w:rPr>
                <w:rFonts w:ascii="Arial" w:cs="Arial" w:eastAsia="Arial" w:hAnsi="Arial"/>
                <w:sz w:val="12"/>
                <w:szCs w:val="12"/>
                <w:b w:val="1"/>
                <w:bCs w:val="1"/>
                <w:color w:val="FFFFFF"/>
              </w:rPr>
              <w:t>Foreign Currency (FC) - US$ millions</w:t>
            </w:r>
          </w:p>
        </w:tc>
        <w:tc>
          <w:tcPr>
            <w:tcW w:w="1320" w:type="dxa"/>
            <w:vAlign w:val="bottom"/>
            <w:tcBorders>
              <w:top w:val="single" w:sz="8" w:color="auto"/>
              <w:right w:val="single" w:sz="8" w:color="auto"/>
            </w:tcBorders>
            <w:gridSpan w:val="2"/>
            <w:shd w:val="clear" w:color="auto" w:fill="33CCCC"/>
          </w:tcPr>
          <w:p>
            <w:pPr>
              <w:ind w:left="360"/>
              <w:spacing w:after="0" w:line="111" w:lineRule="exact"/>
              <w:rPr>
                <w:sz w:val="20"/>
                <w:szCs w:val="20"/>
                <w:color w:val="auto"/>
              </w:rPr>
            </w:pPr>
            <w:r>
              <w:rPr>
                <w:rFonts w:ascii="Arial" w:cs="Arial" w:eastAsia="Arial" w:hAnsi="Arial"/>
                <w:sz w:val="12"/>
                <w:szCs w:val="12"/>
                <w:b w:val="1"/>
                <w:bCs w:val="1"/>
                <w:color w:val="FFFFFF"/>
              </w:rPr>
              <w:t>% change</w:t>
            </w:r>
          </w:p>
        </w:tc>
        <w:tc>
          <w:tcPr>
            <w:tcW w:w="1340" w:type="dxa"/>
            <w:vAlign w:val="bottom"/>
            <w:tcBorders>
              <w:top w:val="single" w:sz="8" w:color="auto"/>
              <w:right w:val="single" w:sz="8" w:color="auto"/>
            </w:tcBorders>
            <w:gridSpan w:val="2"/>
            <w:shd w:val="clear" w:color="auto" w:fill="33CCCC"/>
          </w:tcPr>
          <w:p>
            <w:pPr>
              <w:ind w:left="80"/>
              <w:spacing w:after="0" w:line="111" w:lineRule="exact"/>
              <w:rPr>
                <w:sz w:val="20"/>
                <w:szCs w:val="20"/>
                <w:color w:val="auto"/>
              </w:rPr>
            </w:pPr>
            <w:r>
              <w:rPr>
                <w:rFonts w:ascii="Arial" w:cs="Arial" w:eastAsia="Arial" w:hAnsi="Arial"/>
                <w:sz w:val="12"/>
                <w:szCs w:val="12"/>
                <w:b w:val="1"/>
                <w:bCs w:val="1"/>
                <w:color w:val="FFFFFF"/>
              </w:rPr>
              <w:t>% part. by currency</w:t>
            </w:r>
          </w:p>
        </w:tc>
        <w:tc>
          <w:tcPr>
            <w:tcW w:w="0" w:type="dxa"/>
            <w:vAlign w:val="bottom"/>
          </w:tcPr>
          <w:p>
            <w:pPr>
              <w:spacing w:after="0"/>
              <w:rPr>
                <w:sz w:val="1"/>
                <w:szCs w:val="1"/>
                <w:color w:val="auto"/>
              </w:rPr>
            </w:pPr>
          </w:p>
        </w:tc>
      </w:tr>
      <w:tr>
        <w:trPr>
          <w:trHeight w:val="135"/>
        </w:trPr>
        <w:tc>
          <w:tcPr>
            <w:tcW w:w="2280" w:type="dxa"/>
            <w:vAlign w:val="bottom"/>
            <w:tcBorders>
              <w:left w:val="single" w:sz="8" w:color="auto"/>
              <w:right w:val="single" w:sz="8" w:color="auto"/>
            </w:tcBorders>
            <w:shd w:val="clear" w:color="auto" w:fill="33CCCC"/>
          </w:tcPr>
          <w:p>
            <w:pPr>
              <w:spacing w:after="0"/>
              <w:rPr>
                <w:sz w:val="11"/>
                <w:szCs w:val="11"/>
                <w:color w:val="auto"/>
              </w:rPr>
            </w:pPr>
          </w:p>
        </w:tc>
        <w:tc>
          <w:tcPr>
            <w:tcW w:w="620" w:type="dxa"/>
            <w:vAlign w:val="bottom"/>
            <w:vMerge w:val="restart"/>
            <w:shd w:val="clear" w:color="auto" w:fill="33CCCC"/>
          </w:tcPr>
          <w:p>
            <w:pPr>
              <w:ind w:left="180"/>
              <w:spacing w:after="0"/>
              <w:rPr>
                <w:sz w:val="20"/>
                <w:szCs w:val="20"/>
                <w:color w:val="auto"/>
              </w:rPr>
            </w:pPr>
            <w:r>
              <w:rPr>
                <w:rFonts w:ascii="Arial" w:cs="Arial" w:eastAsia="Arial" w:hAnsi="Arial"/>
                <w:sz w:val="13"/>
                <w:szCs w:val="13"/>
                <w:b w:val="1"/>
                <w:bCs w:val="1"/>
                <w:color w:val="FFFFFF"/>
              </w:rPr>
              <w:t>Mar 24</w:t>
            </w:r>
          </w:p>
        </w:tc>
        <w:tc>
          <w:tcPr>
            <w:tcW w:w="720" w:type="dxa"/>
            <w:vAlign w:val="bottom"/>
            <w:shd w:val="clear" w:color="auto" w:fill="33CCCC"/>
          </w:tcPr>
          <w:p>
            <w:pPr>
              <w:jc w:val="right"/>
              <w:spacing w:after="0" w:line="135" w:lineRule="exact"/>
              <w:rPr>
                <w:sz w:val="20"/>
                <w:szCs w:val="20"/>
                <w:color w:val="auto"/>
              </w:rPr>
            </w:pPr>
            <w:r>
              <w:rPr>
                <w:rFonts w:ascii="Arial" w:cs="Arial" w:eastAsia="Arial" w:hAnsi="Arial"/>
                <w:sz w:val="13"/>
                <w:szCs w:val="13"/>
                <w:b w:val="1"/>
                <w:bCs w:val="1"/>
                <w:color w:val="FFFFFF"/>
              </w:rPr>
              <w:t>Total</w:t>
            </w:r>
          </w:p>
        </w:tc>
        <w:tc>
          <w:tcPr>
            <w:tcW w:w="800" w:type="dxa"/>
            <w:vAlign w:val="bottom"/>
            <w:vMerge w:val="restart"/>
            <w:shd w:val="clear" w:color="auto" w:fill="33CCCC"/>
          </w:tcPr>
          <w:p>
            <w:pPr>
              <w:jc w:val="right"/>
              <w:spacing w:after="0"/>
              <w:rPr>
                <w:sz w:val="20"/>
                <w:szCs w:val="20"/>
                <w:color w:val="auto"/>
              </w:rPr>
            </w:pPr>
            <w:r>
              <w:rPr>
                <w:rFonts w:ascii="Arial" w:cs="Arial" w:eastAsia="Arial" w:hAnsi="Arial"/>
                <w:sz w:val="13"/>
                <w:szCs w:val="13"/>
                <w:b w:val="1"/>
                <w:bCs w:val="1"/>
                <w:color w:val="FFFFFF"/>
              </w:rPr>
              <w:t>Mar 25</w:t>
            </w:r>
          </w:p>
        </w:tc>
        <w:tc>
          <w:tcPr>
            <w:tcW w:w="140" w:type="dxa"/>
            <w:vAlign w:val="bottom"/>
            <w:tcBorders>
              <w:right w:val="single" w:sz="8" w:color="auto"/>
            </w:tcBorders>
            <w:shd w:val="clear" w:color="auto" w:fill="33CCCC"/>
          </w:tcPr>
          <w:p>
            <w:pPr>
              <w:spacing w:after="0"/>
              <w:rPr>
                <w:sz w:val="11"/>
                <w:szCs w:val="11"/>
                <w:color w:val="auto"/>
              </w:rPr>
            </w:pPr>
          </w:p>
        </w:tc>
        <w:tc>
          <w:tcPr>
            <w:tcW w:w="660" w:type="dxa"/>
            <w:vAlign w:val="bottom"/>
            <w:vMerge w:val="restart"/>
            <w:shd w:val="clear" w:color="auto" w:fill="33CCCC"/>
          </w:tcPr>
          <w:p>
            <w:pPr>
              <w:ind w:left="200"/>
              <w:spacing w:after="0"/>
              <w:rPr>
                <w:sz w:val="20"/>
                <w:szCs w:val="20"/>
                <w:color w:val="auto"/>
              </w:rPr>
            </w:pPr>
            <w:r>
              <w:rPr>
                <w:rFonts w:ascii="Arial" w:cs="Arial" w:eastAsia="Arial" w:hAnsi="Arial"/>
                <w:sz w:val="13"/>
                <w:szCs w:val="13"/>
                <w:b w:val="1"/>
                <w:bCs w:val="1"/>
                <w:color w:val="FFFFFF"/>
              </w:rPr>
              <w:t>QoQ</w:t>
            </w:r>
          </w:p>
        </w:tc>
        <w:tc>
          <w:tcPr>
            <w:tcW w:w="700" w:type="dxa"/>
            <w:vAlign w:val="bottom"/>
            <w:tcBorders>
              <w:right w:val="single" w:sz="8" w:color="auto"/>
            </w:tcBorders>
            <w:vMerge w:val="restart"/>
            <w:shd w:val="clear" w:color="auto" w:fill="33CCCC"/>
          </w:tcPr>
          <w:p>
            <w:pPr>
              <w:ind w:left="220"/>
              <w:spacing w:after="0"/>
              <w:rPr>
                <w:sz w:val="20"/>
                <w:szCs w:val="20"/>
                <w:color w:val="auto"/>
              </w:rPr>
            </w:pPr>
            <w:r>
              <w:rPr>
                <w:rFonts w:ascii="Arial" w:cs="Arial" w:eastAsia="Arial" w:hAnsi="Arial"/>
                <w:sz w:val="13"/>
                <w:szCs w:val="13"/>
                <w:b w:val="1"/>
                <w:bCs w:val="1"/>
                <w:color w:val="FFFFFF"/>
              </w:rPr>
              <w:t>YoY</w:t>
            </w:r>
          </w:p>
        </w:tc>
        <w:tc>
          <w:tcPr>
            <w:tcW w:w="800" w:type="dxa"/>
            <w:vAlign w:val="bottom"/>
            <w:shd w:val="clear" w:color="auto" w:fill="33CCCC"/>
          </w:tcPr>
          <w:p>
            <w:pPr>
              <w:jc w:val="center"/>
              <w:spacing w:after="0" w:line="135" w:lineRule="exact"/>
              <w:rPr>
                <w:sz w:val="20"/>
                <w:szCs w:val="20"/>
                <w:color w:val="auto"/>
              </w:rPr>
            </w:pPr>
            <w:r>
              <w:rPr>
                <w:rFonts w:ascii="Arial" w:cs="Arial" w:eastAsia="Arial" w:hAnsi="Arial"/>
                <w:sz w:val="13"/>
                <w:szCs w:val="13"/>
                <w:b w:val="1"/>
                <w:bCs w:val="1"/>
                <w:color w:val="FFFFFF"/>
                <w:w w:val="96"/>
              </w:rPr>
              <w:t>Total</w:t>
            </w:r>
          </w:p>
        </w:tc>
        <w:tc>
          <w:tcPr>
            <w:tcW w:w="840" w:type="dxa"/>
            <w:vAlign w:val="bottom"/>
            <w:vMerge w:val="restart"/>
            <w:shd w:val="clear" w:color="auto" w:fill="33CCCC"/>
          </w:tcPr>
          <w:p>
            <w:pPr>
              <w:ind w:left="220"/>
              <w:spacing w:after="0"/>
              <w:rPr>
                <w:sz w:val="20"/>
                <w:szCs w:val="20"/>
                <w:color w:val="auto"/>
              </w:rPr>
            </w:pPr>
            <w:r>
              <w:rPr>
                <w:rFonts w:ascii="Arial" w:cs="Arial" w:eastAsia="Arial" w:hAnsi="Arial"/>
                <w:sz w:val="13"/>
                <w:szCs w:val="13"/>
                <w:b w:val="1"/>
                <w:bCs w:val="1"/>
                <w:color w:val="FFFFFF"/>
              </w:rPr>
              <w:t>Dec 24</w:t>
            </w:r>
          </w:p>
        </w:tc>
        <w:tc>
          <w:tcPr>
            <w:tcW w:w="900" w:type="dxa"/>
            <w:vAlign w:val="bottom"/>
            <w:tcBorders>
              <w:right w:val="single" w:sz="8" w:color="auto"/>
            </w:tcBorders>
            <w:vMerge w:val="restart"/>
            <w:shd w:val="clear" w:color="auto" w:fill="33CCCC"/>
          </w:tcPr>
          <w:p>
            <w:pPr>
              <w:ind w:left="240"/>
              <w:spacing w:after="0"/>
              <w:rPr>
                <w:sz w:val="20"/>
                <w:szCs w:val="20"/>
                <w:color w:val="auto"/>
              </w:rPr>
            </w:pPr>
            <w:r>
              <w:rPr>
                <w:rFonts w:ascii="Arial" w:cs="Arial" w:eastAsia="Arial" w:hAnsi="Arial"/>
                <w:sz w:val="13"/>
                <w:szCs w:val="13"/>
                <w:b w:val="1"/>
                <w:bCs w:val="1"/>
                <w:color w:val="FFFFFF"/>
              </w:rPr>
              <w:t>Mar 25</w:t>
            </w:r>
          </w:p>
        </w:tc>
        <w:tc>
          <w:tcPr>
            <w:tcW w:w="640" w:type="dxa"/>
            <w:vAlign w:val="bottom"/>
            <w:vMerge w:val="restart"/>
            <w:shd w:val="clear" w:color="auto" w:fill="33CCCC"/>
          </w:tcPr>
          <w:p>
            <w:pPr>
              <w:ind w:left="200"/>
              <w:spacing w:after="0"/>
              <w:rPr>
                <w:sz w:val="20"/>
                <w:szCs w:val="20"/>
                <w:color w:val="auto"/>
              </w:rPr>
            </w:pPr>
            <w:r>
              <w:rPr>
                <w:rFonts w:ascii="Arial" w:cs="Arial" w:eastAsia="Arial" w:hAnsi="Arial"/>
                <w:sz w:val="13"/>
                <w:szCs w:val="13"/>
                <w:b w:val="1"/>
                <w:bCs w:val="1"/>
                <w:color w:val="FFFFFF"/>
              </w:rPr>
              <w:t>QoQ</w:t>
            </w:r>
          </w:p>
        </w:tc>
        <w:tc>
          <w:tcPr>
            <w:tcW w:w="680" w:type="dxa"/>
            <w:vAlign w:val="bottom"/>
            <w:tcBorders>
              <w:right w:val="single" w:sz="8" w:color="auto"/>
            </w:tcBorders>
            <w:vMerge w:val="restart"/>
            <w:shd w:val="clear" w:color="auto" w:fill="33CCCC"/>
          </w:tcPr>
          <w:p>
            <w:pPr>
              <w:ind w:left="220"/>
              <w:spacing w:after="0"/>
              <w:rPr>
                <w:sz w:val="20"/>
                <w:szCs w:val="20"/>
                <w:color w:val="auto"/>
              </w:rPr>
            </w:pPr>
            <w:r>
              <w:rPr>
                <w:rFonts w:ascii="Arial" w:cs="Arial" w:eastAsia="Arial" w:hAnsi="Arial"/>
                <w:sz w:val="13"/>
                <w:szCs w:val="13"/>
                <w:b w:val="1"/>
                <w:bCs w:val="1"/>
                <w:color w:val="FFFFFF"/>
              </w:rPr>
              <w:t>YoY</w:t>
            </w:r>
          </w:p>
        </w:tc>
        <w:tc>
          <w:tcPr>
            <w:tcW w:w="680" w:type="dxa"/>
            <w:vAlign w:val="bottom"/>
            <w:shd w:val="clear" w:color="auto" w:fill="33CCCC"/>
          </w:tcPr>
          <w:p>
            <w:pPr>
              <w:jc w:val="center"/>
              <w:spacing w:after="0" w:line="135" w:lineRule="exact"/>
              <w:rPr>
                <w:sz w:val="20"/>
                <w:szCs w:val="20"/>
                <w:color w:val="auto"/>
              </w:rPr>
            </w:pPr>
            <w:r>
              <w:rPr>
                <w:rFonts w:ascii="Arial" w:cs="Arial" w:eastAsia="Arial" w:hAnsi="Arial"/>
                <w:sz w:val="13"/>
                <w:szCs w:val="13"/>
                <w:b w:val="1"/>
                <w:bCs w:val="1"/>
                <w:color w:val="FFFFFF"/>
                <w:w w:val="97"/>
              </w:rPr>
              <w:t>Mar 25</w:t>
            </w:r>
          </w:p>
        </w:tc>
        <w:tc>
          <w:tcPr>
            <w:tcW w:w="660" w:type="dxa"/>
            <w:vAlign w:val="bottom"/>
            <w:tcBorders>
              <w:right w:val="single" w:sz="8" w:color="auto"/>
            </w:tcBorders>
            <w:vMerge w:val="restart"/>
            <w:shd w:val="clear" w:color="auto" w:fill="33CCCC"/>
          </w:tcPr>
          <w:p>
            <w:pPr>
              <w:ind w:left="220"/>
              <w:spacing w:after="0"/>
              <w:rPr>
                <w:sz w:val="20"/>
                <w:szCs w:val="20"/>
                <w:color w:val="auto"/>
              </w:rPr>
            </w:pPr>
            <w:r>
              <w:rPr>
                <w:rFonts w:ascii="Arial" w:cs="Arial" w:eastAsia="Arial" w:hAnsi="Arial"/>
                <w:sz w:val="13"/>
                <w:szCs w:val="13"/>
                <w:b w:val="1"/>
                <w:bCs w:val="1"/>
                <w:color w:val="FFFFFF"/>
              </w:rPr>
              <w:t>FC</w:t>
            </w:r>
          </w:p>
        </w:tc>
        <w:tc>
          <w:tcPr>
            <w:tcW w:w="0" w:type="dxa"/>
            <w:vAlign w:val="bottom"/>
          </w:tcPr>
          <w:p>
            <w:pPr>
              <w:spacing w:after="0"/>
              <w:rPr>
                <w:sz w:val="1"/>
                <w:szCs w:val="1"/>
                <w:color w:val="auto"/>
              </w:rPr>
            </w:pPr>
          </w:p>
        </w:tc>
      </w:tr>
      <w:tr>
        <w:trPr>
          <w:trHeight w:val="153"/>
        </w:trPr>
        <w:tc>
          <w:tcPr>
            <w:tcW w:w="2280" w:type="dxa"/>
            <w:vAlign w:val="bottom"/>
            <w:tcBorders>
              <w:left w:val="single" w:sz="8" w:color="auto"/>
              <w:bottom w:val="single" w:sz="8" w:color="auto"/>
              <w:right w:val="single" w:sz="8" w:color="auto"/>
            </w:tcBorders>
            <w:shd w:val="clear" w:color="auto" w:fill="33CCCC"/>
          </w:tcPr>
          <w:p>
            <w:pPr>
              <w:spacing w:after="0"/>
              <w:rPr>
                <w:sz w:val="13"/>
                <w:szCs w:val="13"/>
                <w:color w:val="auto"/>
              </w:rPr>
            </w:pPr>
          </w:p>
        </w:tc>
        <w:tc>
          <w:tcPr>
            <w:tcW w:w="620" w:type="dxa"/>
            <w:vAlign w:val="bottom"/>
            <w:tcBorders>
              <w:bottom w:val="single" w:sz="8" w:color="auto"/>
            </w:tcBorders>
            <w:vMerge w:val="continue"/>
            <w:shd w:val="clear" w:color="auto" w:fill="33CCCC"/>
          </w:tcPr>
          <w:p>
            <w:pPr>
              <w:spacing w:after="0"/>
              <w:rPr>
                <w:sz w:val="13"/>
                <w:szCs w:val="13"/>
                <w:color w:val="auto"/>
              </w:rPr>
            </w:pPr>
          </w:p>
        </w:tc>
        <w:tc>
          <w:tcPr>
            <w:tcW w:w="720" w:type="dxa"/>
            <w:vAlign w:val="bottom"/>
            <w:tcBorders>
              <w:bottom w:val="single" w:sz="8" w:color="auto"/>
            </w:tcBorders>
            <w:shd w:val="clear" w:color="auto" w:fill="33CCCC"/>
          </w:tcPr>
          <w:p>
            <w:pPr>
              <w:jc w:val="right"/>
              <w:spacing w:after="0"/>
              <w:rPr>
                <w:sz w:val="20"/>
                <w:szCs w:val="20"/>
                <w:color w:val="auto"/>
              </w:rPr>
            </w:pPr>
            <w:r>
              <w:rPr>
                <w:rFonts w:ascii="Arial" w:cs="Arial" w:eastAsia="Arial" w:hAnsi="Arial"/>
                <w:sz w:val="13"/>
                <w:szCs w:val="13"/>
                <w:b w:val="1"/>
                <w:bCs w:val="1"/>
                <w:color w:val="FFFFFF"/>
              </w:rPr>
              <w:t>Dec 24</w:t>
            </w:r>
          </w:p>
        </w:tc>
        <w:tc>
          <w:tcPr>
            <w:tcW w:w="800" w:type="dxa"/>
            <w:vAlign w:val="bottom"/>
            <w:tcBorders>
              <w:bottom w:val="single" w:sz="8" w:color="auto"/>
            </w:tcBorders>
            <w:vMerge w:val="continue"/>
            <w:shd w:val="clear" w:color="auto" w:fill="33CCCC"/>
          </w:tcPr>
          <w:p>
            <w:pPr>
              <w:spacing w:after="0"/>
              <w:rPr>
                <w:sz w:val="13"/>
                <w:szCs w:val="13"/>
                <w:color w:val="auto"/>
              </w:rPr>
            </w:pPr>
          </w:p>
        </w:tc>
        <w:tc>
          <w:tcPr>
            <w:tcW w:w="140" w:type="dxa"/>
            <w:vAlign w:val="bottom"/>
            <w:tcBorders>
              <w:bottom w:val="single" w:sz="8" w:color="auto"/>
              <w:right w:val="single" w:sz="8" w:color="auto"/>
            </w:tcBorders>
            <w:shd w:val="clear" w:color="auto" w:fill="33CCCC"/>
          </w:tcPr>
          <w:p>
            <w:pPr>
              <w:spacing w:after="0"/>
              <w:rPr>
                <w:sz w:val="13"/>
                <w:szCs w:val="13"/>
                <w:color w:val="auto"/>
              </w:rPr>
            </w:pPr>
          </w:p>
        </w:tc>
        <w:tc>
          <w:tcPr>
            <w:tcW w:w="660" w:type="dxa"/>
            <w:vAlign w:val="bottom"/>
            <w:tcBorders>
              <w:bottom w:val="single" w:sz="8" w:color="auto"/>
            </w:tcBorders>
            <w:vMerge w:val="continue"/>
            <w:shd w:val="clear" w:color="auto" w:fill="33CCCC"/>
          </w:tcPr>
          <w:p>
            <w:pPr>
              <w:spacing w:after="0"/>
              <w:rPr>
                <w:sz w:val="13"/>
                <w:szCs w:val="13"/>
                <w:color w:val="auto"/>
              </w:rPr>
            </w:pPr>
          </w:p>
        </w:tc>
        <w:tc>
          <w:tcPr>
            <w:tcW w:w="700" w:type="dxa"/>
            <w:vAlign w:val="bottom"/>
            <w:tcBorders>
              <w:bottom w:val="single" w:sz="8" w:color="auto"/>
              <w:right w:val="single" w:sz="8" w:color="auto"/>
            </w:tcBorders>
            <w:vMerge w:val="continue"/>
            <w:shd w:val="clear" w:color="auto" w:fill="33CCCC"/>
          </w:tcPr>
          <w:p>
            <w:pPr>
              <w:spacing w:after="0"/>
              <w:rPr>
                <w:sz w:val="13"/>
                <w:szCs w:val="13"/>
                <w:color w:val="auto"/>
              </w:rPr>
            </w:pPr>
          </w:p>
        </w:tc>
        <w:tc>
          <w:tcPr>
            <w:tcW w:w="8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7"/>
              </w:rPr>
              <w:t>Mar 24</w:t>
            </w:r>
          </w:p>
        </w:tc>
        <w:tc>
          <w:tcPr>
            <w:tcW w:w="840" w:type="dxa"/>
            <w:vAlign w:val="bottom"/>
            <w:tcBorders>
              <w:bottom w:val="single" w:sz="8" w:color="auto"/>
            </w:tcBorders>
            <w:vMerge w:val="continue"/>
            <w:shd w:val="clear" w:color="auto" w:fill="33CCCC"/>
          </w:tcPr>
          <w:p>
            <w:pPr>
              <w:spacing w:after="0"/>
              <w:rPr>
                <w:sz w:val="13"/>
                <w:szCs w:val="13"/>
                <w:color w:val="auto"/>
              </w:rPr>
            </w:pPr>
          </w:p>
        </w:tc>
        <w:tc>
          <w:tcPr>
            <w:tcW w:w="900" w:type="dxa"/>
            <w:vAlign w:val="bottom"/>
            <w:tcBorders>
              <w:bottom w:val="single" w:sz="8" w:color="auto"/>
              <w:right w:val="single" w:sz="8" w:color="auto"/>
            </w:tcBorders>
            <w:vMerge w:val="continue"/>
            <w:shd w:val="clear" w:color="auto" w:fill="33CCCC"/>
          </w:tcPr>
          <w:p>
            <w:pPr>
              <w:spacing w:after="0"/>
              <w:rPr>
                <w:sz w:val="13"/>
                <w:szCs w:val="13"/>
                <w:color w:val="auto"/>
              </w:rPr>
            </w:pPr>
          </w:p>
        </w:tc>
        <w:tc>
          <w:tcPr>
            <w:tcW w:w="640" w:type="dxa"/>
            <w:vAlign w:val="bottom"/>
            <w:tcBorders>
              <w:bottom w:val="single" w:sz="8" w:color="auto"/>
            </w:tcBorders>
            <w:vMerge w:val="continue"/>
            <w:shd w:val="clear" w:color="auto" w:fill="33CCCC"/>
          </w:tcPr>
          <w:p>
            <w:pPr>
              <w:spacing w:after="0"/>
              <w:rPr>
                <w:sz w:val="13"/>
                <w:szCs w:val="13"/>
                <w:color w:val="auto"/>
              </w:rPr>
            </w:pPr>
          </w:p>
        </w:tc>
        <w:tc>
          <w:tcPr>
            <w:tcW w:w="680" w:type="dxa"/>
            <w:vAlign w:val="bottom"/>
            <w:tcBorders>
              <w:bottom w:val="single" w:sz="8" w:color="auto"/>
              <w:right w:val="single" w:sz="8" w:color="auto"/>
            </w:tcBorders>
            <w:vMerge w:val="continue"/>
            <w:shd w:val="clear" w:color="auto" w:fill="33CCCC"/>
          </w:tcPr>
          <w:p>
            <w:pPr>
              <w:spacing w:after="0"/>
              <w:rPr>
                <w:sz w:val="13"/>
                <w:szCs w:val="13"/>
                <w:color w:val="auto"/>
              </w:rPr>
            </w:pPr>
          </w:p>
        </w:tc>
        <w:tc>
          <w:tcPr>
            <w:tcW w:w="6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LC</w:t>
            </w:r>
          </w:p>
        </w:tc>
        <w:tc>
          <w:tcPr>
            <w:tcW w:w="660" w:type="dxa"/>
            <w:vAlign w:val="bottom"/>
            <w:tcBorders>
              <w:bottom w:val="single" w:sz="8" w:color="auto"/>
              <w:right w:val="single" w:sz="8" w:color="auto"/>
            </w:tcBorders>
            <w:vMerge w:val="continue"/>
            <w:shd w:val="clear" w:color="auto" w:fill="33CCCC"/>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280" w:type="dxa"/>
            <w:vAlign w:val="bottom"/>
            <w:tcBorders>
              <w:left w:val="single" w:sz="8" w:color="auto"/>
              <w:right w:val="single" w:sz="8" w:color="auto"/>
            </w:tcBorders>
          </w:tcPr>
          <w:p>
            <w:pPr>
              <w:ind w:left="20"/>
              <w:spacing w:after="0" w:line="111" w:lineRule="exact"/>
              <w:rPr>
                <w:sz w:val="20"/>
                <w:szCs w:val="20"/>
                <w:color w:val="auto"/>
              </w:rPr>
            </w:pPr>
            <w:r>
              <w:rPr>
                <w:rFonts w:ascii="Arial" w:cs="Arial" w:eastAsia="Arial" w:hAnsi="Arial"/>
                <w:sz w:val="12"/>
                <w:szCs w:val="12"/>
                <w:b w:val="1"/>
                <w:bCs w:val="1"/>
                <w:color w:val="auto"/>
              </w:rPr>
              <w:t>BCP Stand-alone</w:t>
            </w:r>
          </w:p>
        </w:tc>
        <w:tc>
          <w:tcPr>
            <w:tcW w:w="620" w:type="dxa"/>
            <w:vAlign w:val="bottom"/>
          </w:tcPr>
          <w:p>
            <w:pPr>
              <w:jc w:val="center"/>
              <w:ind w:left="58"/>
              <w:spacing w:after="0" w:line="111" w:lineRule="exact"/>
              <w:rPr>
                <w:sz w:val="20"/>
                <w:szCs w:val="20"/>
                <w:color w:val="auto"/>
              </w:rPr>
            </w:pPr>
            <w:r>
              <w:rPr>
                <w:rFonts w:ascii="Arial" w:cs="Arial" w:eastAsia="Arial" w:hAnsi="Arial"/>
                <w:sz w:val="12"/>
                <w:szCs w:val="12"/>
                <w:b w:val="1"/>
                <w:bCs w:val="1"/>
                <w:color w:val="auto"/>
              </w:rPr>
              <w:t>78,329</w:t>
            </w:r>
          </w:p>
        </w:tc>
        <w:tc>
          <w:tcPr>
            <w:tcW w:w="720" w:type="dxa"/>
            <w:vAlign w:val="bottom"/>
          </w:tcPr>
          <w:p>
            <w:pPr>
              <w:jc w:val="center"/>
              <w:ind w:left="197"/>
              <w:spacing w:after="0" w:line="111" w:lineRule="exact"/>
              <w:rPr>
                <w:sz w:val="20"/>
                <w:szCs w:val="20"/>
                <w:color w:val="auto"/>
              </w:rPr>
            </w:pPr>
            <w:r>
              <w:rPr>
                <w:rFonts w:ascii="Arial" w:cs="Arial" w:eastAsia="Arial" w:hAnsi="Arial"/>
                <w:sz w:val="12"/>
                <w:szCs w:val="12"/>
                <w:b w:val="1"/>
                <w:bCs w:val="1"/>
                <w:color w:val="auto"/>
              </w:rPr>
              <w:t>79,978</w:t>
            </w:r>
          </w:p>
        </w:tc>
        <w:tc>
          <w:tcPr>
            <w:tcW w:w="800" w:type="dxa"/>
            <w:vAlign w:val="bottom"/>
          </w:tcPr>
          <w:p>
            <w:pPr>
              <w:jc w:val="center"/>
              <w:ind w:left="197"/>
              <w:spacing w:after="0" w:line="111" w:lineRule="exact"/>
              <w:rPr>
                <w:sz w:val="20"/>
                <w:szCs w:val="20"/>
                <w:color w:val="auto"/>
              </w:rPr>
            </w:pPr>
            <w:r>
              <w:rPr>
                <w:rFonts w:ascii="Arial" w:cs="Arial" w:eastAsia="Arial" w:hAnsi="Arial"/>
                <w:sz w:val="12"/>
                <w:szCs w:val="12"/>
                <w:b w:val="1"/>
                <w:bCs w:val="1"/>
                <w:color w:val="auto"/>
              </w:rPr>
              <w:t>79,947</w:t>
            </w:r>
          </w:p>
        </w:tc>
        <w:tc>
          <w:tcPr>
            <w:tcW w:w="140" w:type="dxa"/>
            <w:vAlign w:val="bottom"/>
            <w:tcBorders>
              <w:right w:val="single" w:sz="8" w:color="auto"/>
            </w:tcBorders>
          </w:tcPr>
          <w:p>
            <w:pPr>
              <w:spacing w:after="0"/>
              <w:rPr>
                <w:sz w:val="9"/>
                <w:szCs w:val="9"/>
                <w:color w:val="auto"/>
              </w:rPr>
            </w:pPr>
          </w:p>
        </w:tc>
        <w:tc>
          <w:tcPr>
            <w:tcW w:w="66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0.0%</w:t>
            </w:r>
          </w:p>
        </w:tc>
        <w:tc>
          <w:tcPr>
            <w:tcW w:w="70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2.1%</w:t>
            </w:r>
          </w:p>
        </w:tc>
        <w:tc>
          <w:tcPr>
            <w:tcW w:w="8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9,842</w:t>
            </w:r>
          </w:p>
        </w:tc>
        <w:tc>
          <w:tcPr>
            <w:tcW w:w="84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10,011</w:t>
            </w:r>
          </w:p>
        </w:tc>
        <w:tc>
          <w:tcPr>
            <w:tcW w:w="90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10,526</w:t>
            </w:r>
          </w:p>
        </w:tc>
        <w:tc>
          <w:tcPr>
            <w:tcW w:w="64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5.1%</w:t>
            </w:r>
          </w:p>
        </w:tc>
        <w:tc>
          <w:tcPr>
            <w:tcW w:w="68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6.9%</w:t>
            </w:r>
          </w:p>
        </w:tc>
        <w:tc>
          <w:tcPr>
            <w:tcW w:w="6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67.3%</w:t>
            </w:r>
          </w:p>
        </w:tc>
        <w:tc>
          <w:tcPr>
            <w:tcW w:w="66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32.7%</w:t>
            </w:r>
          </w:p>
        </w:tc>
        <w:tc>
          <w:tcPr>
            <w:tcW w:w="0" w:type="dxa"/>
            <w:vAlign w:val="bottom"/>
          </w:tcPr>
          <w:p>
            <w:pPr>
              <w:spacing w:after="0"/>
              <w:rPr>
                <w:sz w:val="1"/>
                <w:szCs w:val="1"/>
                <w:color w:val="auto"/>
              </w:rPr>
            </w:pPr>
          </w:p>
        </w:tc>
      </w:tr>
      <w:tr>
        <w:trPr>
          <w:trHeight w:val="135"/>
        </w:trPr>
        <w:tc>
          <w:tcPr>
            <w:tcW w:w="2280" w:type="dxa"/>
            <w:vAlign w:val="bottom"/>
            <w:tcBorders>
              <w:left w:val="single" w:sz="8" w:color="auto"/>
              <w:right w:val="single" w:sz="8" w:color="auto"/>
            </w:tcBorders>
          </w:tcPr>
          <w:p>
            <w:pPr>
              <w:ind w:left="180"/>
              <w:spacing w:after="0" w:line="135" w:lineRule="exact"/>
              <w:rPr>
                <w:sz w:val="20"/>
                <w:szCs w:val="20"/>
                <w:color w:val="auto"/>
              </w:rPr>
            </w:pPr>
            <w:r>
              <w:rPr>
                <w:rFonts w:ascii="Arial" w:cs="Arial" w:eastAsia="Arial" w:hAnsi="Arial"/>
                <w:sz w:val="13"/>
                <w:szCs w:val="13"/>
                <w:b w:val="1"/>
                <w:bCs w:val="1"/>
                <w:color w:val="auto"/>
              </w:rPr>
              <w:t>Wholesale Banking</w:t>
            </w:r>
          </w:p>
        </w:tc>
        <w:tc>
          <w:tcPr>
            <w:tcW w:w="620" w:type="dxa"/>
            <w:vAlign w:val="bottom"/>
          </w:tcPr>
          <w:p>
            <w:pPr>
              <w:jc w:val="center"/>
              <w:ind w:left="58"/>
              <w:spacing w:after="0" w:line="135" w:lineRule="exact"/>
              <w:rPr>
                <w:sz w:val="20"/>
                <w:szCs w:val="20"/>
                <w:color w:val="auto"/>
              </w:rPr>
            </w:pPr>
            <w:r>
              <w:rPr>
                <w:rFonts w:ascii="Arial" w:cs="Arial" w:eastAsia="Arial" w:hAnsi="Arial"/>
                <w:sz w:val="13"/>
                <w:szCs w:val="13"/>
                <w:b w:val="1"/>
                <w:bCs w:val="1"/>
                <w:color w:val="auto"/>
                <w:w w:val="95"/>
              </w:rPr>
              <w:t>22,594</w:t>
            </w:r>
          </w:p>
        </w:tc>
        <w:tc>
          <w:tcPr>
            <w:tcW w:w="720" w:type="dxa"/>
            <w:vAlign w:val="bottom"/>
          </w:tcPr>
          <w:p>
            <w:pPr>
              <w:jc w:val="center"/>
              <w:ind w:left="197"/>
              <w:spacing w:after="0" w:line="135" w:lineRule="exact"/>
              <w:rPr>
                <w:sz w:val="20"/>
                <w:szCs w:val="20"/>
                <w:color w:val="auto"/>
              </w:rPr>
            </w:pPr>
            <w:r>
              <w:rPr>
                <w:rFonts w:ascii="Arial" w:cs="Arial" w:eastAsia="Arial" w:hAnsi="Arial"/>
                <w:sz w:val="13"/>
                <w:szCs w:val="13"/>
                <w:b w:val="1"/>
                <w:bCs w:val="1"/>
                <w:color w:val="auto"/>
                <w:w w:val="95"/>
              </w:rPr>
              <w:t>23,501</w:t>
            </w:r>
          </w:p>
        </w:tc>
        <w:tc>
          <w:tcPr>
            <w:tcW w:w="800" w:type="dxa"/>
            <w:vAlign w:val="bottom"/>
          </w:tcPr>
          <w:p>
            <w:pPr>
              <w:jc w:val="center"/>
              <w:ind w:left="197"/>
              <w:spacing w:after="0" w:line="135" w:lineRule="exact"/>
              <w:rPr>
                <w:sz w:val="20"/>
                <w:szCs w:val="20"/>
                <w:color w:val="auto"/>
              </w:rPr>
            </w:pPr>
            <w:r>
              <w:rPr>
                <w:rFonts w:ascii="Arial" w:cs="Arial" w:eastAsia="Arial" w:hAnsi="Arial"/>
                <w:sz w:val="13"/>
                <w:szCs w:val="13"/>
                <w:b w:val="1"/>
                <w:bCs w:val="1"/>
                <w:color w:val="auto"/>
                <w:w w:val="95"/>
              </w:rPr>
              <w:t>23,512</w:t>
            </w:r>
          </w:p>
        </w:tc>
        <w:tc>
          <w:tcPr>
            <w:tcW w:w="140" w:type="dxa"/>
            <w:vAlign w:val="bottom"/>
            <w:tcBorders>
              <w:right w:val="single" w:sz="8" w:color="auto"/>
            </w:tcBorders>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0.0%</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4.1%</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7,760</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7,868</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8,415</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7.0%</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8.4%</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43.1%</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56.9%</w:t>
            </w:r>
          </w:p>
        </w:tc>
        <w:tc>
          <w:tcPr>
            <w:tcW w:w="0" w:type="dxa"/>
            <w:vAlign w:val="bottom"/>
          </w:tcPr>
          <w:p>
            <w:pPr>
              <w:spacing w:after="0"/>
              <w:rPr>
                <w:sz w:val="1"/>
                <w:szCs w:val="1"/>
                <w:color w:val="auto"/>
              </w:rPr>
            </w:pPr>
          </w:p>
        </w:tc>
      </w:tr>
      <w:tr>
        <w:trPr>
          <w:trHeight w:val="153"/>
        </w:trPr>
        <w:tc>
          <w:tcPr>
            <w:tcW w:w="228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Corporate</w:t>
            </w:r>
          </w:p>
        </w:tc>
        <w:tc>
          <w:tcPr>
            <w:tcW w:w="620" w:type="dxa"/>
            <w:vAlign w:val="bottom"/>
          </w:tcPr>
          <w:p>
            <w:pPr>
              <w:jc w:val="center"/>
              <w:ind w:left="58"/>
              <w:spacing w:after="0" w:line="135" w:lineRule="exact"/>
              <w:rPr>
                <w:sz w:val="20"/>
                <w:szCs w:val="20"/>
                <w:color w:val="auto"/>
              </w:rPr>
            </w:pPr>
            <w:r>
              <w:rPr>
                <w:rFonts w:ascii="Arial" w:cs="Arial" w:eastAsia="Arial" w:hAnsi="Arial"/>
                <w:sz w:val="13"/>
                <w:szCs w:val="13"/>
                <w:color w:val="auto"/>
                <w:w w:val="95"/>
              </w:rPr>
              <w:t>13,126</w:t>
            </w:r>
          </w:p>
        </w:tc>
        <w:tc>
          <w:tcPr>
            <w:tcW w:w="720" w:type="dxa"/>
            <w:vAlign w:val="bottom"/>
          </w:tcPr>
          <w:p>
            <w:pPr>
              <w:jc w:val="center"/>
              <w:ind w:left="197"/>
              <w:spacing w:after="0" w:line="135" w:lineRule="exact"/>
              <w:rPr>
                <w:sz w:val="20"/>
                <w:szCs w:val="20"/>
                <w:color w:val="auto"/>
              </w:rPr>
            </w:pPr>
            <w:r>
              <w:rPr>
                <w:rFonts w:ascii="Arial" w:cs="Arial" w:eastAsia="Arial" w:hAnsi="Arial"/>
                <w:sz w:val="13"/>
                <w:szCs w:val="13"/>
                <w:color w:val="auto"/>
                <w:w w:val="95"/>
              </w:rPr>
              <w:t>14,540</w:t>
            </w:r>
          </w:p>
        </w:tc>
        <w:tc>
          <w:tcPr>
            <w:tcW w:w="800" w:type="dxa"/>
            <w:vAlign w:val="bottom"/>
          </w:tcPr>
          <w:p>
            <w:pPr>
              <w:jc w:val="center"/>
              <w:ind w:left="197"/>
              <w:spacing w:after="0" w:line="135" w:lineRule="exact"/>
              <w:rPr>
                <w:sz w:val="20"/>
                <w:szCs w:val="20"/>
                <w:color w:val="auto"/>
              </w:rPr>
            </w:pPr>
            <w:r>
              <w:rPr>
                <w:rFonts w:ascii="Arial" w:cs="Arial" w:eastAsia="Arial" w:hAnsi="Arial"/>
                <w:sz w:val="13"/>
                <w:szCs w:val="13"/>
                <w:color w:val="auto"/>
                <w:w w:val="95"/>
              </w:rPr>
              <w:t>14,110</w:t>
            </w:r>
          </w:p>
        </w:tc>
        <w:tc>
          <w:tcPr>
            <w:tcW w:w="140" w:type="dxa"/>
            <w:vAlign w:val="bottom"/>
            <w:tcBorders>
              <w:right w:val="single" w:sz="8" w:color="auto"/>
            </w:tcBorders>
          </w:tcPr>
          <w:p>
            <w:pPr>
              <w:spacing w:after="0"/>
              <w:rPr>
                <w:sz w:val="13"/>
                <w:szCs w:val="13"/>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9"/>
              </w:rPr>
              <w:t>-3.0%</w:t>
            </w:r>
          </w:p>
        </w:tc>
        <w:tc>
          <w:tcPr>
            <w:tcW w:w="700" w:type="dxa"/>
            <w:vAlign w:val="bottom"/>
            <w:tcBorders>
              <w:right w:val="single" w:sz="8" w:color="auto"/>
            </w:tcBorders>
            <w:shd w:val="clear" w:color="auto" w:fill="00B249"/>
          </w:tcPr>
          <w:p>
            <w:pPr>
              <w:jc w:val="center"/>
              <w:spacing w:after="0" w:line="135" w:lineRule="exact"/>
              <w:rPr>
                <w:sz w:val="20"/>
                <w:szCs w:val="20"/>
                <w:color w:val="auto"/>
              </w:rPr>
            </w:pPr>
            <w:r>
              <w:rPr>
                <w:rFonts w:ascii="Arial" w:cs="Arial" w:eastAsia="Arial" w:hAnsi="Arial"/>
                <w:sz w:val="13"/>
                <w:szCs w:val="13"/>
                <w:color w:val="auto"/>
                <w:w w:val="94"/>
              </w:rPr>
              <w:t>7.5%</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8"/>
              </w:rPr>
              <w:t>4,495</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8"/>
              </w:rPr>
              <w:t>4,731</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5,116</w:t>
            </w:r>
          </w:p>
        </w:tc>
        <w:tc>
          <w:tcPr>
            <w:tcW w:w="640" w:type="dxa"/>
            <w:vAlign w:val="bottom"/>
            <w:shd w:val="clear" w:color="auto" w:fill="00B249"/>
          </w:tcPr>
          <w:p>
            <w:pPr>
              <w:jc w:val="center"/>
              <w:spacing w:after="0" w:line="135" w:lineRule="exact"/>
              <w:rPr>
                <w:sz w:val="20"/>
                <w:szCs w:val="20"/>
                <w:color w:val="auto"/>
              </w:rPr>
            </w:pPr>
            <w:r>
              <w:rPr>
                <w:rFonts w:ascii="Arial" w:cs="Arial" w:eastAsia="Arial" w:hAnsi="Arial"/>
                <w:sz w:val="13"/>
                <w:szCs w:val="13"/>
                <w:color w:val="auto"/>
              </w:rPr>
              <w:t>8.1%</w:t>
            </w:r>
          </w:p>
        </w:tc>
        <w:tc>
          <w:tcPr>
            <w:tcW w:w="680" w:type="dxa"/>
            <w:vAlign w:val="bottom"/>
            <w:tcBorders>
              <w:right w:val="single" w:sz="8" w:color="auto"/>
            </w:tcBorders>
            <w:shd w:val="clear" w:color="auto" w:fill="00B249"/>
          </w:tcPr>
          <w:p>
            <w:pPr>
              <w:jc w:val="center"/>
              <w:spacing w:after="0" w:line="135" w:lineRule="exact"/>
              <w:rPr>
                <w:sz w:val="20"/>
                <w:szCs w:val="20"/>
                <w:color w:val="auto"/>
              </w:rPr>
            </w:pPr>
            <w:r>
              <w:rPr>
                <w:rFonts w:ascii="Arial" w:cs="Arial" w:eastAsia="Arial" w:hAnsi="Arial"/>
                <w:sz w:val="13"/>
                <w:szCs w:val="13"/>
                <w:color w:val="auto"/>
                <w:w w:val="97"/>
              </w:rPr>
              <w:t>13.8%</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7"/>
              </w:rPr>
              <w:t>42.8%</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57.2%</w:t>
            </w:r>
          </w:p>
        </w:tc>
        <w:tc>
          <w:tcPr>
            <w:tcW w:w="0" w:type="dxa"/>
            <w:vAlign w:val="bottom"/>
          </w:tcPr>
          <w:p>
            <w:pPr>
              <w:spacing w:after="0"/>
              <w:rPr>
                <w:sz w:val="1"/>
                <w:szCs w:val="1"/>
                <w:color w:val="auto"/>
              </w:rPr>
            </w:pPr>
          </w:p>
        </w:tc>
      </w:tr>
      <w:tr>
        <w:trPr>
          <w:trHeight w:val="135"/>
        </w:trPr>
        <w:tc>
          <w:tcPr>
            <w:tcW w:w="228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Middle-Market</w:t>
            </w:r>
          </w:p>
        </w:tc>
        <w:tc>
          <w:tcPr>
            <w:tcW w:w="620" w:type="dxa"/>
            <w:vAlign w:val="bottom"/>
          </w:tcPr>
          <w:p>
            <w:pPr>
              <w:jc w:val="center"/>
              <w:ind w:left="78"/>
              <w:spacing w:after="0" w:line="135" w:lineRule="exact"/>
              <w:rPr>
                <w:sz w:val="20"/>
                <w:szCs w:val="20"/>
                <w:color w:val="auto"/>
              </w:rPr>
            </w:pPr>
            <w:r>
              <w:rPr>
                <w:rFonts w:ascii="Arial" w:cs="Arial" w:eastAsia="Arial" w:hAnsi="Arial"/>
                <w:sz w:val="13"/>
                <w:szCs w:val="13"/>
                <w:color w:val="auto"/>
                <w:w w:val="98"/>
              </w:rPr>
              <w:t>9,468</w:t>
            </w:r>
          </w:p>
        </w:tc>
        <w:tc>
          <w:tcPr>
            <w:tcW w:w="720" w:type="dxa"/>
            <w:vAlign w:val="bottom"/>
          </w:tcPr>
          <w:p>
            <w:pPr>
              <w:jc w:val="center"/>
              <w:ind w:left="197"/>
              <w:spacing w:after="0" w:line="135" w:lineRule="exact"/>
              <w:rPr>
                <w:sz w:val="20"/>
                <w:szCs w:val="20"/>
                <w:color w:val="auto"/>
              </w:rPr>
            </w:pPr>
            <w:r>
              <w:rPr>
                <w:rFonts w:ascii="Arial" w:cs="Arial" w:eastAsia="Arial" w:hAnsi="Arial"/>
                <w:sz w:val="13"/>
                <w:szCs w:val="13"/>
                <w:color w:val="auto"/>
                <w:w w:val="92"/>
              </w:rPr>
              <w:t>8,961</w:t>
            </w:r>
          </w:p>
        </w:tc>
        <w:tc>
          <w:tcPr>
            <w:tcW w:w="800" w:type="dxa"/>
            <w:vAlign w:val="bottom"/>
          </w:tcPr>
          <w:p>
            <w:pPr>
              <w:jc w:val="center"/>
              <w:ind w:left="197"/>
              <w:spacing w:after="0" w:line="135" w:lineRule="exact"/>
              <w:rPr>
                <w:sz w:val="20"/>
                <w:szCs w:val="20"/>
                <w:color w:val="auto"/>
              </w:rPr>
            </w:pPr>
            <w:r>
              <w:rPr>
                <w:rFonts w:ascii="Arial" w:cs="Arial" w:eastAsia="Arial" w:hAnsi="Arial"/>
                <w:sz w:val="13"/>
                <w:szCs w:val="13"/>
                <w:color w:val="auto"/>
                <w:w w:val="92"/>
              </w:rPr>
              <w:t>9,401</w:t>
            </w:r>
          </w:p>
        </w:tc>
        <w:tc>
          <w:tcPr>
            <w:tcW w:w="140" w:type="dxa"/>
            <w:vAlign w:val="bottom"/>
            <w:tcBorders>
              <w:right w:val="single" w:sz="8" w:color="auto"/>
            </w:tcBorders>
          </w:tcPr>
          <w:p>
            <w:pPr>
              <w:spacing w:after="0"/>
              <w:rPr>
                <w:sz w:val="11"/>
                <w:szCs w:val="11"/>
                <w:color w:val="auto"/>
              </w:rPr>
            </w:pPr>
          </w:p>
        </w:tc>
        <w:tc>
          <w:tcPr>
            <w:tcW w:w="660" w:type="dxa"/>
            <w:vAlign w:val="bottom"/>
            <w:shd w:val="clear" w:color="auto" w:fill="00B249"/>
          </w:tcPr>
          <w:p>
            <w:pPr>
              <w:jc w:val="center"/>
              <w:spacing w:after="0" w:line="117" w:lineRule="exact"/>
              <w:rPr>
                <w:sz w:val="20"/>
                <w:szCs w:val="20"/>
                <w:color w:val="auto"/>
              </w:rPr>
            </w:pPr>
            <w:r>
              <w:rPr>
                <w:rFonts w:ascii="Arial" w:cs="Arial" w:eastAsia="Arial" w:hAnsi="Arial"/>
                <w:sz w:val="13"/>
                <w:szCs w:val="13"/>
                <w:color w:val="auto"/>
                <w:w w:val="94"/>
              </w:rPr>
              <w:t>4.9%</w:t>
            </w:r>
          </w:p>
        </w:tc>
        <w:tc>
          <w:tcPr>
            <w:tcW w:w="7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-0.7%</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8"/>
              </w:rPr>
              <w:t>3,265</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8"/>
              </w:rPr>
              <w:t>3,137</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3,299</w:t>
            </w:r>
          </w:p>
        </w:tc>
        <w:tc>
          <w:tcPr>
            <w:tcW w:w="640" w:type="dxa"/>
            <w:vAlign w:val="bottom"/>
            <w:shd w:val="clear" w:color="auto" w:fill="00B249"/>
          </w:tcPr>
          <w:p>
            <w:pPr>
              <w:jc w:val="center"/>
              <w:spacing w:after="0" w:line="135" w:lineRule="exact"/>
              <w:rPr>
                <w:sz w:val="20"/>
                <w:szCs w:val="20"/>
                <w:color w:val="auto"/>
              </w:rPr>
            </w:pPr>
            <w:r>
              <w:rPr>
                <w:rFonts w:ascii="Arial" w:cs="Arial" w:eastAsia="Arial" w:hAnsi="Arial"/>
                <w:sz w:val="13"/>
                <w:szCs w:val="13"/>
                <w:color w:val="auto"/>
              </w:rPr>
              <w:t>5.2%</w:t>
            </w:r>
          </w:p>
        </w:tc>
        <w:tc>
          <w:tcPr>
            <w:tcW w:w="6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1.0%</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7"/>
              </w:rPr>
              <w:t>43.6%</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56.4%</w:t>
            </w:r>
          </w:p>
        </w:tc>
        <w:tc>
          <w:tcPr>
            <w:tcW w:w="0" w:type="dxa"/>
            <w:vAlign w:val="bottom"/>
          </w:tcPr>
          <w:p>
            <w:pPr>
              <w:spacing w:after="0"/>
              <w:rPr>
                <w:sz w:val="1"/>
                <w:szCs w:val="1"/>
                <w:color w:val="auto"/>
              </w:rPr>
            </w:pPr>
          </w:p>
        </w:tc>
      </w:tr>
      <w:tr>
        <w:trPr>
          <w:trHeight w:val="117"/>
        </w:trPr>
        <w:tc>
          <w:tcPr>
            <w:tcW w:w="2280" w:type="dxa"/>
            <w:vAlign w:val="bottom"/>
            <w:tcBorders>
              <w:left w:val="single" w:sz="8" w:color="auto"/>
              <w:right w:val="single" w:sz="8" w:color="auto"/>
            </w:tcBorders>
          </w:tcPr>
          <w:p>
            <w:pPr>
              <w:ind w:left="180"/>
              <w:spacing w:after="0" w:line="117" w:lineRule="exact"/>
              <w:rPr>
                <w:sz w:val="20"/>
                <w:szCs w:val="20"/>
                <w:color w:val="auto"/>
              </w:rPr>
            </w:pPr>
            <w:r>
              <w:rPr>
                <w:rFonts w:ascii="Arial" w:cs="Arial" w:eastAsia="Arial" w:hAnsi="Arial"/>
                <w:sz w:val="13"/>
                <w:szCs w:val="13"/>
                <w:b w:val="1"/>
                <w:bCs w:val="1"/>
                <w:color w:val="auto"/>
              </w:rPr>
              <w:t>Retail Banking</w:t>
            </w:r>
          </w:p>
        </w:tc>
        <w:tc>
          <w:tcPr>
            <w:tcW w:w="620" w:type="dxa"/>
            <w:vAlign w:val="bottom"/>
          </w:tcPr>
          <w:p>
            <w:pPr>
              <w:jc w:val="center"/>
              <w:ind w:left="58"/>
              <w:spacing w:after="0" w:line="117" w:lineRule="exact"/>
              <w:rPr>
                <w:sz w:val="20"/>
                <w:szCs w:val="20"/>
                <w:color w:val="auto"/>
              </w:rPr>
            </w:pPr>
            <w:r>
              <w:rPr>
                <w:rFonts w:ascii="Arial" w:cs="Arial" w:eastAsia="Arial" w:hAnsi="Arial"/>
                <w:sz w:val="13"/>
                <w:szCs w:val="13"/>
                <w:b w:val="1"/>
                <w:bCs w:val="1"/>
                <w:color w:val="auto"/>
                <w:w w:val="95"/>
              </w:rPr>
              <w:t>55,735</w:t>
            </w:r>
          </w:p>
        </w:tc>
        <w:tc>
          <w:tcPr>
            <w:tcW w:w="720" w:type="dxa"/>
            <w:vAlign w:val="bottom"/>
          </w:tcPr>
          <w:p>
            <w:pPr>
              <w:jc w:val="center"/>
              <w:ind w:left="197"/>
              <w:spacing w:after="0" w:line="117" w:lineRule="exact"/>
              <w:rPr>
                <w:sz w:val="20"/>
                <w:szCs w:val="20"/>
                <w:color w:val="auto"/>
              </w:rPr>
            </w:pPr>
            <w:r>
              <w:rPr>
                <w:rFonts w:ascii="Arial" w:cs="Arial" w:eastAsia="Arial" w:hAnsi="Arial"/>
                <w:sz w:val="13"/>
                <w:szCs w:val="13"/>
                <w:b w:val="1"/>
                <w:bCs w:val="1"/>
                <w:color w:val="auto"/>
                <w:w w:val="95"/>
              </w:rPr>
              <w:t>56,478</w:t>
            </w:r>
          </w:p>
        </w:tc>
        <w:tc>
          <w:tcPr>
            <w:tcW w:w="800" w:type="dxa"/>
            <w:vAlign w:val="bottom"/>
          </w:tcPr>
          <w:p>
            <w:pPr>
              <w:jc w:val="center"/>
              <w:ind w:left="197"/>
              <w:spacing w:after="0" w:line="117" w:lineRule="exact"/>
              <w:rPr>
                <w:sz w:val="20"/>
                <w:szCs w:val="20"/>
                <w:color w:val="auto"/>
              </w:rPr>
            </w:pPr>
            <w:r>
              <w:rPr>
                <w:rFonts w:ascii="Arial" w:cs="Arial" w:eastAsia="Arial" w:hAnsi="Arial"/>
                <w:sz w:val="13"/>
                <w:szCs w:val="13"/>
                <w:b w:val="1"/>
                <w:bCs w:val="1"/>
                <w:color w:val="auto"/>
                <w:w w:val="95"/>
              </w:rPr>
              <w:t>56,436</w:t>
            </w:r>
          </w:p>
        </w:tc>
        <w:tc>
          <w:tcPr>
            <w:tcW w:w="140" w:type="dxa"/>
            <w:vAlign w:val="bottom"/>
            <w:tcBorders>
              <w:right w:val="single" w:sz="8" w:color="auto"/>
            </w:tcBorders>
          </w:tcPr>
          <w:p>
            <w:pPr>
              <w:spacing w:after="0"/>
              <w:rPr>
                <w:sz w:val="10"/>
                <w:szCs w:val="10"/>
                <w:color w:val="auto"/>
              </w:rPr>
            </w:pPr>
          </w:p>
        </w:tc>
        <w:tc>
          <w:tcPr>
            <w:tcW w:w="66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9"/>
              </w:rPr>
              <w:t>-0.1%</w:t>
            </w:r>
          </w:p>
        </w:tc>
        <w:tc>
          <w:tcPr>
            <w:tcW w:w="7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4"/>
              </w:rPr>
              <w:t>1.3%</w:t>
            </w:r>
          </w:p>
        </w:tc>
        <w:tc>
          <w:tcPr>
            <w:tcW w:w="80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8"/>
              </w:rPr>
              <w:t>2,082</w:t>
            </w:r>
          </w:p>
        </w:tc>
        <w:tc>
          <w:tcPr>
            <w:tcW w:w="84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8"/>
              </w:rPr>
              <w:t>2,144</w:t>
            </w:r>
          </w:p>
        </w:tc>
        <w:tc>
          <w:tcPr>
            <w:tcW w:w="9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2"/>
              </w:rPr>
              <w:t>2,111</w:t>
            </w:r>
          </w:p>
        </w:tc>
        <w:tc>
          <w:tcPr>
            <w:tcW w:w="64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9"/>
              </w:rPr>
              <w:t>-1.5%</w:t>
            </w:r>
          </w:p>
        </w:tc>
        <w:tc>
          <w:tcPr>
            <w:tcW w:w="6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4"/>
              </w:rPr>
              <w:t>1.4%</w:t>
            </w:r>
          </w:p>
        </w:tc>
        <w:tc>
          <w:tcPr>
            <w:tcW w:w="68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7"/>
              </w:rPr>
              <w:t>87.9%</w:t>
            </w:r>
          </w:p>
        </w:tc>
        <w:tc>
          <w:tcPr>
            <w:tcW w:w="6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7"/>
              </w:rPr>
              <w:t>12.1%</w:t>
            </w:r>
          </w:p>
        </w:tc>
        <w:tc>
          <w:tcPr>
            <w:tcW w:w="0" w:type="dxa"/>
            <w:vAlign w:val="bottom"/>
          </w:tcPr>
          <w:p>
            <w:pPr>
              <w:spacing w:after="0"/>
              <w:rPr>
                <w:sz w:val="1"/>
                <w:szCs w:val="1"/>
                <w:color w:val="auto"/>
              </w:rPr>
            </w:pPr>
          </w:p>
        </w:tc>
      </w:tr>
      <w:tr>
        <w:trPr>
          <w:trHeight w:val="153"/>
        </w:trPr>
        <w:tc>
          <w:tcPr>
            <w:tcW w:w="228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SME - Business</w:t>
            </w:r>
          </w:p>
        </w:tc>
        <w:tc>
          <w:tcPr>
            <w:tcW w:w="620" w:type="dxa"/>
            <w:vAlign w:val="bottom"/>
          </w:tcPr>
          <w:p>
            <w:pPr>
              <w:jc w:val="center"/>
              <w:ind w:left="78"/>
              <w:spacing w:after="0" w:line="135" w:lineRule="exact"/>
              <w:rPr>
                <w:sz w:val="20"/>
                <w:szCs w:val="20"/>
                <w:color w:val="auto"/>
              </w:rPr>
            </w:pPr>
            <w:r>
              <w:rPr>
                <w:rFonts w:ascii="Arial" w:cs="Arial" w:eastAsia="Arial" w:hAnsi="Arial"/>
                <w:sz w:val="13"/>
                <w:szCs w:val="13"/>
                <w:color w:val="auto"/>
                <w:w w:val="98"/>
              </w:rPr>
              <w:t>4,141</w:t>
            </w:r>
          </w:p>
        </w:tc>
        <w:tc>
          <w:tcPr>
            <w:tcW w:w="720" w:type="dxa"/>
            <w:vAlign w:val="bottom"/>
          </w:tcPr>
          <w:p>
            <w:pPr>
              <w:jc w:val="center"/>
              <w:ind w:left="197"/>
              <w:spacing w:after="0" w:line="135" w:lineRule="exact"/>
              <w:rPr>
                <w:sz w:val="20"/>
                <w:szCs w:val="20"/>
                <w:color w:val="auto"/>
              </w:rPr>
            </w:pPr>
            <w:r>
              <w:rPr>
                <w:rFonts w:ascii="Arial" w:cs="Arial" w:eastAsia="Arial" w:hAnsi="Arial"/>
                <w:sz w:val="13"/>
                <w:szCs w:val="13"/>
                <w:color w:val="auto"/>
                <w:w w:val="92"/>
              </w:rPr>
              <w:t>4,738</w:t>
            </w:r>
          </w:p>
        </w:tc>
        <w:tc>
          <w:tcPr>
            <w:tcW w:w="800" w:type="dxa"/>
            <w:vAlign w:val="bottom"/>
          </w:tcPr>
          <w:p>
            <w:pPr>
              <w:jc w:val="center"/>
              <w:ind w:left="197"/>
              <w:spacing w:after="0" w:line="135" w:lineRule="exact"/>
              <w:rPr>
                <w:sz w:val="20"/>
                <w:szCs w:val="20"/>
                <w:color w:val="auto"/>
              </w:rPr>
            </w:pPr>
            <w:r>
              <w:rPr>
                <w:rFonts w:ascii="Arial" w:cs="Arial" w:eastAsia="Arial" w:hAnsi="Arial"/>
                <w:sz w:val="13"/>
                <w:szCs w:val="13"/>
                <w:color w:val="auto"/>
                <w:w w:val="92"/>
              </w:rPr>
              <w:t>4,529</w:t>
            </w:r>
          </w:p>
        </w:tc>
        <w:tc>
          <w:tcPr>
            <w:tcW w:w="140" w:type="dxa"/>
            <w:vAlign w:val="bottom"/>
            <w:tcBorders>
              <w:right w:val="single" w:sz="8" w:color="auto"/>
            </w:tcBorders>
          </w:tcPr>
          <w:p>
            <w:pPr>
              <w:spacing w:after="0"/>
              <w:rPr>
                <w:sz w:val="13"/>
                <w:szCs w:val="13"/>
                <w:color w:val="auto"/>
              </w:rPr>
            </w:pPr>
          </w:p>
        </w:tc>
        <w:tc>
          <w:tcPr>
            <w:tcW w:w="660" w:type="dxa"/>
            <w:vAlign w:val="bottom"/>
            <w:shd w:val="clear" w:color="auto" w:fill="D80094"/>
          </w:tcPr>
          <w:p>
            <w:pPr>
              <w:jc w:val="center"/>
              <w:spacing w:after="0" w:line="135" w:lineRule="exact"/>
              <w:rPr>
                <w:sz w:val="20"/>
                <w:szCs w:val="20"/>
                <w:color w:val="auto"/>
              </w:rPr>
            </w:pPr>
            <w:r>
              <w:rPr>
                <w:rFonts w:ascii="Arial" w:cs="Arial" w:eastAsia="Arial" w:hAnsi="Arial"/>
                <w:sz w:val="13"/>
                <w:szCs w:val="13"/>
                <w:color w:val="auto"/>
                <w:w w:val="99"/>
              </w:rPr>
              <w:t>-4.4%</w:t>
            </w:r>
          </w:p>
        </w:tc>
        <w:tc>
          <w:tcPr>
            <w:tcW w:w="700" w:type="dxa"/>
            <w:vAlign w:val="bottom"/>
            <w:tcBorders>
              <w:right w:val="single" w:sz="8" w:color="auto"/>
            </w:tcBorders>
            <w:shd w:val="clear" w:color="auto" w:fill="00B249"/>
          </w:tcPr>
          <w:p>
            <w:pPr>
              <w:jc w:val="center"/>
              <w:spacing w:after="0" w:line="135" w:lineRule="exact"/>
              <w:rPr>
                <w:sz w:val="20"/>
                <w:szCs w:val="20"/>
                <w:color w:val="auto"/>
              </w:rPr>
            </w:pPr>
            <w:r>
              <w:rPr>
                <w:rFonts w:ascii="Arial" w:cs="Arial" w:eastAsia="Arial" w:hAnsi="Arial"/>
                <w:sz w:val="13"/>
                <w:szCs w:val="13"/>
                <w:color w:val="auto"/>
                <w:w w:val="94"/>
              </w:rPr>
              <w:t>9.4%</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837</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2"/>
              </w:rPr>
              <w:t>856</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830</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9"/>
              </w:rPr>
              <w:t>-3.1%</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-0.9%</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7"/>
              </w:rPr>
              <w:t>59.7%</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40.3%</w:t>
            </w:r>
          </w:p>
        </w:tc>
        <w:tc>
          <w:tcPr>
            <w:tcW w:w="0" w:type="dxa"/>
            <w:vAlign w:val="bottom"/>
          </w:tcPr>
          <w:p>
            <w:pPr>
              <w:spacing w:after="0"/>
              <w:rPr>
                <w:sz w:val="1"/>
                <w:szCs w:val="1"/>
                <w:color w:val="auto"/>
              </w:rPr>
            </w:pPr>
          </w:p>
        </w:tc>
      </w:tr>
      <w:tr>
        <w:trPr>
          <w:trHeight w:val="117"/>
        </w:trPr>
        <w:tc>
          <w:tcPr>
            <w:tcW w:w="2280" w:type="dxa"/>
            <w:vAlign w:val="bottom"/>
            <w:tcBorders>
              <w:left w:val="single" w:sz="8" w:color="auto"/>
              <w:right w:val="single" w:sz="8" w:color="auto"/>
            </w:tcBorders>
          </w:tcPr>
          <w:p>
            <w:pPr>
              <w:ind w:left="300"/>
              <w:spacing w:after="0" w:line="117" w:lineRule="exact"/>
              <w:rPr>
                <w:sz w:val="20"/>
                <w:szCs w:val="20"/>
                <w:color w:val="auto"/>
              </w:rPr>
            </w:pPr>
            <w:r>
              <w:rPr>
                <w:rFonts w:ascii="Arial" w:cs="Arial" w:eastAsia="Arial" w:hAnsi="Arial"/>
                <w:sz w:val="13"/>
                <w:szCs w:val="13"/>
                <w:color w:val="auto"/>
              </w:rPr>
              <w:t>SME - Pyme</w:t>
            </w:r>
          </w:p>
        </w:tc>
        <w:tc>
          <w:tcPr>
            <w:tcW w:w="620" w:type="dxa"/>
            <w:vAlign w:val="bottom"/>
          </w:tcPr>
          <w:p>
            <w:pPr>
              <w:jc w:val="center"/>
              <w:ind w:left="58"/>
              <w:spacing w:after="0" w:line="117" w:lineRule="exact"/>
              <w:rPr>
                <w:sz w:val="20"/>
                <w:szCs w:val="20"/>
                <w:color w:val="auto"/>
              </w:rPr>
            </w:pPr>
            <w:r>
              <w:rPr>
                <w:rFonts w:ascii="Arial" w:cs="Arial" w:eastAsia="Arial" w:hAnsi="Arial"/>
                <w:sz w:val="13"/>
                <w:szCs w:val="13"/>
                <w:color w:val="auto"/>
                <w:w w:val="95"/>
              </w:rPr>
              <w:t>16,349</w:t>
            </w:r>
          </w:p>
        </w:tc>
        <w:tc>
          <w:tcPr>
            <w:tcW w:w="720" w:type="dxa"/>
            <w:vAlign w:val="bottom"/>
          </w:tcPr>
          <w:p>
            <w:pPr>
              <w:jc w:val="center"/>
              <w:ind w:left="197"/>
              <w:spacing w:after="0" w:line="117" w:lineRule="exact"/>
              <w:rPr>
                <w:sz w:val="20"/>
                <w:szCs w:val="20"/>
                <w:color w:val="auto"/>
              </w:rPr>
            </w:pPr>
            <w:r>
              <w:rPr>
                <w:rFonts w:ascii="Arial" w:cs="Arial" w:eastAsia="Arial" w:hAnsi="Arial"/>
                <w:sz w:val="13"/>
                <w:szCs w:val="13"/>
                <w:color w:val="auto"/>
                <w:w w:val="95"/>
              </w:rPr>
              <w:t>16,121</w:t>
            </w:r>
          </w:p>
        </w:tc>
        <w:tc>
          <w:tcPr>
            <w:tcW w:w="800" w:type="dxa"/>
            <w:vAlign w:val="bottom"/>
          </w:tcPr>
          <w:p>
            <w:pPr>
              <w:jc w:val="center"/>
              <w:ind w:left="197"/>
              <w:spacing w:after="0" w:line="117" w:lineRule="exact"/>
              <w:rPr>
                <w:sz w:val="20"/>
                <w:szCs w:val="20"/>
                <w:color w:val="auto"/>
              </w:rPr>
            </w:pPr>
            <w:r>
              <w:rPr>
                <w:rFonts w:ascii="Arial" w:cs="Arial" w:eastAsia="Arial" w:hAnsi="Arial"/>
                <w:sz w:val="13"/>
                <w:szCs w:val="13"/>
                <w:color w:val="auto"/>
                <w:w w:val="95"/>
              </w:rPr>
              <w:t>15,808</w:t>
            </w:r>
          </w:p>
        </w:tc>
        <w:tc>
          <w:tcPr>
            <w:tcW w:w="140" w:type="dxa"/>
            <w:vAlign w:val="bottom"/>
            <w:tcBorders>
              <w:right w:val="single" w:sz="8" w:color="auto"/>
            </w:tcBorders>
          </w:tcPr>
          <w:p>
            <w:pPr>
              <w:spacing w:after="0"/>
              <w:rPr>
                <w:sz w:val="10"/>
                <w:szCs w:val="10"/>
                <w:color w:val="auto"/>
              </w:rPr>
            </w:pPr>
          </w:p>
        </w:tc>
        <w:tc>
          <w:tcPr>
            <w:tcW w:w="660" w:type="dxa"/>
            <w:vAlign w:val="bottom"/>
            <w:shd w:val="clear" w:color="auto" w:fill="D80094"/>
          </w:tcPr>
          <w:p>
            <w:pPr>
              <w:jc w:val="center"/>
              <w:spacing w:after="0" w:line="117" w:lineRule="exact"/>
              <w:rPr>
                <w:sz w:val="20"/>
                <w:szCs w:val="20"/>
                <w:color w:val="auto"/>
              </w:rPr>
            </w:pPr>
            <w:r>
              <w:rPr>
                <w:rFonts w:ascii="Arial" w:cs="Arial" w:eastAsia="Arial" w:hAnsi="Arial"/>
                <w:sz w:val="13"/>
                <w:szCs w:val="13"/>
                <w:color w:val="auto"/>
                <w:w w:val="99"/>
              </w:rPr>
              <w:t>-1.9%</w:t>
            </w:r>
          </w:p>
        </w:tc>
        <w:tc>
          <w:tcPr>
            <w:tcW w:w="700" w:type="dxa"/>
            <w:vAlign w:val="bottom"/>
            <w:tcBorders>
              <w:right w:val="single" w:sz="8" w:color="auto"/>
            </w:tcBorders>
            <w:shd w:val="clear" w:color="auto" w:fill="D80094"/>
          </w:tcPr>
          <w:p>
            <w:pPr>
              <w:jc w:val="center"/>
              <w:spacing w:after="0" w:line="117" w:lineRule="exact"/>
              <w:rPr>
                <w:sz w:val="20"/>
                <w:szCs w:val="20"/>
                <w:color w:val="auto"/>
              </w:rPr>
            </w:pPr>
            <w:r>
              <w:rPr>
                <w:rFonts w:ascii="Arial" w:cs="Arial" w:eastAsia="Arial" w:hAnsi="Arial"/>
                <w:sz w:val="13"/>
                <w:szCs w:val="13"/>
                <w:color w:val="auto"/>
                <w:w w:val="94"/>
              </w:rPr>
              <w:t>-3.3%</w:t>
            </w:r>
          </w:p>
        </w:tc>
        <w:tc>
          <w:tcPr>
            <w:tcW w:w="800" w:type="dxa"/>
            <w:vAlign w:val="bottom"/>
          </w:tcPr>
          <w:p>
            <w:pPr>
              <w:jc w:val="center"/>
              <w:spacing w:after="0" w:line="117" w:lineRule="exact"/>
              <w:rPr>
                <w:sz w:val="20"/>
                <w:szCs w:val="20"/>
                <w:color w:val="auto"/>
              </w:rPr>
            </w:pPr>
            <w:r>
              <w:rPr>
                <w:rFonts w:ascii="Arial" w:cs="Arial" w:eastAsia="Arial" w:hAnsi="Arial"/>
                <w:sz w:val="13"/>
                <w:szCs w:val="13"/>
                <w:color w:val="auto"/>
                <w:w w:val="96"/>
              </w:rPr>
              <w:t>40</w:t>
            </w:r>
          </w:p>
        </w:tc>
        <w:tc>
          <w:tcPr>
            <w:tcW w:w="840" w:type="dxa"/>
            <w:vAlign w:val="bottom"/>
          </w:tcPr>
          <w:p>
            <w:pPr>
              <w:jc w:val="center"/>
              <w:spacing w:after="0" w:line="117" w:lineRule="exact"/>
              <w:rPr>
                <w:sz w:val="20"/>
                <w:szCs w:val="20"/>
                <w:color w:val="auto"/>
              </w:rPr>
            </w:pPr>
            <w:r>
              <w:rPr>
                <w:rFonts w:ascii="Arial" w:cs="Arial" w:eastAsia="Arial" w:hAnsi="Arial"/>
                <w:sz w:val="13"/>
                <w:szCs w:val="13"/>
                <w:color w:val="auto"/>
                <w:w w:val="96"/>
              </w:rPr>
              <w:t>35</w:t>
            </w:r>
          </w:p>
        </w:tc>
        <w:tc>
          <w:tcPr>
            <w:tcW w:w="9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6"/>
              </w:rPr>
              <w:t>36</w:t>
            </w:r>
          </w:p>
        </w:tc>
        <w:tc>
          <w:tcPr>
            <w:tcW w:w="640" w:type="dxa"/>
            <w:vAlign w:val="bottom"/>
          </w:tcPr>
          <w:p>
            <w:pPr>
              <w:jc w:val="center"/>
              <w:spacing w:after="0" w:line="117" w:lineRule="exact"/>
              <w:rPr>
                <w:sz w:val="20"/>
                <w:szCs w:val="20"/>
                <w:color w:val="auto"/>
              </w:rPr>
            </w:pPr>
            <w:r>
              <w:rPr>
                <w:rFonts w:ascii="Arial" w:cs="Arial" w:eastAsia="Arial" w:hAnsi="Arial"/>
                <w:sz w:val="13"/>
                <w:szCs w:val="13"/>
                <w:color w:val="auto"/>
              </w:rPr>
              <w:t>3.2%</w:t>
            </w:r>
          </w:p>
        </w:tc>
        <w:tc>
          <w:tcPr>
            <w:tcW w:w="6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7"/>
              </w:rPr>
              <w:t>-10.1%</w:t>
            </w:r>
          </w:p>
        </w:tc>
        <w:tc>
          <w:tcPr>
            <w:tcW w:w="680" w:type="dxa"/>
            <w:vAlign w:val="bottom"/>
          </w:tcPr>
          <w:p>
            <w:pPr>
              <w:jc w:val="center"/>
              <w:spacing w:after="0" w:line="117" w:lineRule="exact"/>
              <w:rPr>
                <w:sz w:val="20"/>
                <w:szCs w:val="20"/>
                <w:color w:val="auto"/>
              </w:rPr>
            </w:pPr>
            <w:r>
              <w:rPr>
                <w:rFonts w:ascii="Arial" w:cs="Arial" w:eastAsia="Arial" w:hAnsi="Arial"/>
                <w:sz w:val="13"/>
                <w:szCs w:val="13"/>
                <w:color w:val="auto"/>
                <w:w w:val="97"/>
              </w:rPr>
              <w:t>99.2%</w:t>
            </w:r>
          </w:p>
        </w:tc>
        <w:tc>
          <w:tcPr>
            <w:tcW w:w="6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3"/>
        </w:trPr>
        <w:tc>
          <w:tcPr>
            <w:tcW w:w="228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Mortgage</w:t>
            </w:r>
          </w:p>
        </w:tc>
        <w:tc>
          <w:tcPr>
            <w:tcW w:w="620" w:type="dxa"/>
            <w:vAlign w:val="bottom"/>
          </w:tcPr>
          <w:p>
            <w:pPr>
              <w:jc w:val="center"/>
              <w:ind w:left="58"/>
              <w:spacing w:after="0" w:line="135" w:lineRule="exact"/>
              <w:rPr>
                <w:sz w:val="20"/>
                <w:szCs w:val="20"/>
                <w:color w:val="auto"/>
              </w:rPr>
            </w:pPr>
            <w:r>
              <w:rPr>
                <w:rFonts w:ascii="Arial" w:cs="Arial" w:eastAsia="Arial" w:hAnsi="Arial"/>
                <w:sz w:val="13"/>
                <w:szCs w:val="13"/>
                <w:color w:val="auto"/>
                <w:w w:val="95"/>
              </w:rPr>
              <w:t>19,100</w:t>
            </w:r>
          </w:p>
        </w:tc>
        <w:tc>
          <w:tcPr>
            <w:tcW w:w="720" w:type="dxa"/>
            <w:vAlign w:val="bottom"/>
          </w:tcPr>
          <w:p>
            <w:pPr>
              <w:jc w:val="center"/>
              <w:ind w:left="197"/>
              <w:spacing w:after="0" w:line="135" w:lineRule="exact"/>
              <w:rPr>
                <w:sz w:val="20"/>
                <w:szCs w:val="20"/>
                <w:color w:val="auto"/>
              </w:rPr>
            </w:pPr>
            <w:r>
              <w:rPr>
                <w:rFonts w:ascii="Arial" w:cs="Arial" w:eastAsia="Arial" w:hAnsi="Arial"/>
                <w:sz w:val="13"/>
                <w:szCs w:val="13"/>
                <w:color w:val="auto"/>
                <w:w w:val="95"/>
              </w:rPr>
              <w:t>19,794</w:t>
            </w:r>
          </w:p>
        </w:tc>
        <w:tc>
          <w:tcPr>
            <w:tcW w:w="800" w:type="dxa"/>
            <w:vAlign w:val="bottom"/>
          </w:tcPr>
          <w:p>
            <w:pPr>
              <w:jc w:val="center"/>
              <w:ind w:left="197"/>
              <w:spacing w:after="0" w:line="135" w:lineRule="exact"/>
              <w:rPr>
                <w:sz w:val="20"/>
                <w:szCs w:val="20"/>
                <w:color w:val="auto"/>
              </w:rPr>
            </w:pPr>
            <w:r>
              <w:rPr>
                <w:rFonts w:ascii="Arial" w:cs="Arial" w:eastAsia="Arial" w:hAnsi="Arial"/>
                <w:sz w:val="13"/>
                <w:szCs w:val="13"/>
                <w:color w:val="auto"/>
                <w:w w:val="95"/>
              </w:rPr>
              <w:t>20,049</w:t>
            </w:r>
          </w:p>
        </w:tc>
        <w:tc>
          <w:tcPr>
            <w:tcW w:w="140" w:type="dxa"/>
            <w:vAlign w:val="bottom"/>
            <w:tcBorders>
              <w:right w:val="single" w:sz="8" w:color="auto"/>
            </w:tcBorders>
          </w:tcPr>
          <w:p>
            <w:pPr>
              <w:spacing w:after="0"/>
              <w:rPr>
                <w:sz w:val="13"/>
                <w:szCs w:val="13"/>
                <w:color w:val="auto"/>
              </w:rPr>
            </w:pPr>
          </w:p>
        </w:tc>
        <w:tc>
          <w:tcPr>
            <w:tcW w:w="660" w:type="dxa"/>
            <w:vAlign w:val="bottom"/>
            <w:shd w:val="clear" w:color="auto" w:fill="00B249"/>
          </w:tcPr>
          <w:p>
            <w:pPr>
              <w:jc w:val="center"/>
              <w:spacing w:after="0" w:line="135" w:lineRule="exact"/>
              <w:rPr>
                <w:sz w:val="20"/>
                <w:szCs w:val="20"/>
                <w:color w:val="auto"/>
              </w:rPr>
            </w:pPr>
            <w:r>
              <w:rPr>
                <w:rFonts w:ascii="Arial" w:cs="Arial" w:eastAsia="Arial" w:hAnsi="Arial"/>
                <w:sz w:val="13"/>
                <w:szCs w:val="13"/>
                <w:color w:val="auto"/>
                <w:w w:val="94"/>
              </w:rPr>
              <w:t>1.3%</w:t>
            </w:r>
          </w:p>
        </w:tc>
        <w:tc>
          <w:tcPr>
            <w:tcW w:w="700" w:type="dxa"/>
            <w:vAlign w:val="bottom"/>
            <w:tcBorders>
              <w:right w:val="single" w:sz="8" w:color="auto"/>
            </w:tcBorders>
            <w:shd w:val="clear" w:color="auto" w:fill="00B249"/>
          </w:tcPr>
          <w:p>
            <w:pPr>
              <w:jc w:val="center"/>
              <w:spacing w:after="0" w:line="135" w:lineRule="exact"/>
              <w:rPr>
                <w:sz w:val="20"/>
                <w:szCs w:val="20"/>
                <w:color w:val="auto"/>
              </w:rPr>
            </w:pPr>
            <w:r>
              <w:rPr>
                <w:rFonts w:ascii="Arial" w:cs="Arial" w:eastAsia="Arial" w:hAnsi="Arial"/>
                <w:sz w:val="13"/>
                <w:szCs w:val="13"/>
                <w:color w:val="auto"/>
                <w:w w:val="94"/>
              </w:rPr>
              <w:t>5.0%</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518</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2"/>
              </w:rPr>
              <w:t>510</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494</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9"/>
              </w:rPr>
              <w:t>-3.1%</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-4.6%</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7"/>
              </w:rPr>
              <w:t>91.7%</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35"/>
        </w:trPr>
        <w:tc>
          <w:tcPr>
            <w:tcW w:w="228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Consumer</w:t>
            </w:r>
          </w:p>
        </w:tc>
        <w:tc>
          <w:tcPr>
            <w:tcW w:w="620" w:type="dxa"/>
            <w:vAlign w:val="bottom"/>
          </w:tcPr>
          <w:p>
            <w:pPr>
              <w:jc w:val="center"/>
              <w:ind w:left="58"/>
              <w:spacing w:after="0" w:line="135" w:lineRule="exact"/>
              <w:rPr>
                <w:sz w:val="20"/>
                <w:szCs w:val="20"/>
                <w:color w:val="auto"/>
              </w:rPr>
            </w:pPr>
            <w:r>
              <w:rPr>
                <w:rFonts w:ascii="Arial" w:cs="Arial" w:eastAsia="Arial" w:hAnsi="Arial"/>
                <w:sz w:val="13"/>
                <w:szCs w:val="13"/>
                <w:color w:val="auto"/>
                <w:w w:val="95"/>
              </w:rPr>
              <w:t>11,108</w:t>
            </w:r>
          </w:p>
        </w:tc>
        <w:tc>
          <w:tcPr>
            <w:tcW w:w="720" w:type="dxa"/>
            <w:vAlign w:val="bottom"/>
          </w:tcPr>
          <w:p>
            <w:pPr>
              <w:jc w:val="center"/>
              <w:ind w:left="197"/>
              <w:spacing w:after="0" w:line="135" w:lineRule="exact"/>
              <w:rPr>
                <w:sz w:val="20"/>
                <w:szCs w:val="20"/>
                <w:color w:val="auto"/>
              </w:rPr>
            </w:pPr>
            <w:r>
              <w:rPr>
                <w:rFonts w:ascii="Arial" w:cs="Arial" w:eastAsia="Arial" w:hAnsi="Arial"/>
                <w:sz w:val="13"/>
                <w:szCs w:val="13"/>
                <w:color w:val="auto"/>
                <w:w w:val="95"/>
              </w:rPr>
              <w:t>11,030</w:t>
            </w:r>
          </w:p>
        </w:tc>
        <w:tc>
          <w:tcPr>
            <w:tcW w:w="800" w:type="dxa"/>
            <w:vAlign w:val="bottom"/>
          </w:tcPr>
          <w:p>
            <w:pPr>
              <w:jc w:val="center"/>
              <w:ind w:left="197"/>
              <w:spacing w:after="0" w:line="135" w:lineRule="exact"/>
              <w:rPr>
                <w:sz w:val="20"/>
                <w:szCs w:val="20"/>
                <w:color w:val="auto"/>
              </w:rPr>
            </w:pPr>
            <w:r>
              <w:rPr>
                <w:rFonts w:ascii="Arial" w:cs="Arial" w:eastAsia="Arial" w:hAnsi="Arial"/>
                <w:sz w:val="13"/>
                <w:szCs w:val="13"/>
                <w:color w:val="auto"/>
                <w:w w:val="95"/>
              </w:rPr>
              <w:t>11,199</w:t>
            </w:r>
          </w:p>
        </w:tc>
        <w:tc>
          <w:tcPr>
            <w:tcW w:w="140" w:type="dxa"/>
            <w:vAlign w:val="bottom"/>
            <w:tcBorders>
              <w:right w:val="single" w:sz="8" w:color="auto"/>
            </w:tcBorders>
          </w:tcPr>
          <w:p>
            <w:pPr>
              <w:spacing w:after="0"/>
              <w:rPr>
                <w:sz w:val="11"/>
                <w:szCs w:val="11"/>
                <w:color w:val="auto"/>
              </w:rPr>
            </w:pPr>
          </w:p>
        </w:tc>
        <w:tc>
          <w:tcPr>
            <w:tcW w:w="660" w:type="dxa"/>
            <w:vAlign w:val="bottom"/>
            <w:shd w:val="clear" w:color="auto" w:fill="00B249"/>
          </w:tcPr>
          <w:p>
            <w:pPr>
              <w:jc w:val="center"/>
              <w:spacing w:after="0" w:line="135" w:lineRule="exact"/>
              <w:rPr>
                <w:sz w:val="20"/>
                <w:szCs w:val="20"/>
                <w:color w:val="auto"/>
              </w:rPr>
            </w:pPr>
            <w:r>
              <w:rPr>
                <w:rFonts w:ascii="Arial" w:cs="Arial" w:eastAsia="Arial" w:hAnsi="Arial"/>
                <w:sz w:val="13"/>
                <w:szCs w:val="13"/>
                <w:color w:val="auto"/>
                <w:w w:val="94"/>
              </w:rPr>
              <w:t>1.5%</w:t>
            </w:r>
          </w:p>
        </w:tc>
        <w:tc>
          <w:tcPr>
            <w:tcW w:w="7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0.8%</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429</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2"/>
              </w:rPr>
              <w:t>459</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478</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rPr>
              <w:t>4.1%</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11.4%</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7"/>
              </w:rPr>
              <w:t>86.4%</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13.6%</w:t>
            </w:r>
          </w:p>
        </w:tc>
        <w:tc>
          <w:tcPr>
            <w:tcW w:w="0" w:type="dxa"/>
            <w:vAlign w:val="bottom"/>
          </w:tcPr>
          <w:p>
            <w:pPr>
              <w:spacing w:after="0"/>
              <w:rPr>
                <w:sz w:val="1"/>
                <w:szCs w:val="1"/>
                <w:color w:val="auto"/>
              </w:rPr>
            </w:pPr>
          </w:p>
        </w:tc>
      </w:tr>
      <w:tr>
        <w:trPr>
          <w:trHeight w:val="117"/>
        </w:trPr>
        <w:tc>
          <w:tcPr>
            <w:tcW w:w="2280" w:type="dxa"/>
            <w:vAlign w:val="bottom"/>
            <w:tcBorders>
              <w:left w:val="single" w:sz="8" w:color="auto"/>
              <w:right w:val="single" w:sz="8" w:color="auto"/>
            </w:tcBorders>
          </w:tcPr>
          <w:p>
            <w:pPr>
              <w:ind w:left="300"/>
              <w:spacing w:after="0" w:line="117" w:lineRule="exact"/>
              <w:rPr>
                <w:sz w:val="20"/>
                <w:szCs w:val="20"/>
                <w:color w:val="auto"/>
              </w:rPr>
            </w:pPr>
            <w:r>
              <w:rPr>
                <w:rFonts w:ascii="Arial" w:cs="Arial" w:eastAsia="Arial" w:hAnsi="Arial"/>
                <w:sz w:val="13"/>
                <w:szCs w:val="13"/>
                <w:color w:val="auto"/>
              </w:rPr>
              <w:t>Credit Card</w:t>
            </w:r>
          </w:p>
        </w:tc>
        <w:tc>
          <w:tcPr>
            <w:tcW w:w="620" w:type="dxa"/>
            <w:vAlign w:val="bottom"/>
          </w:tcPr>
          <w:p>
            <w:pPr>
              <w:jc w:val="center"/>
              <w:ind w:left="78"/>
              <w:spacing w:after="0" w:line="117" w:lineRule="exact"/>
              <w:rPr>
                <w:sz w:val="20"/>
                <w:szCs w:val="20"/>
                <w:color w:val="auto"/>
              </w:rPr>
            </w:pPr>
            <w:r>
              <w:rPr>
                <w:rFonts w:ascii="Arial" w:cs="Arial" w:eastAsia="Arial" w:hAnsi="Arial"/>
                <w:sz w:val="13"/>
                <w:szCs w:val="13"/>
                <w:color w:val="auto"/>
                <w:w w:val="98"/>
              </w:rPr>
              <w:t>5,036</w:t>
            </w:r>
          </w:p>
        </w:tc>
        <w:tc>
          <w:tcPr>
            <w:tcW w:w="720" w:type="dxa"/>
            <w:vAlign w:val="bottom"/>
          </w:tcPr>
          <w:p>
            <w:pPr>
              <w:jc w:val="center"/>
              <w:ind w:left="197"/>
              <w:spacing w:after="0" w:line="117" w:lineRule="exact"/>
              <w:rPr>
                <w:sz w:val="20"/>
                <w:szCs w:val="20"/>
                <w:color w:val="auto"/>
              </w:rPr>
            </w:pPr>
            <w:r>
              <w:rPr>
                <w:rFonts w:ascii="Arial" w:cs="Arial" w:eastAsia="Arial" w:hAnsi="Arial"/>
                <w:sz w:val="13"/>
                <w:szCs w:val="13"/>
                <w:color w:val="auto"/>
                <w:w w:val="92"/>
              </w:rPr>
              <w:t>4,794</w:t>
            </w:r>
          </w:p>
        </w:tc>
        <w:tc>
          <w:tcPr>
            <w:tcW w:w="800" w:type="dxa"/>
            <w:vAlign w:val="bottom"/>
          </w:tcPr>
          <w:p>
            <w:pPr>
              <w:jc w:val="center"/>
              <w:ind w:left="197"/>
              <w:spacing w:after="0" w:line="117" w:lineRule="exact"/>
              <w:rPr>
                <w:sz w:val="20"/>
                <w:szCs w:val="20"/>
                <w:color w:val="auto"/>
              </w:rPr>
            </w:pPr>
            <w:r>
              <w:rPr>
                <w:rFonts w:ascii="Arial" w:cs="Arial" w:eastAsia="Arial" w:hAnsi="Arial"/>
                <w:sz w:val="13"/>
                <w:szCs w:val="13"/>
                <w:color w:val="auto"/>
                <w:w w:val="92"/>
              </w:rPr>
              <w:t>4,850</w:t>
            </w:r>
          </w:p>
        </w:tc>
        <w:tc>
          <w:tcPr>
            <w:tcW w:w="140" w:type="dxa"/>
            <w:vAlign w:val="bottom"/>
            <w:tcBorders>
              <w:right w:val="single" w:sz="8" w:color="auto"/>
            </w:tcBorders>
          </w:tcPr>
          <w:p>
            <w:pPr>
              <w:spacing w:after="0"/>
              <w:rPr>
                <w:sz w:val="10"/>
                <w:szCs w:val="10"/>
                <w:color w:val="auto"/>
              </w:rPr>
            </w:pPr>
          </w:p>
        </w:tc>
        <w:tc>
          <w:tcPr>
            <w:tcW w:w="660" w:type="dxa"/>
            <w:vAlign w:val="bottom"/>
          </w:tcPr>
          <w:p>
            <w:pPr>
              <w:jc w:val="center"/>
              <w:spacing w:after="0" w:line="117" w:lineRule="exact"/>
              <w:rPr>
                <w:sz w:val="20"/>
                <w:szCs w:val="20"/>
                <w:color w:val="auto"/>
              </w:rPr>
            </w:pPr>
            <w:r>
              <w:rPr>
                <w:rFonts w:ascii="Arial" w:cs="Arial" w:eastAsia="Arial" w:hAnsi="Arial"/>
                <w:sz w:val="13"/>
                <w:szCs w:val="13"/>
                <w:color w:val="auto"/>
                <w:w w:val="94"/>
              </w:rPr>
              <w:t>1.2%</w:t>
            </w:r>
          </w:p>
        </w:tc>
        <w:tc>
          <w:tcPr>
            <w:tcW w:w="7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-3.7%</w:t>
            </w:r>
          </w:p>
        </w:tc>
        <w:tc>
          <w:tcPr>
            <w:tcW w:w="800" w:type="dxa"/>
            <w:vAlign w:val="bottom"/>
          </w:tcPr>
          <w:p>
            <w:pPr>
              <w:jc w:val="center"/>
              <w:spacing w:after="0" w:line="117" w:lineRule="exact"/>
              <w:rPr>
                <w:sz w:val="20"/>
                <w:szCs w:val="20"/>
                <w:color w:val="auto"/>
              </w:rPr>
            </w:pPr>
            <w:r>
              <w:rPr>
                <w:rFonts w:ascii="Arial" w:cs="Arial" w:eastAsia="Arial" w:hAnsi="Arial"/>
                <w:sz w:val="13"/>
                <w:szCs w:val="13"/>
                <w:color w:val="auto"/>
              </w:rPr>
              <w:t>259</w:t>
            </w:r>
          </w:p>
        </w:tc>
        <w:tc>
          <w:tcPr>
            <w:tcW w:w="840" w:type="dxa"/>
            <w:vAlign w:val="bottom"/>
          </w:tcPr>
          <w:p>
            <w:pPr>
              <w:jc w:val="center"/>
              <w:spacing w:after="0" w:line="117" w:lineRule="exact"/>
              <w:rPr>
                <w:sz w:val="20"/>
                <w:szCs w:val="20"/>
                <w:color w:val="auto"/>
              </w:rPr>
            </w:pPr>
            <w:r>
              <w:rPr>
                <w:rFonts w:ascii="Arial" w:cs="Arial" w:eastAsia="Arial" w:hAnsi="Arial"/>
                <w:sz w:val="13"/>
                <w:szCs w:val="13"/>
                <w:color w:val="auto"/>
                <w:w w:val="92"/>
              </w:rPr>
              <w:t>284</w:t>
            </w:r>
          </w:p>
        </w:tc>
        <w:tc>
          <w:tcPr>
            <w:tcW w:w="9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color w:val="auto"/>
              </w:rPr>
              <w:t>274</w:t>
            </w:r>
          </w:p>
        </w:tc>
        <w:tc>
          <w:tcPr>
            <w:tcW w:w="640" w:type="dxa"/>
            <w:vAlign w:val="bottom"/>
          </w:tcPr>
          <w:p>
            <w:pPr>
              <w:jc w:val="center"/>
              <w:spacing w:after="0" w:line="117" w:lineRule="exact"/>
              <w:rPr>
                <w:sz w:val="20"/>
                <w:szCs w:val="20"/>
                <w:color w:val="auto"/>
              </w:rPr>
            </w:pPr>
            <w:r>
              <w:rPr>
                <w:rFonts w:ascii="Arial" w:cs="Arial" w:eastAsia="Arial" w:hAnsi="Arial"/>
                <w:sz w:val="13"/>
                <w:szCs w:val="13"/>
                <w:color w:val="auto"/>
                <w:w w:val="99"/>
              </w:rPr>
              <w:t>-3.4%</w:t>
            </w:r>
          </w:p>
        </w:tc>
        <w:tc>
          <w:tcPr>
            <w:tcW w:w="6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4"/>
              </w:rPr>
              <w:t>6.1%</w:t>
            </w:r>
          </w:p>
        </w:tc>
        <w:tc>
          <w:tcPr>
            <w:tcW w:w="680" w:type="dxa"/>
            <w:vAlign w:val="bottom"/>
          </w:tcPr>
          <w:p>
            <w:pPr>
              <w:jc w:val="center"/>
              <w:spacing w:after="0" w:line="117" w:lineRule="exact"/>
              <w:rPr>
                <w:sz w:val="20"/>
                <w:szCs w:val="20"/>
                <w:color w:val="auto"/>
              </w:rPr>
            </w:pPr>
            <w:r>
              <w:rPr>
                <w:rFonts w:ascii="Arial" w:cs="Arial" w:eastAsia="Arial" w:hAnsi="Arial"/>
                <w:sz w:val="13"/>
                <w:szCs w:val="13"/>
                <w:color w:val="auto"/>
                <w:w w:val="97"/>
              </w:rPr>
              <w:t>82.7%</w:t>
            </w:r>
          </w:p>
        </w:tc>
        <w:tc>
          <w:tcPr>
            <w:tcW w:w="6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color w:val="auto"/>
                <w:w w:val="97"/>
              </w:rPr>
              <w:t>17.3%</w:t>
            </w:r>
          </w:p>
        </w:tc>
        <w:tc>
          <w:tcPr>
            <w:tcW w:w="0" w:type="dxa"/>
            <w:vAlign w:val="bottom"/>
          </w:tcPr>
          <w:p>
            <w:pPr>
              <w:spacing w:after="0"/>
              <w:rPr>
                <w:sz w:val="1"/>
                <w:szCs w:val="1"/>
                <w:color w:val="auto"/>
              </w:rPr>
            </w:pPr>
          </w:p>
        </w:tc>
      </w:tr>
      <w:tr>
        <w:trPr>
          <w:trHeight w:val="153"/>
        </w:trPr>
        <w:tc>
          <w:tcPr>
            <w:tcW w:w="228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b w:val="1"/>
                <w:bCs w:val="1"/>
                <w:color w:val="auto"/>
              </w:rPr>
              <w:t>Mibanco</w:t>
            </w:r>
          </w:p>
        </w:tc>
        <w:tc>
          <w:tcPr>
            <w:tcW w:w="620" w:type="dxa"/>
            <w:vAlign w:val="bottom"/>
          </w:tcPr>
          <w:p>
            <w:pPr>
              <w:jc w:val="center"/>
              <w:ind w:left="58"/>
              <w:spacing w:after="0" w:line="135" w:lineRule="exact"/>
              <w:rPr>
                <w:sz w:val="20"/>
                <w:szCs w:val="20"/>
                <w:color w:val="auto"/>
              </w:rPr>
            </w:pPr>
            <w:r>
              <w:rPr>
                <w:rFonts w:ascii="Arial" w:cs="Arial" w:eastAsia="Arial" w:hAnsi="Arial"/>
                <w:sz w:val="13"/>
                <w:szCs w:val="13"/>
                <w:b w:val="1"/>
                <w:bCs w:val="1"/>
                <w:color w:val="auto"/>
                <w:w w:val="95"/>
              </w:rPr>
              <w:t>12,922</w:t>
            </w:r>
          </w:p>
        </w:tc>
        <w:tc>
          <w:tcPr>
            <w:tcW w:w="720" w:type="dxa"/>
            <w:vAlign w:val="bottom"/>
          </w:tcPr>
          <w:p>
            <w:pPr>
              <w:jc w:val="center"/>
              <w:ind w:left="197"/>
              <w:spacing w:after="0" w:line="135" w:lineRule="exact"/>
              <w:rPr>
                <w:sz w:val="20"/>
                <w:szCs w:val="20"/>
                <w:color w:val="auto"/>
              </w:rPr>
            </w:pPr>
            <w:r>
              <w:rPr>
                <w:rFonts w:ascii="Arial" w:cs="Arial" w:eastAsia="Arial" w:hAnsi="Arial"/>
                <w:sz w:val="13"/>
                <w:szCs w:val="13"/>
                <w:b w:val="1"/>
                <w:bCs w:val="1"/>
                <w:color w:val="auto"/>
                <w:w w:val="95"/>
              </w:rPr>
              <w:t>12,045</w:t>
            </w:r>
          </w:p>
        </w:tc>
        <w:tc>
          <w:tcPr>
            <w:tcW w:w="800" w:type="dxa"/>
            <w:vAlign w:val="bottom"/>
          </w:tcPr>
          <w:p>
            <w:pPr>
              <w:jc w:val="center"/>
              <w:ind w:left="197"/>
              <w:spacing w:after="0" w:line="135" w:lineRule="exact"/>
              <w:rPr>
                <w:sz w:val="20"/>
                <w:szCs w:val="20"/>
                <w:color w:val="auto"/>
              </w:rPr>
            </w:pPr>
            <w:r>
              <w:rPr>
                <w:rFonts w:ascii="Arial" w:cs="Arial" w:eastAsia="Arial" w:hAnsi="Arial"/>
                <w:sz w:val="13"/>
                <w:szCs w:val="13"/>
                <w:b w:val="1"/>
                <w:bCs w:val="1"/>
                <w:color w:val="auto"/>
                <w:w w:val="95"/>
              </w:rPr>
              <w:t>12,136</w:t>
            </w:r>
          </w:p>
        </w:tc>
        <w:tc>
          <w:tcPr>
            <w:tcW w:w="140" w:type="dxa"/>
            <w:vAlign w:val="bottom"/>
            <w:tcBorders>
              <w:right w:val="single" w:sz="8" w:color="auto"/>
            </w:tcBorders>
          </w:tcPr>
          <w:p>
            <w:pPr>
              <w:spacing w:after="0"/>
              <w:rPr>
                <w:sz w:val="13"/>
                <w:szCs w:val="13"/>
                <w:color w:val="auto"/>
              </w:rPr>
            </w:pPr>
          </w:p>
        </w:tc>
        <w:tc>
          <w:tcPr>
            <w:tcW w:w="660" w:type="dxa"/>
            <w:vAlign w:val="bottom"/>
            <w:shd w:val="clear" w:color="auto" w:fill="00B249"/>
          </w:tcPr>
          <w:p>
            <w:pPr>
              <w:jc w:val="center"/>
              <w:spacing w:after="0" w:line="135" w:lineRule="exact"/>
              <w:rPr>
                <w:sz w:val="20"/>
                <w:szCs w:val="20"/>
                <w:color w:val="auto"/>
              </w:rPr>
            </w:pPr>
            <w:r>
              <w:rPr>
                <w:rFonts w:ascii="Arial" w:cs="Arial" w:eastAsia="Arial" w:hAnsi="Arial"/>
                <w:sz w:val="13"/>
                <w:szCs w:val="13"/>
                <w:b w:val="1"/>
                <w:bCs w:val="1"/>
                <w:color w:val="auto"/>
                <w:w w:val="94"/>
              </w:rPr>
              <w:t>0.8%</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-6.1%</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85</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3</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3</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-8.2%</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-96.5%</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99.9%</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0.1%</w:t>
            </w:r>
          </w:p>
        </w:tc>
        <w:tc>
          <w:tcPr>
            <w:tcW w:w="0" w:type="dxa"/>
            <w:vAlign w:val="bottom"/>
          </w:tcPr>
          <w:p>
            <w:pPr>
              <w:spacing w:after="0"/>
              <w:rPr>
                <w:sz w:val="1"/>
                <w:szCs w:val="1"/>
                <w:color w:val="auto"/>
              </w:rPr>
            </w:pPr>
          </w:p>
        </w:tc>
      </w:tr>
      <w:tr>
        <w:trPr>
          <w:trHeight w:val="117"/>
        </w:trPr>
        <w:tc>
          <w:tcPr>
            <w:tcW w:w="2280" w:type="dxa"/>
            <w:vAlign w:val="bottom"/>
            <w:tcBorders>
              <w:left w:val="single" w:sz="8" w:color="auto"/>
              <w:right w:val="single" w:sz="8" w:color="auto"/>
            </w:tcBorders>
          </w:tcPr>
          <w:p>
            <w:pPr>
              <w:ind w:left="20"/>
              <w:spacing w:after="0" w:line="117" w:lineRule="exact"/>
              <w:rPr>
                <w:sz w:val="20"/>
                <w:szCs w:val="20"/>
                <w:color w:val="auto"/>
              </w:rPr>
            </w:pPr>
            <w:r>
              <w:rPr>
                <w:rFonts w:ascii="Arial" w:cs="Arial" w:eastAsia="Arial" w:hAnsi="Arial"/>
                <w:sz w:val="13"/>
                <w:szCs w:val="13"/>
                <w:b w:val="1"/>
                <w:bCs w:val="1"/>
                <w:color w:val="auto"/>
              </w:rPr>
              <w:t>Mibanco Colombia</w:t>
            </w:r>
          </w:p>
        </w:tc>
        <w:tc>
          <w:tcPr>
            <w:tcW w:w="620" w:type="dxa"/>
            <w:vAlign w:val="bottom"/>
          </w:tcPr>
          <w:p>
            <w:pPr>
              <w:spacing w:after="0"/>
              <w:rPr>
                <w:sz w:val="10"/>
                <w:szCs w:val="10"/>
                <w:color w:val="auto"/>
              </w:rPr>
            </w:pPr>
          </w:p>
        </w:tc>
        <w:tc>
          <w:tcPr>
            <w:tcW w:w="720" w:type="dxa"/>
            <w:vAlign w:val="bottom"/>
          </w:tcPr>
          <w:p>
            <w:pPr>
              <w:jc w:val="right"/>
              <w:ind w:right="577"/>
              <w:spacing w:after="0" w:line="117" w:lineRule="exact"/>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677"/>
              <w:spacing w:after="0" w:line="117" w:lineRule="exact"/>
              <w:rPr>
                <w:sz w:val="20"/>
                <w:szCs w:val="20"/>
                <w:color w:val="auto"/>
              </w:rPr>
            </w:pPr>
            <w:r>
              <w:rPr>
                <w:rFonts w:ascii="Arial" w:cs="Arial" w:eastAsia="Arial" w:hAnsi="Arial"/>
                <w:sz w:val="13"/>
                <w:szCs w:val="13"/>
                <w:b w:val="1"/>
                <w:bCs w:val="1"/>
                <w:color w:val="auto"/>
                <w:w w:val="91"/>
              </w:rPr>
              <w:t>-</w:t>
            </w:r>
          </w:p>
        </w:tc>
        <w:tc>
          <w:tcPr>
            <w:tcW w:w="140" w:type="dxa"/>
            <w:vAlign w:val="bottom"/>
            <w:tcBorders>
              <w:right w:val="single" w:sz="8" w:color="auto"/>
            </w:tcBorders>
          </w:tcPr>
          <w:p>
            <w:pPr>
              <w:jc w:val="right"/>
              <w:ind w:right="17"/>
              <w:spacing w:after="0" w:line="117" w:lineRule="exact"/>
              <w:rPr>
                <w:sz w:val="20"/>
                <w:szCs w:val="20"/>
                <w:color w:val="auto"/>
              </w:rPr>
            </w:pPr>
            <w:r>
              <w:rPr>
                <w:rFonts w:ascii="Arial" w:cs="Arial" w:eastAsia="Arial" w:hAnsi="Arial"/>
                <w:sz w:val="13"/>
                <w:szCs w:val="13"/>
                <w:b w:val="1"/>
                <w:bCs w:val="1"/>
                <w:color w:val="auto"/>
                <w:w w:val="91"/>
              </w:rPr>
              <w:t>-</w:t>
            </w:r>
          </w:p>
        </w:tc>
        <w:tc>
          <w:tcPr>
            <w:tcW w:w="66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1"/>
              </w:rPr>
              <w:t>-</w:t>
            </w:r>
          </w:p>
        </w:tc>
        <w:tc>
          <w:tcPr>
            <w:tcW w:w="7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1"/>
              </w:rPr>
              <w:t>-</w:t>
            </w:r>
          </w:p>
        </w:tc>
        <w:tc>
          <w:tcPr>
            <w:tcW w:w="80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rPr>
              <w:t>459</w:t>
            </w:r>
          </w:p>
        </w:tc>
        <w:tc>
          <w:tcPr>
            <w:tcW w:w="84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2"/>
              </w:rPr>
              <w:t>456</w:t>
            </w:r>
          </w:p>
        </w:tc>
        <w:tc>
          <w:tcPr>
            <w:tcW w:w="9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rPr>
              <w:t>497</w:t>
            </w:r>
          </w:p>
        </w:tc>
        <w:tc>
          <w:tcPr>
            <w:tcW w:w="64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rPr>
              <w:t>8.9%</w:t>
            </w:r>
          </w:p>
        </w:tc>
        <w:tc>
          <w:tcPr>
            <w:tcW w:w="6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4"/>
              </w:rPr>
              <w:t>8.2%</w:t>
            </w:r>
          </w:p>
        </w:tc>
        <w:tc>
          <w:tcPr>
            <w:tcW w:w="680" w:type="dxa"/>
            <w:vAlign w:val="bottom"/>
          </w:tcPr>
          <w:p>
            <w:pPr>
              <w:jc w:val="right"/>
              <w:ind w:right="18"/>
              <w:spacing w:after="0" w:line="117" w:lineRule="exact"/>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5"/>
              </w:rPr>
              <w:t>100.0%</w:t>
            </w:r>
          </w:p>
        </w:tc>
        <w:tc>
          <w:tcPr>
            <w:tcW w:w="0" w:type="dxa"/>
            <w:vAlign w:val="bottom"/>
          </w:tcPr>
          <w:p>
            <w:pPr>
              <w:spacing w:after="0"/>
              <w:rPr>
                <w:sz w:val="1"/>
                <w:szCs w:val="1"/>
                <w:color w:val="auto"/>
              </w:rPr>
            </w:pPr>
          </w:p>
        </w:tc>
      </w:tr>
      <w:tr>
        <w:trPr>
          <w:trHeight w:val="135"/>
        </w:trPr>
        <w:tc>
          <w:tcPr>
            <w:tcW w:w="228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b w:val="1"/>
                <w:bCs w:val="1"/>
                <w:color w:val="auto"/>
              </w:rPr>
              <w:t>Bolivia</w:t>
            </w:r>
          </w:p>
        </w:tc>
        <w:tc>
          <w:tcPr>
            <w:tcW w:w="620" w:type="dxa"/>
            <w:vAlign w:val="bottom"/>
          </w:tcPr>
          <w:p>
            <w:pPr>
              <w:spacing w:after="0"/>
              <w:rPr>
                <w:sz w:val="11"/>
                <w:szCs w:val="11"/>
                <w:color w:val="auto"/>
              </w:rPr>
            </w:pPr>
          </w:p>
        </w:tc>
        <w:tc>
          <w:tcPr>
            <w:tcW w:w="720" w:type="dxa"/>
            <w:vAlign w:val="bottom"/>
          </w:tcPr>
          <w:p>
            <w:pPr>
              <w:jc w:val="right"/>
              <w:ind w:right="577"/>
              <w:spacing w:after="0" w:line="135" w:lineRule="exact"/>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677"/>
              <w:spacing w:after="0" w:line="135" w:lineRule="exact"/>
              <w:rPr>
                <w:sz w:val="20"/>
                <w:szCs w:val="20"/>
                <w:color w:val="auto"/>
              </w:rPr>
            </w:pPr>
            <w:r>
              <w:rPr>
                <w:rFonts w:ascii="Arial" w:cs="Arial" w:eastAsia="Arial" w:hAnsi="Arial"/>
                <w:sz w:val="13"/>
                <w:szCs w:val="13"/>
                <w:b w:val="1"/>
                <w:bCs w:val="1"/>
                <w:color w:val="auto"/>
                <w:w w:val="91"/>
              </w:rPr>
              <w:t>-</w:t>
            </w:r>
          </w:p>
        </w:tc>
        <w:tc>
          <w:tcPr>
            <w:tcW w:w="140" w:type="dxa"/>
            <w:vAlign w:val="bottom"/>
            <w:tcBorders>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w w:val="91"/>
              </w:rPr>
              <w: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1"/>
              </w:rPr>
              <w: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2,485</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2,562</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2,567</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0.2%</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3.3%</w:t>
            </w:r>
          </w:p>
        </w:tc>
        <w:tc>
          <w:tcPr>
            <w:tcW w:w="68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100.0%</w:t>
            </w:r>
          </w:p>
        </w:tc>
        <w:tc>
          <w:tcPr>
            <w:tcW w:w="0" w:type="dxa"/>
            <w:vAlign w:val="bottom"/>
          </w:tcPr>
          <w:p>
            <w:pPr>
              <w:spacing w:after="0"/>
              <w:rPr>
                <w:sz w:val="1"/>
                <w:szCs w:val="1"/>
                <w:color w:val="auto"/>
              </w:rPr>
            </w:pPr>
          </w:p>
        </w:tc>
      </w:tr>
      <w:tr>
        <w:trPr>
          <w:trHeight w:val="153"/>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ASB Bank Corp.</w:t>
            </w:r>
          </w:p>
        </w:tc>
        <w:tc>
          <w:tcPr>
            <w:tcW w:w="6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677"/>
              <w:spacing w:after="0"/>
              <w:rPr>
                <w:sz w:val="20"/>
                <w:szCs w:val="20"/>
                <w:color w:val="auto"/>
              </w:rPr>
            </w:pPr>
            <w:r>
              <w:rPr>
                <w:rFonts w:ascii="Arial" w:cs="Arial" w:eastAsia="Arial" w:hAnsi="Arial"/>
                <w:sz w:val="13"/>
                <w:szCs w:val="13"/>
                <w:b w:val="1"/>
                <w:bCs w:val="1"/>
                <w:color w:val="auto"/>
                <w:w w:val="91"/>
              </w:rPr>
              <w:t>-</w:t>
            </w:r>
          </w:p>
        </w:tc>
        <w:tc>
          <w:tcPr>
            <w:tcW w:w="14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1"/>
              </w:rPr>
              <w: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528</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473</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447</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-5.6%</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-15.3%</w:t>
            </w: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100.0%</w:t>
            </w:r>
          </w:p>
        </w:tc>
        <w:tc>
          <w:tcPr>
            <w:tcW w:w="0" w:type="dxa"/>
            <w:vAlign w:val="bottom"/>
          </w:tcPr>
          <w:p>
            <w:pPr>
              <w:spacing w:after="0"/>
              <w:rPr>
                <w:sz w:val="1"/>
                <w:szCs w:val="1"/>
                <w:color w:val="auto"/>
              </w:rPr>
            </w:pPr>
          </w:p>
        </w:tc>
      </w:tr>
      <w:tr>
        <w:trPr>
          <w:trHeight w:val="128"/>
        </w:trPr>
        <w:tc>
          <w:tcPr>
            <w:tcW w:w="228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Total loans</w:t>
            </w:r>
          </w:p>
        </w:tc>
        <w:tc>
          <w:tcPr>
            <w:tcW w:w="620" w:type="dxa"/>
            <w:vAlign w:val="bottom"/>
            <w:tcBorders>
              <w:bottom w:val="single" w:sz="8" w:color="auto"/>
            </w:tcBorders>
          </w:tcPr>
          <w:p>
            <w:pPr>
              <w:jc w:val="center"/>
              <w:ind w:left="58"/>
              <w:spacing w:after="0" w:line="129" w:lineRule="exact"/>
              <w:rPr>
                <w:sz w:val="20"/>
                <w:szCs w:val="20"/>
                <w:color w:val="auto"/>
              </w:rPr>
            </w:pPr>
            <w:r>
              <w:rPr>
                <w:rFonts w:ascii="Arial" w:cs="Arial" w:eastAsia="Arial" w:hAnsi="Arial"/>
                <w:sz w:val="13"/>
                <w:szCs w:val="13"/>
                <w:b w:val="1"/>
                <w:bCs w:val="1"/>
                <w:color w:val="auto"/>
                <w:w w:val="95"/>
              </w:rPr>
              <w:t>91,251</w:t>
            </w:r>
          </w:p>
        </w:tc>
        <w:tc>
          <w:tcPr>
            <w:tcW w:w="720" w:type="dxa"/>
            <w:vAlign w:val="bottom"/>
            <w:tcBorders>
              <w:bottom w:val="single" w:sz="8" w:color="auto"/>
            </w:tcBorders>
          </w:tcPr>
          <w:p>
            <w:pPr>
              <w:jc w:val="center"/>
              <w:ind w:left="197"/>
              <w:spacing w:after="0" w:line="129" w:lineRule="exact"/>
              <w:rPr>
                <w:sz w:val="20"/>
                <w:szCs w:val="20"/>
                <w:color w:val="auto"/>
              </w:rPr>
            </w:pPr>
            <w:r>
              <w:rPr>
                <w:rFonts w:ascii="Arial" w:cs="Arial" w:eastAsia="Arial" w:hAnsi="Arial"/>
                <w:sz w:val="13"/>
                <w:szCs w:val="13"/>
                <w:b w:val="1"/>
                <w:bCs w:val="1"/>
                <w:color w:val="auto"/>
                <w:w w:val="95"/>
              </w:rPr>
              <w:t>92,023</w:t>
            </w:r>
          </w:p>
        </w:tc>
        <w:tc>
          <w:tcPr>
            <w:tcW w:w="800" w:type="dxa"/>
            <w:vAlign w:val="bottom"/>
            <w:tcBorders>
              <w:bottom w:val="single" w:sz="8" w:color="auto"/>
            </w:tcBorders>
          </w:tcPr>
          <w:p>
            <w:pPr>
              <w:jc w:val="center"/>
              <w:ind w:left="197"/>
              <w:spacing w:after="0" w:line="129" w:lineRule="exact"/>
              <w:rPr>
                <w:sz w:val="20"/>
                <w:szCs w:val="20"/>
                <w:color w:val="auto"/>
              </w:rPr>
            </w:pPr>
            <w:r>
              <w:rPr>
                <w:rFonts w:ascii="Arial" w:cs="Arial" w:eastAsia="Arial" w:hAnsi="Arial"/>
                <w:sz w:val="13"/>
                <w:szCs w:val="13"/>
                <w:b w:val="1"/>
                <w:bCs w:val="1"/>
                <w:color w:val="auto"/>
                <w:w w:val="95"/>
              </w:rPr>
              <w:t>92,083</w:t>
            </w:r>
          </w:p>
        </w:tc>
        <w:tc>
          <w:tcPr>
            <w:tcW w:w="14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0.1%</w:t>
            </w:r>
          </w:p>
        </w:tc>
        <w:tc>
          <w:tcPr>
            <w:tcW w:w="7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0.9%</w:t>
            </w:r>
          </w:p>
        </w:tc>
        <w:tc>
          <w:tcPr>
            <w:tcW w:w="8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13,399</w:t>
            </w:r>
          </w:p>
        </w:tc>
        <w:tc>
          <w:tcPr>
            <w:tcW w:w="8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13,506</w:t>
            </w:r>
          </w:p>
        </w:tc>
        <w:tc>
          <w:tcPr>
            <w:tcW w:w="9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14,039</w:t>
            </w:r>
          </w:p>
        </w:tc>
        <w:tc>
          <w:tcPr>
            <w:tcW w:w="6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3.9%</w:t>
            </w:r>
          </w:p>
        </w:tc>
        <w:tc>
          <w:tcPr>
            <w:tcW w:w="6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4.8%</w:t>
            </w:r>
          </w:p>
        </w:tc>
        <w:tc>
          <w:tcPr>
            <w:tcW w:w="6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64.0%</w:t>
            </w:r>
          </w:p>
        </w:tc>
        <w:tc>
          <w:tcPr>
            <w:tcW w:w="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36.0%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154305</wp:posOffset>
            </wp:positionV>
            <wp:extent cx="108839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88390" cy="19685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2"/>
          <w:szCs w:val="12"/>
          <w:color w:val="auto"/>
        </w:rPr>
        <w:t>For consolidation purposes. Loans generated in Foreign Currency (FC) are converted into Local Currency (LC).</w:t>
      </w:r>
    </w:p>
    <w:p>
      <w:pPr>
        <w:spacing w:after="0" w:line="4"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Workout unit and other banking. For Quarter-end balance figures, please refer to “12. Annexes – 12.3 Loan Portfolio Quality”.</w:t>
      </w:r>
    </w:p>
    <w:p>
      <w:pPr>
        <w:ind w:left="300" w:hanging="292"/>
        <w:spacing w:after="0" w:line="234" w:lineRule="auto"/>
        <w:tabs>
          <w:tab w:leader="none" w:pos="3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Internal Management Figures, non-audited.</w:t>
      </w:r>
    </w:p>
    <w:p>
      <w:pPr>
        <w:ind w:left="300" w:hanging="292"/>
        <w:spacing w:after="0"/>
        <w:tabs>
          <w:tab w:leader="none" w:pos="3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Segmentation criteria have been updated and historical information restated to ensure comparability and better alignment with managerial reporting standards.</w:t>
      </w:r>
    </w:p>
    <w:p>
      <w:pPr>
        <w:spacing w:after="0" w:line="313" w:lineRule="exact"/>
        <w:rPr>
          <w:sz w:val="20"/>
          <w:szCs w:val="20"/>
          <w:color w:val="auto"/>
        </w:rPr>
      </w:pPr>
    </w:p>
    <w:p>
      <w:pPr>
        <w:ind w:right="360"/>
        <w:spacing w:after="0" w:line="281" w:lineRule="auto"/>
        <w:rPr>
          <w:sz w:val="20"/>
          <w:szCs w:val="20"/>
          <w:color w:val="auto"/>
        </w:rPr>
      </w:pPr>
      <w:r>
        <w:rPr>
          <w:rFonts w:ascii="Arial" w:cs="Arial" w:eastAsia="Arial" w:hAnsi="Arial"/>
          <w:sz w:val="18"/>
          <w:szCs w:val="18"/>
          <w:color w:val="auto"/>
        </w:rPr>
        <w:t xml:space="preserve">At the end of March 2025, the dollarization level of total loans rose 45 bps </w:t>
      </w:r>
      <w:r>
        <w:rPr>
          <w:rFonts w:ascii="Arial" w:cs="Arial" w:eastAsia="Arial" w:hAnsi="Arial"/>
          <w:sz w:val="18"/>
          <w:szCs w:val="18"/>
          <w:b w:val="1"/>
          <w:bCs w:val="1"/>
          <w:color w:val="auto"/>
        </w:rPr>
        <w:t>QoQ</w:t>
      </w:r>
      <w:r>
        <w:rPr>
          <w:rFonts w:ascii="Arial" w:cs="Arial" w:eastAsia="Arial" w:hAnsi="Arial"/>
          <w:sz w:val="18"/>
          <w:szCs w:val="18"/>
          <w:color w:val="auto"/>
        </w:rPr>
        <w:t xml:space="preserve"> (36.0% in Mar 25). This evolution was driven primarily by loan expansion in FC, particularly in </w:t>
      </w:r>
      <w:r>
        <w:rPr>
          <w:rFonts w:ascii="Arial" w:cs="Arial" w:eastAsia="Arial" w:hAnsi="Arial"/>
          <w:sz w:val="18"/>
          <w:szCs w:val="18"/>
          <w:b w:val="1"/>
          <w:bCs w:val="1"/>
          <w:color w:val="auto"/>
        </w:rPr>
        <w:t>Wholesale Banking</w:t>
      </w:r>
      <w:r>
        <w:rPr>
          <w:rFonts w:ascii="Arial" w:cs="Arial" w:eastAsia="Arial" w:hAnsi="Arial"/>
          <w:sz w:val="18"/>
          <w:szCs w:val="18"/>
          <w:color w:val="auto"/>
        </w:rPr>
        <w:t>.</w:t>
      </w:r>
    </w:p>
    <w:p>
      <w:pPr>
        <w:spacing w:after="0" w:line="109" w:lineRule="exact"/>
        <w:rPr>
          <w:sz w:val="20"/>
          <w:szCs w:val="20"/>
          <w:color w:val="auto"/>
        </w:rPr>
      </w:pPr>
    </w:p>
    <w:p>
      <w:pPr>
        <w:ind w:right="80"/>
        <w:spacing w:after="0" w:line="281"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the dollarization level of the total portfolio rose 38 bps, buoyed by growth in total loans in FC (+4.8%), primarily in</w:t>
      </w:r>
      <w:r>
        <w:rPr>
          <w:rFonts w:ascii="Arial" w:cs="Arial" w:eastAsia="Arial" w:hAnsi="Arial"/>
          <w:sz w:val="18"/>
          <w:szCs w:val="18"/>
          <w:b w:val="1"/>
          <w:bCs w:val="1"/>
          <w:color w:val="auto"/>
        </w:rPr>
        <w:t xml:space="preserve"> Wholesale Banking</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partially offset by growth in total loans in LC (+3.9%), primarily in </w:t>
      </w:r>
      <w:r>
        <w:rPr>
          <w:rFonts w:ascii="Arial" w:cs="Arial" w:eastAsia="Arial" w:hAnsi="Arial"/>
          <w:sz w:val="18"/>
          <w:szCs w:val="18"/>
          <w:b w:val="1"/>
          <w:bCs w:val="1"/>
          <w:color w:val="auto"/>
        </w:rPr>
        <w:t>Corporate Banking</w:t>
      </w:r>
      <w:r>
        <w:rPr>
          <w:rFonts w:ascii="Arial" w:cs="Arial" w:eastAsia="Arial" w:hAnsi="Arial"/>
          <w:sz w:val="18"/>
          <w:szCs w:val="18"/>
          <w:color w:val="auto"/>
        </w:rPr>
        <w:t xml:space="preserve"> and </w:t>
      </w:r>
      <w:r>
        <w:rPr>
          <w:rFonts w:ascii="Arial" w:cs="Arial" w:eastAsia="Arial" w:hAnsi="Arial"/>
          <w:sz w:val="18"/>
          <w:szCs w:val="18"/>
          <w:b w:val="1"/>
          <w:bCs w:val="1"/>
          <w:color w:val="auto"/>
        </w:rPr>
        <w:t>Mortgage</w:t>
      </w:r>
      <w:r>
        <w:rPr>
          <w:rFonts w:ascii="Arial" w:cs="Arial" w:eastAsia="Arial" w:hAnsi="Arial"/>
          <w:sz w:val="18"/>
          <w:szCs w:val="18"/>
          <w:color w:val="auto"/>
        </w:rPr>
        <w:t>.</w:t>
      </w: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20" w:name="page21"/>
    <w:bookmarkEnd w:id="20"/>
    <w:p>
      <w:pPr>
        <w:ind w:left="2760"/>
        <w:spacing w:after="0"/>
        <w:tabs>
          <w:tab w:leader="none" w:pos="3000" w:val="left"/>
          <w:tab w:leader="none" w:pos="734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353695</wp:posOffset>
            </wp:positionH>
            <wp:positionV relativeFrom="page">
              <wp:posOffset>183515</wp:posOffset>
            </wp:positionV>
            <wp:extent cx="6635115" cy="5397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35115" cy="53975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4"/>
          <w:szCs w:val="14"/>
          <w:color w:val="ED3FA8"/>
        </w:rPr>
        <w:t>Analysis of 1Q25 Consolidated Results</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01. Loan Portfolio</w:t>
      </w:r>
    </w:p>
    <w:p>
      <w:pPr>
        <w:spacing w:after="0" w:line="162"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Evolution of the Dollarization Level of Total Loans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8890</wp:posOffset>
            </wp:positionV>
            <wp:extent cx="5923280" cy="2322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2328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FC share of Credicorp’s loan portfolio is calculated including BCP Bolivia and ASB Bank Corp., however the chart shows only the loan books of BCP Stand-alone and Mibanco.</w:t>
      </w:r>
    </w:p>
    <w:p>
      <w:pPr>
        <w:spacing w:after="0" w:line="7" w:lineRule="exact"/>
        <w:rPr>
          <w:rFonts w:ascii="Arial" w:cs="Arial" w:eastAsia="Arial" w:hAnsi="Arial"/>
          <w:sz w:val="12"/>
          <w:szCs w:val="12"/>
          <w:color w:val="auto"/>
        </w:rPr>
      </w:pPr>
    </w:p>
    <w:p>
      <w:pPr>
        <w:ind w:right="1460" w:firstLine="8"/>
        <w:spacing w:after="0" w:line="241" w:lineRule="auto"/>
        <w:tabs>
          <w:tab w:leader="none" w:pos="297"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year with the historical maximum level of dollarization for Wholesale Banking was 2012, for Mibanco was 2016, for Credit Card was in 2021 and for the rest of segments was 2009. * For dollarization figures in the quarter-end period, please refer to “12. Annexes – 12.3 Loan Portfolio Quality.</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1" w:name="page22"/>
    <w:bookmarkEnd w:id="21"/>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4"/>
          <w:szCs w:val="14"/>
          <w:color w:val="ED3FA8"/>
        </w:rPr>
        <w:t>Analysis of 1Q25 Consolidated Results</w:t>
      </w:r>
    </w:p>
    <w:p>
      <w:pPr>
        <w:spacing w:after="0" w:line="384" w:lineRule="exact"/>
        <w:rPr>
          <w:sz w:val="20"/>
          <w:szCs w:val="20"/>
          <w:color w:val="auto"/>
        </w:rPr>
      </w:pPr>
    </w:p>
    <w:p>
      <w:pPr>
        <w:ind w:left="460"/>
        <w:spacing w:after="0"/>
        <w:rPr>
          <w:sz w:val="20"/>
          <w:szCs w:val="20"/>
          <w:color w:val="auto"/>
        </w:rPr>
      </w:pPr>
      <w:r>
        <w:rPr>
          <w:rFonts w:ascii="Arial" w:cs="Arial" w:eastAsia="Arial" w:hAnsi="Arial"/>
          <w:sz w:val="52"/>
          <w:szCs w:val="52"/>
          <w:b w:val="1"/>
          <w:bCs w:val="1"/>
          <w:color w:val="E93BAC"/>
        </w:rPr>
        <w:t xml:space="preserve">02 </w:t>
      </w:r>
      <w:r>
        <w:rPr>
          <w:rFonts w:ascii="Arial" w:cs="Arial" w:eastAsia="Arial" w:hAnsi="Arial"/>
          <w:sz w:val="32"/>
          <w:szCs w:val="32"/>
          <w:color w:val="E93BAC"/>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220345</wp:posOffset>
            </wp:positionV>
            <wp:extent cx="6557645" cy="1465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57645" cy="146558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80" w:right="1100"/>
        <w:spacing w:after="0" w:line="271" w:lineRule="auto"/>
        <w:rPr>
          <w:sz w:val="20"/>
          <w:szCs w:val="20"/>
          <w:color w:val="auto"/>
        </w:rPr>
      </w:pPr>
      <w:r>
        <w:rPr>
          <w:rFonts w:ascii="Arial" w:cs="Arial" w:eastAsia="Arial" w:hAnsi="Arial"/>
          <w:sz w:val="18"/>
          <w:szCs w:val="18"/>
          <w:color w:val="FFFFFF"/>
        </w:rPr>
        <w:t>Excluding the effect of the accounting adjustment related to the balance sheet of BCP Bolivia, the evolution of Deposists presented the following dynamics.</w:t>
      </w:r>
    </w:p>
    <w:p>
      <w:pPr>
        <w:spacing w:after="0" w:line="86" w:lineRule="exact"/>
        <w:rPr>
          <w:sz w:val="20"/>
          <w:szCs w:val="20"/>
          <w:color w:val="auto"/>
        </w:rPr>
      </w:pPr>
    </w:p>
    <w:p>
      <w:pPr>
        <w:jc w:val="both"/>
        <w:ind w:left="580" w:right="560"/>
        <w:spacing w:after="0" w:line="244" w:lineRule="auto"/>
        <w:rPr>
          <w:sz w:val="20"/>
          <w:szCs w:val="20"/>
          <w:color w:val="auto"/>
        </w:rPr>
      </w:pPr>
      <w:r>
        <w:rPr>
          <w:rFonts w:ascii="Arial" w:cs="Arial" w:eastAsia="Arial" w:hAnsi="Arial"/>
          <w:sz w:val="18"/>
          <w:szCs w:val="18"/>
          <w:color w:val="FFFFFF"/>
        </w:rPr>
        <w:t>Total Deposits rose slightly QoQ, driven primarily by a 5.2% increase in Demand Deposits, which was fueled by mainly by growth in institutional activity and, to a lesser extent, by a 1.9% increase in Savings Deposits, which rose due to an uptick in Individuals through fund inflows from payments of employee profit sharing. YoY, the balance of deposits grew due to a rise the low-cost deposit balance (+16.9%), where Savings Deposits rose 16.6% due to our ability to continue capturing funds and Demand Deposits were up 17.1%, driven by the same dynamics as those seen QoQ.</w:t>
      </w:r>
    </w:p>
    <w:p>
      <w:pPr>
        <w:spacing w:after="0" w:line="109" w:lineRule="exact"/>
        <w:rPr>
          <w:sz w:val="20"/>
          <w:szCs w:val="20"/>
          <w:color w:val="auto"/>
        </w:rPr>
      </w:pPr>
    </w:p>
    <w:p>
      <w:pPr>
        <w:ind w:left="580" w:right="1060"/>
        <w:spacing w:after="0" w:line="271" w:lineRule="auto"/>
        <w:rPr>
          <w:sz w:val="20"/>
          <w:szCs w:val="20"/>
          <w:color w:val="auto"/>
        </w:rPr>
      </w:pPr>
      <w:r>
        <w:rPr>
          <w:rFonts w:ascii="Arial" w:cs="Arial" w:eastAsia="Arial" w:hAnsi="Arial"/>
          <w:sz w:val="18"/>
          <w:szCs w:val="18"/>
          <w:color w:val="FFFFFF"/>
        </w:rPr>
        <w:t>At the end of 1Q25, 71.8% of total deposits were low-cost deposits (Demand + Savings). Credicorp continues to lead the market for low-cost deposits with a market share of 41.3% at the end of March.</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400" w:type="dxa"/>
            <w:vAlign w:val="bottom"/>
            <w:tcBorders>
              <w:top w:val="single" w:sz="8" w:color="auto"/>
              <w:left w:val="single" w:sz="8" w:color="auto"/>
              <w:right w:val="single" w:sz="8" w:color="auto"/>
            </w:tcBorders>
            <w:shd w:val="clear" w:color="auto" w:fill="2AD2C8"/>
          </w:tcPr>
          <w:p>
            <w:pPr>
              <w:ind w:left="40"/>
              <w:spacing w:after="0"/>
              <w:rPr>
                <w:sz w:val="20"/>
                <w:szCs w:val="20"/>
                <w:color w:val="auto"/>
              </w:rPr>
            </w:pPr>
            <w:r>
              <w:rPr>
                <w:rFonts w:ascii="Arial" w:cs="Arial" w:eastAsia="Arial" w:hAnsi="Arial"/>
                <w:sz w:val="13"/>
                <w:szCs w:val="13"/>
                <w:b w:val="1"/>
                <w:bCs w:val="1"/>
                <w:color w:val="FFFFFF"/>
              </w:rPr>
              <w:t>Deposits</w:t>
            </w:r>
          </w:p>
        </w:tc>
        <w:tc>
          <w:tcPr>
            <w:tcW w:w="1280" w:type="dxa"/>
            <w:vAlign w:val="bottom"/>
            <w:tcBorders>
              <w:top w:val="single" w:sz="8" w:color="auto"/>
            </w:tcBorders>
            <w:shd w:val="clear" w:color="auto" w:fill="2AD2C8"/>
          </w:tcPr>
          <w:p>
            <w:pPr>
              <w:spacing w:after="0"/>
              <w:rPr>
                <w:sz w:val="16"/>
                <w:szCs w:val="16"/>
                <w:color w:val="auto"/>
              </w:rPr>
            </w:pPr>
          </w:p>
        </w:tc>
        <w:tc>
          <w:tcPr>
            <w:tcW w:w="1120" w:type="dxa"/>
            <w:vAlign w:val="bottom"/>
            <w:tcBorders>
              <w:top w:val="single" w:sz="8" w:color="auto"/>
            </w:tcBorders>
            <w:shd w:val="clear" w:color="auto" w:fill="2AD2C8"/>
          </w:tcPr>
          <w:p>
            <w:pPr>
              <w:jc w:val="right"/>
              <w:ind w:right="493"/>
              <w:spacing w:after="0"/>
              <w:rPr>
                <w:sz w:val="20"/>
                <w:szCs w:val="20"/>
                <w:color w:val="auto"/>
              </w:rPr>
            </w:pPr>
            <w:r>
              <w:rPr>
                <w:rFonts w:ascii="Arial" w:cs="Arial" w:eastAsia="Arial" w:hAnsi="Arial"/>
                <w:sz w:val="13"/>
                <w:szCs w:val="13"/>
                <w:b w:val="1"/>
                <w:bCs w:val="1"/>
                <w:color w:val="FFFFFF"/>
              </w:rPr>
              <w:t>As of</w:t>
            </w:r>
          </w:p>
        </w:tc>
        <w:tc>
          <w:tcPr>
            <w:tcW w:w="960" w:type="dxa"/>
            <w:vAlign w:val="bottom"/>
            <w:tcBorders>
              <w:top w:val="single" w:sz="8" w:color="auto"/>
              <w:right w:val="single" w:sz="8" w:color="auto"/>
            </w:tcBorders>
            <w:shd w:val="clear" w:color="auto" w:fill="2AD2C8"/>
          </w:tcPr>
          <w:p>
            <w:pPr>
              <w:spacing w:after="0"/>
              <w:rPr>
                <w:sz w:val="16"/>
                <w:szCs w:val="16"/>
                <w:color w:val="auto"/>
              </w:rPr>
            </w:pPr>
          </w:p>
        </w:tc>
        <w:tc>
          <w:tcPr>
            <w:tcW w:w="780" w:type="dxa"/>
            <w:vAlign w:val="bottom"/>
            <w:tcBorders>
              <w:top w:val="single" w:sz="8" w:color="auto"/>
            </w:tcBorders>
            <w:shd w:val="clear" w:color="auto" w:fill="2AD2C8"/>
          </w:tcPr>
          <w:p>
            <w:pPr>
              <w:spacing w:after="0"/>
              <w:rPr>
                <w:sz w:val="16"/>
                <w:szCs w:val="16"/>
                <w:color w:val="auto"/>
              </w:rPr>
            </w:pPr>
          </w:p>
        </w:tc>
        <w:tc>
          <w:tcPr>
            <w:tcW w:w="1460" w:type="dxa"/>
            <w:vAlign w:val="bottom"/>
            <w:tcBorders>
              <w:top w:val="single" w:sz="8" w:color="auto"/>
              <w:right w:val="single" w:sz="8" w:color="auto"/>
            </w:tcBorders>
            <w:shd w:val="clear" w:color="auto" w:fill="2AD2C8"/>
          </w:tcPr>
          <w:p>
            <w:pPr>
              <w:spacing w:after="0"/>
              <w:rPr>
                <w:sz w:val="20"/>
                <w:szCs w:val="20"/>
                <w:color w:val="auto"/>
              </w:rPr>
            </w:pPr>
            <w:r>
              <w:rPr>
                <w:rFonts w:ascii="Arial" w:cs="Arial" w:eastAsia="Arial" w:hAnsi="Arial"/>
                <w:sz w:val="13"/>
                <w:szCs w:val="13"/>
                <w:b w:val="1"/>
                <w:bCs w:val="1"/>
                <w:color w:val="FFFFFF"/>
              </w:rPr>
              <w:t>Change %</w:t>
            </w:r>
          </w:p>
        </w:tc>
        <w:tc>
          <w:tcPr>
            <w:tcW w:w="780" w:type="dxa"/>
            <w:vAlign w:val="bottom"/>
            <w:tcBorders>
              <w:top w:val="single" w:sz="8" w:color="auto"/>
            </w:tcBorders>
            <w:shd w:val="clear" w:color="auto" w:fill="2AD2C8"/>
          </w:tcPr>
          <w:p>
            <w:pPr>
              <w:spacing w:after="0"/>
              <w:rPr>
                <w:sz w:val="16"/>
                <w:szCs w:val="16"/>
                <w:color w:val="auto"/>
              </w:rPr>
            </w:pPr>
          </w:p>
        </w:tc>
        <w:tc>
          <w:tcPr>
            <w:tcW w:w="1460" w:type="dxa"/>
            <w:vAlign w:val="bottom"/>
            <w:tcBorders>
              <w:top w:val="single" w:sz="8" w:color="auto"/>
              <w:right w:val="single" w:sz="8" w:color="auto"/>
            </w:tcBorders>
            <w:shd w:val="clear" w:color="auto" w:fill="2AD2C8"/>
          </w:tcPr>
          <w:p>
            <w:pPr>
              <w:ind w:left="40"/>
              <w:spacing w:after="0"/>
              <w:rPr>
                <w:sz w:val="20"/>
                <w:szCs w:val="20"/>
                <w:color w:val="auto"/>
              </w:rPr>
            </w:pPr>
            <w:r>
              <w:rPr>
                <w:rFonts w:ascii="Arial" w:cs="Arial" w:eastAsia="Arial" w:hAnsi="Arial"/>
                <w:sz w:val="13"/>
                <w:szCs w:val="13"/>
                <w:b w:val="1"/>
                <w:bCs w:val="1"/>
                <w:color w:val="FFFFFF"/>
              </w:rPr>
              <w:t>Currency</w:t>
            </w:r>
          </w:p>
        </w:tc>
      </w:tr>
      <w:tr>
        <w:trPr>
          <w:trHeight w:val="163"/>
        </w:trPr>
        <w:tc>
          <w:tcPr>
            <w:tcW w:w="3400" w:type="dxa"/>
            <w:vAlign w:val="bottom"/>
            <w:tcBorders>
              <w:left w:val="single" w:sz="8" w:color="auto"/>
              <w:bottom w:val="single" w:sz="8" w:color="auto"/>
              <w:right w:val="single" w:sz="8" w:color="auto"/>
            </w:tcBorders>
            <w:shd w:val="clear" w:color="auto" w:fill="2AD2C8"/>
          </w:tcPr>
          <w:p>
            <w:pPr>
              <w:ind w:left="40"/>
              <w:spacing w:after="0"/>
              <w:rPr>
                <w:sz w:val="20"/>
                <w:szCs w:val="20"/>
                <w:color w:val="auto"/>
              </w:rPr>
            </w:pPr>
            <w:r>
              <w:rPr>
                <w:rFonts w:ascii="Arial" w:cs="Arial" w:eastAsia="Arial" w:hAnsi="Arial"/>
                <w:sz w:val="13"/>
                <w:szCs w:val="13"/>
                <w:b w:val="1"/>
                <w:bCs w:val="1"/>
                <w:color w:val="FFFFFF"/>
              </w:rPr>
              <w:t>S/ 000</w:t>
            </w:r>
          </w:p>
        </w:tc>
        <w:tc>
          <w:tcPr>
            <w:tcW w:w="1280" w:type="dxa"/>
            <w:vAlign w:val="bottom"/>
            <w:tcBorders>
              <w:bottom w:val="single" w:sz="8" w:color="auto"/>
            </w:tcBorders>
            <w:shd w:val="clear" w:color="auto" w:fill="2AD2C8"/>
          </w:tcPr>
          <w:p>
            <w:pPr>
              <w:jc w:val="right"/>
              <w:ind w:right="453"/>
              <w:spacing w:after="0"/>
              <w:rPr>
                <w:sz w:val="20"/>
                <w:szCs w:val="20"/>
                <w:color w:val="auto"/>
              </w:rPr>
            </w:pPr>
            <w:r>
              <w:rPr>
                <w:rFonts w:ascii="Arial" w:cs="Arial" w:eastAsia="Arial" w:hAnsi="Arial"/>
                <w:sz w:val="13"/>
                <w:szCs w:val="13"/>
                <w:b w:val="1"/>
                <w:bCs w:val="1"/>
                <w:color w:val="FFFFFF"/>
              </w:rPr>
              <w:t>Mar 24</w:t>
            </w:r>
          </w:p>
        </w:tc>
        <w:tc>
          <w:tcPr>
            <w:tcW w:w="1120" w:type="dxa"/>
            <w:vAlign w:val="bottom"/>
            <w:tcBorders>
              <w:bottom w:val="single" w:sz="8" w:color="auto"/>
            </w:tcBorders>
            <w:shd w:val="clear" w:color="auto" w:fill="2AD2C8"/>
          </w:tcPr>
          <w:p>
            <w:pPr>
              <w:jc w:val="right"/>
              <w:ind w:right="453"/>
              <w:spacing w:after="0"/>
              <w:rPr>
                <w:sz w:val="20"/>
                <w:szCs w:val="20"/>
                <w:color w:val="auto"/>
              </w:rPr>
            </w:pPr>
            <w:r>
              <w:rPr>
                <w:rFonts w:ascii="Arial" w:cs="Arial" w:eastAsia="Arial" w:hAnsi="Arial"/>
                <w:sz w:val="13"/>
                <w:szCs w:val="13"/>
                <w:b w:val="1"/>
                <w:bCs w:val="1"/>
                <w:color w:val="FFFFFF"/>
              </w:rPr>
              <w:t>Dec 24</w:t>
            </w:r>
          </w:p>
        </w:tc>
        <w:tc>
          <w:tcPr>
            <w:tcW w:w="960" w:type="dxa"/>
            <w:vAlign w:val="bottom"/>
            <w:tcBorders>
              <w:bottom w:val="single" w:sz="8" w:color="auto"/>
              <w:right w:val="single" w:sz="8" w:color="auto"/>
            </w:tcBorders>
            <w:shd w:val="clear" w:color="auto" w:fill="2AD2C8"/>
          </w:tcPr>
          <w:p>
            <w:pPr>
              <w:jc w:val="right"/>
              <w:ind w:right="293"/>
              <w:spacing w:after="0"/>
              <w:rPr>
                <w:sz w:val="20"/>
                <w:szCs w:val="20"/>
                <w:color w:val="auto"/>
              </w:rPr>
            </w:pPr>
            <w:r>
              <w:rPr>
                <w:rFonts w:ascii="Arial" w:cs="Arial" w:eastAsia="Arial" w:hAnsi="Arial"/>
                <w:sz w:val="13"/>
                <w:szCs w:val="13"/>
                <w:b w:val="1"/>
                <w:bCs w:val="1"/>
                <w:color w:val="FFFFFF"/>
              </w:rPr>
              <w:t>Mar 25</w:t>
            </w:r>
          </w:p>
        </w:tc>
        <w:tc>
          <w:tcPr>
            <w:tcW w:w="780" w:type="dxa"/>
            <w:vAlign w:val="bottom"/>
            <w:tcBorders>
              <w:bottom w:val="single" w:sz="8" w:color="auto"/>
            </w:tcBorders>
            <w:shd w:val="clear" w:color="auto" w:fill="2AD2C8"/>
          </w:tcPr>
          <w:p>
            <w:pPr>
              <w:ind w:left="400"/>
              <w:spacing w:after="0"/>
              <w:rPr>
                <w:sz w:val="20"/>
                <w:szCs w:val="20"/>
                <w:color w:val="auto"/>
              </w:rPr>
            </w:pPr>
            <w:r>
              <w:rPr>
                <w:rFonts w:ascii="Arial" w:cs="Arial" w:eastAsia="Arial" w:hAnsi="Arial"/>
                <w:sz w:val="13"/>
                <w:szCs w:val="13"/>
                <w:b w:val="1"/>
                <w:bCs w:val="1"/>
                <w:color w:val="FFFFFF"/>
              </w:rPr>
              <w:t>QoQ</w:t>
            </w:r>
          </w:p>
        </w:tc>
        <w:tc>
          <w:tcPr>
            <w:tcW w:w="1460" w:type="dxa"/>
            <w:vAlign w:val="bottom"/>
            <w:tcBorders>
              <w:bottom w:val="single" w:sz="8" w:color="auto"/>
              <w:right w:val="single" w:sz="8" w:color="auto"/>
            </w:tcBorders>
            <w:shd w:val="clear" w:color="auto" w:fill="2AD2C8"/>
          </w:tcPr>
          <w:p>
            <w:pPr>
              <w:ind w:left="760"/>
              <w:spacing w:after="0"/>
              <w:rPr>
                <w:sz w:val="20"/>
                <w:szCs w:val="20"/>
                <w:color w:val="auto"/>
              </w:rPr>
            </w:pPr>
            <w:r>
              <w:rPr>
                <w:rFonts w:ascii="Arial" w:cs="Arial" w:eastAsia="Arial" w:hAnsi="Arial"/>
                <w:sz w:val="13"/>
                <w:szCs w:val="13"/>
                <w:b w:val="1"/>
                <w:bCs w:val="1"/>
                <w:color w:val="FFFFFF"/>
              </w:rPr>
              <w:t>YoY</w:t>
            </w:r>
          </w:p>
        </w:tc>
        <w:tc>
          <w:tcPr>
            <w:tcW w:w="780" w:type="dxa"/>
            <w:vAlign w:val="bottom"/>
            <w:tcBorders>
              <w:bottom w:val="single" w:sz="8" w:color="auto"/>
            </w:tcBorders>
            <w:shd w:val="clear" w:color="auto" w:fill="2AD2C8"/>
          </w:tcPr>
          <w:p>
            <w:pPr>
              <w:jc w:val="center"/>
              <w:ind w:left="253"/>
              <w:spacing w:after="0"/>
              <w:rPr>
                <w:sz w:val="20"/>
                <w:szCs w:val="20"/>
                <w:color w:val="auto"/>
              </w:rPr>
            </w:pPr>
            <w:r>
              <w:rPr>
                <w:rFonts w:ascii="Arial" w:cs="Arial" w:eastAsia="Arial" w:hAnsi="Arial"/>
                <w:sz w:val="13"/>
                <w:szCs w:val="13"/>
                <w:b w:val="1"/>
                <w:bCs w:val="1"/>
                <w:color w:val="FFFFFF"/>
              </w:rPr>
              <w:t>LC</w:t>
            </w:r>
          </w:p>
        </w:tc>
        <w:tc>
          <w:tcPr>
            <w:tcW w:w="1460" w:type="dxa"/>
            <w:vAlign w:val="bottom"/>
            <w:tcBorders>
              <w:bottom w:val="single" w:sz="8" w:color="auto"/>
              <w:right w:val="single" w:sz="8" w:color="auto"/>
            </w:tcBorders>
            <w:shd w:val="clear" w:color="auto" w:fill="2AD2C8"/>
          </w:tcPr>
          <w:p>
            <w:pPr>
              <w:jc w:val="center"/>
              <w:ind w:left="253"/>
              <w:spacing w:after="0"/>
              <w:rPr>
                <w:sz w:val="20"/>
                <w:szCs w:val="20"/>
                <w:color w:val="auto"/>
              </w:rPr>
            </w:pPr>
            <w:r>
              <w:rPr>
                <w:rFonts w:ascii="Arial" w:cs="Arial" w:eastAsia="Arial" w:hAnsi="Arial"/>
                <w:sz w:val="13"/>
                <w:szCs w:val="13"/>
                <w:b w:val="1"/>
                <w:bCs w:val="1"/>
                <w:color w:val="FFFFFF"/>
              </w:rPr>
              <w:t>FC</w:t>
            </w:r>
          </w:p>
        </w:tc>
      </w:tr>
      <w:tr>
        <w:trPr>
          <w:trHeight w:val="129"/>
        </w:trPr>
        <w:tc>
          <w:tcPr>
            <w:tcW w:w="3400" w:type="dxa"/>
            <w:vAlign w:val="bottom"/>
            <w:tcBorders>
              <w:left w:val="single" w:sz="8" w:color="auto"/>
              <w:right w:val="single" w:sz="8" w:color="auto"/>
            </w:tcBorders>
          </w:tcPr>
          <w:p>
            <w:pPr>
              <w:ind w:left="40"/>
              <w:spacing w:after="0" w:line="129" w:lineRule="exact"/>
              <w:rPr>
                <w:sz w:val="20"/>
                <w:szCs w:val="20"/>
                <w:color w:val="auto"/>
              </w:rPr>
            </w:pPr>
            <w:r>
              <w:rPr>
                <w:rFonts w:ascii="Arial" w:cs="Arial" w:eastAsia="Arial" w:hAnsi="Arial"/>
                <w:sz w:val="13"/>
                <w:szCs w:val="13"/>
                <w:color w:val="auto"/>
              </w:rPr>
              <w:t>Demand deposits</w:t>
            </w:r>
          </w:p>
        </w:tc>
        <w:tc>
          <w:tcPr>
            <w:tcW w:w="1280" w:type="dxa"/>
            <w:vAlign w:val="bottom"/>
          </w:tcPr>
          <w:p>
            <w:pPr>
              <w:jc w:val="right"/>
              <w:ind w:right="113"/>
              <w:spacing w:after="0" w:line="129" w:lineRule="exact"/>
              <w:rPr>
                <w:sz w:val="20"/>
                <w:szCs w:val="20"/>
                <w:color w:val="auto"/>
              </w:rPr>
            </w:pPr>
            <w:r>
              <w:rPr>
                <w:rFonts w:ascii="Arial" w:cs="Arial" w:eastAsia="Arial" w:hAnsi="Arial"/>
                <w:sz w:val="13"/>
                <w:szCs w:val="13"/>
                <w:color w:val="auto"/>
              </w:rPr>
              <w:t>47,384,819</w:t>
            </w:r>
          </w:p>
        </w:tc>
        <w:tc>
          <w:tcPr>
            <w:tcW w:w="1120" w:type="dxa"/>
            <w:vAlign w:val="bottom"/>
          </w:tcPr>
          <w:p>
            <w:pPr>
              <w:jc w:val="right"/>
              <w:ind w:right="113"/>
              <w:spacing w:after="0" w:line="129" w:lineRule="exact"/>
              <w:rPr>
                <w:sz w:val="20"/>
                <w:szCs w:val="20"/>
                <w:color w:val="auto"/>
              </w:rPr>
            </w:pPr>
            <w:r>
              <w:rPr>
                <w:rFonts w:ascii="Arial" w:cs="Arial" w:eastAsia="Arial" w:hAnsi="Arial"/>
                <w:sz w:val="13"/>
                <w:szCs w:val="13"/>
                <w:color w:val="auto"/>
              </w:rPr>
              <w:t>52,590,952</w:t>
            </w:r>
          </w:p>
        </w:tc>
        <w:tc>
          <w:tcPr>
            <w:tcW w:w="96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53,992,480</w:t>
            </w:r>
          </w:p>
        </w:tc>
        <w:tc>
          <w:tcPr>
            <w:tcW w:w="780" w:type="dxa"/>
            <w:vAlign w:val="bottom"/>
          </w:tcPr>
          <w:p>
            <w:pPr>
              <w:jc w:val="center"/>
              <w:ind w:left="253"/>
              <w:spacing w:after="0" w:line="129" w:lineRule="exact"/>
              <w:rPr>
                <w:sz w:val="20"/>
                <w:szCs w:val="20"/>
                <w:color w:val="auto"/>
              </w:rPr>
            </w:pPr>
            <w:r>
              <w:rPr>
                <w:rFonts w:ascii="Arial" w:cs="Arial" w:eastAsia="Arial" w:hAnsi="Arial"/>
                <w:sz w:val="13"/>
                <w:szCs w:val="13"/>
                <w:color w:val="auto"/>
              </w:rPr>
              <w:t>2.7%</w:t>
            </w:r>
          </w:p>
        </w:tc>
        <w:tc>
          <w:tcPr>
            <w:tcW w:w="1460" w:type="dxa"/>
            <w:vAlign w:val="bottom"/>
            <w:tcBorders>
              <w:right w:val="single" w:sz="8" w:color="auto"/>
            </w:tcBorders>
          </w:tcPr>
          <w:p>
            <w:pPr>
              <w:jc w:val="center"/>
              <w:ind w:left="253"/>
              <w:spacing w:after="0" w:line="129" w:lineRule="exact"/>
              <w:rPr>
                <w:sz w:val="20"/>
                <w:szCs w:val="20"/>
                <w:color w:val="auto"/>
              </w:rPr>
            </w:pPr>
            <w:r>
              <w:rPr>
                <w:rFonts w:ascii="Arial" w:cs="Arial" w:eastAsia="Arial" w:hAnsi="Arial"/>
                <w:sz w:val="13"/>
                <w:szCs w:val="13"/>
                <w:color w:val="auto"/>
              </w:rPr>
              <w:t>13.9%</w:t>
            </w:r>
          </w:p>
        </w:tc>
        <w:tc>
          <w:tcPr>
            <w:tcW w:w="780" w:type="dxa"/>
            <w:vAlign w:val="bottom"/>
          </w:tcPr>
          <w:p>
            <w:pPr>
              <w:jc w:val="center"/>
              <w:ind w:left="253"/>
              <w:spacing w:after="0" w:line="129" w:lineRule="exact"/>
              <w:rPr>
                <w:sz w:val="20"/>
                <w:szCs w:val="20"/>
                <w:color w:val="auto"/>
              </w:rPr>
            </w:pPr>
            <w:r>
              <w:rPr>
                <w:rFonts w:ascii="Arial" w:cs="Arial" w:eastAsia="Arial" w:hAnsi="Arial"/>
                <w:sz w:val="13"/>
                <w:szCs w:val="13"/>
                <w:color w:val="auto"/>
              </w:rPr>
              <w:t>50.9%</w:t>
            </w:r>
          </w:p>
        </w:tc>
        <w:tc>
          <w:tcPr>
            <w:tcW w:w="1460" w:type="dxa"/>
            <w:vAlign w:val="bottom"/>
            <w:tcBorders>
              <w:right w:val="single" w:sz="8" w:color="auto"/>
            </w:tcBorders>
          </w:tcPr>
          <w:p>
            <w:pPr>
              <w:jc w:val="center"/>
              <w:ind w:left="253"/>
              <w:spacing w:after="0" w:line="129" w:lineRule="exact"/>
              <w:rPr>
                <w:sz w:val="20"/>
                <w:szCs w:val="20"/>
                <w:color w:val="auto"/>
              </w:rPr>
            </w:pPr>
            <w:r>
              <w:rPr>
                <w:rFonts w:ascii="Arial" w:cs="Arial" w:eastAsia="Arial" w:hAnsi="Arial"/>
                <w:sz w:val="13"/>
                <w:szCs w:val="13"/>
                <w:color w:val="auto"/>
              </w:rPr>
              <w:t>49.1%</w:t>
            </w:r>
          </w:p>
        </w:tc>
      </w:tr>
      <w:tr>
        <w:trPr>
          <w:trHeight w:val="148"/>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Saving deposits</w:t>
            </w:r>
          </w:p>
        </w:tc>
        <w:tc>
          <w:tcPr>
            <w:tcW w:w="1280" w:type="dxa"/>
            <w:vAlign w:val="bottom"/>
          </w:tcPr>
          <w:p>
            <w:pPr>
              <w:jc w:val="right"/>
              <w:ind w:right="113"/>
              <w:spacing w:after="0"/>
              <w:rPr>
                <w:sz w:val="20"/>
                <w:szCs w:val="20"/>
                <w:color w:val="auto"/>
              </w:rPr>
            </w:pPr>
            <w:r>
              <w:rPr>
                <w:rFonts w:ascii="Arial" w:cs="Arial" w:eastAsia="Arial" w:hAnsi="Arial"/>
                <w:sz w:val="13"/>
                <w:szCs w:val="13"/>
                <w:color w:val="auto"/>
              </w:rPr>
              <w:t>52,238,357</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59,757,825</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59,969,559</w:t>
            </w: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0.4%</w:t>
            </w:r>
          </w:p>
        </w:tc>
        <w:tc>
          <w:tcPr>
            <w:tcW w:w="1460" w:type="dxa"/>
            <w:vAlign w:val="bottom"/>
            <w:tcBorders>
              <w:right w:val="single" w:sz="8" w:color="auto"/>
            </w:tcBorders>
          </w:tcPr>
          <w:p>
            <w:pPr>
              <w:jc w:val="center"/>
              <w:ind w:left="253"/>
              <w:spacing w:after="0"/>
              <w:rPr>
                <w:sz w:val="20"/>
                <w:szCs w:val="20"/>
                <w:color w:val="auto"/>
              </w:rPr>
            </w:pPr>
            <w:r>
              <w:rPr>
                <w:rFonts w:ascii="Arial" w:cs="Arial" w:eastAsia="Arial" w:hAnsi="Arial"/>
                <w:sz w:val="13"/>
                <w:szCs w:val="13"/>
                <w:color w:val="auto"/>
              </w:rPr>
              <w:t>14.8%</w:t>
            </w: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61.6%</w:t>
            </w:r>
          </w:p>
        </w:tc>
        <w:tc>
          <w:tcPr>
            <w:tcW w:w="1460" w:type="dxa"/>
            <w:vAlign w:val="bottom"/>
            <w:tcBorders>
              <w:right w:val="single" w:sz="8" w:color="auto"/>
            </w:tcBorders>
          </w:tcPr>
          <w:p>
            <w:pPr>
              <w:jc w:val="center"/>
              <w:ind w:left="253"/>
              <w:spacing w:after="0"/>
              <w:rPr>
                <w:sz w:val="20"/>
                <w:szCs w:val="20"/>
                <w:color w:val="auto"/>
              </w:rPr>
            </w:pPr>
            <w:r>
              <w:rPr>
                <w:rFonts w:ascii="Arial" w:cs="Arial" w:eastAsia="Arial" w:hAnsi="Arial"/>
                <w:sz w:val="13"/>
                <w:szCs w:val="13"/>
                <w:color w:val="auto"/>
              </w:rPr>
              <w:t>38.4%</w:t>
            </w:r>
          </w:p>
        </w:tc>
      </w:tr>
      <w:tr>
        <w:trPr>
          <w:trHeight w:val="148"/>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Time deposits</w:t>
            </w:r>
          </w:p>
        </w:tc>
        <w:tc>
          <w:tcPr>
            <w:tcW w:w="1280" w:type="dxa"/>
            <w:vAlign w:val="bottom"/>
          </w:tcPr>
          <w:p>
            <w:pPr>
              <w:jc w:val="right"/>
              <w:ind w:right="113"/>
              <w:spacing w:after="0"/>
              <w:rPr>
                <w:sz w:val="20"/>
                <w:szCs w:val="20"/>
                <w:color w:val="auto"/>
              </w:rPr>
            </w:pPr>
            <w:r>
              <w:rPr>
                <w:rFonts w:ascii="Arial" w:cs="Arial" w:eastAsia="Arial" w:hAnsi="Arial"/>
                <w:sz w:val="13"/>
                <w:szCs w:val="13"/>
                <w:color w:val="auto"/>
              </w:rPr>
              <w:t>43,775,526</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45,217,785</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39,779,546</w:t>
            </w: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-12.0%</w:t>
            </w:r>
          </w:p>
        </w:tc>
        <w:tc>
          <w:tcPr>
            <w:tcW w:w="146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color w:val="auto"/>
              </w:rPr>
              <w:t>-9.1%</w:t>
            </w: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52.4%</w:t>
            </w:r>
          </w:p>
        </w:tc>
        <w:tc>
          <w:tcPr>
            <w:tcW w:w="1460" w:type="dxa"/>
            <w:vAlign w:val="bottom"/>
            <w:tcBorders>
              <w:right w:val="single" w:sz="8" w:color="auto"/>
            </w:tcBorders>
          </w:tcPr>
          <w:p>
            <w:pPr>
              <w:jc w:val="center"/>
              <w:ind w:left="253"/>
              <w:spacing w:after="0"/>
              <w:rPr>
                <w:sz w:val="20"/>
                <w:szCs w:val="20"/>
                <w:color w:val="auto"/>
              </w:rPr>
            </w:pPr>
            <w:r>
              <w:rPr>
                <w:rFonts w:ascii="Arial" w:cs="Arial" w:eastAsia="Arial" w:hAnsi="Arial"/>
                <w:sz w:val="13"/>
                <w:szCs w:val="13"/>
                <w:color w:val="auto"/>
              </w:rPr>
              <w:t>47.6%</w:t>
            </w:r>
          </w:p>
        </w:tc>
      </w:tr>
      <w:tr>
        <w:trPr>
          <w:trHeight w:val="148"/>
        </w:trPr>
        <w:tc>
          <w:tcPr>
            <w:tcW w:w="3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Severance indemnity deposits</w:t>
            </w:r>
          </w:p>
        </w:tc>
        <w:tc>
          <w:tcPr>
            <w:tcW w:w="1280" w:type="dxa"/>
            <w:vAlign w:val="bottom"/>
          </w:tcPr>
          <w:p>
            <w:pPr>
              <w:jc w:val="right"/>
              <w:ind w:right="113"/>
              <w:spacing w:after="0"/>
              <w:rPr>
                <w:sz w:val="20"/>
                <w:szCs w:val="20"/>
                <w:color w:val="auto"/>
              </w:rPr>
            </w:pPr>
            <w:r>
              <w:rPr>
                <w:rFonts w:ascii="Arial" w:cs="Arial" w:eastAsia="Arial" w:hAnsi="Arial"/>
                <w:sz w:val="13"/>
                <w:szCs w:val="13"/>
                <w:color w:val="auto"/>
              </w:rPr>
              <w:t>3,086,767</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2,996,020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2,921,196</w:t>
            </w:r>
          </w:p>
        </w:tc>
        <w:tc>
          <w:tcPr>
            <w:tcW w:w="780" w:type="dxa"/>
            <w:vAlign w:val="bottom"/>
          </w:tcPr>
          <w:p>
            <w:pPr>
              <w:jc w:val="center"/>
              <w:ind w:left="253"/>
              <w:spacing w:after="0"/>
              <w:rPr>
                <w:sz w:val="20"/>
                <w:szCs w:val="20"/>
                <w:color w:val="auto"/>
              </w:rPr>
            </w:pPr>
            <w:r>
              <w:rPr>
                <w:rFonts w:ascii="Arial" w:cs="Arial" w:eastAsia="Arial" w:hAnsi="Arial"/>
                <w:sz w:val="13"/>
                <w:szCs w:val="13"/>
                <w:color w:val="auto"/>
                <w:w w:val="99"/>
              </w:rPr>
              <w:t>-2.5%</w:t>
            </w:r>
          </w:p>
        </w:tc>
        <w:tc>
          <w:tcPr>
            <w:tcW w:w="146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color w:val="auto"/>
              </w:rPr>
              <w:t>-5.4%</w:t>
            </w: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75.1%</w:t>
            </w:r>
          </w:p>
        </w:tc>
        <w:tc>
          <w:tcPr>
            <w:tcW w:w="1460" w:type="dxa"/>
            <w:vAlign w:val="bottom"/>
            <w:tcBorders>
              <w:right w:val="single" w:sz="8" w:color="auto"/>
            </w:tcBorders>
          </w:tcPr>
          <w:p>
            <w:pPr>
              <w:jc w:val="center"/>
              <w:ind w:left="253"/>
              <w:spacing w:after="0"/>
              <w:rPr>
                <w:sz w:val="20"/>
                <w:szCs w:val="20"/>
                <w:color w:val="auto"/>
              </w:rPr>
            </w:pPr>
            <w:r>
              <w:rPr>
                <w:rFonts w:ascii="Arial" w:cs="Arial" w:eastAsia="Arial" w:hAnsi="Arial"/>
                <w:sz w:val="13"/>
                <w:szCs w:val="13"/>
                <w:color w:val="auto"/>
              </w:rPr>
              <w:t>24.9%</w:t>
            </w:r>
          </w:p>
        </w:tc>
      </w:tr>
      <w:tr>
        <w:trPr>
          <w:trHeight w:val="161"/>
        </w:trPr>
        <w:tc>
          <w:tcPr>
            <w:tcW w:w="3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Interest payable</w:t>
            </w:r>
          </w:p>
        </w:tc>
        <w:tc>
          <w:tcPr>
            <w:tcW w:w="1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1,371,658</w:t>
            </w: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1,279,484</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956,301</w:t>
            </w:r>
          </w:p>
        </w:tc>
        <w:tc>
          <w:tcPr>
            <w:tcW w:w="78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color w:val="auto"/>
              </w:rPr>
              <w:t>-25.3%</w:t>
            </w:r>
          </w:p>
        </w:tc>
        <w:tc>
          <w:tcPr>
            <w:tcW w:w="1460" w:type="dxa"/>
            <w:vAlign w:val="bottom"/>
            <w:tcBorders>
              <w:bottom w:val="single" w:sz="8" w:color="auto"/>
              <w:right w:val="single" w:sz="8" w:color="auto"/>
            </w:tcBorders>
          </w:tcPr>
          <w:p>
            <w:pPr>
              <w:jc w:val="center"/>
              <w:ind w:left="253"/>
              <w:spacing w:after="0"/>
              <w:rPr>
                <w:sz w:val="20"/>
                <w:szCs w:val="20"/>
                <w:color w:val="auto"/>
              </w:rPr>
            </w:pPr>
            <w:r>
              <w:rPr>
                <w:rFonts w:ascii="Arial" w:cs="Arial" w:eastAsia="Arial" w:hAnsi="Arial"/>
                <w:sz w:val="13"/>
                <w:szCs w:val="13"/>
                <w:color w:val="auto"/>
              </w:rPr>
              <w:t>-30.3%</w:t>
            </w:r>
          </w:p>
        </w:tc>
        <w:tc>
          <w:tcPr>
            <w:tcW w:w="78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color w:val="auto"/>
              </w:rPr>
              <w:t>29.4%</w:t>
            </w:r>
          </w:p>
        </w:tc>
        <w:tc>
          <w:tcPr>
            <w:tcW w:w="1460" w:type="dxa"/>
            <w:vAlign w:val="bottom"/>
            <w:tcBorders>
              <w:bottom w:val="single" w:sz="8" w:color="auto"/>
              <w:right w:val="single" w:sz="8" w:color="auto"/>
            </w:tcBorders>
          </w:tcPr>
          <w:p>
            <w:pPr>
              <w:jc w:val="center"/>
              <w:ind w:left="253"/>
              <w:spacing w:after="0"/>
              <w:rPr>
                <w:sz w:val="20"/>
                <w:szCs w:val="20"/>
                <w:color w:val="auto"/>
              </w:rPr>
            </w:pPr>
            <w:r>
              <w:rPr>
                <w:rFonts w:ascii="Arial" w:cs="Arial" w:eastAsia="Arial" w:hAnsi="Arial"/>
                <w:sz w:val="13"/>
                <w:szCs w:val="13"/>
                <w:color w:val="auto"/>
              </w:rPr>
              <w:t>70.6%</w:t>
            </w:r>
          </w:p>
        </w:tc>
      </w:tr>
      <w:tr>
        <w:trPr>
          <w:trHeight w:val="169"/>
        </w:trPr>
        <w:tc>
          <w:tcPr>
            <w:tcW w:w="3400" w:type="dxa"/>
            <w:vAlign w:val="bottom"/>
            <w:tcBorders>
              <w:left w:val="single" w:sz="8" w:color="auto"/>
              <w:bottom w:val="single" w:sz="8" w:color="auto"/>
              <w:right w:val="single" w:sz="8" w:color="auto"/>
            </w:tcBorders>
          </w:tcPr>
          <w:p>
            <w:pPr>
              <w:ind w:left="40"/>
              <w:spacing w:after="0" w:line="169" w:lineRule="exact"/>
              <w:rPr>
                <w:sz w:val="20"/>
                <w:szCs w:val="20"/>
                <w:color w:val="auto"/>
              </w:rPr>
            </w:pPr>
            <w:r>
              <w:rPr>
                <w:rFonts w:ascii="Arial" w:cs="Arial" w:eastAsia="Arial" w:hAnsi="Arial"/>
                <w:sz w:val="12"/>
                <w:szCs w:val="12"/>
                <w:b w:val="1"/>
                <w:bCs w:val="1"/>
                <w:color w:val="auto"/>
              </w:rPr>
              <w:t xml:space="preserve">Low-cost deposits </w:t>
            </w:r>
            <w:r>
              <w:rPr>
                <w:rFonts w:ascii="Arial" w:cs="Arial" w:eastAsia="Arial" w:hAnsi="Arial"/>
                <w:sz w:val="19"/>
                <w:szCs w:val="19"/>
                <w:b w:val="1"/>
                <w:bCs w:val="1"/>
                <w:color w:val="auto"/>
                <w:vertAlign w:val="superscript"/>
              </w:rPr>
              <w:t>(1)</w:t>
            </w:r>
          </w:p>
        </w:tc>
        <w:tc>
          <w:tcPr>
            <w:tcW w:w="1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99,623,176</w:t>
            </w: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112,348,777</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113,962,039</w:t>
            </w:r>
          </w:p>
        </w:tc>
        <w:tc>
          <w:tcPr>
            <w:tcW w:w="78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b w:val="1"/>
                <w:bCs w:val="1"/>
                <w:color w:val="auto"/>
              </w:rPr>
              <w:t>1.4%</w:t>
            </w:r>
          </w:p>
        </w:tc>
        <w:tc>
          <w:tcPr>
            <w:tcW w:w="1460" w:type="dxa"/>
            <w:vAlign w:val="bottom"/>
            <w:tcBorders>
              <w:bottom w:val="single" w:sz="8" w:color="auto"/>
              <w:right w:val="single" w:sz="8" w:color="auto"/>
            </w:tcBorders>
          </w:tcPr>
          <w:p>
            <w:pPr>
              <w:jc w:val="center"/>
              <w:ind w:left="253"/>
              <w:spacing w:after="0"/>
              <w:rPr>
                <w:sz w:val="20"/>
                <w:szCs w:val="20"/>
                <w:color w:val="auto"/>
              </w:rPr>
            </w:pPr>
            <w:r>
              <w:rPr>
                <w:rFonts w:ascii="Arial" w:cs="Arial" w:eastAsia="Arial" w:hAnsi="Arial"/>
                <w:sz w:val="13"/>
                <w:szCs w:val="13"/>
                <w:b w:val="1"/>
                <w:bCs w:val="1"/>
                <w:color w:val="auto"/>
              </w:rPr>
              <w:t>14.4%</w:t>
            </w:r>
          </w:p>
        </w:tc>
        <w:tc>
          <w:tcPr>
            <w:tcW w:w="78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b w:val="1"/>
                <w:bCs w:val="1"/>
                <w:color w:val="auto"/>
              </w:rPr>
              <w:t>56.5%</w:t>
            </w:r>
          </w:p>
        </w:tc>
        <w:tc>
          <w:tcPr>
            <w:tcW w:w="1460" w:type="dxa"/>
            <w:vAlign w:val="bottom"/>
            <w:tcBorders>
              <w:bottom w:val="single" w:sz="8" w:color="auto"/>
              <w:right w:val="single" w:sz="8" w:color="auto"/>
            </w:tcBorders>
          </w:tcPr>
          <w:p>
            <w:pPr>
              <w:jc w:val="center"/>
              <w:ind w:left="253"/>
              <w:spacing w:after="0"/>
              <w:rPr>
                <w:sz w:val="20"/>
                <w:szCs w:val="20"/>
                <w:color w:val="auto"/>
              </w:rPr>
            </w:pPr>
            <w:r>
              <w:rPr>
                <w:rFonts w:ascii="Arial" w:cs="Arial" w:eastAsia="Arial" w:hAnsi="Arial"/>
                <w:sz w:val="13"/>
                <w:szCs w:val="13"/>
                <w:b w:val="1"/>
                <w:bCs w:val="1"/>
                <w:color w:val="auto"/>
              </w:rPr>
              <w:t>43.5%</w:t>
            </w:r>
          </w:p>
        </w:tc>
      </w:tr>
      <w:tr>
        <w:trPr>
          <w:trHeight w:val="142"/>
        </w:trPr>
        <w:tc>
          <w:tcPr>
            <w:tcW w:w="3400" w:type="dxa"/>
            <w:vAlign w:val="bottom"/>
            <w:tcBorders>
              <w:left w:val="single" w:sz="8" w:color="auto"/>
              <w:bottom w:val="single" w:sz="8" w:color="auto"/>
              <w:right w:val="single" w:sz="8" w:color="auto"/>
            </w:tcBorders>
          </w:tcPr>
          <w:p>
            <w:pPr>
              <w:ind w:left="40"/>
              <w:spacing w:after="0" w:line="142" w:lineRule="exact"/>
              <w:rPr>
                <w:sz w:val="20"/>
                <w:szCs w:val="20"/>
                <w:color w:val="auto"/>
              </w:rPr>
            </w:pPr>
            <w:r>
              <w:rPr>
                <w:rFonts w:ascii="Arial" w:cs="Arial" w:eastAsia="Arial" w:hAnsi="Arial"/>
                <w:sz w:val="13"/>
                <w:szCs w:val="13"/>
                <w:b w:val="1"/>
                <w:bCs w:val="1"/>
                <w:color w:val="auto"/>
              </w:rPr>
              <w:t>Total Deposits</w:t>
            </w:r>
          </w:p>
        </w:tc>
        <w:tc>
          <w:tcPr>
            <w:tcW w:w="12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147,857,127</w:t>
            </w:r>
          </w:p>
        </w:tc>
        <w:tc>
          <w:tcPr>
            <w:tcW w:w="11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161,842,066</w:t>
            </w:r>
          </w:p>
        </w:tc>
        <w:tc>
          <w:tcPr>
            <w:tcW w:w="9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157,619,082</w:t>
            </w:r>
          </w:p>
        </w:tc>
        <w:tc>
          <w:tcPr>
            <w:tcW w:w="780" w:type="dxa"/>
            <w:vAlign w:val="bottom"/>
            <w:tcBorders>
              <w:bottom w:val="single" w:sz="8" w:color="auto"/>
            </w:tcBorders>
          </w:tcPr>
          <w:p>
            <w:pPr>
              <w:jc w:val="center"/>
              <w:ind w:left="253"/>
              <w:spacing w:after="0" w:line="142" w:lineRule="exact"/>
              <w:rPr>
                <w:sz w:val="20"/>
                <w:szCs w:val="20"/>
                <w:color w:val="auto"/>
              </w:rPr>
            </w:pPr>
            <w:r>
              <w:rPr>
                <w:rFonts w:ascii="Arial" w:cs="Arial" w:eastAsia="Arial" w:hAnsi="Arial"/>
                <w:sz w:val="13"/>
                <w:szCs w:val="13"/>
                <w:b w:val="1"/>
                <w:bCs w:val="1"/>
                <w:color w:val="auto"/>
                <w:w w:val="99"/>
              </w:rPr>
              <w:t>-2.6%</w:t>
            </w:r>
          </w:p>
        </w:tc>
        <w:tc>
          <w:tcPr>
            <w:tcW w:w="1460" w:type="dxa"/>
            <w:vAlign w:val="bottom"/>
            <w:tcBorders>
              <w:bottom w:val="single" w:sz="8" w:color="auto"/>
              <w:right w:val="single" w:sz="8" w:color="auto"/>
            </w:tcBorders>
          </w:tcPr>
          <w:p>
            <w:pPr>
              <w:jc w:val="center"/>
              <w:ind w:left="253"/>
              <w:spacing w:after="0" w:line="142" w:lineRule="exact"/>
              <w:rPr>
                <w:sz w:val="20"/>
                <w:szCs w:val="20"/>
                <w:color w:val="auto"/>
              </w:rPr>
            </w:pPr>
            <w:r>
              <w:rPr>
                <w:rFonts w:ascii="Arial" w:cs="Arial" w:eastAsia="Arial" w:hAnsi="Arial"/>
                <w:sz w:val="13"/>
                <w:szCs w:val="13"/>
                <w:b w:val="1"/>
                <w:bCs w:val="1"/>
                <w:color w:val="auto"/>
              </w:rPr>
              <w:t>6.6%</w:t>
            </w:r>
          </w:p>
        </w:tc>
        <w:tc>
          <w:tcPr>
            <w:tcW w:w="780" w:type="dxa"/>
            <w:vAlign w:val="bottom"/>
            <w:tcBorders>
              <w:bottom w:val="single" w:sz="8" w:color="auto"/>
            </w:tcBorders>
          </w:tcPr>
          <w:p>
            <w:pPr>
              <w:jc w:val="center"/>
              <w:ind w:left="253"/>
              <w:spacing w:after="0" w:line="142" w:lineRule="exact"/>
              <w:rPr>
                <w:sz w:val="20"/>
                <w:szCs w:val="20"/>
                <w:color w:val="auto"/>
              </w:rPr>
            </w:pPr>
            <w:r>
              <w:rPr>
                <w:rFonts w:ascii="Arial" w:cs="Arial" w:eastAsia="Arial" w:hAnsi="Arial"/>
                <w:sz w:val="13"/>
                <w:szCs w:val="13"/>
                <w:b w:val="1"/>
                <w:bCs w:val="1"/>
                <w:color w:val="auto"/>
              </w:rPr>
              <w:t>55.6%</w:t>
            </w:r>
          </w:p>
        </w:tc>
        <w:tc>
          <w:tcPr>
            <w:tcW w:w="1460" w:type="dxa"/>
            <w:vAlign w:val="bottom"/>
            <w:tcBorders>
              <w:bottom w:val="single" w:sz="8" w:color="auto"/>
              <w:right w:val="single" w:sz="8" w:color="auto"/>
            </w:tcBorders>
          </w:tcPr>
          <w:p>
            <w:pPr>
              <w:jc w:val="center"/>
              <w:ind w:left="253"/>
              <w:spacing w:after="0" w:line="142" w:lineRule="exact"/>
              <w:rPr>
                <w:sz w:val="20"/>
                <w:szCs w:val="20"/>
                <w:color w:val="auto"/>
              </w:rPr>
            </w:pPr>
            <w:r>
              <w:rPr>
                <w:rFonts w:ascii="Arial" w:cs="Arial" w:eastAsia="Arial" w:hAnsi="Arial"/>
                <w:sz w:val="13"/>
                <w:szCs w:val="13"/>
                <w:b w:val="1"/>
                <w:bCs w:val="1"/>
                <w:color w:val="auto"/>
              </w:rPr>
              <w:t>44.4%</w:t>
            </w:r>
          </w:p>
        </w:tc>
      </w:tr>
    </w:tbl>
    <w:p>
      <w:pPr>
        <w:spacing w:after="0" w:line="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Includes Demand Deposits and Saving Deposits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quarter, our balance figures were impacted by an accounting adjustment (which does not affect cash flow). In March, Credicorp revalued the Balance Sheet of Bolivia using an exchange rate that better reflects the exchange rate of that market, which generated an accounting contraction of 2.0% in Credicorp’s total assets at the accounting level.</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When analyzing the evolution of Deposits, we will focus on emphasizing operational trends, without considering the impact of this accounting adjustment.</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Total Deposits </w:t>
      </w:r>
      <w:r>
        <w:rPr>
          <w:rFonts w:ascii="Arial" w:cs="Arial" w:eastAsia="Arial" w:hAnsi="Arial"/>
          <w:sz w:val="18"/>
          <w:szCs w:val="18"/>
          <w:color w:val="auto"/>
        </w:rPr>
        <w:t>fell by 2.6%</w:t>
      </w:r>
      <w:r>
        <w:rPr>
          <w:rFonts w:ascii="Arial" w:cs="Arial" w:eastAsia="Arial" w:hAnsi="Arial"/>
          <w:sz w:val="18"/>
          <w:szCs w:val="18"/>
          <w:b w:val="1"/>
          <w:bCs w:val="1"/>
          <w:color w:val="auto"/>
        </w:rPr>
        <w:t xml:space="preserve"> QoQ </w:t>
      </w:r>
      <w:r>
        <w:rPr>
          <w:rFonts w:ascii="Arial" w:cs="Arial" w:eastAsia="Arial" w:hAnsi="Arial"/>
          <w:sz w:val="18"/>
          <w:szCs w:val="18"/>
          <w:color w:val="auto"/>
        </w:rPr>
        <w:t>and grew by 6.6%</w:t>
      </w:r>
      <w:r>
        <w:rPr>
          <w:rFonts w:ascii="Arial" w:cs="Arial" w:eastAsia="Arial" w:hAnsi="Arial"/>
          <w:sz w:val="18"/>
          <w:szCs w:val="18"/>
          <w:b w:val="1"/>
          <w:bCs w:val="1"/>
          <w:color w:val="auto"/>
        </w:rPr>
        <w:t xml:space="preserve"> YoY</w:t>
      </w:r>
      <w:r>
        <w:rPr>
          <w:rFonts w:ascii="Arial" w:cs="Arial" w:eastAsia="Arial" w:hAnsi="Arial"/>
          <w:sz w:val="18"/>
          <w:szCs w:val="18"/>
          <w:color w:val="auto"/>
        </w:rPr>
        <w:t>. For better analysis, we will explain the dynamics excluding this adjustment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balance of BCP Bolivia.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our balance of</w:t>
      </w:r>
      <w:r>
        <w:rPr>
          <w:rFonts w:ascii="Arial" w:cs="Arial" w:eastAsia="Arial" w:hAnsi="Arial"/>
          <w:sz w:val="18"/>
          <w:szCs w:val="18"/>
          <w:b w:val="1"/>
          <w:bCs w:val="1"/>
          <w:color w:val="auto"/>
        </w:rPr>
        <w:t xml:space="preserve"> Total Deposits </w:t>
      </w:r>
      <w:r>
        <w:rPr>
          <w:rFonts w:ascii="Arial" w:cs="Arial" w:eastAsia="Arial" w:hAnsi="Arial"/>
          <w:sz w:val="18"/>
          <w:szCs w:val="18"/>
          <w:color w:val="auto"/>
        </w:rPr>
        <w:t>posted slight growth of 0.3%, which was driven by:</w:t>
      </w:r>
    </w:p>
    <w:p>
      <w:pPr>
        <w:spacing w:after="0" w:line="185" w:lineRule="exact"/>
        <w:rPr>
          <w:sz w:val="20"/>
          <w:szCs w:val="20"/>
          <w:color w:val="auto"/>
        </w:rPr>
      </w:pPr>
    </w:p>
    <w:p>
      <w:pPr>
        <w:jc w:val="both"/>
        <w:ind w:left="840" w:hanging="333"/>
        <w:spacing w:after="0" w:line="253"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5.2% growth in the balance of </w:t>
      </w:r>
      <w:r>
        <w:rPr>
          <w:rFonts w:ascii="Arial" w:cs="Arial" w:eastAsia="Arial" w:hAnsi="Arial"/>
          <w:sz w:val="18"/>
          <w:szCs w:val="18"/>
          <w:b w:val="1"/>
          <w:bCs w:val="1"/>
          <w:color w:val="auto"/>
        </w:rPr>
        <w:t>Demand Deposits</w:t>
      </w:r>
      <w:r>
        <w:rPr>
          <w:rFonts w:ascii="Arial" w:cs="Arial" w:eastAsia="Arial" w:hAnsi="Arial"/>
          <w:sz w:val="18"/>
          <w:szCs w:val="18"/>
          <w:color w:val="auto"/>
        </w:rPr>
        <w:t>, which was fueled primarily by an uptick in LC volumes at BCP Stand-alone. This expansion was driven mainly by Middle Market Banking, principally via an increase in institutional activity and to a lesser degree through fund migration to Time Deposits following maturity.</w:t>
      </w:r>
    </w:p>
    <w:p>
      <w:pPr>
        <w:spacing w:after="0" w:line="168" w:lineRule="exact"/>
        <w:rPr>
          <w:rFonts w:ascii="Arial" w:cs="Arial" w:eastAsia="Arial" w:hAnsi="Arial"/>
          <w:sz w:val="18"/>
          <w:szCs w:val="18"/>
          <w:color w:val="auto"/>
        </w:rPr>
      </w:pPr>
    </w:p>
    <w:p>
      <w:pPr>
        <w:ind w:left="840" w:hanging="333"/>
        <w:spacing w:after="0" w:line="271"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1.9% growth in </w:t>
      </w:r>
      <w:r>
        <w:rPr>
          <w:rFonts w:ascii="Arial" w:cs="Arial" w:eastAsia="Arial" w:hAnsi="Arial"/>
          <w:sz w:val="18"/>
          <w:szCs w:val="18"/>
          <w:b w:val="1"/>
          <w:bCs w:val="1"/>
          <w:color w:val="auto"/>
        </w:rPr>
        <w:t>Savings Deposits</w:t>
      </w:r>
      <w:r>
        <w:rPr>
          <w:rFonts w:ascii="Arial" w:cs="Arial" w:eastAsia="Arial" w:hAnsi="Arial"/>
          <w:sz w:val="18"/>
          <w:szCs w:val="18"/>
          <w:color w:val="auto"/>
        </w:rPr>
        <w:t>, which was driven mainly by an increase in LC volumes at BCP Stand-alone via clients in Individuals in the private sector, who received profit-sharing payments in March.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offset by:</w:t>
      </w:r>
    </w:p>
    <w:p>
      <w:pPr>
        <w:spacing w:after="0" w:line="14" w:lineRule="exact"/>
        <w:rPr>
          <w:sz w:val="20"/>
          <w:szCs w:val="20"/>
          <w:color w:val="auto"/>
        </w:rPr>
      </w:pPr>
    </w:p>
    <w:p>
      <w:pPr>
        <w:ind w:left="840" w:right="20" w:hanging="333"/>
        <w:spacing w:after="0" w:line="250"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An 8.6% reduction in the </w:t>
      </w:r>
      <w:r>
        <w:rPr>
          <w:rFonts w:ascii="Arial" w:cs="Arial" w:eastAsia="Arial" w:hAnsi="Arial"/>
          <w:sz w:val="18"/>
          <w:szCs w:val="18"/>
          <w:b w:val="1"/>
          <w:bCs w:val="1"/>
          <w:color w:val="auto"/>
        </w:rPr>
        <w:t>Time Deposit</w:t>
      </w:r>
      <w:r>
        <w:rPr>
          <w:rFonts w:ascii="Arial" w:cs="Arial" w:eastAsia="Arial" w:hAnsi="Arial"/>
          <w:sz w:val="18"/>
          <w:szCs w:val="18"/>
          <w:color w:val="auto"/>
        </w:rPr>
        <w:t xml:space="preserve"> balance. This decline was fueled by a drop in FC deposits at BCP Stand-alone after some wholesale deposits reached maturity and were not renewed, in line with strategic decisions to optimize our funding structure.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our balance for Total Deposits rose 9.7%, driven primarily by:</w:t>
      </w:r>
    </w:p>
    <w:p>
      <w:pPr>
        <w:spacing w:after="0" w:line="185" w:lineRule="exact"/>
        <w:rPr>
          <w:sz w:val="20"/>
          <w:szCs w:val="20"/>
          <w:color w:val="auto"/>
        </w:rPr>
      </w:pPr>
    </w:p>
    <w:p>
      <w:pPr>
        <w:jc w:val="both"/>
        <w:ind w:left="840" w:hanging="333"/>
        <w:spacing w:after="0" w:line="241"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 16.6% increase in the </w:t>
      </w:r>
      <w:r>
        <w:rPr>
          <w:rFonts w:ascii="Arial" w:cs="Arial" w:eastAsia="Arial" w:hAnsi="Arial"/>
          <w:sz w:val="18"/>
          <w:szCs w:val="18"/>
          <w:b w:val="1"/>
          <w:bCs w:val="1"/>
          <w:color w:val="auto"/>
        </w:rPr>
        <w:t>Savings Deposit</w:t>
      </w:r>
      <w:r>
        <w:rPr>
          <w:rFonts w:ascii="Arial" w:cs="Arial" w:eastAsia="Arial" w:hAnsi="Arial"/>
          <w:sz w:val="18"/>
          <w:szCs w:val="18"/>
          <w:color w:val="auto"/>
        </w:rPr>
        <w:t xml:space="preserve"> balance, which was driven by growth in LC deposits at BCP Stand-alone. The primary driver of the uptick was our on-going efforts to capture funds in a high-liquidity context; growth was also driven, albeit to a lesser extent, by the dynamics in play QoQ.</w:t>
      </w:r>
    </w:p>
    <w:p>
      <w:pPr>
        <w:spacing w:after="0" w:line="1" w:lineRule="exact"/>
        <w:rPr>
          <w:rFonts w:ascii="Arial" w:cs="Arial" w:eastAsia="Arial" w:hAnsi="Arial"/>
          <w:sz w:val="18"/>
          <w:szCs w:val="18"/>
          <w:color w:val="auto"/>
        </w:rPr>
      </w:pPr>
    </w:p>
    <w:p>
      <w:pPr>
        <w:jc w:val="both"/>
        <w:ind w:left="840" w:hanging="333"/>
        <w:spacing w:after="0" w:line="242"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17.1% growth in the balance of </w:t>
      </w:r>
      <w:r>
        <w:rPr>
          <w:rFonts w:ascii="Arial" w:cs="Arial" w:eastAsia="Arial" w:hAnsi="Arial"/>
          <w:sz w:val="18"/>
          <w:szCs w:val="18"/>
          <w:b w:val="1"/>
          <w:bCs w:val="1"/>
          <w:color w:val="auto"/>
        </w:rPr>
        <w:t>Demand Deposits</w:t>
      </w:r>
      <w:r>
        <w:rPr>
          <w:rFonts w:ascii="Arial" w:cs="Arial" w:eastAsia="Arial" w:hAnsi="Arial"/>
          <w:sz w:val="18"/>
          <w:szCs w:val="18"/>
          <w:color w:val="auto"/>
        </w:rPr>
        <w:t>, which was fueled by growth in the LC balance at BCP Stand-alone. The increase in LC was mainly attributable to the evolution of the balance for Wholesale Banking, which rose due same dynamics seen QoQ, and secondarily to SMEs, where the balance increased through fund inflows from government loan disbursements.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2" w:name="page23"/>
    <w:bookmarkEnd w:id="22"/>
    <w:p>
      <w:pPr>
        <w:ind w:left="2720"/>
        <w:spacing w:after="0"/>
        <w:tabs>
          <w:tab w:leader="none" w:pos="2960" w:val="left"/>
          <w:tab w:leader="none" w:pos="76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02590"/>
                    </a:xfrm>
                    <a:prstGeom prst="rect">
                      <a:avLst/>
                    </a:prstGeom>
                    <a:noFill/>
                  </pic:spPr>
                </pic:pic>
              </a:graphicData>
            </a:graphic>
          </wp:anchor>
        </w:drawing>
        <w:t>|</w:t>
      </w:r>
      <w:r>
        <w:rPr>
          <w:sz w:val="20"/>
          <w:szCs w:val="20"/>
          <w:color w:val="auto"/>
        </w:rPr>
        <w:tab/>
      </w:r>
      <w:r>
        <w:rPr>
          <w:rFonts w:ascii="Arial" w:cs="Arial" w:eastAsia="Arial" w:hAnsi="Arial"/>
          <w:sz w:val="16"/>
          <w:szCs w:val="16"/>
          <w:color w:val="FFFFFF"/>
        </w:rPr>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FFFFFF"/>
        </w:rPr>
        <w:t>02.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aforementioned was offset by:</w:t>
      </w:r>
    </w:p>
    <w:p>
      <w:pPr>
        <w:spacing w:after="0" w:line="14" w:lineRule="exact"/>
        <w:rPr>
          <w:sz w:val="20"/>
          <w:szCs w:val="20"/>
          <w:color w:val="auto"/>
        </w:rPr>
      </w:pPr>
    </w:p>
    <w:p>
      <w:pPr>
        <w:jc w:val="both"/>
        <w:ind w:left="840" w:hanging="333"/>
        <w:spacing w:after="0" w:line="242"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 4.9% contraction in the </w:t>
      </w:r>
      <w:r>
        <w:rPr>
          <w:rFonts w:ascii="Arial" w:cs="Arial" w:eastAsia="Arial" w:hAnsi="Arial"/>
          <w:sz w:val="18"/>
          <w:szCs w:val="18"/>
          <w:b w:val="1"/>
          <w:bCs w:val="1"/>
          <w:color w:val="auto"/>
        </w:rPr>
        <w:t>Time Deposit</w:t>
      </w:r>
      <w:r>
        <w:rPr>
          <w:rFonts w:ascii="Arial" w:cs="Arial" w:eastAsia="Arial" w:hAnsi="Arial"/>
          <w:sz w:val="18"/>
          <w:szCs w:val="18"/>
          <w:color w:val="auto"/>
        </w:rPr>
        <w:t xml:space="preserve"> balance, which was mainly fueled by a drop in the FC balance at BCP Stand-alone. This decrease was due to the same dynamics seen </w:t>
      </w:r>
      <w:r>
        <w:rPr>
          <w:rFonts w:ascii="Arial" w:cs="Arial" w:eastAsia="Arial" w:hAnsi="Arial"/>
          <w:sz w:val="18"/>
          <w:szCs w:val="18"/>
          <w:b w:val="1"/>
          <w:bCs w:val="1"/>
          <w:color w:val="auto"/>
        </w:rPr>
        <w:t>QoQ</w:t>
      </w:r>
      <w:r>
        <w:rPr>
          <w:rFonts w:ascii="Arial" w:cs="Arial" w:eastAsia="Arial" w:hAnsi="Arial"/>
          <w:sz w:val="18"/>
          <w:szCs w:val="18"/>
          <w:color w:val="auto"/>
        </w:rPr>
        <w:t>, but was partially offset by growth in the LC balance in Individuals, which rose on the back of fund inflows from profit-sharing payments.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It is important to note that over the year, our Low-cost deposit balance rose 16.9% </w:t>
      </w:r>
      <w:r>
        <w:rPr>
          <w:rFonts w:ascii="Arial" w:cs="Arial" w:eastAsia="Arial" w:hAnsi="Arial"/>
          <w:sz w:val="18"/>
          <w:szCs w:val="18"/>
          <w:b w:val="1"/>
          <w:bCs w:val="1"/>
          <w:color w:val="auto"/>
        </w:rPr>
        <w:t>YoY</w:t>
      </w:r>
      <w:r>
        <w:rPr>
          <w:rFonts w:ascii="Arial" w:cs="Arial" w:eastAsia="Arial" w:hAnsi="Arial"/>
          <w:sz w:val="18"/>
          <w:szCs w:val="18"/>
          <w:color w:val="auto"/>
        </w:rPr>
        <w:t xml:space="preserve">. Currently, this balance represents 71.8% (+437 bps YoY) of </w:t>
      </w:r>
      <w:r>
        <w:rPr>
          <w:rFonts w:ascii="Arial" w:cs="Arial" w:eastAsia="Arial" w:hAnsi="Arial"/>
          <w:sz w:val="18"/>
          <w:szCs w:val="18"/>
          <w:b w:val="1"/>
          <w:bCs w:val="1"/>
          <w:color w:val="auto"/>
        </w:rPr>
        <w:t>Total Deposits</w:t>
      </w:r>
      <w:r>
        <w:rPr>
          <w:rFonts w:ascii="Arial" w:cs="Arial" w:eastAsia="Arial" w:hAnsi="Arial"/>
          <w:sz w:val="18"/>
          <w:szCs w:val="18"/>
          <w:color w:val="auto"/>
        </w:rPr>
        <w:t>. This growth reflects an improvement management of the deposit mix to strengthen the financial margin in a context marked by low rates.</w:t>
      </w:r>
    </w:p>
    <w:p>
      <w:pPr>
        <w:sectPr>
          <w:pgSz w:w="11900" w:h="16838" w:orient="portrait"/>
          <w:cols w:equalWidth="0" w:num="1">
            <w:col w:w="11240"/>
          </w:cols>
          <w:pgMar w:left="320" w:top="323" w:right="339" w:bottom="1440" w:gutter="0" w:footer="0" w:header="0"/>
        </w:sect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Dollarization Level of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103505</wp:posOffset>
            </wp:positionV>
            <wp:extent cx="2219960" cy="17830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1996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 / Deposit Ratio (L/D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16510</wp:posOffset>
            </wp:positionV>
            <wp:extent cx="2888615" cy="1602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88615" cy="1602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end of March 2025, the dollarization level of </w:t>
      </w:r>
      <w:r>
        <w:rPr>
          <w:rFonts w:ascii="Arial" w:cs="Arial" w:eastAsia="Arial" w:hAnsi="Arial"/>
          <w:sz w:val="18"/>
          <w:szCs w:val="18"/>
          <w:b w:val="1"/>
          <w:bCs w:val="1"/>
          <w:color w:val="auto"/>
        </w:rPr>
        <w:t>Total Deposits</w:t>
      </w:r>
      <w:r>
        <w:rPr>
          <w:rFonts w:ascii="Arial" w:cs="Arial" w:eastAsia="Arial" w:hAnsi="Arial"/>
          <w:sz w:val="18"/>
          <w:szCs w:val="18"/>
          <w:color w:val="auto"/>
        </w:rPr>
        <w:t xml:space="preserve"> dropped 245 bps </w:t>
      </w:r>
      <w:r>
        <w:rPr>
          <w:rFonts w:ascii="Arial" w:cs="Arial" w:eastAsia="Arial" w:hAnsi="Arial"/>
          <w:sz w:val="18"/>
          <w:szCs w:val="18"/>
          <w:b w:val="1"/>
          <w:bCs w:val="1"/>
          <w:color w:val="auto"/>
        </w:rPr>
        <w:t>QoQ</w:t>
      </w:r>
      <w:r>
        <w:rPr>
          <w:rFonts w:ascii="Arial" w:cs="Arial" w:eastAsia="Arial" w:hAnsi="Arial"/>
          <w:sz w:val="18"/>
          <w:szCs w:val="18"/>
          <w:color w:val="auto"/>
        </w:rPr>
        <w:t xml:space="preserve"> to stand at 44.4%, below the average for the last 2 years (48.2%). This result was driven by growth in </w:t>
      </w:r>
      <w:r>
        <w:rPr>
          <w:rFonts w:ascii="Arial" w:cs="Arial" w:eastAsia="Arial" w:hAnsi="Arial"/>
          <w:sz w:val="18"/>
          <w:szCs w:val="18"/>
          <w:b w:val="1"/>
          <w:bCs w:val="1"/>
          <w:color w:val="auto"/>
        </w:rPr>
        <w:t>Demand</w:t>
      </w:r>
      <w:r>
        <w:rPr>
          <w:rFonts w:ascii="Arial" w:cs="Arial" w:eastAsia="Arial" w:hAnsi="Arial"/>
          <w:sz w:val="18"/>
          <w:szCs w:val="18"/>
          <w:color w:val="auto"/>
        </w:rPr>
        <w:t xml:space="preserve"> </w:t>
      </w:r>
      <w:r>
        <w:rPr>
          <w:rFonts w:ascii="Arial" w:cs="Arial" w:eastAsia="Arial" w:hAnsi="Arial"/>
          <w:sz w:val="18"/>
          <w:szCs w:val="18"/>
          <w:b w:val="1"/>
          <w:bCs w:val="1"/>
          <w:color w:val="auto"/>
        </w:rPr>
        <w:t>Deposits</w:t>
      </w:r>
      <w:r>
        <w:rPr>
          <w:rFonts w:ascii="Arial" w:cs="Arial" w:eastAsia="Arial" w:hAnsi="Arial"/>
          <w:sz w:val="18"/>
          <w:szCs w:val="18"/>
          <w:color w:val="auto"/>
        </w:rPr>
        <w:t>, which was fueled by growth in institutional deposits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b w:val="1"/>
          <w:bCs w:val="1"/>
          <w:color w:val="auto"/>
        </w:rPr>
        <w:t>Savings Deposits</w:t>
      </w:r>
      <w:r>
        <w:rPr>
          <w:rFonts w:ascii="Arial" w:cs="Arial" w:eastAsia="Arial" w:hAnsi="Arial"/>
          <w:sz w:val="18"/>
          <w:szCs w:val="18"/>
          <w:color w:val="auto"/>
        </w:rPr>
        <w:t xml:space="preserve">, the latter associated with employee profit-sharing payments.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in FC dropped due to maturities, which also impacted the ratio this quarter.</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the dollarization level dropped 520 bps. This decline was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driven mainly by growth in LC fund captures and secondarily by the same dynamics seen QoQ.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also drove the drop in FC balances, impacted by the same dynamics mentioned in the QoQ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492760</wp:posOffset>
            </wp:positionV>
            <wp:extent cx="6163310" cy="17570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63310"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the L/D ratio rose 10 bps at BCP Stand-alone, driven by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slight contraction in </w:t>
      </w:r>
      <w:r>
        <w:rPr>
          <w:rFonts w:ascii="Arial" w:cs="Arial" w:eastAsia="Arial" w:hAnsi="Arial"/>
          <w:sz w:val="18"/>
          <w:szCs w:val="18"/>
          <w:b w:val="1"/>
          <w:bCs w:val="1"/>
          <w:color w:val="auto"/>
        </w:rPr>
        <w:t>Total Deposit</w:t>
      </w:r>
      <w:r>
        <w:rPr>
          <w:rFonts w:ascii="Arial" w:cs="Arial" w:eastAsia="Arial" w:hAnsi="Arial"/>
          <w:sz w:val="18"/>
          <w:szCs w:val="18"/>
          <w:color w:val="auto"/>
        </w:rPr>
        <w:t xml:space="preserve">, which was offset by a drop in quarter- end loans in the wholesale segment. At Mibanco, the ratio fell 20 bps, fueled primarily by growth in </w:t>
      </w:r>
      <w:r>
        <w:rPr>
          <w:rFonts w:ascii="Arial" w:cs="Arial" w:eastAsia="Arial" w:hAnsi="Arial"/>
          <w:sz w:val="18"/>
          <w:szCs w:val="18"/>
          <w:b w:val="1"/>
          <w:bCs w:val="1"/>
          <w:color w:val="auto"/>
        </w:rPr>
        <w:t>Time Deposits</w:t>
      </w:r>
      <w:r>
        <w:rPr>
          <w:rFonts w:ascii="Arial" w:cs="Arial" w:eastAsia="Arial" w:hAnsi="Arial"/>
          <w:sz w:val="18"/>
          <w:szCs w:val="18"/>
          <w:color w:val="auto"/>
        </w:rPr>
        <w:t>. This expansion was offset by an uptick in loans, which rose on the back of improvements in models and in efforts to step-up offerings to new clients.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the L/D ratio dropped 565 bps and 1873 bps at BCP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Mibanco respectively. At BCP Stand-alone, the decrease was driven by growth in </w:t>
      </w:r>
      <w:r>
        <w:rPr>
          <w:rFonts w:ascii="Arial" w:cs="Arial" w:eastAsia="Arial" w:hAnsi="Arial"/>
          <w:sz w:val="18"/>
          <w:szCs w:val="18"/>
          <w:b w:val="1"/>
          <w:bCs w:val="1"/>
          <w:color w:val="auto"/>
        </w:rPr>
        <w:t>Low-cost Deposits</w:t>
      </w:r>
      <w:r>
        <w:rPr>
          <w:rFonts w:ascii="Arial" w:cs="Arial" w:eastAsia="Arial" w:hAnsi="Arial"/>
          <w:sz w:val="18"/>
          <w:szCs w:val="18"/>
          <w:color w:val="auto"/>
        </w:rPr>
        <w:t xml:space="preserve"> in a context marked by high liquidity. This expansion was partially offset by loan growth in the wholesale and retail sector. At Mibanco, the L/D ratio decreased due to growth in time deposits and a contraction in loans, which were impacted by stricter lending guidelines.</w:t>
      </w:r>
    </w:p>
    <w:p>
      <w:pPr>
        <w:spacing w:after="0" w:line="200" w:lineRule="exact"/>
        <w:rPr>
          <w:sz w:val="20"/>
          <w:szCs w:val="20"/>
          <w:color w:val="auto"/>
        </w:rPr>
      </w:pPr>
    </w:p>
    <w:p>
      <w:pPr>
        <w:sectPr>
          <w:pgSz w:w="11900" w:h="16838" w:orient="portrait"/>
          <w:cols w:equalWidth="0" w:num="2">
            <w:col w:w="5120" w:space="720"/>
            <w:col w:w="5400"/>
          </w:cols>
          <w:pgMar w:left="320" w:top="323" w:right="339" w:bottom="1440" w:gutter="0" w:footer="0" w:header="0"/>
          <w:type w:val="continuous"/>
        </w:sectPr>
      </w:pPr>
    </w:p>
    <w:p>
      <w:pPr>
        <w:spacing w:after="0" w:line="14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23" w:name="page24"/>
    <w:bookmarkEnd w:id="23"/>
    <w:p>
      <w:pPr>
        <w:ind w:left="2720"/>
        <w:spacing w:after="0"/>
        <w:tabs>
          <w:tab w:leader="none" w:pos="2960" w:val="left"/>
          <w:tab w:leader="none" w:pos="7620" w:val="left"/>
        </w:tabs>
        <w:rPr>
          <w:sz w:val="20"/>
          <w:szCs w:val="20"/>
          <w:color w:val="auto"/>
        </w:rPr>
      </w:pPr>
      <w:r>
        <w:rPr>
          <w:rFonts w:ascii="Arial" w:cs="Arial" w:eastAsia="Arial" w:hAnsi="Arial"/>
          <w:sz w:val="18"/>
          <w:szCs w:val="18"/>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2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402590"/>
                    </a:xfrm>
                    <a:prstGeom prst="rect">
                      <a:avLst/>
                    </a:prstGeom>
                    <a:noFill/>
                  </pic:spPr>
                </pic:pic>
              </a:graphicData>
            </a:graphic>
          </wp:anchor>
        </w:drawing>
        <w:t>|</w:t>
      </w:r>
      <w:r>
        <w:rPr>
          <w:rFonts w:ascii="Arial" w:cs="Arial" w:eastAsia="Arial" w:hAnsi="Arial"/>
          <w:sz w:val="18"/>
          <w:szCs w:val="18"/>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FFFFFF"/>
        </w:rPr>
        <w:t>02.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this context, the L/D ratio at Credicorp stood at 89.6%.</w:t>
      </w:r>
    </w:p>
    <w:p>
      <w:pPr>
        <w:spacing w:after="0" w:line="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L/D Ratio Local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126365</wp:posOffset>
            </wp:positionV>
            <wp:extent cx="2640330" cy="13455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40330" cy="1345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L/D Ratio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144780</wp:posOffset>
            </wp:positionV>
            <wp:extent cx="2648585" cy="13373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48585" cy="1337310"/>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6680" w:space="720"/>
            <w:col w:w="3840"/>
          </w:cols>
          <w:pgMar w:left="320" w:top="3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Share (MS) of Deposits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8890</wp:posOffset>
            </wp:positionV>
            <wp:extent cx="5966460" cy="25031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646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the end of March 2025, the MS for Total Deposits at BCP Stand-alone and Mibanco in Peru was 31.9% and 2.7% respectively (84 bps and 14 bps vs March 2024 respectively). As such, BCP continues to lead the market for total deposits.</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BCP Stand-alone registered YoY growth in low-cost deposits (+15.6%); this level stood above the increase reported by the financial system (+10.5%). BCP continues to lead the market for low-cost deposits with an MS of 40.6% as of March 2025 (177 bps vs March 2024). Time deposits rose across the financial system (+2.4% vs March 2024), but BCP fell 6.8% vs March 24. In this context, BCP Stand-alone’s MS fell (-163 bps vs March 2024) to stand at 17.2% at the end of March 2025.</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Credicorp’s share (BCP + Mibanco) of the market for low-cost deposits rose 191 bps versus the figure in March 2024 to stand at 41.3% at the end of March 2025. Over the same period, Credicorp’s market share of time deposits fell 122 bps versus the figure for March 2024 and stood at 23.2% at the end of March 2025.</w:t>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24" w:name="page25"/>
    <w:bookmarkEnd w:id="24"/>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384" w:lineRule="exact"/>
        <w:rPr>
          <w:sz w:val="20"/>
          <w:szCs w:val="20"/>
          <w:color w:val="auto"/>
        </w:rPr>
      </w:pPr>
    </w:p>
    <w:p>
      <w:pPr>
        <w:ind w:left="460"/>
        <w:spacing w:after="0"/>
        <w:rPr>
          <w:sz w:val="20"/>
          <w:szCs w:val="20"/>
          <w:color w:val="auto"/>
        </w:rPr>
      </w:pPr>
      <w:r>
        <w:rPr>
          <w:rFonts w:ascii="Arial" w:cs="Arial" w:eastAsia="Arial" w:hAnsi="Arial"/>
          <w:sz w:val="52"/>
          <w:szCs w:val="52"/>
          <w:b w:val="1"/>
          <w:bCs w:val="1"/>
          <w:color w:val="E93BAB"/>
        </w:rPr>
        <w:t xml:space="preserve">03 </w:t>
      </w:r>
      <w:r>
        <w:rPr>
          <w:rFonts w:ascii="Arial" w:cs="Arial" w:eastAsia="Arial" w:hAnsi="Arial"/>
          <w:sz w:val="32"/>
          <w:szCs w:val="32"/>
          <w:color w:val="E93BAB"/>
        </w:rPr>
        <w:t>Interest-Earning Assets (IEA) and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160020</wp:posOffset>
            </wp:positionV>
            <wp:extent cx="6557645" cy="1431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57645" cy="1431290"/>
                    </a:xfrm>
                    <a:prstGeom prst="rect">
                      <a:avLst/>
                    </a:prstGeom>
                    <a:noFill/>
                  </pic:spPr>
                </pic:pic>
              </a:graphicData>
            </a:graphic>
          </wp:anchor>
        </w:drawing>
      </w:r>
    </w:p>
    <w:p>
      <w:pPr>
        <w:spacing w:after="0" w:line="308" w:lineRule="exact"/>
        <w:rPr>
          <w:sz w:val="20"/>
          <w:szCs w:val="20"/>
          <w:color w:val="auto"/>
        </w:rPr>
      </w:pPr>
    </w:p>
    <w:p>
      <w:pPr>
        <w:jc w:val="both"/>
        <w:ind w:left="580" w:right="560"/>
        <w:spacing w:after="0" w:line="271" w:lineRule="auto"/>
        <w:rPr>
          <w:sz w:val="20"/>
          <w:szCs w:val="20"/>
          <w:color w:val="auto"/>
        </w:rPr>
      </w:pPr>
      <w:r>
        <w:rPr>
          <w:rFonts w:ascii="Arial" w:cs="Arial" w:eastAsia="Arial" w:hAnsi="Arial"/>
          <w:sz w:val="18"/>
          <w:szCs w:val="18"/>
          <w:color w:val="FFFFFF"/>
        </w:rPr>
        <w:t>Excluding the effect of the accounting adjustment associated with the balance sheet of BCP Bolivia, the evolution of the IEA and funding presented the following dynamics:</w:t>
      </w:r>
    </w:p>
    <w:p>
      <w:pPr>
        <w:spacing w:after="0" w:line="167" w:lineRule="exact"/>
        <w:rPr>
          <w:sz w:val="20"/>
          <w:szCs w:val="20"/>
          <w:color w:val="auto"/>
        </w:rPr>
      </w:pPr>
    </w:p>
    <w:p>
      <w:pPr>
        <w:jc w:val="both"/>
        <w:ind w:left="580" w:right="560"/>
        <w:spacing w:after="0" w:line="253" w:lineRule="auto"/>
        <w:rPr>
          <w:sz w:val="20"/>
          <w:szCs w:val="20"/>
          <w:color w:val="auto"/>
        </w:rPr>
      </w:pPr>
      <w:r>
        <w:rPr>
          <w:rFonts w:ascii="Arial" w:cs="Arial" w:eastAsia="Arial" w:hAnsi="Arial"/>
          <w:sz w:val="18"/>
          <w:szCs w:val="18"/>
          <w:color w:val="FFFFFF"/>
        </w:rPr>
        <w:t>QoQ, IEA dropped 0.1% primarily due to a contraction in Cash and due from banks and secondarily to a decrease in the Loan balance. These dynamics were partially offset by an increase in the investment balance in a context of a gradual acceleration in loan growth. Funding dropped 0.5%, mainly on the back of a bond maturity at BCP.</w:t>
      </w:r>
    </w:p>
    <w:p>
      <w:pPr>
        <w:spacing w:after="0" w:line="169" w:lineRule="exact"/>
        <w:rPr>
          <w:sz w:val="20"/>
          <w:szCs w:val="20"/>
          <w:color w:val="auto"/>
        </w:rPr>
      </w:pPr>
    </w:p>
    <w:p>
      <w:pPr>
        <w:jc w:val="both"/>
        <w:ind w:left="580" w:right="560"/>
        <w:spacing w:after="0" w:line="253" w:lineRule="auto"/>
        <w:rPr>
          <w:sz w:val="20"/>
          <w:szCs w:val="20"/>
          <w:color w:val="auto"/>
        </w:rPr>
      </w:pPr>
      <w:r>
        <w:rPr>
          <w:rFonts w:ascii="Arial" w:cs="Arial" w:eastAsia="Arial" w:hAnsi="Arial"/>
          <w:sz w:val="18"/>
          <w:szCs w:val="18"/>
          <w:color w:val="FFFFFF"/>
        </w:rPr>
        <w:t>YoY, IEA rose 6.4% due to growth in Cash and due from banks, which reflects a high-liquidity environment. Balances for Loans and Total Investments also contributed to growth in IEA, albeit to a lesser extent. Funding rose 6.7% due to expansion in deposits, which was concentrated in low-cost deposits, reflecting BCP’s solid transactional offering.</w:t>
      </w:r>
    </w:p>
    <w:p>
      <w:pPr>
        <w:spacing w:after="0" w:line="2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quarter, our balance sheet figures were impacted by an accounting adjustment (cash flow-neutral). In March, Credicorp revalued BCP Bolivia’s Balance Sheet using an exchange rate that better reflects that market’s current exchange rate, generating a accounting contraction of 2.0% in Credicorp’s total assets.</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When analyzing the evolution of the IEA and funding, we will focus on the operating dynamics, excluding the impact of the accounting adjustment.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IEA</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604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Interest earning assets</w:t>
            </w:r>
          </w:p>
        </w:tc>
        <w:tc>
          <w:tcPr>
            <w:tcW w:w="1220" w:type="dxa"/>
            <w:vAlign w:val="bottom"/>
            <w:tcBorders>
              <w:top w:val="single" w:sz="8" w:color="auto"/>
            </w:tcBorders>
            <w:shd w:val="clear" w:color="auto" w:fill="2AD2C9"/>
          </w:tcPr>
          <w:p>
            <w:pPr>
              <w:spacing w:after="0"/>
              <w:rPr>
                <w:sz w:val="17"/>
                <w:szCs w:val="17"/>
                <w:color w:val="auto"/>
              </w:rPr>
            </w:pPr>
          </w:p>
        </w:tc>
        <w:tc>
          <w:tcPr>
            <w:tcW w:w="124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w w:val="99"/>
              </w:rPr>
              <w:t>As of</w:t>
            </w:r>
          </w:p>
        </w:tc>
        <w:tc>
          <w:tcPr>
            <w:tcW w:w="1260" w:type="dxa"/>
            <w:vAlign w:val="bottom"/>
            <w:tcBorders>
              <w:top w:val="single" w:sz="8" w:color="auto"/>
              <w:right w:val="single" w:sz="8" w:color="auto"/>
            </w:tcBorders>
            <w:shd w:val="clear" w:color="auto" w:fill="2AD2C9"/>
          </w:tcPr>
          <w:p>
            <w:pPr>
              <w:spacing w:after="0"/>
              <w:rPr>
                <w:sz w:val="17"/>
                <w:szCs w:val="17"/>
                <w:color w:val="auto"/>
              </w:rPr>
            </w:pPr>
          </w:p>
        </w:tc>
        <w:tc>
          <w:tcPr>
            <w:tcW w:w="1480" w:type="dxa"/>
            <w:vAlign w:val="bottom"/>
            <w:tcBorders>
              <w:top w:val="single" w:sz="8" w:color="auto"/>
              <w:right w:val="single" w:sz="8" w:color="auto"/>
            </w:tcBorders>
            <w:gridSpan w:val="2"/>
            <w:shd w:val="clear" w:color="auto" w:fill="2AD2C9"/>
          </w:tcPr>
          <w:p>
            <w:pPr>
              <w:ind w:left="360"/>
              <w:spacing w:after="0"/>
              <w:rPr>
                <w:sz w:val="20"/>
                <w:szCs w:val="20"/>
                <w:color w:val="auto"/>
              </w:rPr>
            </w:pPr>
            <w:r>
              <w:rPr>
                <w:rFonts w:ascii="Arial" w:cs="Arial" w:eastAsia="Arial" w:hAnsi="Arial"/>
                <w:sz w:val="16"/>
                <w:szCs w:val="16"/>
                <w:b w:val="1"/>
                <w:bCs w:val="1"/>
                <w:color w:val="FFFFFF"/>
              </w:rPr>
              <w:t>% change</w:t>
            </w:r>
          </w:p>
        </w:tc>
      </w:tr>
      <w:tr>
        <w:trPr>
          <w:trHeight w:val="189"/>
        </w:trPr>
        <w:tc>
          <w:tcPr>
            <w:tcW w:w="604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S/000</w:t>
            </w:r>
          </w:p>
        </w:tc>
        <w:tc>
          <w:tcPr>
            <w:tcW w:w="122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16"/>
                <w:szCs w:val="16"/>
                <w:b w:val="1"/>
                <w:bCs w:val="1"/>
                <w:color w:val="FFFFFF"/>
              </w:rPr>
              <w:t>Mar 24</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Dec 24</w:t>
            </w:r>
          </w:p>
        </w:tc>
        <w:tc>
          <w:tcPr>
            <w:tcW w:w="126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6"/>
                <w:szCs w:val="16"/>
                <w:b w:val="1"/>
                <w:bCs w:val="1"/>
                <w:color w:val="FFFFFF"/>
              </w:rPr>
              <w:t>Mar 25</w:t>
            </w:r>
          </w:p>
        </w:tc>
        <w:tc>
          <w:tcPr>
            <w:tcW w:w="720" w:type="dxa"/>
            <w:vAlign w:val="bottom"/>
            <w:tcBorders>
              <w:bottom w:val="single" w:sz="8" w:color="auto"/>
            </w:tcBorders>
            <w:shd w:val="clear" w:color="auto" w:fill="2AD2C9"/>
          </w:tcPr>
          <w:p>
            <w:pPr>
              <w:ind w:left="180"/>
              <w:spacing w:after="0"/>
              <w:rPr>
                <w:sz w:val="20"/>
                <w:szCs w:val="20"/>
                <w:color w:val="auto"/>
              </w:rPr>
            </w:pPr>
            <w:r>
              <w:rPr>
                <w:rFonts w:ascii="Arial" w:cs="Arial" w:eastAsia="Arial" w:hAnsi="Arial"/>
                <w:sz w:val="16"/>
                <w:szCs w:val="16"/>
                <w:b w:val="1"/>
                <w:bCs w:val="1"/>
                <w:color w:val="FFFFFF"/>
              </w:rPr>
              <w:t>QoQ</w:t>
            </w:r>
          </w:p>
        </w:tc>
        <w:tc>
          <w:tcPr>
            <w:tcW w:w="760" w:type="dxa"/>
            <w:vAlign w:val="bottom"/>
            <w:tcBorders>
              <w:bottom w:val="single" w:sz="8" w:color="auto"/>
              <w:right w:val="single" w:sz="8" w:color="auto"/>
            </w:tcBorders>
            <w:shd w:val="clear" w:color="auto" w:fill="2AD2C9"/>
          </w:tcPr>
          <w:p>
            <w:pPr>
              <w:ind w:left="220"/>
              <w:spacing w:after="0"/>
              <w:rPr>
                <w:sz w:val="20"/>
                <w:szCs w:val="20"/>
                <w:color w:val="auto"/>
              </w:rPr>
            </w:pPr>
            <w:r>
              <w:rPr>
                <w:rFonts w:ascii="Arial" w:cs="Arial" w:eastAsia="Arial" w:hAnsi="Arial"/>
                <w:sz w:val="16"/>
                <w:szCs w:val="16"/>
                <w:b w:val="1"/>
                <w:bCs w:val="1"/>
                <w:color w:val="FFFFFF"/>
              </w:rPr>
              <w:t>YoY</w:t>
            </w:r>
          </w:p>
        </w:tc>
      </w:tr>
      <w:tr>
        <w:trPr>
          <w:trHeight w:val="168"/>
        </w:trPr>
        <w:tc>
          <w:tcPr>
            <w:tcW w:w="604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6"/>
                <w:szCs w:val="16"/>
                <w:color w:val="auto"/>
              </w:rPr>
              <w:t>Cash and due from banks</w:t>
            </w:r>
          </w:p>
        </w:tc>
        <w:tc>
          <w:tcPr>
            <w:tcW w:w="1220" w:type="dxa"/>
            <w:vAlign w:val="bottom"/>
          </w:tcPr>
          <w:p>
            <w:pPr>
              <w:jc w:val="center"/>
              <w:spacing w:after="0" w:line="168" w:lineRule="exact"/>
              <w:rPr>
                <w:sz w:val="20"/>
                <w:szCs w:val="20"/>
                <w:color w:val="auto"/>
              </w:rPr>
            </w:pPr>
            <w:r>
              <w:rPr>
                <w:rFonts w:ascii="Arial" w:cs="Arial" w:eastAsia="Arial" w:hAnsi="Arial"/>
                <w:sz w:val="16"/>
                <w:szCs w:val="16"/>
                <w:color w:val="auto"/>
                <w:w w:val="99"/>
              </w:rPr>
              <w:t>31,134,572</w:t>
            </w:r>
          </w:p>
        </w:tc>
        <w:tc>
          <w:tcPr>
            <w:tcW w:w="1240" w:type="dxa"/>
            <w:vAlign w:val="bottom"/>
          </w:tcPr>
          <w:p>
            <w:pPr>
              <w:jc w:val="center"/>
              <w:spacing w:after="0" w:line="168" w:lineRule="exact"/>
              <w:rPr>
                <w:sz w:val="20"/>
                <w:szCs w:val="20"/>
                <w:color w:val="auto"/>
              </w:rPr>
            </w:pPr>
            <w:r>
              <w:rPr>
                <w:rFonts w:ascii="Arial" w:cs="Arial" w:eastAsia="Arial" w:hAnsi="Arial"/>
                <w:sz w:val="16"/>
                <w:szCs w:val="16"/>
                <w:color w:val="auto"/>
                <w:w w:val="99"/>
              </w:rPr>
              <w:t>40,119,937</w:t>
            </w:r>
          </w:p>
        </w:tc>
        <w:tc>
          <w:tcPr>
            <w:tcW w:w="126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color w:val="auto"/>
                <w:w w:val="99"/>
              </w:rPr>
              <w:t>37,521,839</w:t>
            </w:r>
          </w:p>
        </w:tc>
        <w:tc>
          <w:tcPr>
            <w:tcW w:w="720" w:type="dxa"/>
            <w:vAlign w:val="bottom"/>
          </w:tcPr>
          <w:p>
            <w:pPr>
              <w:jc w:val="center"/>
              <w:spacing w:after="0" w:line="168" w:lineRule="exact"/>
              <w:rPr>
                <w:sz w:val="20"/>
                <w:szCs w:val="20"/>
                <w:color w:val="auto"/>
              </w:rPr>
            </w:pPr>
            <w:r>
              <w:rPr>
                <w:rFonts w:ascii="Arial" w:cs="Arial" w:eastAsia="Arial" w:hAnsi="Arial"/>
                <w:sz w:val="16"/>
                <w:szCs w:val="16"/>
                <w:color w:val="auto"/>
              </w:rPr>
              <w:t>-6.5%</w:t>
            </w:r>
          </w:p>
        </w:tc>
        <w:tc>
          <w:tcPr>
            <w:tcW w:w="76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20.5%</w:t>
            </w:r>
          </w:p>
        </w:tc>
      </w:tr>
      <w:tr>
        <w:trPr>
          <w:trHeight w:val="189"/>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Total investments</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52,555,386</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53,825,858</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55,604,610</w:t>
            </w:r>
          </w:p>
        </w:tc>
        <w:tc>
          <w:tcPr>
            <w:tcW w:w="720" w:type="dxa"/>
            <w:vAlign w:val="bottom"/>
          </w:tcPr>
          <w:p>
            <w:pPr>
              <w:jc w:val="center"/>
              <w:spacing w:after="0"/>
              <w:rPr>
                <w:sz w:val="20"/>
                <w:szCs w:val="20"/>
                <w:color w:val="auto"/>
              </w:rPr>
            </w:pPr>
            <w:r>
              <w:rPr>
                <w:rFonts w:ascii="Arial" w:cs="Arial" w:eastAsia="Arial" w:hAnsi="Arial"/>
                <w:sz w:val="16"/>
                <w:szCs w:val="16"/>
                <w:color w:val="auto"/>
                <w:w w:val="98"/>
              </w:rPr>
              <w:t>3.3%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5.8%</w:t>
            </w:r>
          </w:p>
        </w:tc>
      </w:tr>
      <w:tr>
        <w:trPr>
          <w:trHeight w:val="189"/>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Cash collateral, reverse repurchase agreements and securities borrowing</w:t>
            </w:r>
          </w:p>
        </w:tc>
        <w:tc>
          <w:tcPr>
            <w:tcW w:w="1220" w:type="dxa"/>
            <w:vAlign w:val="bottom"/>
          </w:tcPr>
          <w:p>
            <w:pPr>
              <w:jc w:val="center"/>
              <w:spacing w:after="0"/>
              <w:rPr>
                <w:sz w:val="20"/>
                <w:szCs w:val="20"/>
                <w:color w:val="auto"/>
              </w:rPr>
            </w:pPr>
            <w:r>
              <w:rPr>
                <w:rFonts w:ascii="Arial" w:cs="Arial" w:eastAsia="Arial" w:hAnsi="Arial"/>
                <w:sz w:val="16"/>
                <w:szCs w:val="16"/>
                <w:color w:val="auto"/>
              </w:rPr>
              <w:t>1,526,232</w:t>
            </w:r>
          </w:p>
        </w:tc>
        <w:tc>
          <w:tcPr>
            <w:tcW w:w="1240" w:type="dxa"/>
            <w:vAlign w:val="bottom"/>
          </w:tcPr>
          <w:p>
            <w:pPr>
              <w:jc w:val="center"/>
              <w:spacing w:after="0"/>
              <w:rPr>
                <w:sz w:val="20"/>
                <w:szCs w:val="20"/>
                <w:color w:val="auto"/>
              </w:rPr>
            </w:pPr>
            <w:r>
              <w:rPr>
                <w:rFonts w:ascii="Arial" w:cs="Arial" w:eastAsia="Arial" w:hAnsi="Arial"/>
                <w:sz w:val="16"/>
                <w:szCs w:val="16"/>
                <w:color w:val="auto"/>
              </w:rPr>
              <w:t>1,033,177</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1,835,893</w:t>
            </w:r>
          </w:p>
        </w:tc>
        <w:tc>
          <w:tcPr>
            <w:tcW w:w="720" w:type="dxa"/>
            <w:vAlign w:val="bottom"/>
          </w:tcPr>
          <w:p>
            <w:pPr>
              <w:jc w:val="center"/>
              <w:spacing w:after="0"/>
              <w:rPr>
                <w:sz w:val="20"/>
                <w:szCs w:val="20"/>
                <w:color w:val="auto"/>
              </w:rPr>
            </w:pPr>
            <w:r>
              <w:rPr>
                <w:rFonts w:ascii="Arial" w:cs="Arial" w:eastAsia="Arial" w:hAnsi="Arial"/>
                <w:sz w:val="16"/>
                <w:szCs w:val="16"/>
                <w:color w:val="auto"/>
              </w:rPr>
              <w:t>77.7%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20.3%</w:t>
            </w:r>
          </w:p>
        </w:tc>
      </w:tr>
      <w:tr>
        <w:trPr>
          <w:trHeight w:val="203"/>
        </w:trPr>
        <w:tc>
          <w:tcPr>
            <w:tcW w:w="6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Loans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140,798,083</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145,732,273</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141,196,646</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-3.1%</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0.3%</w:t>
            </w:r>
          </w:p>
        </w:tc>
      </w:tr>
      <w:tr>
        <w:trPr>
          <w:trHeight w:val="183"/>
        </w:trPr>
        <w:tc>
          <w:tcPr>
            <w:tcW w:w="604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Total interest earning assets</w:t>
            </w:r>
          </w:p>
        </w:tc>
        <w:tc>
          <w:tcPr>
            <w:tcW w:w="12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226,014,273</w:t>
            </w:r>
          </w:p>
        </w:tc>
        <w:tc>
          <w:tcPr>
            <w:tcW w:w="12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8"/>
              </w:rPr>
              <w:t>240,711,245</w:t>
            </w:r>
          </w:p>
        </w:tc>
        <w:tc>
          <w:tcPr>
            <w:tcW w:w="1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236,158,988</w:t>
            </w:r>
          </w:p>
        </w:tc>
        <w:tc>
          <w:tcPr>
            <w:tcW w:w="7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-1.9%</w:t>
            </w:r>
          </w:p>
        </w:tc>
        <w:tc>
          <w:tcPr>
            <w:tcW w:w="7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8"/>
              </w:rPr>
              <w:t>4.5%</w:t>
            </w: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IEA decreased 1.9% QoQ and rose 4.5% YoY. Excluding the effect of the accounting adjustment in BCP Bolivia, IEA presented the following dynamics: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QoQ, IEA remained relatively stable (-0.1% QoQ). This evolution was primarily attributable to a drop in Cash and due from banks and secondarily to a decrease in balances for Loans at quarter-end. Total investments partially offset the downward trend in IEA due to the increase in short and medium-term positions, in a context marked by a gradual acceleration in loan growth.</w:t>
      </w:r>
    </w:p>
    <w:p>
      <w:pPr>
        <w:spacing w:after="0" w:line="155"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YoY, IEA rose 6.4%, driven mainly by an increase in the balance of Cash and due from banks, which reflected accumulated liquidity driven by high transaction levels. Secondary drivers of growth in IEA were: i) an increase in the balance for Loans, which was mainly fueled by short-term financing for wholesale clients; and ii) growth in the balance for Investments, which reflected moves to capitalize on surplus liquidity</w:t>
      </w:r>
      <w:r>
        <w:rPr>
          <w:rFonts w:ascii="Arial" w:cs="Arial" w:eastAsia="Arial" w:hAnsi="Arial"/>
          <w:sz w:val="17"/>
          <w:szCs w:val="17"/>
          <w:b w:val="1"/>
          <w:bCs w:val="1"/>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Funding</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5120" w:type="dxa"/>
            <w:vAlign w:val="bottom"/>
            <w:tcBorders>
              <w:top w:val="single" w:sz="8" w:color="auto"/>
              <w:left w:val="single" w:sz="8" w:color="auto"/>
              <w:right w:val="single" w:sz="8" w:color="auto"/>
            </w:tcBorders>
            <w:shd w:val="clear" w:color="auto" w:fill="2AD2C9"/>
          </w:tcPr>
          <w:p>
            <w:pPr>
              <w:ind w:left="20"/>
              <w:spacing w:after="0" w:line="197" w:lineRule="exact"/>
              <w:rPr>
                <w:sz w:val="20"/>
                <w:szCs w:val="20"/>
                <w:color w:val="auto"/>
              </w:rPr>
            </w:pPr>
            <w:r>
              <w:rPr>
                <w:rFonts w:ascii="Arial" w:cs="Arial" w:eastAsia="Arial" w:hAnsi="Arial"/>
                <w:sz w:val="18"/>
                <w:szCs w:val="18"/>
                <w:b w:val="1"/>
                <w:bCs w:val="1"/>
                <w:color w:val="FFFFFF"/>
              </w:rPr>
              <w:t>Funding</w:t>
            </w:r>
          </w:p>
        </w:tc>
        <w:tc>
          <w:tcPr>
            <w:tcW w:w="1440" w:type="dxa"/>
            <w:vAlign w:val="bottom"/>
            <w:tcBorders>
              <w:top w:val="single" w:sz="8" w:color="auto"/>
            </w:tcBorders>
            <w:shd w:val="clear" w:color="auto" w:fill="2AD2C9"/>
          </w:tcPr>
          <w:p>
            <w:pPr>
              <w:spacing w:after="0"/>
              <w:rPr>
                <w:sz w:val="17"/>
                <w:szCs w:val="17"/>
                <w:color w:val="auto"/>
              </w:rPr>
            </w:pPr>
          </w:p>
        </w:tc>
        <w:tc>
          <w:tcPr>
            <w:tcW w:w="1420" w:type="dxa"/>
            <w:vAlign w:val="bottom"/>
            <w:tcBorders>
              <w:top w:val="single" w:sz="8" w:color="auto"/>
            </w:tcBorders>
            <w:shd w:val="clear" w:color="auto" w:fill="2AD2C9"/>
          </w:tcPr>
          <w:p>
            <w:pPr>
              <w:jc w:val="center"/>
              <w:spacing w:after="0" w:line="197" w:lineRule="exact"/>
              <w:rPr>
                <w:sz w:val="20"/>
                <w:szCs w:val="20"/>
                <w:color w:val="auto"/>
              </w:rPr>
            </w:pPr>
            <w:r>
              <w:rPr>
                <w:rFonts w:ascii="Arial" w:cs="Arial" w:eastAsia="Arial" w:hAnsi="Arial"/>
                <w:sz w:val="18"/>
                <w:szCs w:val="18"/>
                <w:b w:val="1"/>
                <w:bCs w:val="1"/>
                <w:color w:val="FFFFFF"/>
                <w:w w:val="97"/>
              </w:rPr>
              <w:t>As of</w:t>
            </w:r>
          </w:p>
        </w:tc>
        <w:tc>
          <w:tcPr>
            <w:tcW w:w="1440" w:type="dxa"/>
            <w:vAlign w:val="bottom"/>
            <w:tcBorders>
              <w:top w:val="single" w:sz="8" w:color="auto"/>
              <w:right w:val="single" w:sz="8" w:color="auto"/>
            </w:tcBorders>
            <w:shd w:val="clear" w:color="auto" w:fill="2AD2C9"/>
          </w:tcPr>
          <w:p>
            <w:pPr>
              <w:spacing w:after="0"/>
              <w:rPr>
                <w:sz w:val="17"/>
                <w:szCs w:val="17"/>
                <w:color w:val="auto"/>
              </w:rPr>
            </w:pPr>
          </w:p>
        </w:tc>
        <w:tc>
          <w:tcPr>
            <w:tcW w:w="1820" w:type="dxa"/>
            <w:vAlign w:val="bottom"/>
            <w:tcBorders>
              <w:top w:val="single" w:sz="8" w:color="auto"/>
              <w:right w:val="single" w:sz="8" w:color="auto"/>
            </w:tcBorders>
            <w:gridSpan w:val="2"/>
            <w:shd w:val="clear" w:color="auto" w:fill="2AD2C9"/>
          </w:tcPr>
          <w:p>
            <w:pPr>
              <w:ind w:left="480"/>
              <w:spacing w:after="0" w:line="197" w:lineRule="exact"/>
              <w:rPr>
                <w:sz w:val="20"/>
                <w:szCs w:val="20"/>
                <w:color w:val="auto"/>
              </w:rPr>
            </w:pPr>
            <w:r>
              <w:rPr>
                <w:rFonts w:ascii="Arial" w:cs="Arial" w:eastAsia="Arial" w:hAnsi="Arial"/>
                <w:sz w:val="18"/>
                <w:szCs w:val="18"/>
                <w:b w:val="1"/>
                <w:bCs w:val="1"/>
                <w:color w:val="FFFFFF"/>
              </w:rPr>
              <w:t>% change</w:t>
            </w:r>
          </w:p>
        </w:tc>
      </w:tr>
      <w:tr>
        <w:trPr>
          <w:trHeight w:val="221"/>
        </w:trPr>
        <w:tc>
          <w:tcPr>
            <w:tcW w:w="512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8"/>
                <w:szCs w:val="18"/>
                <w:b w:val="1"/>
                <w:bCs w:val="1"/>
                <w:color w:val="FFFFFF"/>
              </w:rPr>
              <w:t>S/000</w:t>
            </w:r>
          </w:p>
        </w:tc>
        <w:tc>
          <w:tcPr>
            <w:tcW w:w="1440" w:type="dxa"/>
            <w:vAlign w:val="bottom"/>
            <w:tcBorders>
              <w:bottom w:val="single" w:sz="8" w:color="auto"/>
            </w:tcBorders>
            <w:shd w:val="clear" w:color="auto" w:fill="2AD2C9"/>
          </w:tcPr>
          <w:p>
            <w:pPr>
              <w:ind w:left="440"/>
              <w:spacing w:after="0"/>
              <w:rPr>
                <w:sz w:val="20"/>
                <w:szCs w:val="20"/>
                <w:color w:val="auto"/>
              </w:rPr>
            </w:pPr>
            <w:r>
              <w:rPr>
                <w:rFonts w:ascii="Arial" w:cs="Arial" w:eastAsia="Arial" w:hAnsi="Arial"/>
                <w:sz w:val="18"/>
                <w:szCs w:val="18"/>
                <w:b w:val="1"/>
                <w:bCs w:val="1"/>
                <w:color w:val="FFFFFF"/>
              </w:rPr>
              <w:t>Mar 24</w:t>
            </w:r>
          </w:p>
        </w:tc>
        <w:tc>
          <w:tcPr>
            <w:tcW w:w="14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Dec 24</w:t>
            </w:r>
          </w:p>
        </w:tc>
        <w:tc>
          <w:tcPr>
            <w:tcW w:w="1440" w:type="dxa"/>
            <w:vAlign w:val="bottom"/>
            <w:tcBorders>
              <w:bottom w:val="single" w:sz="8" w:color="auto"/>
              <w:right w:val="single" w:sz="8" w:color="auto"/>
            </w:tcBorders>
            <w:shd w:val="clear" w:color="auto" w:fill="2AD2C9"/>
          </w:tcPr>
          <w:p>
            <w:pPr>
              <w:ind w:left="440"/>
              <w:spacing w:after="0"/>
              <w:rPr>
                <w:sz w:val="20"/>
                <w:szCs w:val="20"/>
                <w:color w:val="auto"/>
              </w:rPr>
            </w:pPr>
            <w:r>
              <w:rPr>
                <w:rFonts w:ascii="Arial" w:cs="Arial" w:eastAsia="Arial" w:hAnsi="Arial"/>
                <w:sz w:val="18"/>
                <w:szCs w:val="18"/>
                <w:b w:val="1"/>
                <w:bCs w:val="1"/>
                <w:color w:val="FFFFFF"/>
              </w:rPr>
              <w:t>Mar 25</w:t>
            </w:r>
          </w:p>
        </w:tc>
        <w:tc>
          <w:tcPr>
            <w:tcW w:w="900" w:type="dxa"/>
            <w:vAlign w:val="bottom"/>
            <w:tcBorders>
              <w:bottom w:val="single" w:sz="8" w:color="auto"/>
            </w:tcBorders>
            <w:shd w:val="clear" w:color="auto" w:fill="2AD2C9"/>
          </w:tcPr>
          <w:p>
            <w:pPr>
              <w:ind w:left="240"/>
              <w:spacing w:after="0"/>
              <w:rPr>
                <w:sz w:val="20"/>
                <w:szCs w:val="20"/>
                <w:color w:val="auto"/>
              </w:rPr>
            </w:pPr>
            <w:r>
              <w:rPr>
                <w:rFonts w:ascii="Arial" w:cs="Arial" w:eastAsia="Arial" w:hAnsi="Arial"/>
                <w:sz w:val="18"/>
                <w:szCs w:val="18"/>
                <w:b w:val="1"/>
                <w:bCs w:val="1"/>
                <w:color w:val="FFFFFF"/>
              </w:rPr>
              <w:t>QoQ</w:t>
            </w:r>
          </w:p>
        </w:tc>
        <w:tc>
          <w:tcPr>
            <w:tcW w:w="920" w:type="dxa"/>
            <w:vAlign w:val="bottom"/>
            <w:tcBorders>
              <w:bottom w:val="single" w:sz="8" w:color="auto"/>
              <w:right w:val="single" w:sz="8" w:color="auto"/>
            </w:tcBorders>
            <w:shd w:val="clear" w:color="auto" w:fill="2AD2C9"/>
          </w:tcPr>
          <w:p>
            <w:pPr>
              <w:ind w:left="280"/>
              <w:spacing w:after="0"/>
              <w:rPr>
                <w:sz w:val="20"/>
                <w:szCs w:val="20"/>
                <w:color w:val="auto"/>
              </w:rPr>
            </w:pPr>
            <w:r>
              <w:rPr>
                <w:rFonts w:ascii="Arial" w:cs="Arial" w:eastAsia="Arial" w:hAnsi="Arial"/>
                <w:sz w:val="18"/>
                <w:szCs w:val="18"/>
                <w:b w:val="1"/>
                <w:bCs w:val="1"/>
                <w:color w:val="FFFFFF"/>
              </w:rPr>
              <w:t>YoY</w:t>
            </w:r>
          </w:p>
        </w:tc>
      </w:tr>
      <w:tr>
        <w:trPr>
          <w:trHeight w:val="177"/>
        </w:trPr>
        <w:tc>
          <w:tcPr>
            <w:tcW w:w="5120" w:type="dxa"/>
            <w:vAlign w:val="bottom"/>
            <w:tcBorders>
              <w:left w:val="single" w:sz="8" w:color="auto"/>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Deposits and obligations</w:t>
            </w:r>
          </w:p>
        </w:tc>
        <w:tc>
          <w:tcPr>
            <w:tcW w:w="1440" w:type="dxa"/>
            <w:vAlign w:val="bottom"/>
          </w:tcPr>
          <w:p>
            <w:pPr>
              <w:jc w:val="center"/>
              <w:spacing w:after="0" w:line="177" w:lineRule="exact"/>
              <w:rPr>
                <w:sz w:val="20"/>
                <w:szCs w:val="20"/>
                <w:color w:val="auto"/>
              </w:rPr>
            </w:pPr>
            <w:r>
              <w:rPr>
                <w:rFonts w:ascii="Arial" w:cs="Arial" w:eastAsia="Arial" w:hAnsi="Arial"/>
                <w:sz w:val="18"/>
                <w:szCs w:val="18"/>
                <w:color w:val="auto"/>
                <w:w w:val="99"/>
              </w:rPr>
              <w:t>147,857,127</w:t>
            </w:r>
          </w:p>
        </w:tc>
        <w:tc>
          <w:tcPr>
            <w:tcW w:w="1420" w:type="dxa"/>
            <w:vAlign w:val="bottom"/>
          </w:tcPr>
          <w:p>
            <w:pPr>
              <w:jc w:val="center"/>
              <w:spacing w:after="0" w:line="177" w:lineRule="exact"/>
              <w:rPr>
                <w:sz w:val="20"/>
                <w:szCs w:val="20"/>
                <w:color w:val="auto"/>
              </w:rPr>
            </w:pPr>
            <w:r>
              <w:rPr>
                <w:rFonts w:ascii="Arial" w:cs="Arial" w:eastAsia="Arial" w:hAnsi="Arial"/>
                <w:sz w:val="18"/>
                <w:szCs w:val="18"/>
                <w:color w:val="auto"/>
                <w:w w:val="99"/>
              </w:rPr>
              <w:t>161,842,066</w:t>
            </w:r>
          </w:p>
        </w:tc>
        <w:tc>
          <w:tcPr>
            <w:tcW w:w="144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157,619,082</w:t>
            </w:r>
          </w:p>
        </w:tc>
        <w:tc>
          <w:tcPr>
            <w:tcW w:w="900" w:type="dxa"/>
            <w:vAlign w:val="bottom"/>
          </w:tcPr>
          <w:p>
            <w:pPr>
              <w:jc w:val="center"/>
              <w:spacing w:after="0" w:line="177" w:lineRule="exact"/>
              <w:rPr>
                <w:sz w:val="20"/>
                <w:szCs w:val="20"/>
                <w:color w:val="auto"/>
              </w:rPr>
            </w:pPr>
            <w:r>
              <w:rPr>
                <w:rFonts w:ascii="Arial" w:cs="Arial" w:eastAsia="Arial" w:hAnsi="Arial"/>
                <w:sz w:val="18"/>
                <w:szCs w:val="18"/>
                <w:color w:val="auto"/>
              </w:rPr>
              <w:t>-2.6%</w:t>
            </w:r>
          </w:p>
        </w:tc>
        <w:tc>
          <w:tcPr>
            <w:tcW w:w="9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rPr>
              <w:t>6.6%</w:t>
            </w:r>
          </w:p>
        </w:tc>
      </w:tr>
      <w:tr>
        <w:trPr>
          <w:trHeight w:val="203"/>
        </w:trPr>
        <w:tc>
          <w:tcPr>
            <w:tcW w:w="51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Due to banks and correspondents</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rPr>
              <w:t>10,684,673</w:t>
            </w: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10,754,385</w:t>
            </w:r>
          </w:p>
        </w:tc>
        <w:tc>
          <w:tcPr>
            <w:tcW w:w="1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10,899,579</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1.4%</w:t>
            </w:r>
          </w:p>
        </w:tc>
        <w:tc>
          <w:tcPr>
            <w:tcW w:w="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2.0%</w:t>
            </w:r>
          </w:p>
        </w:tc>
      </w:tr>
      <w:tr>
        <w:trPr>
          <w:trHeight w:val="203"/>
        </w:trPr>
        <w:tc>
          <w:tcPr>
            <w:tcW w:w="51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BCRP instruments</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6,854,368</w:t>
            </w: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6,646,830</w:t>
            </w:r>
          </w:p>
        </w:tc>
        <w:tc>
          <w:tcPr>
            <w:tcW w:w="1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7,064,476</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6.3%</w:t>
            </w:r>
          </w:p>
        </w:tc>
        <w:tc>
          <w:tcPr>
            <w:tcW w:w="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3.1%</w:t>
            </w:r>
          </w:p>
        </w:tc>
      </w:tr>
      <w:tr>
        <w:trPr>
          <w:trHeight w:val="203"/>
        </w:trPr>
        <w:tc>
          <w:tcPr>
            <w:tcW w:w="512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Repurchase agreements with clients and third parties</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2,636,908</w:t>
            </w: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2,413,880</w:t>
            </w:r>
          </w:p>
        </w:tc>
        <w:tc>
          <w:tcPr>
            <w:tcW w:w="1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3,094,138</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28.2%</w:t>
            </w:r>
          </w:p>
        </w:tc>
        <w:tc>
          <w:tcPr>
            <w:tcW w:w="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17.3%</w:t>
            </w:r>
          </w:p>
        </w:tc>
      </w:tr>
      <w:tr>
        <w:trPr>
          <w:trHeight w:val="221"/>
        </w:trPr>
        <w:tc>
          <w:tcPr>
            <w:tcW w:w="5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Bonds and notes issued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17,541,121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17,268,443</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14,391,733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-16.7%</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-18.0%</w:t>
            </w:r>
          </w:p>
        </w:tc>
      </w:tr>
      <w:tr>
        <w:trPr>
          <w:trHeight w:val="196"/>
        </w:trPr>
        <w:tc>
          <w:tcPr>
            <w:tcW w:w="512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Total Funding</w:t>
            </w:r>
          </w:p>
        </w:tc>
        <w:tc>
          <w:tcPr>
            <w:tcW w:w="14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185,574,197</w:t>
            </w:r>
          </w:p>
        </w:tc>
        <w:tc>
          <w:tcPr>
            <w:tcW w:w="14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198,925,604</w:t>
            </w:r>
          </w:p>
        </w:tc>
        <w:tc>
          <w:tcPr>
            <w:tcW w:w="14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193,069,008</w:t>
            </w:r>
          </w:p>
        </w:tc>
        <w:tc>
          <w:tcPr>
            <w:tcW w:w="9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-2.9%</w:t>
            </w:r>
          </w:p>
        </w:tc>
        <w:tc>
          <w:tcPr>
            <w:tcW w:w="9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4.0%</w:t>
            </w: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Funding decreased 2.9% QoQ and rose 4.0% YoY. Excluding the effect of the accounting adjustment in BCP, funding presented the following dynamics:</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5" w:name="page26"/>
    <w:bookmarkEnd w:id="25"/>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FFFFFF"/>
        </w:rPr>
        <w:t>03. Interest-earning Assets (IEA) and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QoQ, funding dropped 0.5% due to a decrease in Bonds and notes issued, associated to a bond maturity for US$ 700 million at BCP Stand-alone, whose effect was partially offset by an increase in Repurchase agreements with third parties to take advantage of favorable market conditions. Growth in Deposits and BCRP Instruments also offset the QoQ decline in funding, albeit to a lesser extent.</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YoY, funding rose 6.7%, driven mainly by growth in Deposits and obligations. It is important to note that the expansion reported for deposits was concentrated in low-cost deposits in a scenario in which time deposits declined. These dynamics were partially offset by the effect of the aforementioned bond maturity at BCP Stand-alone.</w:t>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6" w:name="page27"/>
    <w:bookmarkEnd w:id="26"/>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397" w:lineRule="exact"/>
        <w:rPr>
          <w:sz w:val="20"/>
          <w:szCs w:val="20"/>
          <w:color w:val="auto"/>
        </w:rPr>
      </w:pPr>
    </w:p>
    <w:p>
      <w:pPr>
        <w:ind w:left="460"/>
        <w:spacing w:after="0"/>
        <w:rPr>
          <w:sz w:val="20"/>
          <w:szCs w:val="20"/>
          <w:color w:val="auto"/>
        </w:rPr>
      </w:pPr>
      <w:r>
        <w:rPr>
          <w:rFonts w:ascii="Arial" w:cs="Arial" w:eastAsia="Arial" w:hAnsi="Arial"/>
          <w:sz w:val="52"/>
          <w:szCs w:val="52"/>
          <w:b w:val="1"/>
          <w:bCs w:val="1"/>
          <w:color w:val="E93BAB"/>
        </w:rPr>
        <w:t xml:space="preserve">04 </w:t>
      </w:r>
      <w:r>
        <w:rPr>
          <w:rFonts w:ascii="Arial" w:cs="Arial" w:eastAsia="Arial" w:hAnsi="Arial"/>
          <w:sz w:val="32"/>
          <w:szCs w:val="32"/>
          <w:color w:val="E93BAB"/>
        </w:rPr>
        <w:t>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160020</wp:posOffset>
            </wp:positionV>
            <wp:extent cx="6557645" cy="1551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57645" cy="1551305"/>
                    </a:xfrm>
                    <a:prstGeom prst="rect">
                      <a:avLst/>
                    </a:prstGeom>
                    <a:noFill/>
                  </pic:spPr>
                </pic:pic>
              </a:graphicData>
            </a:graphic>
          </wp:anchor>
        </w:drawing>
      </w:r>
    </w:p>
    <w:p>
      <w:pPr>
        <w:spacing w:after="0" w:line="308" w:lineRule="exact"/>
        <w:rPr>
          <w:sz w:val="20"/>
          <w:szCs w:val="20"/>
          <w:color w:val="auto"/>
        </w:rPr>
      </w:pPr>
    </w:p>
    <w:p>
      <w:pPr>
        <w:jc w:val="both"/>
        <w:ind w:left="580" w:right="560"/>
        <w:spacing w:after="0" w:line="253" w:lineRule="auto"/>
        <w:rPr>
          <w:sz w:val="20"/>
          <w:szCs w:val="20"/>
          <w:color w:val="auto"/>
        </w:rPr>
      </w:pPr>
      <w:r>
        <w:rPr>
          <w:rFonts w:ascii="Arial" w:cs="Arial" w:eastAsia="Arial" w:hAnsi="Arial"/>
          <w:sz w:val="18"/>
          <w:szCs w:val="18"/>
          <w:color w:val="FFFFFF"/>
        </w:rPr>
        <w:t>In 1Q25, Net Interest Income (NII) fell 1.6% QoQ due to a drop in Interest and similar income, which registered a reduction in income on loans due to lower interest rates and an uptick in Wholesale Loans’ share of total loans. Interest and similar expenses partially offset the reduction in income, given lower interest rates and a reduction in the funding volume.</w:t>
      </w:r>
    </w:p>
    <w:p>
      <w:pPr>
        <w:spacing w:after="0" w:line="155" w:lineRule="exact"/>
        <w:rPr>
          <w:sz w:val="20"/>
          <w:szCs w:val="20"/>
          <w:color w:val="auto"/>
        </w:rPr>
      </w:pPr>
    </w:p>
    <w:p>
      <w:pPr>
        <w:jc w:val="both"/>
        <w:ind w:left="580" w:right="560"/>
        <w:spacing w:after="0" w:line="247" w:lineRule="auto"/>
        <w:rPr>
          <w:sz w:val="20"/>
          <w:szCs w:val="20"/>
          <w:color w:val="auto"/>
        </w:rPr>
      </w:pPr>
      <w:r>
        <w:rPr>
          <w:rFonts w:ascii="Arial" w:cs="Arial" w:eastAsia="Arial" w:hAnsi="Arial"/>
          <w:sz w:val="18"/>
          <w:szCs w:val="18"/>
          <w:color w:val="FFFFFF"/>
        </w:rPr>
        <w:t>YoY, NII rose 4.3%, driven by a reduction in Interest and similar expenses. This decline was attributable to a drop in interest on deposits, which reflected lower interest rates, and an uptick in low-cost deposits’ share of the funding structure. Interest and similar income had a negative impact on NII, due primarily to a drop in interest on investments in a context of lower rates and secondarily to a decline in interest on loans, given the same factors mentioned in the QoQ analysis.</w:t>
      </w:r>
    </w:p>
    <w:p>
      <w:pPr>
        <w:spacing w:after="0" w:line="187" w:lineRule="exact"/>
        <w:rPr>
          <w:sz w:val="20"/>
          <w:szCs w:val="20"/>
          <w:color w:val="auto"/>
        </w:rPr>
      </w:pPr>
    </w:p>
    <w:p>
      <w:pPr>
        <w:jc w:val="both"/>
        <w:ind w:left="580" w:right="560"/>
        <w:spacing w:after="0" w:line="278" w:lineRule="auto"/>
        <w:rPr>
          <w:sz w:val="20"/>
          <w:szCs w:val="20"/>
          <w:color w:val="auto"/>
        </w:rPr>
      </w:pPr>
      <w:r>
        <w:rPr>
          <w:rFonts w:ascii="Arial" w:cs="Arial" w:eastAsia="Arial" w:hAnsi="Arial"/>
          <w:sz w:val="18"/>
          <w:szCs w:val="18"/>
          <w:color w:val="FFFFFF"/>
        </w:rPr>
        <w:t>NIM fell 12 bps QoQ to stand at 6.22%, spurred by a drop the yield on IEAs, which was partially offset by a reduction in the cost of funding. It is important to note that Risk-adjusted NIM continued to trend upward and stood at a record high</w:t>
      </w:r>
      <w:r>
        <w:rPr>
          <w:rFonts w:ascii="Arial" w:cs="Arial" w:eastAsia="Arial" w:hAnsi="Arial"/>
          <w:sz w:val="29"/>
          <w:szCs w:val="29"/>
          <w:color w:val="FFFFFF"/>
          <w:vertAlign w:val="superscript"/>
        </w:rPr>
        <w:t>1</w:t>
      </w:r>
      <w:r>
        <w:rPr>
          <w:rFonts w:ascii="Arial" w:cs="Arial" w:eastAsia="Arial" w:hAnsi="Arial"/>
          <w:sz w:val="18"/>
          <w:szCs w:val="18"/>
          <w:color w:val="FFFFFF"/>
        </w:rPr>
        <w:t xml:space="preserve"> of 5.24%.</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474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Net interest income</w:t>
            </w:r>
          </w:p>
        </w:tc>
        <w:tc>
          <w:tcPr>
            <w:tcW w:w="1460" w:type="dxa"/>
            <w:vAlign w:val="bottom"/>
            <w:tcBorders>
              <w:top w:val="single" w:sz="8" w:color="auto"/>
            </w:tcBorders>
            <w:shd w:val="clear" w:color="auto" w:fill="2AD2C9"/>
          </w:tcPr>
          <w:p>
            <w:pPr>
              <w:spacing w:after="0"/>
              <w:rPr>
                <w:sz w:val="15"/>
                <w:szCs w:val="15"/>
                <w:color w:val="auto"/>
              </w:rPr>
            </w:pPr>
          </w:p>
        </w:tc>
        <w:tc>
          <w:tcPr>
            <w:tcW w:w="1480" w:type="dxa"/>
            <w:vAlign w:val="bottom"/>
            <w:tcBorders>
              <w:top w:val="single" w:sz="8" w:color="auto"/>
            </w:tcBorders>
            <w:shd w:val="clear" w:color="auto" w:fill="2AD2C9"/>
          </w:tcPr>
          <w:p>
            <w:pPr>
              <w:ind w:left="480"/>
              <w:spacing w:after="0"/>
              <w:rPr>
                <w:sz w:val="20"/>
                <w:szCs w:val="20"/>
                <w:color w:val="auto"/>
              </w:rPr>
            </w:pPr>
            <w:r>
              <w:rPr>
                <w:rFonts w:ascii="Arial" w:cs="Arial" w:eastAsia="Arial" w:hAnsi="Arial"/>
                <w:sz w:val="14"/>
                <w:szCs w:val="14"/>
                <w:b w:val="1"/>
                <w:bCs w:val="1"/>
                <w:color w:val="FFFFFF"/>
              </w:rPr>
              <w:t>Quarter</w:t>
            </w:r>
          </w:p>
        </w:tc>
        <w:tc>
          <w:tcPr>
            <w:tcW w:w="1500" w:type="dxa"/>
            <w:vAlign w:val="bottom"/>
            <w:tcBorders>
              <w:top w:val="single" w:sz="8" w:color="auto"/>
              <w:right w:val="single" w:sz="8" w:color="auto"/>
            </w:tcBorders>
            <w:shd w:val="clear" w:color="auto" w:fill="2AD2C9"/>
          </w:tcPr>
          <w:p>
            <w:pPr>
              <w:spacing w:after="0"/>
              <w:rPr>
                <w:sz w:val="15"/>
                <w:szCs w:val="15"/>
                <w:color w:val="auto"/>
              </w:rPr>
            </w:pPr>
          </w:p>
        </w:tc>
        <w:tc>
          <w:tcPr>
            <w:tcW w:w="2060" w:type="dxa"/>
            <w:vAlign w:val="bottom"/>
            <w:tcBorders>
              <w:top w:val="single" w:sz="8" w:color="auto"/>
              <w:right w:val="single" w:sz="8" w:color="auto"/>
            </w:tcBorders>
            <w:gridSpan w:val="2"/>
            <w:shd w:val="clear" w:color="auto" w:fill="2AD2C9"/>
          </w:tcPr>
          <w:p>
            <w:pPr>
              <w:ind w:left="680"/>
              <w:spacing w:after="0"/>
              <w:rPr>
                <w:sz w:val="20"/>
                <w:szCs w:val="20"/>
                <w:color w:val="auto"/>
              </w:rPr>
            </w:pPr>
            <w:r>
              <w:rPr>
                <w:rFonts w:ascii="Arial" w:cs="Arial" w:eastAsia="Arial" w:hAnsi="Arial"/>
                <w:sz w:val="14"/>
                <w:szCs w:val="14"/>
                <w:b w:val="1"/>
                <w:bCs w:val="1"/>
                <w:color w:val="FFFFFF"/>
              </w:rPr>
              <w:t>% change</w:t>
            </w:r>
          </w:p>
        </w:tc>
      </w:tr>
      <w:tr>
        <w:trPr>
          <w:trHeight w:val="162"/>
        </w:trPr>
        <w:tc>
          <w:tcPr>
            <w:tcW w:w="474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S/000</w:t>
            </w:r>
          </w:p>
        </w:tc>
        <w:tc>
          <w:tcPr>
            <w:tcW w:w="14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1Q24</w:t>
            </w:r>
          </w:p>
        </w:tc>
        <w:tc>
          <w:tcPr>
            <w:tcW w:w="14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4Q24</w:t>
            </w:r>
          </w:p>
        </w:tc>
        <w:tc>
          <w:tcPr>
            <w:tcW w:w="15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1Q25</w:t>
            </w:r>
          </w:p>
        </w:tc>
        <w:tc>
          <w:tcPr>
            <w:tcW w:w="9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8"/>
              </w:rPr>
              <w:t>QoQ</w:t>
            </w:r>
          </w:p>
        </w:tc>
        <w:tc>
          <w:tcPr>
            <w:tcW w:w="11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YoY</w:t>
            </w:r>
          </w:p>
        </w:tc>
      </w:tr>
      <w:tr>
        <w:trPr>
          <w:trHeight w:val="146"/>
        </w:trPr>
        <w:tc>
          <w:tcPr>
            <w:tcW w:w="4740" w:type="dxa"/>
            <w:vAlign w:val="bottom"/>
            <w:tcBorders>
              <w:left w:val="single" w:sz="8" w:color="auto"/>
              <w:right w:val="single" w:sz="8" w:color="auto"/>
            </w:tcBorders>
          </w:tcPr>
          <w:p>
            <w:pPr>
              <w:ind w:left="180"/>
              <w:spacing w:after="0" w:line="147" w:lineRule="exact"/>
              <w:rPr>
                <w:sz w:val="20"/>
                <w:szCs w:val="20"/>
                <w:color w:val="auto"/>
              </w:rPr>
            </w:pPr>
            <w:r>
              <w:rPr>
                <w:rFonts w:ascii="Arial" w:cs="Arial" w:eastAsia="Arial" w:hAnsi="Arial"/>
                <w:sz w:val="14"/>
                <w:szCs w:val="14"/>
                <w:color w:val="auto"/>
              </w:rPr>
              <w:t>Interest and Similar Income</w:t>
            </w:r>
          </w:p>
        </w:tc>
        <w:tc>
          <w:tcPr>
            <w:tcW w:w="14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4,925,926</w:t>
            </w:r>
          </w:p>
        </w:tc>
        <w:tc>
          <w:tcPr>
            <w:tcW w:w="14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5,012,121</w:t>
            </w: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4,894,790</w:t>
            </w: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-2.3%</w:t>
            </w:r>
          </w:p>
        </w:tc>
        <w:tc>
          <w:tcPr>
            <w:tcW w:w="11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8"/>
              </w:rPr>
              <w:t>-0.6%</w:t>
            </w:r>
          </w:p>
        </w:tc>
      </w:tr>
      <w:tr>
        <w:trPr>
          <w:trHeight w:val="162"/>
        </w:trPr>
        <w:tc>
          <w:tcPr>
            <w:tcW w:w="47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Interest and Similar Expenses</w:t>
            </w:r>
          </w:p>
        </w:tc>
        <w:tc>
          <w:tcPr>
            <w:tcW w:w="1460" w:type="dxa"/>
            <w:vAlign w:val="bottom"/>
          </w:tcPr>
          <w:p>
            <w:pPr>
              <w:jc w:val="center"/>
              <w:spacing w:after="0"/>
              <w:rPr>
                <w:sz w:val="20"/>
                <w:szCs w:val="20"/>
                <w:color w:val="auto"/>
              </w:rPr>
            </w:pPr>
            <w:r>
              <w:rPr>
                <w:rFonts w:ascii="Arial" w:cs="Arial" w:eastAsia="Arial" w:hAnsi="Arial"/>
                <w:sz w:val="14"/>
                <w:szCs w:val="14"/>
                <w:color w:val="auto"/>
              </w:rPr>
              <w:t>(1,499,803)</w:t>
            </w:r>
          </w:p>
        </w:tc>
        <w:tc>
          <w:tcPr>
            <w:tcW w:w="1480" w:type="dxa"/>
            <w:vAlign w:val="bottom"/>
          </w:tcPr>
          <w:p>
            <w:pPr>
              <w:jc w:val="center"/>
              <w:spacing w:after="0"/>
              <w:rPr>
                <w:sz w:val="20"/>
                <w:szCs w:val="20"/>
                <w:color w:val="auto"/>
              </w:rPr>
            </w:pPr>
            <w:r>
              <w:rPr>
                <w:rFonts w:ascii="Arial" w:cs="Arial" w:eastAsia="Arial" w:hAnsi="Arial"/>
                <w:sz w:val="14"/>
                <w:szCs w:val="14"/>
                <w:color w:val="auto"/>
              </w:rPr>
              <w:t>(1,382,327)</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(1,322,778)</w:t>
            </w:r>
          </w:p>
        </w:tc>
        <w:tc>
          <w:tcPr>
            <w:tcW w:w="960" w:type="dxa"/>
            <w:vAlign w:val="bottom"/>
          </w:tcPr>
          <w:p>
            <w:pPr>
              <w:jc w:val="center"/>
              <w:spacing w:after="0"/>
              <w:rPr>
                <w:sz w:val="20"/>
                <w:szCs w:val="20"/>
                <w:color w:val="auto"/>
              </w:rPr>
            </w:pPr>
            <w:r>
              <w:rPr>
                <w:rFonts w:ascii="Arial" w:cs="Arial" w:eastAsia="Arial" w:hAnsi="Arial"/>
                <w:sz w:val="14"/>
                <w:szCs w:val="14"/>
                <w:color w:val="auto"/>
              </w:rPr>
              <w:t>-4.3%</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-11.8%</w:t>
            </w:r>
          </w:p>
        </w:tc>
      </w:tr>
      <w:tr>
        <w:trPr>
          <w:trHeight w:val="162"/>
        </w:trPr>
        <w:tc>
          <w:tcPr>
            <w:tcW w:w="47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Interest Expense (excluding Net Insurance Financial Expenses)</w:t>
            </w:r>
          </w:p>
        </w:tc>
        <w:tc>
          <w:tcPr>
            <w:tcW w:w="1460" w:type="dxa"/>
            <w:vAlign w:val="bottom"/>
          </w:tcPr>
          <w:p>
            <w:pPr>
              <w:jc w:val="center"/>
              <w:spacing w:after="0"/>
              <w:rPr>
                <w:sz w:val="20"/>
                <w:szCs w:val="20"/>
                <w:color w:val="auto"/>
              </w:rPr>
            </w:pPr>
            <w:r>
              <w:rPr>
                <w:rFonts w:ascii="Arial" w:cs="Arial" w:eastAsia="Arial" w:hAnsi="Arial"/>
                <w:sz w:val="14"/>
                <w:szCs w:val="14"/>
                <w:color w:val="auto"/>
              </w:rPr>
              <w:t>(1,377,799)</w:t>
            </w:r>
          </w:p>
        </w:tc>
        <w:tc>
          <w:tcPr>
            <w:tcW w:w="1480" w:type="dxa"/>
            <w:vAlign w:val="bottom"/>
          </w:tcPr>
          <w:p>
            <w:pPr>
              <w:jc w:val="center"/>
              <w:spacing w:after="0"/>
              <w:rPr>
                <w:sz w:val="20"/>
                <w:szCs w:val="20"/>
                <w:color w:val="auto"/>
              </w:rPr>
            </w:pPr>
            <w:r>
              <w:rPr>
                <w:rFonts w:ascii="Arial" w:cs="Arial" w:eastAsia="Arial" w:hAnsi="Arial"/>
                <w:sz w:val="14"/>
                <w:szCs w:val="14"/>
                <w:color w:val="auto"/>
              </w:rPr>
              <w:t>(1,250,239)</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(1,187,156)</w:t>
            </w:r>
          </w:p>
        </w:tc>
        <w:tc>
          <w:tcPr>
            <w:tcW w:w="960" w:type="dxa"/>
            <w:vAlign w:val="bottom"/>
          </w:tcPr>
          <w:p>
            <w:pPr>
              <w:jc w:val="center"/>
              <w:spacing w:after="0"/>
              <w:rPr>
                <w:sz w:val="20"/>
                <w:szCs w:val="20"/>
                <w:color w:val="auto"/>
              </w:rPr>
            </w:pPr>
            <w:r>
              <w:rPr>
                <w:rFonts w:ascii="Arial" w:cs="Arial" w:eastAsia="Arial" w:hAnsi="Arial"/>
                <w:sz w:val="14"/>
                <w:szCs w:val="14"/>
                <w:color w:val="auto"/>
              </w:rPr>
              <w:t>-5.0%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-13.8%</w:t>
            </w:r>
          </w:p>
        </w:tc>
      </w:tr>
      <w:tr>
        <w:trPr>
          <w:trHeight w:val="171"/>
        </w:trPr>
        <w:tc>
          <w:tcPr>
            <w:tcW w:w="474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Net Insurance Financial Expenses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(122,004)</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(132,088)</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(135,622)</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2.7%</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11.2%</w:t>
            </w:r>
          </w:p>
        </w:tc>
      </w:tr>
      <w:tr>
        <w:trPr>
          <w:trHeight w:val="190"/>
        </w:trPr>
        <w:tc>
          <w:tcPr>
            <w:tcW w:w="47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Net Interest, similar income and expenses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3,426,123</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3,629,794</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3,572,012</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-1.6%</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4.3%</w:t>
            </w:r>
          </w:p>
        </w:tc>
      </w:tr>
      <w:tr>
        <w:trPr>
          <w:trHeight w:val="128"/>
        </w:trPr>
        <w:tc>
          <w:tcPr>
            <w:tcW w:w="4740" w:type="dxa"/>
            <w:vAlign w:val="bottom"/>
            <w:tcBorders>
              <w:left w:val="single" w:sz="8" w:color="auto"/>
              <w:bottom w:val="single" w:sz="8" w:color="auto"/>
              <w:right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r>
      <w:tr>
        <w:trPr>
          <w:trHeight w:val="146"/>
        </w:trPr>
        <w:tc>
          <w:tcPr>
            <w:tcW w:w="4740" w:type="dxa"/>
            <w:vAlign w:val="bottom"/>
            <w:tcBorders>
              <w:left w:val="single" w:sz="8" w:color="auto"/>
              <w:right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Balances</w:t>
            </w: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r>
      <w:tr>
        <w:trPr>
          <w:trHeight w:val="162"/>
        </w:trPr>
        <w:tc>
          <w:tcPr>
            <w:tcW w:w="47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Average Interest Earning Assets (IEA)</w:t>
            </w:r>
          </w:p>
        </w:tc>
        <w:tc>
          <w:tcPr>
            <w:tcW w:w="1460" w:type="dxa"/>
            <w:vAlign w:val="bottom"/>
          </w:tcPr>
          <w:p>
            <w:pPr>
              <w:jc w:val="center"/>
              <w:spacing w:after="0"/>
              <w:rPr>
                <w:sz w:val="20"/>
                <w:szCs w:val="20"/>
                <w:color w:val="auto"/>
              </w:rPr>
            </w:pPr>
            <w:r>
              <w:rPr>
                <w:rFonts w:ascii="Arial" w:cs="Arial" w:eastAsia="Arial" w:hAnsi="Arial"/>
                <w:sz w:val="14"/>
                <w:szCs w:val="14"/>
                <w:color w:val="auto"/>
              </w:rPr>
              <w:t>225,297,538</w:t>
            </w:r>
          </w:p>
        </w:tc>
        <w:tc>
          <w:tcPr>
            <w:tcW w:w="1480" w:type="dxa"/>
            <w:vAlign w:val="bottom"/>
          </w:tcPr>
          <w:p>
            <w:pPr>
              <w:jc w:val="center"/>
              <w:spacing w:after="0"/>
              <w:rPr>
                <w:sz w:val="20"/>
                <w:szCs w:val="20"/>
                <w:color w:val="auto"/>
              </w:rPr>
            </w:pPr>
            <w:r>
              <w:rPr>
                <w:rFonts w:ascii="Arial" w:cs="Arial" w:eastAsia="Arial" w:hAnsi="Arial"/>
                <w:sz w:val="14"/>
                <w:szCs w:val="14"/>
                <w:color w:val="auto"/>
              </w:rPr>
              <w:t>237,518,087</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238,435,117</w:t>
            </w:r>
          </w:p>
        </w:tc>
        <w:tc>
          <w:tcPr>
            <w:tcW w:w="960" w:type="dxa"/>
            <w:vAlign w:val="bottom"/>
          </w:tcPr>
          <w:p>
            <w:pPr>
              <w:jc w:val="center"/>
              <w:spacing w:after="0"/>
              <w:rPr>
                <w:sz w:val="20"/>
                <w:szCs w:val="20"/>
                <w:color w:val="auto"/>
              </w:rPr>
            </w:pPr>
            <w:r>
              <w:rPr>
                <w:rFonts w:ascii="Arial" w:cs="Arial" w:eastAsia="Arial" w:hAnsi="Arial"/>
                <w:sz w:val="14"/>
                <w:szCs w:val="14"/>
                <w:color w:val="auto"/>
              </w:rPr>
              <w:t>0.4%</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5.8%</w:t>
            </w:r>
          </w:p>
        </w:tc>
      </w:tr>
      <w:tr>
        <w:trPr>
          <w:trHeight w:val="190"/>
        </w:trPr>
        <w:tc>
          <w:tcPr>
            <w:tcW w:w="47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Average Funding</w:t>
            </w:r>
          </w:p>
        </w:tc>
        <w:tc>
          <w:tcPr>
            <w:tcW w:w="1460" w:type="dxa"/>
            <w:vAlign w:val="bottom"/>
          </w:tcPr>
          <w:p>
            <w:pPr>
              <w:jc w:val="center"/>
              <w:spacing w:after="0"/>
              <w:rPr>
                <w:sz w:val="20"/>
                <w:szCs w:val="20"/>
                <w:color w:val="auto"/>
              </w:rPr>
            </w:pPr>
            <w:r>
              <w:rPr>
                <w:rFonts w:ascii="Arial" w:cs="Arial" w:eastAsia="Arial" w:hAnsi="Arial"/>
                <w:sz w:val="14"/>
                <w:szCs w:val="14"/>
                <w:color w:val="auto"/>
              </w:rPr>
              <w:t>185,160,542</w:t>
            </w:r>
          </w:p>
        </w:tc>
        <w:tc>
          <w:tcPr>
            <w:tcW w:w="1480" w:type="dxa"/>
            <w:vAlign w:val="bottom"/>
          </w:tcPr>
          <w:p>
            <w:pPr>
              <w:jc w:val="center"/>
              <w:spacing w:after="0"/>
              <w:rPr>
                <w:sz w:val="20"/>
                <w:szCs w:val="20"/>
                <w:color w:val="auto"/>
              </w:rPr>
            </w:pPr>
            <w:r>
              <w:rPr>
                <w:rFonts w:ascii="Arial" w:cs="Arial" w:eastAsia="Arial" w:hAnsi="Arial"/>
                <w:sz w:val="14"/>
                <w:szCs w:val="14"/>
                <w:color w:val="auto"/>
              </w:rPr>
              <w:t>195,200,202</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195,997,306</w:t>
            </w:r>
          </w:p>
        </w:tc>
        <w:tc>
          <w:tcPr>
            <w:tcW w:w="960" w:type="dxa"/>
            <w:vAlign w:val="bottom"/>
          </w:tcPr>
          <w:p>
            <w:pPr>
              <w:jc w:val="center"/>
              <w:spacing w:after="0"/>
              <w:rPr>
                <w:sz w:val="20"/>
                <w:szCs w:val="20"/>
                <w:color w:val="auto"/>
              </w:rPr>
            </w:pPr>
            <w:r>
              <w:rPr>
                <w:rFonts w:ascii="Arial" w:cs="Arial" w:eastAsia="Arial" w:hAnsi="Arial"/>
                <w:sz w:val="14"/>
                <w:szCs w:val="14"/>
                <w:color w:val="auto"/>
              </w:rPr>
              <w:t>0.4%</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5.9%</w:t>
            </w:r>
          </w:p>
        </w:tc>
      </w:tr>
      <w:tr>
        <w:trPr>
          <w:trHeight w:val="296"/>
        </w:trPr>
        <w:tc>
          <w:tcPr>
            <w:tcW w:w="4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Yields</w:t>
            </w: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r>
      <w:tr>
        <w:trPr>
          <w:trHeight w:val="145"/>
        </w:trPr>
        <w:tc>
          <w:tcPr>
            <w:tcW w:w="4740" w:type="dxa"/>
            <w:vAlign w:val="bottom"/>
            <w:tcBorders>
              <w:left w:val="single" w:sz="8" w:color="auto"/>
              <w:right w:val="single" w:sz="8" w:color="auto"/>
            </w:tcBorders>
          </w:tcPr>
          <w:p>
            <w:pPr>
              <w:ind w:left="180"/>
              <w:spacing w:after="0" w:line="145" w:lineRule="exact"/>
              <w:rPr>
                <w:sz w:val="20"/>
                <w:szCs w:val="20"/>
                <w:color w:val="auto"/>
              </w:rPr>
            </w:pPr>
            <w:r>
              <w:rPr>
                <w:rFonts w:ascii="Arial" w:cs="Arial" w:eastAsia="Arial" w:hAnsi="Arial"/>
                <w:sz w:val="14"/>
                <w:szCs w:val="14"/>
                <w:color w:val="auto"/>
              </w:rPr>
              <w:t>Yield on IEAs</w:t>
            </w:r>
          </w:p>
        </w:tc>
        <w:tc>
          <w:tcPr>
            <w:tcW w:w="1460" w:type="dxa"/>
            <w:vAlign w:val="bottom"/>
          </w:tcPr>
          <w:p>
            <w:pPr>
              <w:jc w:val="center"/>
              <w:spacing w:after="0" w:line="145" w:lineRule="exact"/>
              <w:rPr>
                <w:sz w:val="20"/>
                <w:szCs w:val="20"/>
                <w:color w:val="auto"/>
              </w:rPr>
            </w:pPr>
            <w:r>
              <w:rPr>
                <w:rFonts w:ascii="Arial" w:cs="Arial" w:eastAsia="Arial" w:hAnsi="Arial"/>
                <w:sz w:val="14"/>
                <w:szCs w:val="14"/>
                <w:color w:val="auto"/>
              </w:rPr>
              <w:t>8.75%</w:t>
            </w:r>
          </w:p>
        </w:tc>
        <w:tc>
          <w:tcPr>
            <w:tcW w:w="1480" w:type="dxa"/>
            <w:vAlign w:val="bottom"/>
          </w:tcPr>
          <w:p>
            <w:pPr>
              <w:jc w:val="center"/>
              <w:spacing w:after="0" w:line="145" w:lineRule="exact"/>
              <w:rPr>
                <w:sz w:val="20"/>
                <w:szCs w:val="20"/>
                <w:color w:val="auto"/>
              </w:rPr>
            </w:pPr>
            <w:r>
              <w:rPr>
                <w:rFonts w:ascii="Arial" w:cs="Arial" w:eastAsia="Arial" w:hAnsi="Arial"/>
                <w:sz w:val="14"/>
                <w:szCs w:val="14"/>
                <w:color w:val="auto"/>
              </w:rPr>
              <w:t>8.44%</w:t>
            </w:r>
          </w:p>
        </w:tc>
        <w:tc>
          <w:tcPr>
            <w:tcW w:w="15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8.21%</w:t>
            </w:r>
          </w:p>
        </w:tc>
        <w:tc>
          <w:tcPr>
            <w:tcW w:w="960" w:type="dxa"/>
            <w:vAlign w:val="bottom"/>
          </w:tcPr>
          <w:p>
            <w:pPr>
              <w:jc w:val="center"/>
              <w:spacing w:after="0" w:line="145" w:lineRule="exact"/>
              <w:rPr>
                <w:sz w:val="20"/>
                <w:szCs w:val="20"/>
                <w:color w:val="auto"/>
              </w:rPr>
            </w:pPr>
            <w:r>
              <w:rPr>
                <w:rFonts w:ascii="Arial" w:cs="Arial" w:eastAsia="Arial" w:hAnsi="Arial"/>
                <w:sz w:val="14"/>
                <w:szCs w:val="14"/>
                <w:color w:val="auto"/>
              </w:rPr>
              <w:t>-23 bps</w:t>
            </w:r>
          </w:p>
        </w:tc>
        <w:tc>
          <w:tcPr>
            <w:tcW w:w="11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-54 bps</w:t>
            </w:r>
          </w:p>
        </w:tc>
      </w:tr>
      <w:tr>
        <w:trPr>
          <w:trHeight w:val="162"/>
        </w:trPr>
        <w:tc>
          <w:tcPr>
            <w:tcW w:w="4740" w:type="dxa"/>
            <w:vAlign w:val="bottom"/>
            <w:tcBorders>
              <w:left w:val="single" w:sz="8" w:color="auto"/>
              <w:right w:val="single" w:sz="8" w:color="auto"/>
            </w:tcBorders>
          </w:tcPr>
          <w:p>
            <w:pPr>
              <w:ind w:left="180"/>
              <w:spacing w:after="0" w:line="162" w:lineRule="exact"/>
              <w:rPr>
                <w:sz w:val="20"/>
                <w:szCs w:val="20"/>
                <w:color w:val="auto"/>
              </w:rPr>
            </w:pPr>
            <w:r>
              <w:rPr>
                <w:rFonts w:ascii="Arial" w:cs="Arial" w:eastAsia="Arial" w:hAnsi="Arial"/>
                <w:sz w:val="12"/>
                <w:szCs w:val="12"/>
                <w:color w:val="auto"/>
              </w:rPr>
              <w:t>Cost of Funds</w:t>
            </w:r>
            <w:r>
              <w:rPr>
                <w:rFonts w:ascii="Arial" w:cs="Arial" w:eastAsia="Arial" w:hAnsi="Arial"/>
                <w:sz w:val="18"/>
                <w:szCs w:val="18"/>
                <w:color w:val="auto"/>
                <w:vertAlign w:val="superscript"/>
              </w:rPr>
              <w:t>(1)</w:t>
            </w:r>
          </w:p>
        </w:tc>
        <w:tc>
          <w:tcPr>
            <w:tcW w:w="1460" w:type="dxa"/>
            <w:vAlign w:val="bottom"/>
          </w:tcPr>
          <w:p>
            <w:pPr>
              <w:jc w:val="center"/>
              <w:spacing w:after="0"/>
              <w:rPr>
                <w:sz w:val="20"/>
                <w:szCs w:val="20"/>
                <w:color w:val="auto"/>
              </w:rPr>
            </w:pPr>
            <w:r>
              <w:rPr>
                <w:rFonts w:ascii="Arial" w:cs="Arial" w:eastAsia="Arial" w:hAnsi="Arial"/>
                <w:sz w:val="14"/>
                <w:szCs w:val="14"/>
                <w:color w:val="auto"/>
              </w:rPr>
              <w:t>2.98%</w:t>
            </w:r>
          </w:p>
        </w:tc>
        <w:tc>
          <w:tcPr>
            <w:tcW w:w="1480" w:type="dxa"/>
            <w:vAlign w:val="bottom"/>
          </w:tcPr>
          <w:p>
            <w:pPr>
              <w:jc w:val="center"/>
              <w:spacing w:after="0"/>
              <w:rPr>
                <w:sz w:val="20"/>
                <w:szCs w:val="20"/>
                <w:color w:val="auto"/>
              </w:rPr>
            </w:pPr>
            <w:r>
              <w:rPr>
                <w:rFonts w:ascii="Arial" w:cs="Arial" w:eastAsia="Arial" w:hAnsi="Arial"/>
                <w:sz w:val="14"/>
                <w:szCs w:val="14"/>
                <w:color w:val="auto"/>
              </w:rPr>
              <w:t>2.56%</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2.42%</w:t>
            </w:r>
          </w:p>
        </w:tc>
        <w:tc>
          <w:tcPr>
            <w:tcW w:w="960" w:type="dxa"/>
            <w:vAlign w:val="bottom"/>
          </w:tcPr>
          <w:p>
            <w:pPr>
              <w:jc w:val="center"/>
              <w:spacing w:after="0"/>
              <w:rPr>
                <w:sz w:val="20"/>
                <w:szCs w:val="20"/>
                <w:color w:val="auto"/>
              </w:rPr>
            </w:pPr>
            <w:r>
              <w:rPr>
                <w:rFonts w:ascii="Arial" w:cs="Arial" w:eastAsia="Arial" w:hAnsi="Arial"/>
                <w:sz w:val="14"/>
                <w:szCs w:val="14"/>
                <w:color w:val="auto"/>
              </w:rPr>
              <w:t>-14 bps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-56 bps</w:t>
            </w:r>
          </w:p>
        </w:tc>
      </w:tr>
      <w:tr>
        <w:trPr>
          <w:trHeight w:val="162"/>
        </w:trPr>
        <w:tc>
          <w:tcPr>
            <w:tcW w:w="4740" w:type="dxa"/>
            <w:vAlign w:val="bottom"/>
            <w:tcBorders>
              <w:left w:val="single" w:sz="8" w:color="auto"/>
              <w:right w:val="single" w:sz="8" w:color="auto"/>
            </w:tcBorders>
          </w:tcPr>
          <w:p>
            <w:pPr>
              <w:ind w:left="180"/>
              <w:spacing w:after="0" w:line="162" w:lineRule="exact"/>
              <w:rPr>
                <w:sz w:val="20"/>
                <w:szCs w:val="20"/>
                <w:color w:val="auto"/>
              </w:rPr>
            </w:pPr>
            <w:r>
              <w:rPr>
                <w:rFonts w:ascii="Arial" w:cs="Arial" w:eastAsia="Arial" w:hAnsi="Arial"/>
                <w:sz w:val="12"/>
                <w:szCs w:val="12"/>
                <w:b w:val="1"/>
                <w:bCs w:val="1"/>
                <w:color w:val="auto"/>
              </w:rPr>
              <w:t>Net Interest Margin (NIM)</w:t>
            </w:r>
            <w:r>
              <w:rPr>
                <w:rFonts w:ascii="Arial" w:cs="Arial" w:eastAsia="Arial" w:hAnsi="Arial"/>
                <w:sz w:val="18"/>
                <w:szCs w:val="18"/>
                <w:b w:val="1"/>
                <w:bCs w:val="1"/>
                <w:color w:val="auto"/>
                <w:vertAlign w:val="superscript"/>
              </w:rPr>
              <w:t>(1)</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6.30%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6.34%</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6.22%</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-12 bps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-8 bps</w:t>
            </w:r>
          </w:p>
        </w:tc>
      </w:tr>
      <w:tr>
        <w:trPr>
          <w:trHeight w:val="188"/>
        </w:trPr>
        <w:tc>
          <w:tcPr>
            <w:tcW w:w="4740" w:type="dxa"/>
            <w:vAlign w:val="bottom"/>
            <w:tcBorders>
              <w:left w:val="single" w:sz="8" w:color="auto"/>
              <w:bottom w:val="single" w:sz="8" w:color="auto"/>
              <w:right w:val="single" w:sz="8" w:color="auto"/>
            </w:tcBorders>
          </w:tcPr>
          <w:p>
            <w:pPr>
              <w:ind w:left="180"/>
              <w:spacing w:after="0" w:line="188" w:lineRule="exact"/>
              <w:rPr>
                <w:sz w:val="20"/>
                <w:szCs w:val="20"/>
                <w:color w:val="auto"/>
              </w:rPr>
            </w:pPr>
            <w:r>
              <w:rPr>
                <w:rFonts w:ascii="Arial" w:cs="Arial" w:eastAsia="Arial" w:hAnsi="Arial"/>
                <w:sz w:val="13"/>
                <w:szCs w:val="13"/>
                <w:b w:val="1"/>
                <w:bCs w:val="1"/>
                <w:color w:val="auto"/>
              </w:rPr>
              <w:t>Risk-Adjusted Net Interest Margin</w:t>
            </w:r>
            <w:r>
              <w:rPr>
                <w:rFonts w:ascii="Arial" w:cs="Arial" w:eastAsia="Arial" w:hAnsi="Arial"/>
                <w:sz w:val="21"/>
                <w:szCs w:val="21"/>
                <w:b w:val="1"/>
                <w:bCs w:val="1"/>
                <w:color w:val="auto"/>
                <w:vertAlign w:val="superscript"/>
              </w:rPr>
              <w:t>(1)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4.85%</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5.08%</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5.24%</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16 bps</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39 bps</w:t>
            </w:r>
          </w:p>
        </w:tc>
      </w:tr>
      <w:tr>
        <w:trPr>
          <w:trHeight w:val="146"/>
        </w:trPr>
        <w:tc>
          <w:tcPr>
            <w:tcW w:w="4740" w:type="dxa"/>
            <w:vAlign w:val="bottom"/>
            <w:tcBorders>
              <w:left w:val="single" w:sz="8" w:color="auto"/>
              <w:right w:val="single" w:sz="8" w:color="auto"/>
            </w:tcBorders>
          </w:tcPr>
          <w:p>
            <w:pPr>
              <w:ind w:left="180"/>
              <w:spacing w:after="0" w:line="147" w:lineRule="exact"/>
              <w:rPr>
                <w:sz w:val="20"/>
                <w:szCs w:val="20"/>
                <w:color w:val="auto"/>
              </w:rPr>
            </w:pPr>
            <w:r>
              <w:rPr>
                <w:rFonts w:ascii="Arial" w:cs="Arial" w:eastAsia="Arial" w:hAnsi="Arial"/>
                <w:sz w:val="14"/>
                <w:szCs w:val="14"/>
                <w:b w:val="1"/>
                <w:bCs w:val="1"/>
                <w:color w:val="auto"/>
              </w:rPr>
              <w:t>Peru’s Reference Rate</w:t>
            </w:r>
          </w:p>
        </w:tc>
        <w:tc>
          <w:tcPr>
            <w:tcW w:w="14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6.25%</w:t>
            </w:r>
          </w:p>
        </w:tc>
        <w:tc>
          <w:tcPr>
            <w:tcW w:w="14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5.00%</w:t>
            </w:r>
          </w:p>
        </w:tc>
        <w:tc>
          <w:tcPr>
            <w:tcW w:w="15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4.75%</w:t>
            </w: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-25 bps</w:t>
            </w:r>
          </w:p>
        </w:tc>
        <w:tc>
          <w:tcPr>
            <w:tcW w:w="11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-150 bps</w:t>
            </w:r>
          </w:p>
        </w:tc>
      </w:tr>
      <w:tr>
        <w:trPr>
          <w:trHeight w:val="171"/>
        </w:trPr>
        <w:tc>
          <w:tcPr>
            <w:tcW w:w="47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FED funds rate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5.50%</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4.50%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4.50%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0 bps</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-100 bps</w:t>
            </w:r>
          </w:p>
        </w:tc>
      </w:tr>
    </w:tbl>
    <w:p>
      <w:pPr>
        <w:spacing w:after="0" w:line="6"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For further details on the NIM and Cost of Funds calculation, please refer to Annex 12.7.</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Net Interest Income (NII) dropped 1.6% due to a decline in Interest and similar Income. This evolution was fueled primarily by a drop in</w:t>
      </w:r>
      <w:r>
        <w:rPr>
          <w:rFonts w:ascii="Arial" w:cs="Arial" w:eastAsia="Arial" w:hAnsi="Arial"/>
          <w:sz w:val="18"/>
          <w:szCs w:val="18"/>
          <w:b w:val="1"/>
          <w:bCs w:val="1"/>
          <w:color w:val="auto"/>
        </w:rPr>
        <w:t xml:space="preserve"> </w:t>
      </w:r>
      <w:r>
        <w:rPr>
          <w:rFonts w:ascii="Arial" w:cs="Arial" w:eastAsia="Arial" w:hAnsi="Arial"/>
          <w:sz w:val="18"/>
          <w:szCs w:val="18"/>
          <w:color w:val="auto"/>
        </w:rPr>
        <w:t>income from loans, which reflects lower market interest rates, and by an uptick in wholesale loans’ share of total loans. To a lesser extent, income fell due to a negative price effect given that lower interest rates impacted the balances of Cash and due from banks. Interest and similar expenses, which decreased on the back of lower interest rates and a negative volume effect on funding due to a bond maturity at BCP, partially offset the drop in NII.</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NII rose 4.3% due to reduction in Interest and similar expenses. The main driver of this decline was a reduction in Interest on deposits,</w:t>
      </w:r>
      <w:r>
        <w:rPr>
          <w:rFonts w:ascii="Arial" w:cs="Arial" w:eastAsia="Arial" w:hAnsi="Arial"/>
          <w:sz w:val="18"/>
          <w:szCs w:val="18"/>
          <w:b w:val="1"/>
          <w:bCs w:val="1"/>
          <w:color w:val="auto"/>
        </w:rPr>
        <w:t xml:space="preserve"> </w:t>
      </w:r>
      <w:r>
        <w:rPr>
          <w:rFonts w:ascii="Arial" w:cs="Arial" w:eastAsia="Arial" w:hAnsi="Arial"/>
          <w:sz w:val="18"/>
          <w:szCs w:val="18"/>
          <w:color w:val="auto"/>
        </w:rPr>
        <w:t>which fell due to declining interest rates and an uptick in low-cost deposits’ share of total funding. The drop in Interest on securities for bonds and subordinated notes, which was attributable to a bond maturity at BCP (indicated in the QoQ analysis), was a secondary driver of a decline in interest expenses. Interest and similar income decreased on the back of: i) a drop in Interest on securities, given that a portion of the portfolio was renewed at lower rates, particularly BCRP Certificated of deposit (CDs); and ii) to a lesser extent, due to a decrease in Interest on loans, which fell due to reductions in market rates and volume growth that was concentrated in short-term wholesale loans.</w:t>
      </w:r>
    </w:p>
    <w:p>
      <w:pPr>
        <w:spacing w:after="0" w:line="16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2"/>
          <w:szCs w:val="12"/>
          <w:color w:val="auto"/>
        </w:rPr>
      </w:pPr>
      <w:r>
        <w:rPr>
          <w:rFonts w:ascii="Arial" w:cs="Arial" w:eastAsia="Arial" w:hAnsi="Arial"/>
          <w:sz w:val="13"/>
          <w:szCs w:val="13"/>
          <w:color w:val="auto"/>
        </w:rPr>
        <w:t>Since the implementation of IFRS 9 in 2018.</w:t>
      </w:r>
    </w:p>
    <w:p>
      <w:pPr>
        <w:spacing w:after="0" w:line="359"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7" w:name="page28"/>
    <w:bookmarkEnd w:id="27"/>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04. 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-118745</wp:posOffset>
            </wp:positionV>
            <wp:extent cx="2828925" cy="1688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28925" cy="1688465"/>
                    </a:xfrm>
                    <a:prstGeom prst="rect">
                      <a:avLst/>
                    </a:prstGeom>
                    <a:noFill/>
                  </pic:spPr>
                </pic:pic>
              </a:graphicData>
            </a:graphic>
          </wp:anchor>
        </w:drawing>
      </w:r>
    </w:p>
    <w:p>
      <w:pPr>
        <w:spacing w:after="0" w:line="192" w:lineRule="exact"/>
        <w:rPr>
          <w:sz w:val="20"/>
          <w:szCs w:val="20"/>
          <w:color w:val="auto"/>
        </w:rPr>
      </w:pPr>
    </w:p>
    <w:p>
      <w:pPr>
        <w:jc w:val="both"/>
        <w:ind w:right="5840"/>
        <w:spacing w:after="0" w:line="245" w:lineRule="auto"/>
        <w:rPr>
          <w:sz w:val="20"/>
          <w:szCs w:val="20"/>
          <w:color w:val="auto"/>
        </w:rPr>
      </w:pPr>
      <w:r>
        <w:rPr>
          <w:rFonts w:ascii="Arial" w:cs="Arial" w:eastAsia="Arial" w:hAnsi="Arial"/>
          <w:sz w:val="18"/>
          <w:szCs w:val="18"/>
          <w:b w:val="1"/>
          <w:bCs w:val="1"/>
          <w:color w:val="auto"/>
        </w:rPr>
        <w:t xml:space="preserve">NIM </w:t>
      </w:r>
      <w:r>
        <w:rPr>
          <w:rFonts w:ascii="Arial" w:cs="Arial" w:eastAsia="Arial" w:hAnsi="Arial"/>
          <w:sz w:val="18"/>
          <w:szCs w:val="18"/>
          <w:color w:val="auto"/>
        </w:rPr>
        <w:t>fell 12 bps QoQ to stand at 6.22%. This evolution was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a reduction in the yield on IEAs, which was driven by:</w:t>
      </w:r>
    </w:p>
    <w:p>
      <w:pPr>
        <w:jc w:val="both"/>
        <w:ind w:right="5840" w:firstLine="8"/>
        <w:spacing w:after="0" w:line="238" w:lineRule="auto"/>
        <w:tabs>
          <w:tab w:leader="none" w:pos="216"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reference rate cuts at the Fed and BCRP, which led to a downward adjustment in interest rates and ii) a concentration of loan growth in short-term, wholesale loans. The cost of funding fell over the period, driven downward by lower rates. </w:t>
      </w:r>
      <w:r>
        <w:rPr>
          <w:rFonts w:ascii="Arial" w:cs="Arial" w:eastAsia="Arial" w:hAnsi="Arial"/>
          <w:sz w:val="18"/>
          <w:szCs w:val="18"/>
          <w:b w:val="1"/>
          <w:bCs w:val="1"/>
          <w:color w:val="auto"/>
        </w:rPr>
        <w:t>Risk-adjusted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NIM </w:t>
      </w:r>
      <w:r>
        <w:rPr>
          <w:rFonts w:ascii="Arial" w:cs="Arial" w:eastAsia="Arial" w:hAnsi="Arial"/>
          <w:sz w:val="18"/>
          <w:szCs w:val="18"/>
          <w:color w:val="auto"/>
        </w:rPr>
        <w:t>continued to trend upward, rising 16 bps to stand at a record-high of 5.24%, driven by a drop in both provisions and cost of risk.</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Margin by Currency</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180" w:type="dxa"/>
            <w:vAlign w:val="bottom"/>
            <w:tcBorders>
              <w:top w:val="single" w:sz="8" w:color="auto"/>
              <w:left w:val="single" w:sz="8" w:color="auto"/>
              <w:right w:val="single" w:sz="8" w:color="auto"/>
            </w:tcBorders>
            <w:shd w:val="clear" w:color="auto" w:fill="33CCCC"/>
          </w:tcPr>
          <w:p>
            <w:pPr>
              <w:ind w:left="20"/>
              <w:spacing w:after="0" w:line="180" w:lineRule="exact"/>
              <w:rPr>
                <w:sz w:val="20"/>
                <w:szCs w:val="20"/>
                <w:color w:val="auto"/>
              </w:rPr>
            </w:pPr>
            <w:r>
              <w:rPr>
                <w:rFonts w:ascii="Arial" w:cs="Arial" w:eastAsia="Arial" w:hAnsi="Arial"/>
                <w:sz w:val="17"/>
                <w:szCs w:val="17"/>
                <w:b w:val="1"/>
                <w:bCs w:val="1"/>
                <w:color w:val="FFFFFF"/>
              </w:rPr>
              <w:t>Interest Income / IEA</w:t>
            </w:r>
          </w:p>
        </w:tc>
        <w:tc>
          <w:tcPr>
            <w:tcW w:w="940" w:type="dxa"/>
            <w:vAlign w:val="bottom"/>
            <w:tcBorders>
              <w:top w:val="single" w:sz="8" w:color="auto"/>
              <w:right w:val="single" w:sz="8" w:color="33CCCC"/>
            </w:tcBorders>
            <w:shd w:val="clear" w:color="auto" w:fill="33CCCC"/>
          </w:tcPr>
          <w:p>
            <w:pPr>
              <w:spacing w:after="0"/>
              <w:rPr>
                <w:sz w:val="15"/>
                <w:szCs w:val="15"/>
                <w:color w:val="auto"/>
              </w:rPr>
            </w:pPr>
          </w:p>
        </w:tc>
        <w:tc>
          <w:tcPr>
            <w:tcW w:w="920" w:type="dxa"/>
            <w:vAlign w:val="bottom"/>
            <w:tcBorders>
              <w:top w:val="single" w:sz="8" w:color="auto"/>
              <w:right w:val="single" w:sz="8" w:color="33CCCC"/>
            </w:tcBorders>
            <w:shd w:val="clear" w:color="auto" w:fill="33CCCC"/>
          </w:tcPr>
          <w:p>
            <w:pPr>
              <w:jc w:val="center"/>
              <w:spacing w:after="0" w:line="180" w:lineRule="exact"/>
              <w:rPr>
                <w:sz w:val="20"/>
                <w:szCs w:val="20"/>
                <w:color w:val="auto"/>
              </w:rPr>
            </w:pPr>
            <w:r>
              <w:rPr>
                <w:rFonts w:ascii="Arial" w:cs="Arial" w:eastAsia="Arial" w:hAnsi="Arial"/>
                <w:sz w:val="17"/>
                <w:szCs w:val="17"/>
                <w:b w:val="1"/>
                <w:bCs w:val="1"/>
                <w:color w:val="FFFFFF"/>
              </w:rPr>
              <w:t>1Q24</w:t>
            </w:r>
          </w:p>
        </w:tc>
        <w:tc>
          <w:tcPr>
            <w:tcW w:w="940" w:type="dxa"/>
            <w:vAlign w:val="bottom"/>
            <w:tcBorders>
              <w:top w:val="single" w:sz="8" w:color="auto"/>
              <w:right w:val="single" w:sz="8" w:color="auto"/>
            </w:tcBorders>
            <w:shd w:val="clear" w:color="auto" w:fill="33CCCC"/>
          </w:tcPr>
          <w:p>
            <w:pPr>
              <w:spacing w:after="0"/>
              <w:rPr>
                <w:sz w:val="15"/>
                <w:szCs w:val="15"/>
                <w:color w:val="auto"/>
              </w:rPr>
            </w:pPr>
          </w:p>
        </w:tc>
        <w:tc>
          <w:tcPr>
            <w:tcW w:w="940" w:type="dxa"/>
            <w:vAlign w:val="bottom"/>
            <w:tcBorders>
              <w:top w:val="single" w:sz="8" w:color="auto"/>
              <w:right w:val="single" w:sz="8" w:color="33CCCC"/>
            </w:tcBorders>
            <w:shd w:val="clear" w:color="auto" w:fill="33CCCC"/>
          </w:tcPr>
          <w:p>
            <w:pPr>
              <w:spacing w:after="0"/>
              <w:rPr>
                <w:sz w:val="15"/>
                <w:szCs w:val="15"/>
                <w:color w:val="auto"/>
              </w:rPr>
            </w:pPr>
          </w:p>
        </w:tc>
        <w:tc>
          <w:tcPr>
            <w:tcW w:w="920" w:type="dxa"/>
            <w:vAlign w:val="bottom"/>
            <w:tcBorders>
              <w:top w:val="single" w:sz="8" w:color="auto"/>
              <w:right w:val="single" w:sz="8" w:color="33CCCC"/>
            </w:tcBorders>
            <w:shd w:val="clear" w:color="auto" w:fill="33CCCC"/>
          </w:tcPr>
          <w:p>
            <w:pPr>
              <w:jc w:val="center"/>
              <w:spacing w:after="0" w:line="180" w:lineRule="exact"/>
              <w:rPr>
                <w:sz w:val="20"/>
                <w:szCs w:val="20"/>
                <w:color w:val="auto"/>
              </w:rPr>
            </w:pPr>
            <w:r>
              <w:rPr>
                <w:rFonts w:ascii="Arial" w:cs="Arial" w:eastAsia="Arial" w:hAnsi="Arial"/>
                <w:sz w:val="17"/>
                <w:szCs w:val="17"/>
                <w:b w:val="1"/>
                <w:bCs w:val="1"/>
                <w:color w:val="FFFFFF"/>
              </w:rPr>
              <w:t>4Q24</w:t>
            </w:r>
          </w:p>
        </w:tc>
        <w:tc>
          <w:tcPr>
            <w:tcW w:w="940" w:type="dxa"/>
            <w:vAlign w:val="bottom"/>
            <w:tcBorders>
              <w:top w:val="single" w:sz="8" w:color="auto"/>
              <w:right w:val="single" w:sz="8" w:color="auto"/>
            </w:tcBorders>
            <w:shd w:val="clear" w:color="auto" w:fill="33CCCC"/>
          </w:tcPr>
          <w:p>
            <w:pPr>
              <w:spacing w:after="0"/>
              <w:rPr>
                <w:sz w:val="15"/>
                <w:szCs w:val="15"/>
                <w:color w:val="auto"/>
              </w:rPr>
            </w:pPr>
          </w:p>
        </w:tc>
        <w:tc>
          <w:tcPr>
            <w:tcW w:w="920" w:type="dxa"/>
            <w:vAlign w:val="bottom"/>
            <w:tcBorders>
              <w:top w:val="single" w:sz="8" w:color="auto"/>
              <w:right w:val="single" w:sz="8" w:color="33CCCC"/>
            </w:tcBorders>
            <w:shd w:val="clear" w:color="auto" w:fill="33CCCC"/>
          </w:tcPr>
          <w:p>
            <w:pPr>
              <w:spacing w:after="0"/>
              <w:rPr>
                <w:sz w:val="15"/>
                <w:szCs w:val="15"/>
                <w:color w:val="auto"/>
              </w:rPr>
            </w:pPr>
          </w:p>
        </w:tc>
        <w:tc>
          <w:tcPr>
            <w:tcW w:w="940" w:type="dxa"/>
            <w:vAlign w:val="bottom"/>
            <w:tcBorders>
              <w:top w:val="single" w:sz="8" w:color="auto"/>
              <w:right w:val="single" w:sz="8" w:color="33CCCC"/>
            </w:tcBorders>
            <w:shd w:val="clear" w:color="auto" w:fill="33CCCC"/>
          </w:tcPr>
          <w:p>
            <w:pPr>
              <w:jc w:val="center"/>
              <w:spacing w:after="0" w:line="180" w:lineRule="exact"/>
              <w:rPr>
                <w:sz w:val="20"/>
                <w:szCs w:val="20"/>
                <w:color w:val="auto"/>
              </w:rPr>
            </w:pPr>
            <w:r>
              <w:rPr>
                <w:rFonts w:ascii="Arial" w:cs="Arial" w:eastAsia="Arial" w:hAnsi="Arial"/>
                <w:sz w:val="17"/>
                <w:szCs w:val="17"/>
                <w:b w:val="1"/>
                <w:bCs w:val="1"/>
                <w:color w:val="FFFFFF"/>
              </w:rPr>
              <w:t>1Q25</w:t>
            </w:r>
          </w:p>
        </w:tc>
        <w:tc>
          <w:tcPr>
            <w:tcW w:w="600" w:type="dxa"/>
            <w:vAlign w:val="bottom"/>
            <w:tcBorders>
              <w:top w:val="single" w:sz="8" w:color="auto"/>
              <w:right w:val="single" w:sz="8" w:color="auto"/>
            </w:tcBorders>
            <w:shd w:val="clear" w:color="auto" w:fill="33CCCC"/>
          </w:tcPr>
          <w:p>
            <w:pPr>
              <w:spacing w:after="0"/>
              <w:rPr>
                <w:sz w:val="15"/>
                <w:szCs w:val="15"/>
                <w:color w:val="auto"/>
              </w:rPr>
            </w:pPr>
          </w:p>
        </w:tc>
      </w:tr>
      <w:tr>
        <w:trPr>
          <w:trHeight w:val="189"/>
        </w:trPr>
        <w:tc>
          <w:tcPr>
            <w:tcW w:w="3180" w:type="dxa"/>
            <w:vAlign w:val="bottom"/>
            <w:tcBorders>
              <w:left w:val="single" w:sz="8" w:color="auto"/>
              <w:right w:val="single" w:sz="8" w:color="auto"/>
            </w:tcBorders>
            <w:shd w:val="clear" w:color="auto" w:fill="33CCCC"/>
          </w:tcPr>
          <w:p>
            <w:pPr>
              <w:ind w:left="20"/>
              <w:spacing w:after="0" w:line="189" w:lineRule="exact"/>
              <w:rPr>
                <w:sz w:val="20"/>
                <w:szCs w:val="20"/>
                <w:color w:val="auto"/>
              </w:rPr>
            </w:pPr>
            <w:r>
              <w:rPr>
                <w:rFonts w:ascii="Arial" w:cs="Arial" w:eastAsia="Arial" w:hAnsi="Arial"/>
                <w:sz w:val="17"/>
                <w:szCs w:val="17"/>
                <w:b w:val="1"/>
                <w:bCs w:val="1"/>
                <w:color w:val="FFFFFF"/>
              </w:rPr>
              <w:t>S/ millions</w:t>
            </w:r>
          </w:p>
        </w:tc>
        <w:tc>
          <w:tcPr>
            <w:tcW w:w="940" w:type="dxa"/>
            <w:vAlign w:val="bottom"/>
            <w:tcBorders>
              <w:right w:val="single" w:sz="8" w:color="33CCCC"/>
            </w:tcBorders>
            <w:shd w:val="clear" w:color="auto" w:fill="33CCCC"/>
          </w:tcPr>
          <w:p>
            <w:pPr>
              <w:ind w:left="120"/>
              <w:spacing w:after="0" w:line="189" w:lineRule="exact"/>
              <w:rPr>
                <w:sz w:val="20"/>
                <w:szCs w:val="20"/>
                <w:color w:val="auto"/>
              </w:rPr>
            </w:pPr>
            <w:r>
              <w:rPr>
                <w:rFonts w:ascii="Arial" w:cs="Arial" w:eastAsia="Arial" w:hAnsi="Arial"/>
                <w:sz w:val="17"/>
                <w:szCs w:val="17"/>
                <w:b w:val="1"/>
                <w:bCs w:val="1"/>
                <w:color w:val="FFFFFF"/>
              </w:rPr>
              <w:t>Average</w:t>
            </w:r>
          </w:p>
        </w:tc>
        <w:tc>
          <w:tcPr>
            <w:tcW w:w="920" w:type="dxa"/>
            <w:vAlign w:val="bottom"/>
            <w:tcBorders>
              <w:right w:val="single" w:sz="8" w:color="33CCCC"/>
            </w:tcBorders>
            <w:shd w:val="clear" w:color="auto" w:fill="33CCCC"/>
          </w:tcPr>
          <w:p>
            <w:pPr>
              <w:spacing w:after="0"/>
              <w:rPr>
                <w:sz w:val="16"/>
                <w:szCs w:val="16"/>
                <w:color w:val="auto"/>
              </w:rPr>
            </w:pPr>
          </w:p>
        </w:tc>
        <w:tc>
          <w:tcPr>
            <w:tcW w:w="940" w:type="dxa"/>
            <w:vAlign w:val="bottom"/>
            <w:tcBorders>
              <w:right w:val="single" w:sz="8" w:color="auto"/>
            </w:tcBorders>
            <w:shd w:val="clear" w:color="auto" w:fill="33CCCC"/>
          </w:tcPr>
          <w:p>
            <w:pPr>
              <w:spacing w:after="0"/>
              <w:rPr>
                <w:sz w:val="16"/>
                <w:szCs w:val="16"/>
                <w:color w:val="auto"/>
              </w:rPr>
            </w:pPr>
          </w:p>
        </w:tc>
        <w:tc>
          <w:tcPr>
            <w:tcW w:w="940" w:type="dxa"/>
            <w:vAlign w:val="bottom"/>
            <w:tcBorders>
              <w:right w:val="single" w:sz="8" w:color="33CCCC"/>
            </w:tcBorders>
            <w:shd w:val="clear" w:color="auto" w:fill="33CCCC"/>
          </w:tcPr>
          <w:p>
            <w:pPr>
              <w:ind w:left="120"/>
              <w:spacing w:after="0" w:line="189" w:lineRule="exact"/>
              <w:rPr>
                <w:sz w:val="20"/>
                <w:szCs w:val="20"/>
                <w:color w:val="auto"/>
              </w:rPr>
            </w:pPr>
            <w:r>
              <w:rPr>
                <w:rFonts w:ascii="Arial" w:cs="Arial" w:eastAsia="Arial" w:hAnsi="Arial"/>
                <w:sz w:val="17"/>
                <w:szCs w:val="17"/>
                <w:b w:val="1"/>
                <w:bCs w:val="1"/>
                <w:color w:val="FFFFFF"/>
              </w:rPr>
              <w:t>Average</w:t>
            </w:r>
          </w:p>
        </w:tc>
        <w:tc>
          <w:tcPr>
            <w:tcW w:w="920" w:type="dxa"/>
            <w:vAlign w:val="bottom"/>
            <w:tcBorders>
              <w:right w:val="single" w:sz="8" w:color="33CCCC"/>
            </w:tcBorders>
            <w:shd w:val="clear" w:color="auto" w:fill="33CCCC"/>
          </w:tcPr>
          <w:p>
            <w:pPr>
              <w:spacing w:after="0"/>
              <w:rPr>
                <w:sz w:val="16"/>
                <w:szCs w:val="16"/>
                <w:color w:val="auto"/>
              </w:rPr>
            </w:pPr>
          </w:p>
        </w:tc>
        <w:tc>
          <w:tcPr>
            <w:tcW w:w="940" w:type="dxa"/>
            <w:vAlign w:val="bottom"/>
            <w:tcBorders>
              <w:right w:val="single" w:sz="8" w:color="auto"/>
            </w:tcBorders>
            <w:shd w:val="clear" w:color="auto" w:fill="33CCCC"/>
          </w:tcPr>
          <w:p>
            <w:pPr>
              <w:spacing w:after="0"/>
              <w:rPr>
                <w:sz w:val="16"/>
                <w:szCs w:val="16"/>
                <w:color w:val="auto"/>
              </w:rPr>
            </w:pPr>
          </w:p>
        </w:tc>
        <w:tc>
          <w:tcPr>
            <w:tcW w:w="920" w:type="dxa"/>
            <w:vAlign w:val="bottom"/>
            <w:tcBorders>
              <w:right w:val="single" w:sz="8" w:color="33CCCC"/>
            </w:tcBorders>
            <w:shd w:val="clear" w:color="auto" w:fill="33CCCC"/>
          </w:tcPr>
          <w:p>
            <w:pPr>
              <w:ind w:left="120"/>
              <w:spacing w:after="0" w:line="189" w:lineRule="exact"/>
              <w:rPr>
                <w:sz w:val="20"/>
                <w:szCs w:val="20"/>
                <w:color w:val="auto"/>
              </w:rPr>
            </w:pPr>
            <w:r>
              <w:rPr>
                <w:rFonts w:ascii="Arial" w:cs="Arial" w:eastAsia="Arial" w:hAnsi="Arial"/>
                <w:sz w:val="17"/>
                <w:szCs w:val="17"/>
                <w:b w:val="1"/>
                <w:bCs w:val="1"/>
                <w:color w:val="FFFFFF"/>
              </w:rPr>
              <w:t>Average</w:t>
            </w:r>
          </w:p>
        </w:tc>
        <w:tc>
          <w:tcPr>
            <w:tcW w:w="940" w:type="dxa"/>
            <w:vAlign w:val="bottom"/>
            <w:tcBorders>
              <w:right w:val="single" w:sz="8" w:color="33CCCC"/>
            </w:tcBorders>
            <w:shd w:val="clear" w:color="auto" w:fill="33CCCC"/>
          </w:tcPr>
          <w:p>
            <w:pPr>
              <w:spacing w:after="0"/>
              <w:rPr>
                <w:sz w:val="16"/>
                <w:szCs w:val="16"/>
                <w:color w:val="auto"/>
              </w:rPr>
            </w:pPr>
          </w:p>
        </w:tc>
        <w:tc>
          <w:tcPr>
            <w:tcW w:w="600" w:type="dxa"/>
            <w:vAlign w:val="bottom"/>
            <w:tcBorders>
              <w:right w:val="single" w:sz="8" w:color="auto"/>
            </w:tcBorders>
            <w:shd w:val="clear" w:color="auto" w:fill="33CCCC"/>
          </w:tcPr>
          <w:p>
            <w:pPr>
              <w:spacing w:after="0"/>
              <w:rPr>
                <w:sz w:val="16"/>
                <w:szCs w:val="16"/>
                <w:color w:val="auto"/>
              </w:rPr>
            </w:pPr>
          </w:p>
        </w:tc>
      </w:tr>
      <w:tr>
        <w:trPr>
          <w:trHeight w:val="211"/>
        </w:trPr>
        <w:tc>
          <w:tcPr>
            <w:tcW w:w="3180" w:type="dxa"/>
            <w:vAlign w:val="bottom"/>
            <w:tcBorders>
              <w:left w:val="single" w:sz="8" w:color="auto"/>
              <w:bottom w:val="single" w:sz="8" w:color="auto"/>
              <w:right w:val="single" w:sz="8" w:color="auto"/>
            </w:tcBorders>
            <w:shd w:val="clear" w:color="auto" w:fill="33CCCC"/>
          </w:tcPr>
          <w:p>
            <w:pPr>
              <w:spacing w:after="0"/>
              <w:rPr>
                <w:sz w:val="18"/>
                <w:szCs w:val="18"/>
                <w:color w:val="auto"/>
              </w:rPr>
            </w:pPr>
          </w:p>
        </w:tc>
        <w:tc>
          <w:tcPr>
            <w:tcW w:w="940" w:type="dxa"/>
            <w:vAlign w:val="bottom"/>
            <w:tcBorders>
              <w:bottom w:val="single" w:sz="8" w:color="auto"/>
              <w:right w:val="single" w:sz="8" w:color="33CCCC"/>
            </w:tcBorders>
            <w:shd w:val="clear" w:color="auto" w:fill="33CCCC"/>
          </w:tcPr>
          <w:p>
            <w:pPr>
              <w:ind w:left="120"/>
              <w:spacing w:after="0"/>
              <w:rPr>
                <w:sz w:val="20"/>
                <w:szCs w:val="20"/>
                <w:color w:val="auto"/>
              </w:rPr>
            </w:pPr>
            <w:r>
              <w:rPr>
                <w:rFonts w:ascii="Arial" w:cs="Arial" w:eastAsia="Arial" w:hAnsi="Arial"/>
                <w:sz w:val="17"/>
                <w:szCs w:val="17"/>
                <w:b w:val="1"/>
                <w:bCs w:val="1"/>
                <w:color w:val="FFFFFF"/>
              </w:rPr>
              <w:t>Balance</w:t>
            </w:r>
          </w:p>
        </w:tc>
        <w:tc>
          <w:tcPr>
            <w:tcW w:w="920" w:type="dxa"/>
            <w:vAlign w:val="bottom"/>
            <w:tcBorders>
              <w:bottom w:val="single" w:sz="8" w:color="auto"/>
              <w:right w:val="single" w:sz="8" w:color="33CCCC"/>
            </w:tcBorders>
            <w:shd w:val="clear" w:color="auto" w:fill="33CCCC"/>
          </w:tcPr>
          <w:p>
            <w:pPr>
              <w:jc w:val="center"/>
              <w:spacing w:after="0"/>
              <w:rPr>
                <w:sz w:val="20"/>
                <w:szCs w:val="20"/>
                <w:color w:val="auto"/>
              </w:rPr>
            </w:pPr>
            <w:r>
              <w:rPr>
                <w:rFonts w:ascii="Arial" w:cs="Arial" w:eastAsia="Arial" w:hAnsi="Arial"/>
                <w:sz w:val="17"/>
                <w:szCs w:val="17"/>
                <w:b w:val="1"/>
                <w:bCs w:val="1"/>
                <w:color w:val="FFFFFF"/>
              </w:rPr>
              <w:t>Income</w:t>
            </w:r>
          </w:p>
        </w:tc>
        <w:tc>
          <w:tcPr>
            <w:tcW w:w="940" w:type="dxa"/>
            <w:vAlign w:val="bottom"/>
            <w:tcBorders>
              <w:bottom w:val="single" w:sz="8" w:color="auto"/>
              <w:right w:val="single" w:sz="8" w:color="auto"/>
            </w:tcBorders>
            <w:shd w:val="clear" w:color="auto" w:fill="33CCCC"/>
          </w:tcPr>
          <w:p>
            <w:pPr>
              <w:ind w:left="200"/>
              <w:spacing w:after="0"/>
              <w:rPr>
                <w:sz w:val="20"/>
                <w:szCs w:val="20"/>
                <w:color w:val="auto"/>
              </w:rPr>
            </w:pPr>
            <w:r>
              <w:rPr>
                <w:rFonts w:ascii="Arial" w:cs="Arial" w:eastAsia="Arial" w:hAnsi="Arial"/>
                <w:sz w:val="17"/>
                <w:szCs w:val="17"/>
                <w:b w:val="1"/>
                <w:bCs w:val="1"/>
                <w:color w:val="FFFFFF"/>
              </w:rPr>
              <w:t>Yields</w:t>
            </w:r>
          </w:p>
        </w:tc>
        <w:tc>
          <w:tcPr>
            <w:tcW w:w="940" w:type="dxa"/>
            <w:vAlign w:val="bottom"/>
            <w:tcBorders>
              <w:bottom w:val="single" w:sz="8" w:color="auto"/>
              <w:right w:val="single" w:sz="8" w:color="33CCCC"/>
            </w:tcBorders>
            <w:shd w:val="clear" w:color="auto" w:fill="33CCCC"/>
          </w:tcPr>
          <w:p>
            <w:pPr>
              <w:ind w:left="120"/>
              <w:spacing w:after="0"/>
              <w:rPr>
                <w:sz w:val="20"/>
                <w:szCs w:val="20"/>
                <w:color w:val="auto"/>
              </w:rPr>
            </w:pPr>
            <w:r>
              <w:rPr>
                <w:rFonts w:ascii="Arial" w:cs="Arial" w:eastAsia="Arial" w:hAnsi="Arial"/>
                <w:sz w:val="17"/>
                <w:szCs w:val="17"/>
                <w:b w:val="1"/>
                <w:bCs w:val="1"/>
                <w:color w:val="FFFFFF"/>
              </w:rPr>
              <w:t>Balance</w:t>
            </w:r>
          </w:p>
        </w:tc>
        <w:tc>
          <w:tcPr>
            <w:tcW w:w="920" w:type="dxa"/>
            <w:vAlign w:val="bottom"/>
            <w:tcBorders>
              <w:bottom w:val="single" w:sz="8" w:color="auto"/>
              <w:right w:val="single" w:sz="8" w:color="33CCCC"/>
            </w:tcBorders>
            <w:shd w:val="clear" w:color="auto" w:fill="33CCCC"/>
          </w:tcPr>
          <w:p>
            <w:pPr>
              <w:jc w:val="center"/>
              <w:spacing w:after="0"/>
              <w:rPr>
                <w:sz w:val="20"/>
                <w:szCs w:val="20"/>
                <w:color w:val="auto"/>
              </w:rPr>
            </w:pPr>
            <w:r>
              <w:rPr>
                <w:rFonts w:ascii="Arial" w:cs="Arial" w:eastAsia="Arial" w:hAnsi="Arial"/>
                <w:sz w:val="17"/>
                <w:szCs w:val="17"/>
                <w:b w:val="1"/>
                <w:bCs w:val="1"/>
                <w:color w:val="FFFFFF"/>
              </w:rPr>
              <w:t>Income</w:t>
            </w:r>
          </w:p>
        </w:tc>
        <w:tc>
          <w:tcPr>
            <w:tcW w:w="940" w:type="dxa"/>
            <w:vAlign w:val="bottom"/>
            <w:tcBorders>
              <w:bottom w:val="single" w:sz="8" w:color="auto"/>
              <w:right w:val="single" w:sz="8" w:color="auto"/>
            </w:tcBorders>
            <w:shd w:val="clear" w:color="auto" w:fill="33CCCC"/>
          </w:tcPr>
          <w:p>
            <w:pPr>
              <w:ind w:left="200"/>
              <w:spacing w:after="0"/>
              <w:rPr>
                <w:sz w:val="20"/>
                <w:szCs w:val="20"/>
                <w:color w:val="auto"/>
              </w:rPr>
            </w:pPr>
            <w:r>
              <w:rPr>
                <w:rFonts w:ascii="Arial" w:cs="Arial" w:eastAsia="Arial" w:hAnsi="Arial"/>
                <w:sz w:val="17"/>
                <w:szCs w:val="17"/>
                <w:b w:val="1"/>
                <w:bCs w:val="1"/>
                <w:color w:val="FFFFFF"/>
              </w:rPr>
              <w:t>Yields</w:t>
            </w:r>
          </w:p>
        </w:tc>
        <w:tc>
          <w:tcPr>
            <w:tcW w:w="920" w:type="dxa"/>
            <w:vAlign w:val="bottom"/>
            <w:tcBorders>
              <w:bottom w:val="single" w:sz="8" w:color="auto"/>
              <w:right w:val="single" w:sz="8" w:color="33CCCC"/>
            </w:tcBorders>
            <w:shd w:val="clear" w:color="auto" w:fill="33CCCC"/>
          </w:tcPr>
          <w:p>
            <w:pPr>
              <w:ind w:left="120"/>
              <w:spacing w:after="0"/>
              <w:rPr>
                <w:sz w:val="20"/>
                <w:szCs w:val="20"/>
                <w:color w:val="auto"/>
              </w:rPr>
            </w:pPr>
            <w:r>
              <w:rPr>
                <w:rFonts w:ascii="Arial" w:cs="Arial" w:eastAsia="Arial" w:hAnsi="Arial"/>
                <w:sz w:val="17"/>
                <w:szCs w:val="17"/>
                <w:b w:val="1"/>
                <w:bCs w:val="1"/>
                <w:color w:val="FFFFFF"/>
              </w:rPr>
              <w:t>Balance</w:t>
            </w:r>
          </w:p>
        </w:tc>
        <w:tc>
          <w:tcPr>
            <w:tcW w:w="940" w:type="dxa"/>
            <w:vAlign w:val="bottom"/>
            <w:tcBorders>
              <w:bottom w:val="single" w:sz="8" w:color="auto"/>
              <w:right w:val="single" w:sz="8" w:color="33CCCC"/>
            </w:tcBorders>
            <w:shd w:val="clear" w:color="auto" w:fill="33CCCC"/>
          </w:tcPr>
          <w:p>
            <w:pPr>
              <w:jc w:val="center"/>
              <w:spacing w:after="0"/>
              <w:rPr>
                <w:sz w:val="20"/>
                <w:szCs w:val="20"/>
                <w:color w:val="auto"/>
              </w:rPr>
            </w:pPr>
            <w:r>
              <w:rPr>
                <w:rFonts w:ascii="Arial" w:cs="Arial" w:eastAsia="Arial" w:hAnsi="Arial"/>
                <w:sz w:val="17"/>
                <w:szCs w:val="17"/>
                <w:b w:val="1"/>
                <w:bCs w:val="1"/>
                <w:color w:val="FFFFFF"/>
              </w:rPr>
              <w:t>Income</w:t>
            </w:r>
          </w:p>
        </w:tc>
        <w:tc>
          <w:tcPr>
            <w:tcW w:w="600" w:type="dxa"/>
            <w:vAlign w:val="bottom"/>
            <w:tcBorders>
              <w:bottom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7"/>
                <w:szCs w:val="17"/>
                <w:b w:val="1"/>
                <w:bCs w:val="1"/>
                <w:color w:val="FFFFFF"/>
              </w:rPr>
              <w:t>Yields</w:t>
            </w:r>
          </w:p>
        </w:tc>
      </w:tr>
      <w:tr>
        <w:trPr>
          <w:trHeight w:val="160"/>
        </w:trPr>
        <w:tc>
          <w:tcPr>
            <w:tcW w:w="3180" w:type="dxa"/>
            <w:vAlign w:val="bottom"/>
            <w:tcBorders>
              <w:left w:val="single" w:sz="8" w:color="auto"/>
              <w:right w:val="single" w:sz="8" w:color="auto"/>
            </w:tcBorders>
          </w:tcPr>
          <w:p>
            <w:pPr>
              <w:ind w:left="20"/>
              <w:spacing w:after="0" w:line="160" w:lineRule="exact"/>
              <w:rPr>
                <w:sz w:val="20"/>
                <w:szCs w:val="20"/>
                <w:color w:val="auto"/>
              </w:rPr>
            </w:pPr>
            <w:r>
              <w:rPr>
                <w:rFonts w:ascii="Arial" w:cs="Arial" w:eastAsia="Arial" w:hAnsi="Arial"/>
                <w:sz w:val="17"/>
                <w:szCs w:val="17"/>
                <w:color w:val="auto"/>
              </w:rPr>
              <w:t>Cash and equivalents</w:t>
            </w:r>
          </w:p>
        </w:tc>
        <w:tc>
          <w:tcPr>
            <w:tcW w:w="940" w:type="dxa"/>
            <w:vAlign w:val="bottom"/>
          </w:tcPr>
          <w:p>
            <w:pPr>
              <w:jc w:val="center"/>
              <w:spacing w:after="0" w:line="160" w:lineRule="exact"/>
              <w:rPr>
                <w:sz w:val="20"/>
                <w:szCs w:val="20"/>
                <w:color w:val="auto"/>
              </w:rPr>
            </w:pPr>
            <w:r>
              <w:rPr>
                <w:rFonts w:ascii="Arial" w:cs="Arial" w:eastAsia="Arial" w:hAnsi="Arial"/>
                <w:sz w:val="17"/>
                <w:szCs w:val="17"/>
                <w:color w:val="auto"/>
                <w:w w:val="99"/>
              </w:rPr>
              <w:t>28,556</w:t>
            </w:r>
          </w:p>
        </w:tc>
        <w:tc>
          <w:tcPr>
            <w:tcW w:w="920" w:type="dxa"/>
            <w:vAlign w:val="bottom"/>
          </w:tcPr>
          <w:p>
            <w:pPr>
              <w:jc w:val="center"/>
              <w:spacing w:after="0" w:line="160" w:lineRule="exact"/>
              <w:rPr>
                <w:sz w:val="20"/>
                <w:szCs w:val="20"/>
                <w:color w:val="auto"/>
              </w:rPr>
            </w:pPr>
            <w:r>
              <w:rPr>
                <w:rFonts w:ascii="Arial" w:cs="Arial" w:eastAsia="Arial" w:hAnsi="Arial"/>
                <w:sz w:val="17"/>
                <w:szCs w:val="17"/>
                <w:color w:val="auto"/>
                <w:w w:val="98"/>
              </w:rPr>
              <w:t>334</w:t>
            </w:r>
          </w:p>
        </w:tc>
        <w:tc>
          <w:tcPr>
            <w:tcW w:w="94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4.7%</w:t>
            </w:r>
          </w:p>
        </w:tc>
        <w:tc>
          <w:tcPr>
            <w:tcW w:w="940" w:type="dxa"/>
            <w:vAlign w:val="bottom"/>
          </w:tcPr>
          <w:p>
            <w:pPr>
              <w:jc w:val="center"/>
              <w:spacing w:after="0" w:line="160" w:lineRule="exact"/>
              <w:rPr>
                <w:sz w:val="20"/>
                <w:szCs w:val="20"/>
                <w:color w:val="auto"/>
              </w:rPr>
            </w:pPr>
            <w:r>
              <w:rPr>
                <w:rFonts w:ascii="Arial" w:cs="Arial" w:eastAsia="Arial" w:hAnsi="Arial"/>
                <w:sz w:val="17"/>
                <w:szCs w:val="17"/>
                <w:color w:val="auto"/>
                <w:w w:val="99"/>
              </w:rPr>
              <w:t>38,564</w:t>
            </w:r>
          </w:p>
        </w:tc>
        <w:tc>
          <w:tcPr>
            <w:tcW w:w="920" w:type="dxa"/>
            <w:vAlign w:val="bottom"/>
          </w:tcPr>
          <w:p>
            <w:pPr>
              <w:jc w:val="center"/>
              <w:spacing w:after="0" w:line="160" w:lineRule="exact"/>
              <w:rPr>
                <w:sz w:val="20"/>
                <w:szCs w:val="20"/>
                <w:color w:val="auto"/>
              </w:rPr>
            </w:pPr>
            <w:r>
              <w:rPr>
                <w:rFonts w:ascii="Arial" w:cs="Arial" w:eastAsia="Arial" w:hAnsi="Arial"/>
                <w:sz w:val="17"/>
                <w:szCs w:val="17"/>
                <w:color w:val="auto"/>
                <w:w w:val="98"/>
              </w:rPr>
              <w:t>386</w:t>
            </w:r>
          </w:p>
        </w:tc>
        <w:tc>
          <w:tcPr>
            <w:tcW w:w="94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7"/>
              </w:rPr>
              <w:t>4.0%</w:t>
            </w:r>
          </w:p>
        </w:tc>
        <w:tc>
          <w:tcPr>
            <w:tcW w:w="920" w:type="dxa"/>
            <w:vAlign w:val="bottom"/>
          </w:tcPr>
          <w:p>
            <w:pPr>
              <w:jc w:val="center"/>
              <w:spacing w:after="0" w:line="160" w:lineRule="exact"/>
              <w:rPr>
                <w:sz w:val="20"/>
                <w:szCs w:val="20"/>
                <w:color w:val="auto"/>
              </w:rPr>
            </w:pPr>
            <w:r>
              <w:rPr>
                <w:rFonts w:ascii="Arial" w:cs="Arial" w:eastAsia="Arial" w:hAnsi="Arial"/>
                <w:sz w:val="17"/>
                <w:szCs w:val="17"/>
                <w:color w:val="auto"/>
                <w:w w:val="99"/>
              </w:rPr>
              <w:t>38,821</w:t>
            </w:r>
          </w:p>
        </w:tc>
        <w:tc>
          <w:tcPr>
            <w:tcW w:w="940" w:type="dxa"/>
            <w:vAlign w:val="bottom"/>
          </w:tcPr>
          <w:p>
            <w:pPr>
              <w:jc w:val="center"/>
              <w:spacing w:after="0" w:line="160" w:lineRule="exact"/>
              <w:rPr>
                <w:sz w:val="20"/>
                <w:szCs w:val="20"/>
                <w:color w:val="auto"/>
              </w:rPr>
            </w:pPr>
            <w:r>
              <w:rPr>
                <w:rFonts w:ascii="Arial" w:cs="Arial" w:eastAsia="Arial" w:hAnsi="Arial"/>
                <w:sz w:val="17"/>
                <w:szCs w:val="17"/>
                <w:color w:val="auto"/>
                <w:w w:val="98"/>
              </w:rPr>
              <w:t>345</w:t>
            </w:r>
          </w:p>
        </w:tc>
        <w:tc>
          <w:tcPr>
            <w:tcW w:w="6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3.6%</w:t>
            </w:r>
          </w:p>
        </w:tc>
      </w:tr>
      <w:tr>
        <w:trPr>
          <w:trHeight w:val="189"/>
        </w:trPr>
        <w:tc>
          <w:tcPr>
            <w:tcW w:w="3180" w:type="dxa"/>
            <w:vAlign w:val="bottom"/>
            <w:tcBorders>
              <w:left w:val="single" w:sz="8" w:color="auto"/>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Other IEA</w:t>
            </w:r>
          </w:p>
        </w:tc>
        <w:tc>
          <w:tcPr>
            <w:tcW w:w="940" w:type="dxa"/>
            <w:vAlign w:val="bottom"/>
          </w:tcPr>
          <w:p>
            <w:pPr>
              <w:jc w:val="center"/>
              <w:spacing w:after="0" w:line="189" w:lineRule="exact"/>
              <w:rPr>
                <w:sz w:val="20"/>
                <w:szCs w:val="20"/>
                <w:color w:val="auto"/>
              </w:rPr>
            </w:pPr>
            <w:r>
              <w:rPr>
                <w:rFonts w:ascii="Arial" w:cs="Arial" w:eastAsia="Arial" w:hAnsi="Arial"/>
                <w:sz w:val="17"/>
                <w:szCs w:val="17"/>
                <w:color w:val="auto"/>
                <w:w w:val="98"/>
              </w:rPr>
              <w:t>1,469</w:t>
            </w:r>
          </w:p>
        </w:tc>
        <w:tc>
          <w:tcPr>
            <w:tcW w:w="920" w:type="dxa"/>
            <w:vAlign w:val="bottom"/>
          </w:tcPr>
          <w:p>
            <w:pPr>
              <w:jc w:val="center"/>
              <w:spacing w:after="0" w:line="189" w:lineRule="exact"/>
              <w:rPr>
                <w:sz w:val="20"/>
                <w:szCs w:val="20"/>
                <w:color w:val="auto"/>
              </w:rPr>
            </w:pPr>
            <w:r>
              <w:rPr>
                <w:rFonts w:ascii="Arial" w:cs="Arial" w:eastAsia="Arial" w:hAnsi="Arial"/>
                <w:sz w:val="17"/>
                <w:szCs w:val="17"/>
                <w:color w:val="auto"/>
              </w:rPr>
              <w:t>28</w:t>
            </w:r>
          </w:p>
        </w:tc>
        <w:tc>
          <w:tcPr>
            <w:tcW w:w="9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7.6%</w:t>
            </w:r>
          </w:p>
        </w:tc>
        <w:tc>
          <w:tcPr>
            <w:tcW w:w="940" w:type="dxa"/>
            <w:vAlign w:val="bottom"/>
          </w:tcPr>
          <w:p>
            <w:pPr>
              <w:jc w:val="center"/>
              <w:spacing w:after="0" w:line="189" w:lineRule="exact"/>
              <w:rPr>
                <w:sz w:val="20"/>
                <w:szCs w:val="20"/>
                <w:color w:val="auto"/>
              </w:rPr>
            </w:pPr>
            <w:r>
              <w:rPr>
                <w:rFonts w:ascii="Arial" w:cs="Arial" w:eastAsia="Arial" w:hAnsi="Arial"/>
                <w:sz w:val="17"/>
                <w:szCs w:val="17"/>
                <w:color w:val="auto"/>
                <w:w w:val="98"/>
              </w:rPr>
              <w:t>1,227</w:t>
            </w:r>
          </w:p>
        </w:tc>
        <w:tc>
          <w:tcPr>
            <w:tcW w:w="920" w:type="dxa"/>
            <w:vAlign w:val="bottom"/>
          </w:tcPr>
          <w:p>
            <w:pPr>
              <w:jc w:val="center"/>
              <w:spacing w:after="0" w:line="189" w:lineRule="exact"/>
              <w:rPr>
                <w:sz w:val="20"/>
                <w:szCs w:val="20"/>
                <w:color w:val="auto"/>
              </w:rPr>
            </w:pPr>
            <w:r>
              <w:rPr>
                <w:rFonts w:ascii="Arial" w:cs="Arial" w:eastAsia="Arial" w:hAnsi="Arial"/>
                <w:sz w:val="17"/>
                <w:szCs w:val="17"/>
                <w:color w:val="auto"/>
              </w:rPr>
              <w:t>18</w:t>
            </w:r>
          </w:p>
        </w:tc>
        <w:tc>
          <w:tcPr>
            <w:tcW w:w="9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7"/>
              </w:rPr>
              <w:t>5.9%</w:t>
            </w:r>
          </w:p>
        </w:tc>
        <w:tc>
          <w:tcPr>
            <w:tcW w:w="920" w:type="dxa"/>
            <w:vAlign w:val="bottom"/>
          </w:tcPr>
          <w:p>
            <w:pPr>
              <w:jc w:val="center"/>
              <w:spacing w:after="0" w:line="189" w:lineRule="exact"/>
              <w:rPr>
                <w:sz w:val="20"/>
                <w:szCs w:val="20"/>
                <w:color w:val="auto"/>
              </w:rPr>
            </w:pPr>
            <w:r>
              <w:rPr>
                <w:rFonts w:ascii="Arial" w:cs="Arial" w:eastAsia="Arial" w:hAnsi="Arial"/>
                <w:sz w:val="17"/>
                <w:szCs w:val="17"/>
                <w:color w:val="auto"/>
                <w:w w:val="98"/>
              </w:rPr>
              <w:t>1,434</w:t>
            </w:r>
          </w:p>
        </w:tc>
        <w:tc>
          <w:tcPr>
            <w:tcW w:w="940" w:type="dxa"/>
            <w:vAlign w:val="bottom"/>
          </w:tcPr>
          <w:p>
            <w:pPr>
              <w:jc w:val="center"/>
              <w:spacing w:after="0" w:line="189" w:lineRule="exact"/>
              <w:rPr>
                <w:sz w:val="20"/>
                <w:szCs w:val="20"/>
                <w:color w:val="auto"/>
              </w:rPr>
            </w:pPr>
            <w:r>
              <w:rPr>
                <w:rFonts w:ascii="Arial" w:cs="Arial" w:eastAsia="Arial" w:hAnsi="Arial"/>
                <w:sz w:val="17"/>
                <w:szCs w:val="17"/>
                <w:color w:val="auto"/>
                <w:w w:val="94"/>
              </w:rPr>
              <w:t>19</w:t>
            </w:r>
          </w:p>
        </w:tc>
        <w:tc>
          <w:tcPr>
            <w:tcW w:w="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5.3%</w:t>
            </w:r>
          </w:p>
        </w:tc>
      </w:tr>
      <w:tr>
        <w:trPr>
          <w:trHeight w:val="189"/>
        </w:trPr>
        <w:tc>
          <w:tcPr>
            <w:tcW w:w="3180" w:type="dxa"/>
            <w:vAlign w:val="bottom"/>
            <w:tcBorders>
              <w:left w:val="single" w:sz="8" w:color="auto"/>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Investments</w:t>
            </w:r>
          </w:p>
        </w:tc>
        <w:tc>
          <w:tcPr>
            <w:tcW w:w="940" w:type="dxa"/>
            <w:vAlign w:val="bottom"/>
          </w:tcPr>
          <w:p>
            <w:pPr>
              <w:jc w:val="center"/>
              <w:spacing w:after="0" w:line="189" w:lineRule="exact"/>
              <w:rPr>
                <w:sz w:val="20"/>
                <w:szCs w:val="20"/>
                <w:color w:val="auto"/>
              </w:rPr>
            </w:pPr>
            <w:r>
              <w:rPr>
                <w:rFonts w:ascii="Arial" w:cs="Arial" w:eastAsia="Arial" w:hAnsi="Arial"/>
                <w:sz w:val="17"/>
                <w:szCs w:val="17"/>
                <w:color w:val="auto"/>
                <w:w w:val="99"/>
              </w:rPr>
              <w:t>52,385</w:t>
            </w:r>
          </w:p>
        </w:tc>
        <w:tc>
          <w:tcPr>
            <w:tcW w:w="920" w:type="dxa"/>
            <w:vAlign w:val="bottom"/>
          </w:tcPr>
          <w:p>
            <w:pPr>
              <w:jc w:val="center"/>
              <w:spacing w:after="0" w:line="189" w:lineRule="exact"/>
              <w:rPr>
                <w:sz w:val="20"/>
                <w:szCs w:val="20"/>
                <w:color w:val="auto"/>
              </w:rPr>
            </w:pPr>
            <w:r>
              <w:rPr>
                <w:rFonts w:ascii="Arial" w:cs="Arial" w:eastAsia="Arial" w:hAnsi="Arial"/>
                <w:sz w:val="17"/>
                <w:szCs w:val="17"/>
                <w:color w:val="auto"/>
                <w:w w:val="98"/>
              </w:rPr>
              <w:t>694</w:t>
            </w:r>
          </w:p>
        </w:tc>
        <w:tc>
          <w:tcPr>
            <w:tcW w:w="9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5.3%</w:t>
            </w:r>
          </w:p>
        </w:tc>
        <w:tc>
          <w:tcPr>
            <w:tcW w:w="940" w:type="dxa"/>
            <w:vAlign w:val="bottom"/>
          </w:tcPr>
          <w:p>
            <w:pPr>
              <w:jc w:val="center"/>
              <w:spacing w:after="0" w:line="189" w:lineRule="exact"/>
              <w:rPr>
                <w:sz w:val="20"/>
                <w:szCs w:val="20"/>
                <w:color w:val="auto"/>
              </w:rPr>
            </w:pPr>
            <w:r>
              <w:rPr>
                <w:rFonts w:ascii="Arial" w:cs="Arial" w:eastAsia="Arial" w:hAnsi="Arial"/>
                <w:sz w:val="17"/>
                <w:szCs w:val="17"/>
                <w:color w:val="auto"/>
                <w:w w:val="99"/>
              </w:rPr>
              <w:t>53,578</w:t>
            </w:r>
          </w:p>
        </w:tc>
        <w:tc>
          <w:tcPr>
            <w:tcW w:w="920" w:type="dxa"/>
            <w:vAlign w:val="bottom"/>
          </w:tcPr>
          <w:p>
            <w:pPr>
              <w:jc w:val="center"/>
              <w:spacing w:after="0" w:line="189" w:lineRule="exact"/>
              <w:rPr>
                <w:sz w:val="20"/>
                <w:szCs w:val="20"/>
                <w:color w:val="auto"/>
              </w:rPr>
            </w:pPr>
            <w:r>
              <w:rPr>
                <w:rFonts w:ascii="Arial" w:cs="Arial" w:eastAsia="Arial" w:hAnsi="Arial"/>
                <w:sz w:val="17"/>
                <w:szCs w:val="17"/>
                <w:color w:val="auto"/>
                <w:w w:val="98"/>
              </w:rPr>
              <w:t>667</w:t>
            </w:r>
          </w:p>
        </w:tc>
        <w:tc>
          <w:tcPr>
            <w:tcW w:w="9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7"/>
              </w:rPr>
              <w:t>5.0%</w:t>
            </w:r>
          </w:p>
        </w:tc>
        <w:tc>
          <w:tcPr>
            <w:tcW w:w="920" w:type="dxa"/>
            <w:vAlign w:val="bottom"/>
          </w:tcPr>
          <w:p>
            <w:pPr>
              <w:jc w:val="center"/>
              <w:spacing w:after="0" w:line="189" w:lineRule="exact"/>
              <w:rPr>
                <w:sz w:val="20"/>
                <w:szCs w:val="20"/>
                <w:color w:val="auto"/>
              </w:rPr>
            </w:pPr>
            <w:r>
              <w:rPr>
                <w:rFonts w:ascii="Arial" w:cs="Arial" w:eastAsia="Arial" w:hAnsi="Arial"/>
                <w:sz w:val="17"/>
                <w:szCs w:val="17"/>
                <w:color w:val="auto"/>
                <w:w w:val="99"/>
              </w:rPr>
              <w:t>54,715</w:t>
            </w:r>
          </w:p>
        </w:tc>
        <w:tc>
          <w:tcPr>
            <w:tcW w:w="940" w:type="dxa"/>
            <w:vAlign w:val="bottom"/>
          </w:tcPr>
          <w:p>
            <w:pPr>
              <w:jc w:val="center"/>
              <w:spacing w:after="0" w:line="189" w:lineRule="exact"/>
              <w:rPr>
                <w:sz w:val="20"/>
                <w:szCs w:val="20"/>
                <w:color w:val="auto"/>
              </w:rPr>
            </w:pPr>
            <w:r>
              <w:rPr>
                <w:rFonts w:ascii="Arial" w:cs="Arial" w:eastAsia="Arial" w:hAnsi="Arial"/>
                <w:sz w:val="17"/>
                <w:szCs w:val="17"/>
                <w:color w:val="auto"/>
                <w:w w:val="98"/>
              </w:rPr>
              <w:t>683</w:t>
            </w:r>
          </w:p>
        </w:tc>
        <w:tc>
          <w:tcPr>
            <w:tcW w:w="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5.0%</w:t>
            </w:r>
          </w:p>
        </w:tc>
      </w:tr>
      <w:tr>
        <w:trPr>
          <w:trHeight w:val="211"/>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Loans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142,887</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3,869</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10.8%</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144,150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3,940</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143,464</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3,848</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10.7%</w:t>
            </w:r>
          </w:p>
        </w:tc>
      </w:tr>
      <w:tr>
        <w:trPr>
          <w:trHeight w:val="183"/>
        </w:trPr>
        <w:tc>
          <w:tcPr>
            <w:tcW w:w="318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Total IEA</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225,297</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8"/>
              </w:rPr>
              <w:t>4,925</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8.7%</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237,519</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8"/>
              </w:rPr>
              <w:t>5,011</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7"/>
              </w:rPr>
              <w:t>8.4%</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238,434</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8"/>
              </w:rPr>
              <w:t>4,895</w:t>
            </w:r>
          </w:p>
        </w:tc>
        <w:tc>
          <w:tcPr>
            <w:tcW w:w="6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8.2%</w:t>
            </w:r>
          </w:p>
        </w:tc>
      </w:tr>
      <w:tr>
        <w:trPr>
          <w:trHeight w:val="183"/>
        </w:trPr>
        <w:tc>
          <w:tcPr>
            <w:tcW w:w="318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color w:val="auto"/>
              </w:rPr>
              <w:t>IEA (LC)</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58.0%</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69.9%</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10.5%</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54.7%</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68.8%</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10.6%</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rPr>
              <w:t>55.6%</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70.5%</w:t>
            </w:r>
          </w:p>
        </w:tc>
        <w:tc>
          <w:tcPr>
            <w:tcW w:w="6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10.4%</w:t>
            </w:r>
          </w:p>
        </w:tc>
      </w:tr>
      <w:tr>
        <w:trPr>
          <w:trHeight w:val="183"/>
        </w:trPr>
        <w:tc>
          <w:tcPr>
            <w:tcW w:w="318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color w:val="auto"/>
              </w:rPr>
              <w:t>IEA (FC)</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42.0%</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30.1%</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6.3%</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45.3%</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31.2%</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7"/>
              </w:rPr>
              <w:t>5.8%</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rPr>
              <w:t>44.4%</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29.5%</w:t>
            </w:r>
          </w:p>
        </w:tc>
        <w:tc>
          <w:tcPr>
            <w:tcW w:w="6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5.5%</w:t>
            </w:r>
          </w:p>
        </w:tc>
      </w:tr>
      <w:tr>
        <w:trPr>
          <w:trHeight w:val="196"/>
        </w:trPr>
        <w:tc>
          <w:tcPr>
            <w:tcW w:w="3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60"/>
        </w:trPr>
        <w:tc>
          <w:tcPr>
            <w:tcW w:w="3180" w:type="dxa"/>
            <w:vAlign w:val="bottom"/>
            <w:tcBorders>
              <w:left w:val="single" w:sz="8" w:color="auto"/>
              <w:right w:val="single" w:sz="8" w:color="auto"/>
            </w:tcBorders>
            <w:shd w:val="clear" w:color="auto" w:fill="33CCCC"/>
          </w:tcPr>
          <w:p>
            <w:pPr>
              <w:ind w:left="20"/>
              <w:spacing w:after="0" w:line="160" w:lineRule="exact"/>
              <w:rPr>
                <w:sz w:val="20"/>
                <w:szCs w:val="20"/>
                <w:color w:val="auto"/>
              </w:rPr>
            </w:pPr>
            <w:r>
              <w:rPr>
                <w:rFonts w:ascii="Arial" w:cs="Arial" w:eastAsia="Arial" w:hAnsi="Arial"/>
                <w:sz w:val="17"/>
                <w:szCs w:val="17"/>
                <w:b w:val="1"/>
                <w:bCs w:val="1"/>
                <w:color w:val="FFFFFF"/>
              </w:rPr>
              <w:t>Interest Expense / Funding</w:t>
            </w:r>
          </w:p>
        </w:tc>
        <w:tc>
          <w:tcPr>
            <w:tcW w:w="940" w:type="dxa"/>
            <w:vAlign w:val="bottom"/>
            <w:tcBorders>
              <w:right w:val="single" w:sz="8" w:color="33CCCC"/>
            </w:tcBorders>
            <w:shd w:val="clear" w:color="auto" w:fill="33CCCC"/>
          </w:tcPr>
          <w:p>
            <w:pPr>
              <w:spacing w:after="0"/>
              <w:rPr>
                <w:sz w:val="13"/>
                <w:szCs w:val="13"/>
                <w:color w:val="auto"/>
              </w:rPr>
            </w:pPr>
          </w:p>
        </w:tc>
        <w:tc>
          <w:tcPr>
            <w:tcW w:w="920" w:type="dxa"/>
            <w:vAlign w:val="bottom"/>
            <w:tcBorders>
              <w:right w:val="single" w:sz="8" w:color="33CCCC"/>
            </w:tcBorders>
            <w:shd w:val="clear" w:color="auto" w:fill="33CCCC"/>
          </w:tcPr>
          <w:p>
            <w:pPr>
              <w:jc w:val="center"/>
              <w:spacing w:after="0" w:line="160" w:lineRule="exact"/>
              <w:rPr>
                <w:sz w:val="20"/>
                <w:szCs w:val="20"/>
                <w:color w:val="auto"/>
              </w:rPr>
            </w:pPr>
            <w:r>
              <w:rPr>
                <w:rFonts w:ascii="Arial" w:cs="Arial" w:eastAsia="Arial" w:hAnsi="Arial"/>
                <w:sz w:val="17"/>
                <w:szCs w:val="17"/>
                <w:b w:val="1"/>
                <w:bCs w:val="1"/>
                <w:color w:val="FFFFFF"/>
              </w:rPr>
              <w:t>1Q24</w:t>
            </w:r>
          </w:p>
        </w:tc>
        <w:tc>
          <w:tcPr>
            <w:tcW w:w="940" w:type="dxa"/>
            <w:vAlign w:val="bottom"/>
            <w:tcBorders>
              <w:right w:val="single" w:sz="8" w:color="auto"/>
            </w:tcBorders>
            <w:shd w:val="clear" w:color="auto" w:fill="33CCCC"/>
          </w:tcPr>
          <w:p>
            <w:pPr>
              <w:spacing w:after="0"/>
              <w:rPr>
                <w:sz w:val="13"/>
                <w:szCs w:val="13"/>
                <w:color w:val="auto"/>
              </w:rPr>
            </w:pPr>
          </w:p>
        </w:tc>
        <w:tc>
          <w:tcPr>
            <w:tcW w:w="940" w:type="dxa"/>
            <w:vAlign w:val="bottom"/>
            <w:tcBorders>
              <w:right w:val="single" w:sz="8" w:color="33CCCC"/>
            </w:tcBorders>
            <w:shd w:val="clear" w:color="auto" w:fill="33CCCC"/>
          </w:tcPr>
          <w:p>
            <w:pPr>
              <w:spacing w:after="0"/>
              <w:rPr>
                <w:sz w:val="13"/>
                <w:szCs w:val="13"/>
                <w:color w:val="auto"/>
              </w:rPr>
            </w:pPr>
          </w:p>
        </w:tc>
        <w:tc>
          <w:tcPr>
            <w:tcW w:w="920" w:type="dxa"/>
            <w:vAlign w:val="bottom"/>
            <w:tcBorders>
              <w:right w:val="single" w:sz="8" w:color="33CCCC"/>
            </w:tcBorders>
            <w:shd w:val="clear" w:color="auto" w:fill="33CCCC"/>
          </w:tcPr>
          <w:p>
            <w:pPr>
              <w:jc w:val="center"/>
              <w:spacing w:after="0" w:line="160" w:lineRule="exact"/>
              <w:rPr>
                <w:sz w:val="20"/>
                <w:szCs w:val="20"/>
                <w:color w:val="auto"/>
              </w:rPr>
            </w:pPr>
            <w:r>
              <w:rPr>
                <w:rFonts w:ascii="Arial" w:cs="Arial" w:eastAsia="Arial" w:hAnsi="Arial"/>
                <w:sz w:val="17"/>
                <w:szCs w:val="17"/>
                <w:b w:val="1"/>
                <w:bCs w:val="1"/>
                <w:color w:val="FFFFFF"/>
              </w:rPr>
              <w:t>4Q24</w:t>
            </w:r>
          </w:p>
        </w:tc>
        <w:tc>
          <w:tcPr>
            <w:tcW w:w="940" w:type="dxa"/>
            <w:vAlign w:val="bottom"/>
            <w:tcBorders>
              <w:right w:val="single" w:sz="8" w:color="auto"/>
            </w:tcBorders>
            <w:shd w:val="clear" w:color="auto" w:fill="33CCCC"/>
          </w:tcPr>
          <w:p>
            <w:pPr>
              <w:spacing w:after="0"/>
              <w:rPr>
                <w:sz w:val="13"/>
                <w:szCs w:val="13"/>
                <w:color w:val="auto"/>
              </w:rPr>
            </w:pPr>
          </w:p>
        </w:tc>
        <w:tc>
          <w:tcPr>
            <w:tcW w:w="920" w:type="dxa"/>
            <w:vAlign w:val="bottom"/>
            <w:tcBorders>
              <w:right w:val="single" w:sz="8" w:color="33CCCC"/>
            </w:tcBorders>
            <w:shd w:val="clear" w:color="auto" w:fill="33CCCC"/>
          </w:tcPr>
          <w:p>
            <w:pPr>
              <w:spacing w:after="0"/>
              <w:rPr>
                <w:sz w:val="13"/>
                <w:szCs w:val="13"/>
                <w:color w:val="auto"/>
              </w:rPr>
            </w:pPr>
          </w:p>
        </w:tc>
        <w:tc>
          <w:tcPr>
            <w:tcW w:w="940" w:type="dxa"/>
            <w:vAlign w:val="bottom"/>
            <w:tcBorders>
              <w:right w:val="single" w:sz="8" w:color="33CCCC"/>
            </w:tcBorders>
            <w:shd w:val="clear" w:color="auto" w:fill="33CCCC"/>
          </w:tcPr>
          <w:p>
            <w:pPr>
              <w:jc w:val="center"/>
              <w:spacing w:after="0" w:line="160" w:lineRule="exact"/>
              <w:rPr>
                <w:sz w:val="20"/>
                <w:szCs w:val="20"/>
                <w:color w:val="auto"/>
              </w:rPr>
            </w:pPr>
            <w:r>
              <w:rPr>
                <w:rFonts w:ascii="Arial" w:cs="Arial" w:eastAsia="Arial" w:hAnsi="Arial"/>
                <w:sz w:val="17"/>
                <w:szCs w:val="17"/>
                <w:b w:val="1"/>
                <w:bCs w:val="1"/>
                <w:color w:val="FFFFFF"/>
              </w:rPr>
              <w:t>1Q25</w:t>
            </w:r>
          </w:p>
        </w:tc>
        <w:tc>
          <w:tcPr>
            <w:tcW w:w="600" w:type="dxa"/>
            <w:vAlign w:val="bottom"/>
            <w:tcBorders>
              <w:right w:val="single" w:sz="8" w:color="auto"/>
            </w:tcBorders>
            <w:shd w:val="clear" w:color="auto" w:fill="33CCCC"/>
          </w:tcPr>
          <w:p>
            <w:pPr>
              <w:spacing w:after="0"/>
              <w:rPr>
                <w:sz w:val="13"/>
                <w:szCs w:val="13"/>
                <w:color w:val="auto"/>
              </w:rPr>
            </w:pPr>
          </w:p>
        </w:tc>
      </w:tr>
      <w:tr>
        <w:trPr>
          <w:trHeight w:val="189"/>
        </w:trPr>
        <w:tc>
          <w:tcPr>
            <w:tcW w:w="3180" w:type="dxa"/>
            <w:vAlign w:val="bottom"/>
            <w:tcBorders>
              <w:left w:val="single" w:sz="8" w:color="auto"/>
              <w:right w:val="single" w:sz="8" w:color="auto"/>
            </w:tcBorders>
            <w:shd w:val="clear" w:color="auto" w:fill="33CCCC"/>
          </w:tcPr>
          <w:p>
            <w:pPr>
              <w:ind w:left="20"/>
              <w:spacing w:after="0" w:line="189" w:lineRule="exact"/>
              <w:rPr>
                <w:sz w:val="20"/>
                <w:szCs w:val="20"/>
                <w:color w:val="auto"/>
              </w:rPr>
            </w:pPr>
            <w:r>
              <w:rPr>
                <w:rFonts w:ascii="Arial" w:cs="Arial" w:eastAsia="Arial" w:hAnsi="Arial"/>
                <w:sz w:val="17"/>
                <w:szCs w:val="17"/>
                <w:b w:val="1"/>
                <w:bCs w:val="1"/>
                <w:color w:val="FFFFFF"/>
              </w:rPr>
              <w:t>S/ millions</w:t>
            </w:r>
          </w:p>
        </w:tc>
        <w:tc>
          <w:tcPr>
            <w:tcW w:w="940" w:type="dxa"/>
            <w:vAlign w:val="bottom"/>
            <w:tcBorders>
              <w:right w:val="single" w:sz="8" w:color="33CCCC"/>
            </w:tcBorders>
            <w:shd w:val="clear" w:color="auto" w:fill="33CCCC"/>
          </w:tcPr>
          <w:p>
            <w:pPr>
              <w:ind w:left="120"/>
              <w:spacing w:after="0" w:line="189" w:lineRule="exact"/>
              <w:rPr>
                <w:sz w:val="20"/>
                <w:szCs w:val="20"/>
                <w:color w:val="auto"/>
              </w:rPr>
            </w:pPr>
            <w:r>
              <w:rPr>
                <w:rFonts w:ascii="Arial" w:cs="Arial" w:eastAsia="Arial" w:hAnsi="Arial"/>
                <w:sz w:val="17"/>
                <w:szCs w:val="17"/>
                <w:b w:val="1"/>
                <w:bCs w:val="1"/>
                <w:color w:val="FFFFFF"/>
              </w:rPr>
              <w:t>Average</w:t>
            </w:r>
          </w:p>
        </w:tc>
        <w:tc>
          <w:tcPr>
            <w:tcW w:w="920" w:type="dxa"/>
            <w:vAlign w:val="bottom"/>
            <w:tcBorders>
              <w:right w:val="single" w:sz="8" w:color="33CCCC"/>
            </w:tcBorders>
            <w:shd w:val="clear" w:color="auto" w:fill="33CCCC"/>
          </w:tcPr>
          <w:p>
            <w:pPr>
              <w:spacing w:after="0"/>
              <w:rPr>
                <w:sz w:val="16"/>
                <w:szCs w:val="16"/>
                <w:color w:val="auto"/>
              </w:rPr>
            </w:pPr>
          </w:p>
        </w:tc>
        <w:tc>
          <w:tcPr>
            <w:tcW w:w="940" w:type="dxa"/>
            <w:vAlign w:val="bottom"/>
            <w:tcBorders>
              <w:right w:val="single" w:sz="8" w:color="auto"/>
            </w:tcBorders>
            <w:shd w:val="clear" w:color="auto" w:fill="33CCCC"/>
          </w:tcPr>
          <w:p>
            <w:pPr>
              <w:spacing w:after="0"/>
              <w:rPr>
                <w:sz w:val="16"/>
                <w:szCs w:val="16"/>
                <w:color w:val="auto"/>
              </w:rPr>
            </w:pPr>
          </w:p>
        </w:tc>
        <w:tc>
          <w:tcPr>
            <w:tcW w:w="940" w:type="dxa"/>
            <w:vAlign w:val="bottom"/>
            <w:tcBorders>
              <w:right w:val="single" w:sz="8" w:color="33CCCC"/>
            </w:tcBorders>
            <w:shd w:val="clear" w:color="auto" w:fill="33CCCC"/>
          </w:tcPr>
          <w:p>
            <w:pPr>
              <w:ind w:left="120"/>
              <w:spacing w:after="0" w:line="189" w:lineRule="exact"/>
              <w:rPr>
                <w:sz w:val="20"/>
                <w:szCs w:val="20"/>
                <w:color w:val="auto"/>
              </w:rPr>
            </w:pPr>
            <w:r>
              <w:rPr>
                <w:rFonts w:ascii="Arial" w:cs="Arial" w:eastAsia="Arial" w:hAnsi="Arial"/>
                <w:sz w:val="17"/>
                <w:szCs w:val="17"/>
                <w:b w:val="1"/>
                <w:bCs w:val="1"/>
                <w:color w:val="FFFFFF"/>
              </w:rPr>
              <w:t>Average</w:t>
            </w:r>
          </w:p>
        </w:tc>
        <w:tc>
          <w:tcPr>
            <w:tcW w:w="920" w:type="dxa"/>
            <w:vAlign w:val="bottom"/>
            <w:tcBorders>
              <w:right w:val="single" w:sz="8" w:color="33CCCC"/>
            </w:tcBorders>
            <w:shd w:val="clear" w:color="auto" w:fill="33CCCC"/>
          </w:tcPr>
          <w:p>
            <w:pPr>
              <w:spacing w:after="0"/>
              <w:rPr>
                <w:sz w:val="16"/>
                <w:szCs w:val="16"/>
                <w:color w:val="auto"/>
              </w:rPr>
            </w:pPr>
          </w:p>
        </w:tc>
        <w:tc>
          <w:tcPr>
            <w:tcW w:w="940" w:type="dxa"/>
            <w:vAlign w:val="bottom"/>
            <w:tcBorders>
              <w:right w:val="single" w:sz="8" w:color="auto"/>
            </w:tcBorders>
            <w:shd w:val="clear" w:color="auto" w:fill="33CCCC"/>
          </w:tcPr>
          <w:p>
            <w:pPr>
              <w:spacing w:after="0"/>
              <w:rPr>
                <w:sz w:val="16"/>
                <w:szCs w:val="16"/>
                <w:color w:val="auto"/>
              </w:rPr>
            </w:pPr>
          </w:p>
        </w:tc>
        <w:tc>
          <w:tcPr>
            <w:tcW w:w="920" w:type="dxa"/>
            <w:vAlign w:val="bottom"/>
            <w:tcBorders>
              <w:right w:val="single" w:sz="8" w:color="33CCCC"/>
            </w:tcBorders>
            <w:shd w:val="clear" w:color="auto" w:fill="33CCCC"/>
          </w:tcPr>
          <w:p>
            <w:pPr>
              <w:ind w:left="120"/>
              <w:spacing w:after="0" w:line="189" w:lineRule="exact"/>
              <w:rPr>
                <w:sz w:val="20"/>
                <w:szCs w:val="20"/>
                <w:color w:val="auto"/>
              </w:rPr>
            </w:pPr>
            <w:r>
              <w:rPr>
                <w:rFonts w:ascii="Arial" w:cs="Arial" w:eastAsia="Arial" w:hAnsi="Arial"/>
                <w:sz w:val="17"/>
                <w:szCs w:val="17"/>
                <w:b w:val="1"/>
                <w:bCs w:val="1"/>
                <w:color w:val="FFFFFF"/>
              </w:rPr>
              <w:t>Average</w:t>
            </w:r>
          </w:p>
        </w:tc>
        <w:tc>
          <w:tcPr>
            <w:tcW w:w="940" w:type="dxa"/>
            <w:vAlign w:val="bottom"/>
            <w:tcBorders>
              <w:right w:val="single" w:sz="8" w:color="33CCCC"/>
            </w:tcBorders>
            <w:shd w:val="clear" w:color="auto" w:fill="33CCCC"/>
          </w:tcPr>
          <w:p>
            <w:pPr>
              <w:spacing w:after="0"/>
              <w:rPr>
                <w:sz w:val="16"/>
                <w:szCs w:val="16"/>
                <w:color w:val="auto"/>
              </w:rPr>
            </w:pPr>
          </w:p>
        </w:tc>
        <w:tc>
          <w:tcPr>
            <w:tcW w:w="600" w:type="dxa"/>
            <w:vAlign w:val="bottom"/>
            <w:tcBorders>
              <w:right w:val="single" w:sz="8" w:color="auto"/>
            </w:tcBorders>
            <w:shd w:val="clear" w:color="auto" w:fill="33CCCC"/>
          </w:tcPr>
          <w:p>
            <w:pPr>
              <w:spacing w:after="0"/>
              <w:rPr>
                <w:sz w:val="16"/>
                <w:szCs w:val="16"/>
                <w:color w:val="auto"/>
              </w:rPr>
            </w:pPr>
          </w:p>
        </w:tc>
      </w:tr>
      <w:tr>
        <w:trPr>
          <w:trHeight w:val="211"/>
        </w:trPr>
        <w:tc>
          <w:tcPr>
            <w:tcW w:w="3180" w:type="dxa"/>
            <w:vAlign w:val="bottom"/>
            <w:tcBorders>
              <w:left w:val="single" w:sz="8" w:color="auto"/>
              <w:bottom w:val="single" w:sz="8" w:color="auto"/>
              <w:right w:val="single" w:sz="8" w:color="auto"/>
            </w:tcBorders>
            <w:shd w:val="clear" w:color="auto" w:fill="33CCCC"/>
          </w:tcPr>
          <w:p>
            <w:pPr>
              <w:spacing w:after="0"/>
              <w:rPr>
                <w:sz w:val="18"/>
                <w:szCs w:val="18"/>
                <w:color w:val="auto"/>
              </w:rPr>
            </w:pPr>
          </w:p>
        </w:tc>
        <w:tc>
          <w:tcPr>
            <w:tcW w:w="940" w:type="dxa"/>
            <w:vAlign w:val="bottom"/>
            <w:tcBorders>
              <w:bottom w:val="single" w:sz="8" w:color="auto"/>
              <w:right w:val="single" w:sz="8" w:color="33CCCC"/>
            </w:tcBorders>
            <w:shd w:val="clear" w:color="auto" w:fill="33CCCC"/>
          </w:tcPr>
          <w:p>
            <w:pPr>
              <w:ind w:left="120"/>
              <w:spacing w:after="0"/>
              <w:rPr>
                <w:sz w:val="20"/>
                <w:szCs w:val="20"/>
                <w:color w:val="auto"/>
              </w:rPr>
            </w:pPr>
            <w:r>
              <w:rPr>
                <w:rFonts w:ascii="Arial" w:cs="Arial" w:eastAsia="Arial" w:hAnsi="Arial"/>
                <w:sz w:val="17"/>
                <w:szCs w:val="17"/>
                <w:b w:val="1"/>
                <w:bCs w:val="1"/>
                <w:color w:val="FFFFFF"/>
              </w:rPr>
              <w:t>Balance</w:t>
            </w:r>
          </w:p>
        </w:tc>
        <w:tc>
          <w:tcPr>
            <w:tcW w:w="920" w:type="dxa"/>
            <w:vAlign w:val="bottom"/>
            <w:tcBorders>
              <w:bottom w:val="single" w:sz="8" w:color="auto"/>
              <w:right w:val="single" w:sz="8" w:color="33CCCC"/>
            </w:tcBorders>
            <w:shd w:val="clear" w:color="auto" w:fill="33CCCC"/>
          </w:tcPr>
          <w:p>
            <w:pPr>
              <w:jc w:val="center"/>
              <w:spacing w:after="0"/>
              <w:rPr>
                <w:sz w:val="20"/>
                <w:szCs w:val="20"/>
                <w:color w:val="auto"/>
              </w:rPr>
            </w:pPr>
            <w:r>
              <w:rPr>
                <w:rFonts w:ascii="Arial" w:cs="Arial" w:eastAsia="Arial" w:hAnsi="Arial"/>
                <w:sz w:val="17"/>
                <w:szCs w:val="17"/>
                <w:b w:val="1"/>
                <w:bCs w:val="1"/>
                <w:color w:val="FFFFFF"/>
              </w:rPr>
              <w:t>Expense</w:t>
            </w:r>
          </w:p>
        </w:tc>
        <w:tc>
          <w:tcPr>
            <w:tcW w:w="940" w:type="dxa"/>
            <w:vAlign w:val="bottom"/>
            <w:tcBorders>
              <w:bottom w:val="single" w:sz="8" w:color="auto"/>
              <w:right w:val="single" w:sz="8" w:color="auto"/>
            </w:tcBorders>
            <w:shd w:val="clear" w:color="auto" w:fill="33CCCC"/>
          </w:tcPr>
          <w:p>
            <w:pPr>
              <w:ind w:left="200"/>
              <w:spacing w:after="0"/>
              <w:rPr>
                <w:sz w:val="20"/>
                <w:szCs w:val="20"/>
                <w:color w:val="auto"/>
              </w:rPr>
            </w:pPr>
            <w:r>
              <w:rPr>
                <w:rFonts w:ascii="Arial" w:cs="Arial" w:eastAsia="Arial" w:hAnsi="Arial"/>
                <w:sz w:val="17"/>
                <w:szCs w:val="17"/>
                <w:b w:val="1"/>
                <w:bCs w:val="1"/>
                <w:color w:val="FFFFFF"/>
              </w:rPr>
              <w:t>Yields</w:t>
            </w:r>
          </w:p>
        </w:tc>
        <w:tc>
          <w:tcPr>
            <w:tcW w:w="940" w:type="dxa"/>
            <w:vAlign w:val="bottom"/>
            <w:tcBorders>
              <w:bottom w:val="single" w:sz="8" w:color="auto"/>
              <w:right w:val="single" w:sz="8" w:color="33CCCC"/>
            </w:tcBorders>
            <w:shd w:val="clear" w:color="auto" w:fill="33CCCC"/>
          </w:tcPr>
          <w:p>
            <w:pPr>
              <w:ind w:left="120"/>
              <w:spacing w:after="0"/>
              <w:rPr>
                <w:sz w:val="20"/>
                <w:szCs w:val="20"/>
                <w:color w:val="auto"/>
              </w:rPr>
            </w:pPr>
            <w:r>
              <w:rPr>
                <w:rFonts w:ascii="Arial" w:cs="Arial" w:eastAsia="Arial" w:hAnsi="Arial"/>
                <w:sz w:val="17"/>
                <w:szCs w:val="17"/>
                <w:b w:val="1"/>
                <w:bCs w:val="1"/>
                <w:color w:val="FFFFFF"/>
              </w:rPr>
              <w:t>Balance</w:t>
            </w:r>
          </w:p>
        </w:tc>
        <w:tc>
          <w:tcPr>
            <w:tcW w:w="920" w:type="dxa"/>
            <w:vAlign w:val="bottom"/>
            <w:tcBorders>
              <w:bottom w:val="single" w:sz="8" w:color="auto"/>
              <w:right w:val="single" w:sz="8" w:color="33CCCC"/>
            </w:tcBorders>
            <w:shd w:val="clear" w:color="auto" w:fill="33CCCC"/>
          </w:tcPr>
          <w:p>
            <w:pPr>
              <w:jc w:val="center"/>
              <w:spacing w:after="0"/>
              <w:rPr>
                <w:sz w:val="20"/>
                <w:szCs w:val="20"/>
                <w:color w:val="auto"/>
              </w:rPr>
            </w:pPr>
            <w:r>
              <w:rPr>
                <w:rFonts w:ascii="Arial" w:cs="Arial" w:eastAsia="Arial" w:hAnsi="Arial"/>
                <w:sz w:val="17"/>
                <w:szCs w:val="17"/>
                <w:b w:val="1"/>
                <w:bCs w:val="1"/>
                <w:color w:val="FFFFFF"/>
              </w:rPr>
              <w:t>Expense</w:t>
            </w:r>
          </w:p>
        </w:tc>
        <w:tc>
          <w:tcPr>
            <w:tcW w:w="940" w:type="dxa"/>
            <w:vAlign w:val="bottom"/>
            <w:tcBorders>
              <w:bottom w:val="single" w:sz="8" w:color="auto"/>
              <w:right w:val="single" w:sz="8" w:color="auto"/>
            </w:tcBorders>
            <w:shd w:val="clear" w:color="auto" w:fill="33CCCC"/>
          </w:tcPr>
          <w:p>
            <w:pPr>
              <w:ind w:left="200"/>
              <w:spacing w:after="0"/>
              <w:rPr>
                <w:sz w:val="20"/>
                <w:szCs w:val="20"/>
                <w:color w:val="auto"/>
              </w:rPr>
            </w:pPr>
            <w:r>
              <w:rPr>
                <w:rFonts w:ascii="Arial" w:cs="Arial" w:eastAsia="Arial" w:hAnsi="Arial"/>
                <w:sz w:val="17"/>
                <w:szCs w:val="17"/>
                <w:b w:val="1"/>
                <w:bCs w:val="1"/>
                <w:color w:val="FFFFFF"/>
              </w:rPr>
              <w:t>Yields</w:t>
            </w:r>
          </w:p>
        </w:tc>
        <w:tc>
          <w:tcPr>
            <w:tcW w:w="920" w:type="dxa"/>
            <w:vAlign w:val="bottom"/>
            <w:tcBorders>
              <w:bottom w:val="single" w:sz="8" w:color="auto"/>
              <w:right w:val="single" w:sz="8" w:color="33CCCC"/>
            </w:tcBorders>
            <w:shd w:val="clear" w:color="auto" w:fill="33CCCC"/>
          </w:tcPr>
          <w:p>
            <w:pPr>
              <w:ind w:left="120"/>
              <w:spacing w:after="0"/>
              <w:rPr>
                <w:sz w:val="20"/>
                <w:szCs w:val="20"/>
                <w:color w:val="auto"/>
              </w:rPr>
            </w:pPr>
            <w:r>
              <w:rPr>
                <w:rFonts w:ascii="Arial" w:cs="Arial" w:eastAsia="Arial" w:hAnsi="Arial"/>
                <w:sz w:val="17"/>
                <w:szCs w:val="17"/>
                <w:b w:val="1"/>
                <w:bCs w:val="1"/>
                <w:color w:val="FFFFFF"/>
              </w:rPr>
              <w:t>Balance</w:t>
            </w:r>
          </w:p>
        </w:tc>
        <w:tc>
          <w:tcPr>
            <w:tcW w:w="940" w:type="dxa"/>
            <w:vAlign w:val="bottom"/>
            <w:tcBorders>
              <w:bottom w:val="single" w:sz="8" w:color="auto"/>
              <w:right w:val="single" w:sz="8" w:color="33CCCC"/>
            </w:tcBorders>
            <w:shd w:val="clear" w:color="auto" w:fill="33CCCC"/>
          </w:tcPr>
          <w:p>
            <w:pPr>
              <w:jc w:val="center"/>
              <w:spacing w:after="0"/>
              <w:rPr>
                <w:sz w:val="20"/>
                <w:szCs w:val="20"/>
                <w:color w:val="auto"/>
              </w:rPr>
            </w:pPr>
            <w:r>
              <w:rPr>
                <w:rFonts w:ascii="Arial" w:cs="Arial" w:eastAsia="Arial" w:hAnsi="Arial"/>
                <w:sz w:val="17"/>
                <w:szCs w:val="17"/>
                <w:b w:val="1"/>
                <w:bCs w:val="1"/>
                <w:color w:val="FFFFFF"/>
              </w:rPr>
              <w:t>Expense</w:t>
            </w:r>
          </w:p>
        </w:tc>
        <w:tc>
          <w:tcPr>
            <w:tcW w:w="600" w:type="dxa"/>
            <w:vAlign w:val="bottom"/>
            <w:tcBorders>
              <w:bottom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7"/>
                <w:szCs w:val="17"/>
                <w:b w:val="1"/>
                <w:bCs w:val="1"/>
                <w:color w:val="FFFFFF"/>
              </w:rPr>
              <w:t>Yields</w:t>
            </w:r>
          </w:p>
        </w:tc>
      </w:tr>
      <w:tr>
        <w:trPr>
          <w:trHeight w:val="160"/>
        </w:trPr>
        <w:tc>
          <w:tcPr>
            <w:tcW w:w="3180" w:type="dxa"/>
            <w:vAlign w:val="bottom"/>
            <w:tcBorders>
              <w:left w:val="single" w:sz="8" w:color="auto"/>
              <w:right w:val="single" w:sz="8" w:color="auto"/>
            </w:tcBorders>
          </w:tcPr>
          <w:p>
            <w:pPr>
              <w:ind w:left="20"/>
              <w:spacing w:after="0" w:line="160" w:lineRule="exact"/>
              <w:rPr>
                <w:sz w:val="20"/>
                <w:szCs w:val="20"/>
                <w:color w:val="auto"/>
              </w:rPr>
            </w:pPr>
            <w:r>
              <w:rPr>
                <w:rFonts w:ascii="Arial" w:cs="Arial" w:eastAsia="Arial" w:hAnsi="Arial"/>
                <w:sz w:val="17"/>
                <w:szCs w:val="17"/>
                <w:color w:val="auto"/>
              </w:rPr>
              <w:t>Deposits</w:t>
            </w:r>
          </w:p>
        </w:tc>
        <w:tc>
          <w:tcPr>
            <w:tcW w:w="940" w:type="dxa"/>
            <w:vAlign w:val="bottom"/>
          </w:tcPr>
          <w:p>
            <w:pPr>
              <w:jc w:val="center"/>
              <w:spacing w:after="0" w:line="160" w:lineRule="exact"/>
              <w:rPr>
                <w:sz w:val="20"/>
                <w:szCs w:val="20"/>
                <w:color w:val="auto"/>
              </w:rPr>
            </w:pPr>
            <w:r>
              <w:rPr>
                <w:rFonts w:ascii="Arial" w:cs="Arial" w:eastAsia="Arial" w:hAnsi="Arial"/>
                <w:sz w:val="17"/>
                <w:szCs w:val="17"/>
                <w:color w:val="auto"/>
              </w:rPr>
              <w:t>147,782</w:t>
            </w:r>
          </w:p>
        </w:tc>
        <w:tc>
          <w:tcPr>
            <w:tcW w:w="920" w:type="dxa"/>
            <w:vAlign w:val="bottom"/>
          </w:tcPr>
          <w:p>
            <w:pPr>
              <w:jc w:val="center"/>
              <w:spacing w:after="0" w:line="160" w:lineRule="exact"/>
              <w:rPr>
                <w:sz w:val="20"/>
                <w:szCs w:val="20"/>
                <w:color w:val="auto"/>
              </w:rPr>
            </w:pPr>
            <w:r>
              <w:rPr>
                <w:rFonts w:ascii="Arial" w:cs="Arial" w:eastAsia="Arial" w:hAnsi="Arial"/>
                <w:sz w:val="17"/>
                <w:szCs w:val="17"/>
                <w:color w:val="auto"/>
                <w:w w:val="98"/>
              </w:rPr>
              <w:t>780</w:t>
            </w:r>
          </w:p>
        </w:tc>
        <w:tc>
          <w:tcPr>
            <w:tcW w:w="94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2.1%</w:t>
            </w:r>
          </w:p>
        </w:tc>
        <w:tc>
          <w:tcPr>
            <w:tcW w:w="940" w:type="dxa"/>
            <w:vAlign w:val="bottom"/>
          </w:tcPr>
          <w:p>
            <w:pPr>
              <w:jc w:val="center"/>
              <w:spacing w:after="0" w:line="160" w:lineRule="exact"/>
              <w:rPr>
                <w:sz w:val="20"/>
                <w:szCs w:val="20"/>
                <w:color w:val="auto"/>
              </w:rPr>
            </w:pPr>
            <w:r>
              <w:rPr>
                <w:rFonts w:ascii="Arial" w:cs="Arial" w:eastAsia="Arial" w:hAnsi="Arial"/>
                <w:sz w:val="17"/>
                <w:szCs w:val="17"/>
                <w:color w:val="auto"/>
              </w:rPr>
              <w:t>158,139</w:t>
            </w:r>
          </w:p>
        </w:tc>
        <w:tc>
          <w:tcPr>
            <w:tcW w:w="920" w:type="dxa"/>
            <w:vAlign w:val="bottom"/>
          </w:tcPr>
          <w:p>
            <w:pPr>
              <w:jc w:val="center"/>
              <w:spacing w:after="0" w:line="160" w:lineRule="exact"/>
              <w:rPr>
                <w:sz w:val="20"/>
                <w:szCs w:val="20"/>
                <w:color w:val="auto"/>
              </w:rPr>
            </w:pPr>
            <w:r>
              <w:rPr>
                <w:rFonts w:ascii="Arial" w:cs="Arial" w:eastAsia="Arial" w:hAnsi="Arial"/>
                <w:sz w:val="17"/>
                <w:szCs w:val="17"/>
                <w:color w:val="auto"/>
                <w:w w:val="98"/>
              </w:rPr>
              <w:t>655</w:t>
            </w:r>
          </w:p>
        </w:tc>
        <w:tc>
          <w:tcPr>
            <w:tcW w:w="94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7"/>
              </w:rPr>
              <w:t>1.7%</w:t>
            </w:r>
          </w:p>
        </w:tc>
        <w:tc>
          <w:tcPr>
            <w:tcW w:w="920" w:type="dxa"/>
            <w:vAlign w:val="bottom"/>
          </w:tcPr>
          <w:p>
            <w:pPr>
              <w:jc w:val="center"/>
              <w:spacing w:after="0" w:line="160" w:lineRule="exact"/>
              <w:rPr>
                <w:sz w:val="20"/>
                <w:szCs w:val="20"/>
                <w:color w:val="auto"/>
              </w:rPr>
            </w:pPr>
            <w:r>
              <w:rPr>
                <w:rFonts w:ascii="Arial" w:cs="Arial" w:eastAsia="Arial" w:hAnsi="Arial"/>
                <w:sz w:val="17"/>
                <w:szCs w:val="17"/>
                <w:color w:val="auto"/>
              </w:rPr>
              <w:t>159,731</w:t>
            </w:r>
          </w:p>
        </w:tc>
        <w:tc>
          <w:tcPr>
            <w:tcW w:w="940" w:type="dxa"/>
            <w:vAlign w:val="bottom"/>
          </w:tcPr>
          <w:p>
            <w:pPr>
              <w:jc w:val="center"/>
              <w:spacing w:after="0" w:line="160" w:lineRule="exact"/>
              <w:rPr>
                <w:sz w:val="20"/>
                <w:szCs w:val="20"/>
                <w:color w:val="auto"/>
              </w:rPr>
            </w:pPr>
            <w:r>
              <w:rPr>
                <w:rFonts w:ascii="Arial" w:cs="Arial" w:eastAsia="Arial" w:hAnsi="Arial"/>
                <w:sz w:val="17"/>
                <w:szCs w:val="17"/>
                <w:color w:val="auto"/>
                <w:w w:val="98"/>
              </w:rPr>
              <w:t>620</w:t>
            </w:r>
          </w:p>
        </w:tc>
        <w:tc>
          <w:tcPr>
            <w:tcW w:w="6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1.6%</w:t>
            </w:r>
          </w:p>
        </w:tc>
      </w:tr>
      <w:tr>
        <w:trPr>
          <w:trHeight w:val="189"/>
        </w:trPr>
        <w:tc>
          <w:tcPr>
            <w:tcW w:w="3180" w:type="dxa"/>
            <w:vAlign w:val="bottom"/>
            <w:tcBorders>
              <w:left w:val="single" w:sz="8" w:color="auto"/>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BCRP + Due to Banks</w:t>
            </w:r>
          </w:p>
        </w:tc>
        <w:tc>
          <w:tcPr>
            <w:tcW w:w="940" w:type="dxa"/>
            <w:vAlign w:val="bottom"/>
          </w:tcPr>
          <w:p>
            <w:pPr>
              <w:jc w:val="center"/>
              <w:spacing w:after="0" w:line="189" w:lineRule="exact"/>
              <w:rPr>
                <w:sz w:val="20"/>
                <w:szCs w:val="20"/>
                <w:color w:val="auto"/>
              </w:rPr>
            </w:pPr>
            <w:r>
              <w:rPr>
                <w:rFonts w:ascii="Arial" w:cs="Arial" w:eastAsia="Arial" w:hAnsi="Arial"/>
                <w:sz w:val="17"/>
                <w:szCs w:val="17"/>
                <w:color w:val="auto"/>
                <w:w w:val="99"/>
              </w:rPr>
              <w:t>18,640</w:t>
            </w:r>
          </w:p>
        </w:tc>
        <w:tc>
          <w:tcPr>
            <w:tcW w:w="920" w:type="dxa"/>
            <w:vAlign w:val="bottom"/>
          </w:tcPr>
          <w:p>
            <w:pPr>
              <w:jc w:val="center"/>
              <w:spacing w:after="0" w:line="189" w:lineRule="exact"/>
              <w:rPr>
                <w:sz w:val="20"/>
                <w:szCs w:val="20"/>
                <w:color w:val="auto"/>
              </w:rPr>
            </w:pPr>
            <w:r>
              <w:rPr>
                <w:rFonts w:ascii="Arial" w:cs="Arial" w:eastAsia="Arial" w:hAnsi="Arial"/>
                <w:sz w:val="17"/>
                <w:szCs w:val="17"/>
                <w:color w:val="auto"/>
                <w:w w:val="98"/>
              </w:rPr>
              <w:t>265</w:t>
            </w:r>
          </w:p>
        </w:tc>
        <w:tc>
          <w:tcPr>
            <w:tcW w:w="9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5.7%</w:t>
            </w:r>
          </w:p>
        </w:tc>
        <w:tc>
          <w:tcPr>
            <w:tcW w:w="940" w:type="dxa"/>
            <w:vAlign w:val="bottom"/>
          </w:tcPr>
          <w:p>
            <w:pPr>
              <w:jc w:val="center"/>
              <w:spacing w:after="0" w:line="189" w:lineRule="exact"/>
              <w:rPr>
                <w:sz w:val="20"/>
                <w:szCs w:val="20"/>
                <w:color w:val="auto"/>
              </w:rPr>
            </w:pPr>
            <w:r>
              <w:rPr>
                <w:rFonts w:ascii="Arial" w:cs="Arial" w:eastAsia="Arial" w:hAnsi="Arial"/>
                <w:sz w:val="17"/>
                <w:szCs w:val="17"/>
                <w:color w:val="auto"/>
                <w:w w:val="99"/>
              </w:rPr>
              <w:t>17,447</w:t>
            </w:r>
          </w:p>
        </w:tc>
        <w:tc>
          <w:tcPr>
            <w:tcW w:w="920" w:type="dxa"/>
            <w:vAlign w:val="bottom"/>
          </w:tcPr>
          <w:p>
            <w:pPr>
              <w:jc w:val="center"/>
              <w:spacing w:after="0" w:line="189" w:lineRule="exact"/>
              <w:rPr>
                <w:sz w:val="20"/>
                <w:szCs w:val="20"/>
                <w:color w:val="auto"/>
              </w:rPr>
            </w:pPr>
            <w:r>
              <w:rPr>
                <w:rFonts w:ascii="Arial" w:cs="Arial" w:eastAsia="Arial" w:hAnsi="Arial"/>
                <w:sz w:val="17"/>
                <w:szCs w:val="17"/>
                <w:color w:val="auto"/>
                <w:w w:val="98"/>
              </w:rPr>
              <w:t>287</w:t>
            </w:r>
          </w:p>
        </w:tc>
        <w:tc>
          <w:tcPr>
            <w:tcW w:w="9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7"/>
              </w:rPr>
              <w:t>6.6%</w:t>
            </w:r>
          </w:p>
        </w:tc>
        <w:tc>
          <w:tcPr>
            <w:tcW w:w="920" w:type="dxa"/>
            <w:vAlign w:val="bottom"/>
          </w:tcPr>
          <w:p>
            <w:pPr>
              <w:jc w:val="center"/>
              <w:spacing w:after="0" w:line="189" w:lineRule="exact"/>
              <w:rPr>
                <w:sz w:val="20"/>
                <w:szCs w:val="20"/>
                <w:color w:val="auto"/>
              </w:rPr>
            </w:pPr>
            <w:r>
              <w:rPr>
                <w:rFonts w:ascii="Arial" w:cs="Arial" w:eastAsia="Arial" w:hAnsi="Arial"/>
                <w:sz w:val="17"/>
                <w:szCs w:val="17"/>
                <w:color w:val="auto"/>
                <w:w w:val="99"/>
              </w:rPr>
              <w:t>17,683</w:t>
            </w:r>
          </w:p>
        </w:tc>
        <w:tc>
          <w:tcPr>
            <w:tcW w:w="940" w:type="dxa"/>
            <w:vAlign w:val="bottom"/>
          </w:tcPr>
          <w:p>
            <w:pPr>
              <w:jc w:val="center"/>
              <w:spacing w:after="0" w:line="189" w:lineRule="exact"/>
              <w:rPr>
                <w:sz w:val="20"/>
                <w:szCs w:val="20"/>
                <w:color w:val="auto"/>
              </w:rPr>
            </w:pPr>
            <w:r>
              <w:rPr>
                <w:rFonts w:ascii="Arial" w:cs="Arial" w:eastAsia="Arial" w:hAnsi="Arial"/>
                <w:sz w:val="17"/>
                <w:szCs w:val="17"/>
                <w:color w:val="auto"/>
                <w:w w:val="98"/>
              </w:rPr>
              <w:t>266</w:t>
            </w:r>
          </w:p>
        </w:tc>
        <w:tc>
          <w:tcPr>
            <w:tcW w:w="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6.0%</w:t>
            </w:r>
          </w:p>
        </w:tc>
      </w:tr>
      <w:tr>
        <w:trPr>
          <w:trHeight w:val="189"/>
        </w:trPr>
        <w:tc>
          <w:tcPr>
            <w:tcW w:w="3180" w:type="dxa"/>
            <w:vAlign w:val="bottom"/>
            <w:tcBorders>
              <w:left w:val="single" w:sz="8" w:color="auto"/>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Bonds and Notes</w:t>
            </w:r>
          </w:p>
        </w:tc>
        <w:tc>
          <w:tcPr>
            <w:tcW w:w="940" w:type="dxa"/>
            <w:vAlign w:val="bottom"/>
          </w:tcPr>
          <w:p>
            <w:pPr>
              <w:jc w:val="center"/>
              <w:spacing w:after="0" w:line="189" w:lineRule="exact"/>
              <w:rPr>
                <w:sz w:val="20"/>
                <w:szCs w:val="20"/>
                <w:color w:val="auto"/>
              </w:rPr>
            </w:pPr>
            <w:r>
              <w:rPr>
                <w:rFonts w:ascii="Arial" w:cs="Arial" w:eastAsia="Arial" w:hAnsi="Arial"/>
                <w:sz w:val="17"/>
                <w:szCs w:val="17"/>
                <w:color w:val="auto"/>
                <w:w w:val="99"/>
              </w:rPr>
              <w:t>16,068</w:t>
            </w:r>
          </w:p>
        </w:tc>
        <w:tc>
          <w:tcPr>
            <w:tcW w:w="920" w:type="dxa"/>
            <w:vAlign w:val="bottom"/>
          </w:tcPr>
          <w:p>
            <w:pPr>
              <w:jc w:val="center"/>
              <w:spacing w:after="0" w:line="189" w:lineRule="exact"/>
              <w:rPr>
                <w:sz w:val="20"/>
                <w:szCs w:val="20"/>
                <w:color w:val="auto"/>
              </w:rPr>
            </w:pPr>
            <w:r>
              <w:rPr>
                <w:rFonts w:ascii="Arial" w:cs="Arial" w:eastAsia="Arial" w:hAnsi="Arial"/>
                <w:sz w:val="17"/>
                <w:szCs w:val="17"/>
                <w:color w:val="auto"/>
                <w:w w:val="98"/>
              </w:rPr>
              <w:t>197</w:t>
            </w:r>
          </w:p>
        </w:tc>
        <w:tc>
          <w:tcPr>
            <w:tcW w:w="9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4.9%</w:t>
            </w:r>
          </w:p>
        </w:tc>
        <w:tc>
          <w:tcPr>
            <w:tcW w:w="940" w:type="dxa"/>
            <w:vAlign w:val="bottom"/>
          </w:tcPr>
          <w:p>
            <w:pPr>
              <w:jc w:val="center"/>
              <w:spacing w:after="0" w:line="189" w:lineRule="exact"/>
              <w:rPr>
                <w:sz w:val="20"/>
                <w:szCs w:val="20"/>
                <w:color w:val="auto"/>
              </w:rPr>
            </w:pPr>
            <w:r>
              <w:rPr>
                <w:rFonts w:ascii="Arial" w:cs="Arial" w:eastAsia="Arial" w:hAnsi="Arial"/>
                <w:sz w:val="17"/>
                <w:szCs w:val="17"/>
                <w:color w:val="auto"/>
                <w:w w:val="96"/>
              </w:rPr>
              <w:t>17,110</w:t>
            </w:r>
          </w:p>
        </w:tc>
        <w:tc>
          <w:tcPr>
            <w:tcW w:w="920" w:type="dxa"/>
            <w:vAlign w:val="bottom"/>
          </w:tcPr>
          <w:p>
            <w:pPr>
              <w:jc w:val="center"/>
              <w:spacing w:after="0" w:line="189" w:lineRule="exact"/>
              <w:rPr>
                <w:sz w:val="20"/>
                <w:szCs w:val="20"/>
                <w:color w:val="auto"/>
              </w:rPr>
            </w:pPr>
            <w:r>
              <w:rPr>
                <w:rFonts w:ascii="Arial" w:cs="Arial" w:eastAsia="Arial" w:hAnsi="Arial"/>
                <w:sz w:val="17"/>
                <w:szCs w:val="17"/>
                <w:color w:val="auto"/>
                <w:w w:val="98"/>
              </w:rPr>
              <w:t>201</w:t>
            </w:r>
          </w:p>
        </w:tc>
        <w:tc>
          <w:tcPr>
            <w:tcW w:w="9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7"/>
              </w:rPr>
              <w:t>4.7%</w:t>
            </w:r>
          </w:p>
        </w:tc>
        <w:tc>
          <w:tcPr>
            <w:tcW w:w="920" w:type="dxa"/>
            <w:vAlign w:val="bottom"/>
          </w:tcPr>
          <w:p>
            <w:pPr>
              <w:jc w:val="center"/>
              <w:spacing w:after="0" w:line="189" w:lineRule="exact"/>
              <w:rPr>
                <w:sz w:val="20"/>
                <w:szCs w:val="20"/>
                <w:color w:val="auto"/>
              </w:rPr>
            </w:pPr>
            <w:r>
              <w:rPr>
                <w:rFonts w:ascii="Arial" w:cs="Arial" w:eastAsia="Arial" w:hAnsi="Arial"/>
                <w:sz w:val="17"/>
                <w:szCs w:val="17"/>
                <w:color w:val="auto"/>
                <w:w w:val="99"/>
              </w:rPr>
              <w:t>15,830</w:t>
            </w:r>
          </w:p>
        </w:tc>
        <w:tc>
          <w:tcPr>
            <w:tcW w:w="940" w:type="dxa"/>
            <w:vAlign w:val="bottom"/>
          </w:tcPr>
          <w:p>
            <w:pPr>
              <w:jc w:val="center"/>
              <w:spacing w:after="0" w:line="189" w:lineRule="exact"/>
              <w:rPr>
                <w:sz w:val="20"/>
                <w:szCs w:val="20"/>
                <w:color w:val="auto"/>
              </w:rPr>
            </w:pPr>
            <w:r>
              <w:rPr>
                <w:rFonts w:ascii="Arial" w:cs="Arial" w:eastAsia="Arial" w:hAnsi="Arial"/>
                <w:sz w:val="17"/>
                <w:szCs w:val="17"/>
                <w:color w:val="auto"/>
                <w:w w:val="98"/>
              </w:rPr>
              <w:t>168</w:t>
            </w:r>
          </w:p>
        </w:tc>
        <w:tc>
          <w:tcPr>
            <w:tcW w:w="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4.2%</w:t>
            </w:r>
          </w:p>
        </w:tc>
      </w:tr>
      <w:tr>
        <w:trPr>
          <w:trHeight w:val="211"/>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Others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2,672</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259</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38.8%</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2,504</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239</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38.2%</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2,754</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269</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39.1%</w:t>
            </w:r>
          </w:p>
        </w:tc>
      </w:tr>
      <w:tr>
        <w:trPr>
          <w:trHeight w:val="183"/>
        </w:trPr>
        <w:tc>
          <w:tcPr>
            <w:tcW w:w="318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Total Funding</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185,162</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8"/>
              </w:rPr>
              <w:t>1,501</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3.2%</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195,200</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1,382</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7"/>
              </w:rPr>
              <w:t>2.8%</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195,998</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8"/>
              </w:rPr>
              <w:t>1,323</w:t>
            </w:r>
          </w:p>
        </w:tc>
        <w:tc>
          <w:tcPr>
            <w:tcW w:w="6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2.7%</w:t>
            </w:r>
          </w:p>
        </w:tc>
      </w:tr>
      <w:tr>
        <w:trPr>
          <w:trHeight w:val="183"/>
        </w:trPr>
        <w:tc>
          <w:tcPr>
            <w:tcW w:w="318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color w:val="auto"/>
              </w:rPr>
              <w:t>Funding (LC)</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49.5%</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51.9%</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3.4%</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49.6%</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49.8%</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7"/>
              </w:rPr>
              <w:t>2.8%</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rPr>
              <w:t>51.7%</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53.4%</w:t>
            </w:r>
          </w:p>
        </w:tc>
        <w:tc>
          <w:tcPr>
            <w:tcW w:w="6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2.8%</w:t>
            </w:r>
          </w:p>
        </w:tc>
      </w:tr>
      <w:tr>
        <w:trPr>
          <w:trHeight w:val="183"/>
        </w:trPr>
        <w:tc>
          <w:tcPr>
            <w:tcW w:w="318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color w:val="auto"/>
              </w:rPr>
              <w:t>Funding (FC)</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50.5%</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48.1%</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3.1%</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50.4%</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50.2%</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7"/>
              </w:rPr>
              <w:t>2.8%</w:t>
            </w:r>
          </w:p>
        </w:tc>
        <w:tc>
          <w:tcPr>
            <w:tcW w:w="9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rPr>
              <w:t>48.3%</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46.6%</w:t>
            </w:r>
          </w:p>
        </w:tc>
        <w:tc>
          <w:tcPr>
            <w:tcW w:w="6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2.6%</w:t>
            </w:r>
          </w:p>
        </w:tc>
      </w:tr>
      <w:tr>
        <w:trPr>
          <w:trHeight w:val="196"/>
        </w:trPr>
        <w:tc>
          <w:tcPr>
            <w:tcW w:w="3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83"/>
        </w:trPr>
        <w:tc>
          <w:tcPr>
            <w:tcW w:w="318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4"/>
                <w:szCs w:val="14"/>
                <w:b w:val="1"/>
                <w:bCs w:val="1"/>
                <w:color w:val="auto"/>
              </w:rPr>
              <w:t>NIM</w:t>
            </w:r>
            <w:r>
              <w:rPr>
                <w:rFonts w:ascii="Arial" w:cs="Arial" w:eastAsia="Arial" w:hAnsi="Arial"/>
                <w:sz w:val="21"/>
                <w:szCs w:val="21"/>
                <w:b w:val="1"/>
                <w:bCs w:val="1"/>
                <w:color w:val="auto"/>
                <w:vertAlign w:val="superscript"/>
              </w:rPr>
              <w:t>(1)</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225,297</w:t>
            </w:r>
          </w:p>
        </w:tc>
        <w:tc>
          <w:tcPr>
            <w:tcW w:w="9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8"/>
              </w:rPr>
              <w:t>3,424</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6.1%</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237,519</w:t>
            </w:r>
          </w:p>
        </w:tc>
        <w:tc>
          <w:tcPr>
            <w:tcW w:w="9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8"/>
              </w:rPr>
              <w:t>3,629</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6.1%</w:t>
            </w:r>
          </w:p>
        </w:tc>
        <w:tc>
          <w:tcPr>
            <w:tcW w:w="9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238,434</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3,572</w:t>
            </w:r>
          </w:p>
        </w:tc>
        <w:tc>
          <w:tcPr>
            <w:tcW w:w="6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7"/>
              </w:rPr>
              <w:t>6.0%</w:t>
            </w:r>
          </w:p>
        </w:tc>
      </w:tr>
      <w:tr>
        <w:trPr>
          <w:trHeight w:val="183"/>
        </w:trPr>
        <w:tc>
          <w:tcPr>
            <w:tcW w:w="318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color w:val="auto"/>
              </w:rPr>
              <w:t>NIM (LC)</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58.0%</w:t>
            </w:r>
          </w:p>
        </w:tc>
        <w:tc>
          <w:tcPr>
            <w:tcW w:w="9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77.8%</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8.2%</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54.7%</w:t>
            </w:r>
          </w:p>
        </w:tc>
        <w:tc>
          <w:tcPr>
            <w:tcW w:w="9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76.1%</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8.5%</w:t>
            </w:r>
          </w:p>
        </w:tc>
        <w:tc>
          <w:tcPr>
            <w:tcW w:w="9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55.6%</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76.8%</w:t>
            </w:r>
          </w:p>
        </w:tc>
        <w:tc>
          <w:tcPr>
            <w:tcW w:w="6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7"/>
              </w:rPr>
              <w:t>8.3%</w:t>
            </w:r>
          </w:p>
        </w:tc>
      </w:tr>
      <w:tr>
        <w:trPr>
          <w:trHeight w:val="183"/>
        </w:trPr>
        <w:tc>
          <w:tcPr>
            <w:tcW w:w="318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7"/>
                <w:szCs w:val="17"/>
                <w:color w:val="auto"/>
              </w:rPr>
              <w:t>NIM (FC)</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42.0%</w:t>
            </w:r>
          </w:p>
        </w:tc>
        <w:tc>
          <w:tcPr>
            <w:tcW w:w="9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22.2%</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3.2%</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45.3%</w:t>
            </w:r>
          </w:p>
        </w:tc>
        <w:tc>
          <w:tcPr>
            <w:tcW w:w="9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23.9%</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3.2%</w:t>
            </w:r>
          </w:p>
        </w:tc>
        <w:tc>
          <w:tcPr>
            <w:tcW w:w="9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44.4%</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9"/>
              </w:rPr>
              <w:t>23.2%</w:t>
            </w:r>
          </w:p>
        </w:tc>
        <w:tc>
          <w:tcPr>
            <w:tcW w:w="6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7"/>
              </w:rPr>
              <w:t>3.1%</w:t>
            </w:r>
          </w:p>
        </w:tc>
      </w:tr>
    </w:tbl>
    <w:p>
      <w:pPr>
        <w:spacing w:after="0"/>
        <w:rPr>
          <w:sz w:val="20"/>
          <w:szCs w:val="20"/>
          <w:color w:val="auto"/>
        </w:rPr>
      </w:pPr>
      <w:r>
        <w:rPr>
          <w:rFonts w:ascii="Arial" w:cs="Arial" w:eastAsia="Arial" w:hAnsi="Arial"/>
          <w:sz w:val="12"/>
          <w:szCs w:val="12"/>
          <w:color w:val="auto"/>
        </w:rPr>
        <w:t>(1) Unlike the NIM figure calculated according to the formula in Appendix 12.7, the NIM presented in this table includes “Financial Expense associated with the insurance and reinsurance activity, net”.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QoQ Analysis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QoQ, </w:t>
      </w:r>
      <w:r>
        <w:rPr>
          <w:rFonts w:ascii="Arial" w:cs="Arial" w:eastAsia="Arial" w:hAnsi="Arial"/>
          <w:sz w:val="18"/>
          <w:szCs w:val="18"/>
          <w:b w:val="1"/>
          <w:bCs w:val="1"/>
          <w:color w:val="auto"/>
        </w:rPr>
        <w:t>Net Interest Income (NII)</w:t>
      </w:r>
      <w:r>
        <w:rPr>
          <w:rFonts w:ascii="Arial" w:cs="Arial" w:eastAsia="Arial" w:hAnsi="Arial"/>
          <w:sz w:val="18"/>
          <w:szCs w:val="18"/>
          <w:color w:val="auto"/>
        </w:rPr>
        <w:t xml:space="preserve"> dropped 1.6% due to a comparatively lower contribution of NII in both FC and LC. IEAs in LC represented 55.6% of total IEAs at quarter-end and accounted for 70.5% of Interest Income generated in 1Q25.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Dynamics in National Currency (LC)</w:t>
      </w:r>
    </w:p>
    <w:p>
      <w:pPr>
        <w:spacing w:after="0" w:line="2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NII </w:t>
      </w:r>
      <w:r>
        <w:rPr>
          <w:rFonts w:ascii="Arial" w:cs="Arial" w:eastAsia="Arial" w:hAnsi="Arial"/>
          <w:sz w:val="18"/>
          <w:szCs w:val="18"/>
          <w:color w:val="auto"/>
        </w:rPr>
        <w:t>in</w:t>
      </w:r>
      <w:r>
        <w:rPr>
          <w:rFonts w:ascii="Arial" w:cs="Arial" w:eastAsia="Arial" w:hAnsi="Arial"/>
          <w:sz w:val="18"/>
          <w:szCs w:val="18"/>
          <w:b w:val="1"/>
          <w:bCs w:val="1"/>
          <w:color w:val="auto"/>
        </w:rPr>
        <w:t xml:space="preserve"> LC </w:t>
      </w:r>
      <w:r>
        <w:rPr>
          <w:rFonts w:ascii="Arial" w:cs="Arial" w:eastAsia="Arial" w:hAnsi="Arial"/>
          <w:sz w:val="18"/>
          <w:szCs w:val="18"/>
          <w:color w:val="auto"/>
        </w:rPr>
        <w:t>dropped 0.5% on the back of an increase in interest expenses, which rose primarily through extraordinary interest expenses at BCP</w:t>
      </w:r>
      <w:r>
        <w:rPr>
          <w:rFonts w:ascii="Arial" w:cs="Arial" w:eastAsia="Arial" w:hAnsi="Arial"/>
          <w:sz w:val="18"/>
          <w:szCs w:val="18"/>
          <w:b w:val="1"/>
          <w:bCs w:val="1"/>
          <w:color w:val="auto"/>
        </w:rPr>
        <w:t xml:space="preserve"> </w:t>
      </w:r>
      <w:r>
        <w:rPr>
          <w:rFonts w:ascii="Arial" w:cs="Arial" w:eastAsia="Arial" w:hAnsi="Arial"/>
          <w:sz w:val="18"/>
          <w:szCs w:val="18"/>
          <w:color w:val="auto"/>
        </w:rPr>
        <w:t>and Mibanco, and secondarily via the positive volume effect generated by an uptick in the deposit balance. These dynamics were partially offset by a drop in interest expenses in the BCRP + Banks and Bonds and Issued Notes accounts, which were impacted by lower interest rates.</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8" w:name="page29"/>
    <w:bookmarkEnd w:id="28"/>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04. 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income remained relatively stable, given that the drop in Interest on loans, after a portion of the portfolio was repriced at lower rates, was offset by an uptick in Interest on investments after positions in BCRP certificate of deposits rose.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Dynamics (FC)</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NII </w:t>
      </w:r>
      <w:r>
        <w:rPr>
          <w:rFonts w:ascii="Arial" w:cs="Arial" w:eastAsia="Arial" w:hAnsi="Arial"/>
          <w:sz w:val="18"/>
          <w:szCs w:val="18"/>
          <w:color w:val="auto"/>
        </w:rPr>
        <w:t>in</w:t>
      </w:r>
      <w:r>
        <w:rPr>
          <w:rFonts w:ascii="Arial" w:cs="Arial" w:eastAsia="Arial" w:hAnsi="Arial"/>
          <w:sz w:val="18"/>
          <w:szCs w:val="18"/>
          <w:b w:val="1"/>
          <w:bCs w:val="1"/>
          <w:color w:val="auto"/>
        </w:rPr>
        <w:t xml:space="preserve"> FC </w:t>
      </w:r>
      <w:r>
        <w:rPr>
          <w:rFonts w:ascii="Arial" w:cs="Arial" w:eastAsia="Arial" w:hAnsi="Arial"/>
          <w:sz w:val="18"/>
          <w:szCs w:val="18"/>
          <w:color w:val="auto"/>
        </w:rPr>
        <w:t>dropped 4.8% QoQ, fueled mainly by a drop in interest income, which was partially offset by a decline in interest expenses. The</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in income was primarily attributable to a decline in income from loans, which primarily reflected lower market rates, and secondarily a drop in the average balance. FC interest expenses contracted due to the following: i) a reduction in interest on deposits due to a contraction in time deposits, which was in turn generated by a decrease in funding requirements; ii) a negative volume effect in Bonds, originated by a bond maturity at BCP; and iii) a decrease in expenses in BCRP + Banks, due to a downward readjustment in rates on due to banks.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YoY analysis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YoY, </w:t>
      </w:r>
      <w:r>
        <w:rPr>
          <w:rFonts w:ascii="Arial" w:cs="Arial" w:eastAsia="Arial" w:hAnsi="Arial"/>
          <w:sz w:val="18"/>
          <w:szCs w:val="18"/>
          <w:b w:val="1"/>
          <w:bCs w:val="1"/>
          <w:color w:val="auto"/>
        </w:rPr>
        <w:t>NII</w:t>
      </w:r>
      <w:r>
        <w:rPr>
          <w:rFonts w:ascii="Arial" w:cs="Arial" w:eastAsia="Arial" w:hAnsi="Arial"/>
          <w:sz w:val="18"/>
          <w:szCs w:val="18"/>
          <w:color w:val="auto"/>
        </w:rPr>
        <w:t xml:space="preserve"> rose 4.3%, driven by NII in both LC and FC: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Local Currency Dynamics (LC)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NII </w:t>
      </w:r>
      <w:r>
        <w:rPr>
          <w:rFonts w:ascii="Arial" w:cs="Arial" w:eastAsia="Arial" w:hAnsi="Arial"/>
          <w:sz w:val="18"/>
          <w:szCs w:val="18"/>
          <w:color w:val="auto"/>
        </w:rPr>
        <w:t>in</w:t>
      </w:r>
      <w:r>
        <w:rPr>
          <w:rFonts w:ascii="Arial" w:cs="Arial" w:eastAsia="Arial" w:hAnsi="Arial"/>
          <w:sz w:val="18"/>
          <w:szCs w:val="18"/>
          <w:b w:val="1"/>
          <w:bCs w:val="1"/>
          <w:color w:val="auto"/>
        </w:rPr>
        <w:t xml:space="preserve"> LC </w:t>
      </w:r>
      <w:r>
        <w:rPr>
          <w:rFonts w:ascii="Arial" w:cs="Arial" w:eastAsia="Arial" w:hAnsi="Arial"/>
          <w:sz w:val="18"/>
          <w:szCs w:val="18"/>
          <w:color w:val="auto"/>
        </w:rPr>
        <w:t>rose 3.0% YoY due to the following dynamics: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Interest expenses fell due to a reduction in expenses for deposits, reflecting a downward repricing in time deposits, and, to a lesser extent, an increase in low-cost deposits’ share of the funding mix. In this context, the funding cost in LC dropped 62 bps to stand at 2.8%.</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income registered slight growth due to an uptick in Interest on loans, which benefitted from a rise in mortgage loan disbursements. This result was partially offset by a drop in interest on investments, given that the growth in volumes was accompanied by comparatively lower interest rates. The yield on IEA in LC dropped 13 bps to 10.4%.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Dynamics (FC)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NII </w:t>
      </w:r>
      <w:r>
        <w:rPr>
          <w:rFonts w:ascii="Arial" w:cs="Arial" w:eastAsia="Arial" w:hAnsi="Arial"/>
          <w:sz w:val="18"/>
          <w:szCs w:val="18"/>
          <w:color w:val="auto"/>
        </w:rPr>
        <w:t>in</w:t>
      </w:r>
      <w:r>
        <w:rPr>
          <w:rFonts w:ascii="Arial" w:cs="Arial" w:eastAsia="Arial" w:hAnsi="Arial"/>
          <w:sz w:val="18"/>
          <w:szCs w:val="18"/>
          <w:b w:val="1"/>
          <w:bCs w:val="1"/>
          <w:color w:val="auto"/>
        </w:rPr>
        <w:t xml:space="preserve"> FC </w:t>
      </w:r>
      <w:r>
        <w:rPr>
          <w:rFonts w:ascii="Arial" w:cs="Arial" w:eastAsia="Arial" w:hAnsi="Arial"/>
          <w:sz w:val="18"/>
          <w:szCs w:val="18"/>
          <w:color w:val="auto"/>
        </w:rPr>
        <w:t>rose 9.0% YoY due to the following dynamics: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expenses dropped, due mainly to a reduction in expenses for deposits, reflecting the positive impact of lower market rates and, to a lesser extent, growth in low-cost deposits’ share of the funding structure. It is important to note that the funding cost in FC fell 48 bps to stand at 2.6%.</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income fell, spurred mainly by a drop in interest on loans given that rate decreases triggered a downward adjustment to the yield on loans in a context marked by an uptick in volumes of short-term wholesale loans. The yield on IEAs in FC fell 80 bps to stand at 5.5%.</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9" w:name="page30"/>
    <w:bookmarkEnd w:id="29"/>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397" w:lineRule="exact"/>
        <w:rPr>
          <w:sz w:val="20"/>
          <w:szCs w:val="20"/>
          <w:color w:val="auto"/>
        </w:rPr>
      </w:pPr>
    </w:p>
    <w:p>
      <w:pPr>
        <w:ind w:left="460"/>
        <w:spacing w:after="0"/>
        <w:rPr>
          <w:sz w:val="20"/>
          <w:szCs w:val="20"/>
          <w:color w:val="auto"/>
        </w:rPr>
      </w:pPr>
      <w:r>
        <w:rPr>
          <w:rFonts w:ascii="Arial" w:cs="Arial" w:eastAsia="Arial" w:hAnsi="Arial"/>
          <w:sz w:val="52"/>
          <w:szCs w:val="52"/>
          <w:b w:val="1"/>
          <w:bCs w:val="1"/>
          <w:color w:val="E93BAC"/>
        </w:rPr>
        <w:t xml:space="preserve">05 </w:t>
      </w:r>
      <w:r>
        <w:rPr>
          <w:rFonts w:ascii="Arial" w:cs="Arial" w:eastAsia="Arial" w:hAnsi="Arial"/>
          <w:sz w:val="32"/>
          <w:szCs w:val="32"/>
          <w:color w:val="E93BAC"/>
        </w:rPr>
        <w:t>Portfolio Quality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160020</wp:posOffset>
            </wp:positionV>
            <wp:extent cx="6557645" cy="1817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57645" cy="1817370"/>
                    </a:xfrm>
                    <a:prstGeom prst="rect">
                      <a:avLst/>
                    </a:prstGeom>
                    <a:noFill/>
                  </pic:spPr>
                </pic:pic>
              </a:graphicData>
            </a:graphic>
          </wp:anchor>
        </w:drawing>
      </w:r>
    </w:p>
    <w:p>
      <w:pPr>
        <w:spacing w:after="0" w:line="308" w:lineRule="exact"/>
        <w:rPr>
          <w:sz w:val="20"/>
          <w:szCs w:val="20"/>
          <w:color w:val="auto"/>
        </w:rPr>
      </w:pPr>
    </w:p>
    <w:p>
      <w:pPr>
        <w:jc w:val="both"/>
        <w:ind w:left="580" w:right="560"/>
        <w:spacing w:after="0" w:line="253" w:lineRule="auto"/>
        <w:rPr>
          <w:sz w:val="20"/>
          <w:szCs w:val="20"/>
          <w:color w:val="auto"/>
        </w:rPr>
      </w:pPr>
      <w:r>
        <w:rPr>
          <w:rFonts w:ascii="Arial" w:cs="Arial" w:eastAsia="Arial" w:hAnsi="Arial"/>
          <w:sz w:val="18"/>
          <w:szCs w:val="18"/>
          <w:color w:val="FFFFFF"/>
        </w:rPr>
        <w:t>This quarter, the NPL ratio and Cost of Risk clearly reflect a noteworthy improvement and continue to contract across segments, as a result of the cumulative impact of fortified underwriting and risk management, a relatively strong Peru economy, and some one-time events.</w:t>
      </w:r>
    </w:p>
    <w:p>
      <w:pPr>
        <w:spacing w:after="0" w:line="196" w:lineRule="exact"/>
        <w:rPr>
          <w:sz w:val="20"/>
          <w:szCs w:val="20"/>
          <w:color w:val="auto"/>
        </w:rPr>
      </w:pPr>
    </w:p>
    <w:p>
      <w:pPr>
        <w:jc w:val="both"/>
        <w:ind w:left="580" w:right="560"/>
        <w:spacing w:after="0" w:line="253" w:lineRule="auto"/>
        <w:rPr>
          <w:sz w:val="20"/>
          <w:szCs w:val="20"/>
          <w:color w:val="auto"/>
        </w:rPr>
      </w:pPr>
      <w:r>
        <w:rPr>
          <w:rFonts w:ascii="Arial" w:cs="Arial" w:eastAsia="Arial" w:hAnsi="Arial"/>
          <w:sz w:val="18"/>
          <w:szCs w:val="18"/>
          <w:color w:val="FFFFFF"/>
        </w:rPr>
        <w:t>QoQ, the decline in NPLs at BCP Stand-alone was driven mainly by debt repayments in Wholesale and to a lesser extent, by a drop in internal overdue loans in SME-Pyme. At Mibanco, the decrease in NPL volumes was fueled mainly by a reduction in internal overdue loans. In this context, the NPL ratio fell 16 bps and 112 bps QoQ and YoY to stand at 5.1% at quarter-end.</w:t>
      </w:r>
    </w:p>
    <w:p>
      <w:pPr>
        <w:spacing w:after="0" w:line="182" w:lineRule="exact"/>
        <w:rPr>
          <w:sz w:val="20"/>
          <w:szCs w:val="20"/>
          <w:color w:val="auto"/>
        </w:rPr>
      </w:pPr>
    </w:p>
    <w:p>
      <w:pPr>
        <w:jc w:val="both"/>
        <w:ind w:left="580" w:right="560"/>
        <w:spacing w:after="0" w:line="244" w:lineRule="auto"/>
        <w:rPr>
          <w:sz w:val="20"/>
          <w:szCs w:val="20"/>
          <w:color w:val="auto"/>
        </w:rPr>
      </w:pPr>
      <w:r>
        <w:rPr>
          <w:rFonts w:ascii="Arial" w:cs="Arial" w:eastAsia="Arial" w:hAnsi="Arial"/>
          <w:sz w:val="18"/>
          <w:szCs w:val="18"/>
          <w:color w:val="FFFFFF"/>
        </w:rPr>
        <w:t>QoQ, the decline in provisions was mainly attributable to BCP Stand-alone, where provisions dropped primarily due to (i) a base effect base via calibrations in our risk models and an improvement in payment performance in Credit Cards and Consumer, and (ii) due to an uptick in reversals in Wholesale Banking. This evolution was partially offset by an increase in provisions at Mibanco, due to a base effect given that write-offs were low last quarter. In this context, the cost of risk fell 44 bps and 66 bps QoQ and YoY respectively to stand at 1.6% at quarter-end.</w:t>
      </w:r>
    </w:p>
    <w:p>
      <w:pPr>
        <w:spacing w:after="0" w:line="23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 xml:space="preserve">This quarter, portfolio quality and provisions indicators improved due to the cumulative impact of fortified underwriting and risk management, particularly in the </w:t>
      </w:r>
      <w:r>
        <w:rPr>
          <w:rFonts w:ascii="Arial" w:cs="Arial" w:eastAsia="Arial" w:hAnsi="Arial"/>
          <w:sz w:val="18"/>
          <w:szCs w:val="18"/>
          <w:b w:val="1"/>
          <w:bCs w:val="1"/>
          <w:color w:val="auto"/>
        </w:rPr>
        <w:t>Retail</w:t>
      </w:r>
      <w:r>
        <w:rPr>
          <w:rFonts w:ascii="Arial" w:cs="Arial" w:eastAsia="Arial" w:hAnsi="Arial"/>
          <w:sz w:val="18"/>
          <w:szCs w:val="18"/>
          <w:color w:val="auto"/>
        </w:rPr>
        <w:t xml:space="preserve"> segment, a relatively strong Peru economy, and some one-time events.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One-time events include: (i)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and </w:t>
      </w:r>
      <w:r>
        <w:rPr>
          <w:rFonts w:ascii="Arial" w:cs="Arial" w:eastAsia="Arial" w:hAnsi="Arial"/>
          <w:sz w:val="18"/>
          <w:szCs w:val="18"/>
          <w:b w:val="1"/>
          <w:bCs w:val="1"/>
          <w:color w:val="auto"/>
        </w:rPr>
        <w:t>Credit Cards</w:t>
      </w:r>
      <w:r>
        <w:rPr>
          <w:rFonts w:ascii="Arial" w:cs="Arial" w:eastAsia="Arial" w:hAnsi="Arial"/>
          <w:sz w:val="18"/>
          <w:szCs w:val="18"/>
          <w:color w:val="auto"/>
        </w:rPr>
        <w:t xml:space="preserve"> risk model recalibrations, which increased provisioning levels last quarter; (ii) pension fund withdrawals in the second half last year, which boosted </w:t>
      </w:r>
      <w:r>
        <w:rPr>
          <w:rFonts w:ascii="Arial" w:cs="Arial" w:eastAsia="Arial" w:hAnsi="Arial"/>
          <w:sz w:val="18"/>
          <w:szCs w:val="18"/>
          <w:b w:val="1"/>
          <w:bCs w:val="1"/>
          <w:color w:val="auto"/>
        </w:rPr>
        <w:t>Individuals</w:t>
      </w:r>
      <w:r>
        <w:rPr>
          <w:rFonts w:ascii="Arial" w:cs="Arial" w:eastAsia="Arial" w:hAnsi="Arial"/>
          <w:sz w:val="18"/>
          <w:szCs w:val="18"/>
          <w:color w:val="auto"/>
        </w:rPr>
        <w:t xml:space="preserve"> debt repayment in recent quarters; and (iii) increased customized loan restructuring to clients in hardship, which is a cashflow positive initiative but reduces levels of default at the beginning of the process.</w:t>
      </w:r>
    </w:p>
    <w:p>
      <w:pPr>
        <w:spacing w:after="0" w:line="16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Portfolio Quality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Quality of Total Loans (in quarter-end balances)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452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4"/>
                <w:szCs w:val="14"/>
                <w:b w:val="1"/>
                <w:bCs w:val="1"/>
                <w:color w:val="FFFFFF"/>
              </w:rPr>
              <w:t>Loan Portfolio quality and Delinquency ratios</w:t>
            </w:r>
          </w:p>
        </w:tc>
        <w:tc>
          <w:tcPr>
            <w:tcW w:w="1340" w:type="dxa"/>
            <w:vAlign w:val="bottom"/>
            <w:tcBorders>
              <w:top w:val="single" w:sz="8" w:color="auto"/>
            </w:tcBorders>
            <w:shd w:val="clear" w:color="auto" w:fill="33CCCC"/>
          </w:tcPr>
          <w:p>
            <w:pPr>
              <w:spacing w:after="0"/>
              <w:rPr>
                <w:sz w:val="15"/>
                <w:szCs w:val="15"/>
                <w:color w:val="auto"/>
              </w:rPr>
            </w:pPr>
          </w:p>
        </w:tc>
        <w:tc>
          <w:tcPr>
            <w:tcW w:w="134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As of</w:t>
            </w:r>
          </w:p>
        </w:tc>
        <w:tc>
          <w:tcPr>
            <w:tcW w:w="1380" w:type="dxa"/>
            <w:vAlign w:val="bottom"/>
            <w:tcBorders>
              <w:top w:val="single" w:sz="8" w:color="auto"/>
              <w:right w:val="single" w:sz="8" w:color="auto"/>
            </w:tcBorders>
            <w:shd w:val="clear" w:color="auto" w:fill="33CCCC"/>
          </w:tcPr>
          <w:p>
            <w:pPr>
              <w:spacing w:after="0"/>
              <w:rPr>
                <w:sz w:val="15"/>
                <w:szCs w:val="15"/>
                <w:color w:val="auto"/>
              </w:rPr>
            </w:pPr>
          </w:p>
        </w:tc>
        <w:tc>
          <w:tcPr>
            <w:tcW w:w="940" w:type="dxa"/>
            <w:vAlign w:val="bottom"/>
            <w:tcBorders>
              <w:top w:val="single" w:sz="8" w:color="auto"/>
            </w:tcBorders>
            <w:shd w:val="clear" w:color="auto" w:fill="33CCCC"/>
          </w:tcPr>
          <w:p>
            <w:pPr>
              <w:spacing w:after="0"/>
              <w:rPr>
                <w:sz w:val="15"/>
                <w:szCs w:val="15"/>
                <w:color w:val="auto"/>
              </w:rPr>
            </w:pPr>
          </w:p>
        </w:tc>
        <w:tc>
          <w:tcPr>
            <w:tcW w:w="1720" w:type="dxa"/>
            <w:vAlign w:val="bottom"/>
            <w:tcBorders>
              <w:top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4"/>
                <w:szCs w:val="14"/>
                <w:b w:val="1"/>
                <w:bCs w:val="1"/>
                <w:color w:val="FFFFFF"/>
              </w:rPr>
              <w:t>% change</w:t>
            </w:r>
          </w:p>
        </w:tc>
      </w:tr>
      <w:tr>
        <w:trPr>
          <w:trHeight w:val="162"/>
        </w:trPr>
        <w:tc>
          <w:tcPr>
            <w:tcW w:w="452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4"/>
                <w:szCs w:val="14"/>
                <w:b w:val="1"/>
                <w:bCs w:val="1"/>
                <w:color w:val="FFFFFF"/>
              </w:rPr>
              <w:t>S/000</w:t>
            </w:r>
          </w:p>
        </w:tc>
        <w:tc>
          <w:tcPr>
            <w:tcW w:w="1340" w:type="dxa"/>
            <w:vAlign w:val="bottom"/>
            <w:tcBorders>
              <w:bottom w:val="single" w:sz="8" w:color="auto"/>
            </w:tcBorders>
            <w:shd w:val="clear" w:color="auto" w:fill="33CCCC"/>
          </w:tcPr>
          <w:p>
            <w:pPr>
              <w:ind w:left="440"/>
              <w:spacing w:after="0"/>
              <w:rPr>
                <w:sz w:val="20"/>
                <w:szCs w:val="20"/>
                <w:color w:val="auto"/>
              </w:rPr>
            </w:pPr>
            <w:r>
              <w:rPr>
                <w:rFonts w:ascii="Arial" w:cs="Arial" w:eastAsia="Arial" w:hAnsi="Arial"/>
                <w:sz w:val="14"/>
                <w:szCs w:val="14"/>
                <w:b w:val="1"/>
                <w:bCs w:val="1"/>
                <w:color w:val="FFFFFF"/>
              </w:rPr>
              <w:t>Mar 24</w:t>
            </w:r>
          </w:p>
        </w:tc>
        <w:tc>
          <w:tcPr>
            <w:tcW w:w="13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Dec 24</w:t>
            </w:r>
          </w:p>
        </w:tc>
        <w:tc>
          <w:tcPr>
            <w:tcW w:w="138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14"/>
                <w:szCs w:val="14"/>
                <w:b w:val="1"/>
                <w:bCs w:val="1"/>
                <w:color w:val="FFFFFF"/>
              </w:rPr>
              <w:t>Mar 25</w:t>
            </w:r>
          </w:p>
        </w:tc>
        <w:tc>
          <w:tcPr>
            <w:tcW w:w="940" w:type="dxa"/>
            <w:vAlign w:val="bottom"/>
            <w:tcBorders>
              <w:bottom w:val="single" w:sz="8" w:color="auto"/>
            </w:tcBorders>
            <w:shd w:val="clear" w:color="auto" w:fill="33CCCC"/>
          </w:tcPr>
          <w:p>
            <w:pPr>
              <w:jc w:val="center"/>
              <w:ind w:left="288"/>
              <w:spacing w:after="0"/>
              <w:rPr>
                <w:sz w:val="20"/>
                <w:szCs w:val="20"/>
                <w:color w:val="auto"/>
              </w:rPr>
            </w:pPr>
            <w:r>
              <w:rPr>
                <w:rFonts w:ascii="Arial" w:cs="Arial" w:eastAsia="Arial" w:hAnsi="Arial"/>
                <w:sz w:val="14"/>
                <w:szCs w:val="14"/>
                <w:b w:val="1"/>
                <w:bCs w:val="1"/>
                <w:color w:val="FFFFFF"/>
                <w:w w:val="98"/>
              </w:rPr>
              <w:t>QoQ</w:t>
            </w:r>
          </w:p>
        </w:tc>
        <w:tc>
          <w:tcPr>
            <w:tcW w:w="1720" w:type="dxa"/>
            <w:vAlign w:val="bottom"/>
            <w:tcBorders>
              <w:bottom w:val="single" w:sz="8" w:color="auto"/>
              <w:right w:val="single" w:sz="8" w:color="auto"/>
            </w:tcBorders>
            <w:shd w:val="clear" w:color="auto" w:fill="33CCCC"/>
          </w:tcPr>
          <w:p>
            <w:pPr>
              <w:jc w:val="center"/>
              <w:ind w:left="288"/>
              <w:spacing w:after="0"/>
              <w:rPr>
                <w:sz w:val="20"/>
                <w:szCs w:val="20"/>
                <w:color w:val="auto"/>
              </w:rPr>
            </w:pPr>
            <w:r>
              <w:rPr>
                <w:rFonts w:ascii="Arial" w:cs="Arial" w:eastAsia="Arial" w:hAnsi="Arial"/>
                <w:sz w:val="14"/>
                <w:szCs w:val="14"/>
                <w:b w:val="1"/>
                <w:bCs w:val="1"/>
                <w:color w:val="FFFFFF"/>
              </w:rPr>
              <w:t>YoY</w:t>
            </w:r>
          </w:p>
        </w:tc>
      </w:tr>
      <w:tr>
        <w:trPr>
          <w:trHeight w:val="155"/>
        </w:trPr>
        <w:tc>
          <w:tcPr>
            <w:tcW w:w="4520" w:type="dxa"/>
            <w:vAlign w:val="bottom"/>
            <w:tcBorders>
              <w:left w:val="single" w:sz="8" w:color="auto"/>
              <w:bottom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Total loans (Quarter-end balance)</w:t>
            </w: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140,798,083</w:t>
            </w: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145,732,273</w:t>
            </w:r>
          </w:p>
        </w:tc>
        <w:tc>
          <w:tcPr>
            <w:tcW w:w="13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141,196,646</w:t>
            </w:r>
          </w:p>
        </w:tc>
        <w:tc>
          <w:tcPr>
            <w:tcW w:w="940" w:type="dxa"/>
            <w:vAlign w:val="bottom"/>
            <w:tcBorders>
              <w:bottom w:val="single" w:sz="8" w:color="auto"/>
            </w:tcBorders>
          </w:tcPr>
          <w:p>
            <w:pPr>
              <w:jc w:val="center"/>
              <w:ind w:left="288"/>
              <w:spacing w:after="0" w:line="155" w:lineRule="exact"/>
              <w:rPr>
                <w:sz w:val="20"/>
                <w:szCs w:val="20"/>
                <w:color w:val="auto"/>
              </w:rPr>
            </w:pPr>
            <w:r>
              <w:rPr>
                <w:rFonts w:ascii="Arial" w:cs="Arial" w:eastAsia="Arial" w:hAnsi="Arial"/>
                <w:sz w:val="14"/>
                <w:szCs w:val="14"/>
                <w:b w:val="1"/>
                <w:bCs w:val="1"/>
                <w:color w:val="auto"/>
              </w:rPr>
              <w:t>-3.1%</w:t>
            </w:r>
          </w:p>
        </w:tc>
        <w:tc>
          <w:tcPr>
            <w:tcW w:w="1720" w:type="dxa"/>
            <w:vAlign w:val="bottom"/>
            <w:tcBorders>
              <w:bottom w:val="single" w:sz="8" w:color="auto"/>
              <w:right w:val="single" w:sz="8" w:color="auto"/>
            </w:tcBorders>
          </w:tcPr>
          <w:p>
            <w:pPr>
              <w:jc w:val="center"/>
              <w:ind w:left="288"/>
              <w:spacing w:after="0" w:line="155" w:lineRule="exact"/>
              <w:rPr>
                <w:sz w:val="20"/>
                <w:szCs w:val="20"/>
                <w:color w:val="auto"/>
              </w:rPr>
            </w:pPr>
            <w:r>
              <w:rPr>
                <w:rFonts w:ascii="Arial" w:cs="Arial" w:eastAsia="Arial" w:hAnsi="Arial"/>
                <w:sz w:val="14"/>
                <w:szCs w:val="14"/>
                <w:b w:val="1"/>
                <w:bCs w:val="1"/>
                <w:color w:val="auto"/>
              </w:rPr>
              <w:t>0.3%</w:t>
            </w:r>
          </w:p>
        </w:tc>
      </w:tr>
      <w:tr>
        <w:trPr>
          <w:trHeight w:val="156"/>
        </w:trPr>
        <w:tc>
          <w:tcPr>
            <w:tcW w:w="4520" w:type="dxa"/>
            <w:vAlign w:val="bottom"/>
            <w:tcBorders>
              <w:left w:val="single" w:sz="8" w:color="auto"/>
              <w:bottom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Write-offs</w:t>
            </w: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950,433</w:t>
            </w: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896,714</w:t>
            </w:r>
          </w:p>
        </w:tc>
        <w:tc>
          <w:tcPr>
            <w:tcW w:w="13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716,585</w:t>
            </w:r>
          </w:p>
        </w:tc>
        <w:tc>
          <w:tcPr>
            <w:tcW w:w="940" w:type="dxa"/>
            <w:vAlign w:val="bottom"/>
            <w:tcBorders>
              <w:bottom w:val="single" w:sz="8" w:color="auto"/>
            </w:tcBorders>
          </w:tcPr>
          <w:p>
            <w:pPr>
              <w:jc w:val="center"/>
              <w:ind w:left="288"/>
              <w:spacing w:after="0" w:line="155" w:lineRule="exact"/>
              <w:rPr>
                <w:sz w:val="20"/>
                <w:szCs w:val="20"/>
                <w:color w:val="auto"/>
              </w:rPr>
            </w:pPr>
            <w:r>
              <w:rPr>
                <w:rFonts w:ascii="Arial" w:cs="Arial" w:eastAsia="Arial" w:hAnsi="Arial"/>
                <w:sz w:val="14"/>
                <w:szCs w:val="14"/>
                <w:color w:val="auto"/>
              </w:rPr>
              <w:t>-20.1%</w:t>
            </w:r>
          </w:p>
        </w:tc>
        <w:tc>
          <w:tcPr>
            <w:tcW w:w="1720" w:type="dxa"/>
            <w:vAlign w:val="bottom"/>
            <w:tcBorders>
              <w:bottom w:val="single" w:sz="8" w:color="auto"/>
              <w:right w:val="single" w:sz="8" w:color="auto"/>
            </w:tcBorders>
          </w:tcPr>
          <w:p>
            <w:pPr>
              <w:jc w:val="center"/>
              <w:ind w:left="288"/>
              <w:spacing w:after="0" w:line="155" w:lineRule="exact"/>
              <w:rPr>
                <w:sz w:val="20"/>
                <w:szCs w:val="20"/>
                <w:color w:val="auto"/>
              </w:rPr>
            </w:pPr>
            <w:r>
              <w:rPr>
                <w:rFonts w:ascii="Arial" w:cs="Arial" w:eastAsia="Arial" w:hAnsi="Arial"/>
                <w:sz w:val="14"/>
                <w:szCs w:val="14"/>
                <w:color w:val="auto"/>
                <w:w w:val="99"/>
              </w:rPr>
              <w:t>-24.6%</w:t>
            </w:r>
          </w:p>
        </w:tc>
      </w:tr>
      <w:tr>
        <w:trPr>
          <w:trHeight w:val="146"/>
        </w:trPr>
        <w:tc>
          <w:tcPr>
            <w:tcW w:w="4520" w:type="dxa"/>
            <w:vAlign w:val="bottom"/>
            <w:tcBorders>
              <w:left w:val="single" w:sz="8" w:color="auto"/>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Internal overdue loans (IOLs)</w:t>
            </w:r>
          </w:p>
        </w:tc>
        <w:tc>
          <w:tcPr>
            <w:tcW w:w="1340" w:type="dxa"/>
            <w:vAlign w:val="bottom"/>
          </w:tcPr>
          <w:p>
            <w:pPr>
              <w:jc w:val="center"/>
              <w:spacing w:after="0" w:line="147" w:lineRule="exact"/>
              <w:rPr>
                <w:sz w:val="20"/>
                <w:szCs w:val="20"/>
                <w:color w:val="auto"/>
              </w:rPr>
            </w:pPr>
            <w:r>
              <w:rPr>
                <w:rFonts w:ascii="Arial" w:cs="Arial" w:eastAsia="Arial" w:hAnsi="Arial"/>
                <w:sz w:val="14"/>
                <w:szCs w:val="14"/>
                <w:color w:val="auto"/>
              </w:rPr>
              <w:t>6,205,024</w:t>
            </w:r>
          </w:p>
        </w:tc>
        <w:tc>
          <w:tcPr>
            <w:tcW w:w="1340" w:type="dxa"/>
            <w:vAlign w:val="bottom"/>
          </w:tcPr>
          <w:p>
            <w:pPr>
              <w:jc w:val="center"/>
              <w:spacing w:after="0" w:line="147" w:lineRule="exact"/>
              <w:rPr>
                <w:sz w:val="20"/>
                <w:szCs w:val="20"/>
                <w:color w:val="auto"/>
              </w:rPr>
            </w:pPr>
            <w:r>
              <w:rPr>
                <w:rFonts w:ascii="Arial" w:cs="Arial" w:eastAsia="Arial" w:hAnsi="Arial"/>
                <w:sz w:val="14"/>
                <w:szCs w:val="14"/>
                <w:color w:val="auto"/>
              </w:rPr>
              <w:t>5,423,212</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5,206,395</w:t>
            </w:r>
          </w:p>
        </w:tc>
        <w:tc>
          <w:tcPr>
            <w:tcW w:w="940" w:type="dxa"/>
            <w:vAlign w:val="bottom"/>
          </w:tcPr>
          <w:p>
            <w:pPr>
              <w:jc w:val="center"/>
              <w:ind w:left="288"/>
              <w:spacing w:after="0" w:line="147" w:lineRule="exact"/>
              <w:rPr>
                <w:sz w:val="20"/>
                <w:szCs w:val="20"/>
                <w:color w:val="auto"/>
              </w:rPr>
            </w:pPr>
            <w:r>
              <w:rPr>
                <w:rFonts w:ascii="Arial" w:cs="Arial" w:eastAsia="Arial" w:hAnsi="Arial"/>
                <w:sz w:val="14"/>
                <w:szCs w:val="14"/>
                <w:color w:val="auto"/>
              </w:rPr>
              <w:t>-4.0%</w:t>
            </w:r>
          </w:p>
        </w:tc>
        <w:tc>
          <w:tcPr>
            <w:tcW w:w="1720" w:type="dxa"/>
            <w:vAlign w:val="bottom"/>
            <w:tcBorders>
              <w:right w:val="single" w:sz="8" w:color="auto"/>
            </w:tcBorders>
          </w:tcPr>
          <w:p>
            <w:pPr>
              <w:jc w:val="center"/>
              <w:ind w:left="288"/>
              <w:spacing w:after="0" w:line="147" w:lineRule="exact"/>
              <w:rPr>
                <w:sz w:val="20"/>
                <w:szCs w:val="20"/>
                <w:color w:val="auto"/>
              </w:rPr>
            </w:pPr>
            <w:r>
              <w:rPr>
                <w:rFonts w:ascii="Arial" w:cs="Arial" w:eastAsia="Arial" w:hAnsi="Arial"/>
                <w:sz w:val="14"/>
                <w:szCs w:val="14"/>
                <w:color w:val="auto"/>
                <w:w w:val="99"/>
              </w:rPr>
              <w:t>-16.1%</w:t>
            </w:r>
          </w:p>
        </w:tc>
      </w:tr>
      <w:tr>
        <w:trPr>
          <w:trHeight w:val="162"/>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Internal overdue loans over 90-days</w:t>
            </w:r>
          </w:p>
        </w:tc>
        <w:tc>
          <w:tcPr>
            <w:tcW w:w="1340" w:type="dxa"/>
            <w:vAlign w:val="bottom"/>
          </w:tcPr>
          <w:p>
            <w:pPr>
              <w:jc w:val="center"/>
              <w:spacing w:after="0"/>
              <w:rPr>
                <w:sz w:val="20"/>
                <w:szCs w:val="20"/>
                <w:color w:val="auto"/>
              </w:rPr>
            </w:pPr>
            <w:r>
              <w:rPr>
                <w:rFonts w:ascii="Arial" w:cs="Arial" w:eastAsia="Arial" w:hAnsi="Arial"/>
                <w:sz w:val="14"/>
                <w:szCs w:val="14"/>
                <w:color w:val="auto"/>
              </w:rPr>
              <w:t>4,702,733</w:t>
            </w:r>
          </w:p>
        </w:tc>
        <w:tc>
          <w:tcPr>
            <w:tcW w:w="1340" w:type="dxa"/>
            <w:vAlign w:val="bottom"/>
          </w:tcPr>
          <w:p>
            <w:pPr>
              <w:jc w:val="center"/>
              <w:spacing w:after="0"/>
              <w:rPr>
                <w:sz w:val="20"/>
                <w:szCs w:val="20"/>
                <w:color w:val="auto"/>
              </w:rPr>
            </w:pPr>
            <w:r>
              <w:rPr>
                <w:rFonts w:ascii="Arial" w:cs="Arial" w:eastAsia="Arial" w:hAnsi="Arial"/>
                <w:sz w:val="14"/>
                <w:szCs w:val="14"/>
                <w:color w:val="auto"/>
              </w:rPr>
              <w:t>4,383,795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4,232,843</w:t>
            </w:r>
          </w:p>
        </w:tc>
        <w:tc>
          <w:tcPr>
            <w:tcW w:w="940" w:type="dxa"/>
            <w:vAlign w:val="bottom"/>
          </w:tcPr>
          <w:p>
            <w:pPr>
              <w:jc w:val="center"/>
              <w:ind w:left="288"/>
              <w:spacing w:after="0"/>
              <w:rPr>
                <w:sz w:val="20"/>
                <w:szCs w:val="20"/>
                <w:color w:val="auto"/>
              </w:rPr>
            </w:pPr>
            <w:r>
              <w:rPr>
                <w:rFonts w:ascii="Arial" w:cs="Arial" w:eastAsia="Arial" w:hAnsi="Arial"/>
                <w:sz w:val="14"/>
                <w:szCs w:val="14"/>
                <w:color w:val="auto"/>
              </w:rPr>
              <w:t>-3.4%</w:t>
            </w:r>
          </w:p>
        </w:tc>
        <w:tc>
          <w:tcPr>
            <w:tcW w:w="1720" w:type="dxa"/>
            <w:vAlign w:val="bottom"/>
            <w:tcBorders>
              <w:right w:val="single" w:sz="8" w:color="auto"/>
            </w:tcBorders>
          </w:tcPr>
          <w:p>
            <w:pPr>
              <w:jc w:val="center"/>
              <w:ind w:left="288"/>
              <w:spacing w:after="0"/>
              <w:rPr>
                <w:sz w:val="20"/>
                <w:szCs w:val="20"/>
                <w:color w:val="auto"/>
              </w:rPr>
            </w:pPr>
            <w:r>
              <w:rPr>
                <w:rFonts w:ascii="Arial" w:cs="Arial" w:eastAsia="Arial" w:hAnsi="Arial"/>
                <w:sz w:val="14"/>
                <w:szCs w:val="14"/>
                <w:color w:val="auto"/>
                <w:w w:val="99"/>
              </w:rPr>
              <w:t>-10.0%</w:t>
            </w:r>
          </w:p>
        </w:tc>
      </w:tr>
      <w:tr>
        <w:trPr>
          <w:trHeight w:val="162"/>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Refinanced loans</w:t>
            </w:r>
          </w:p>
        </w:tc>
        <w:tc>
          <w:tcPr>
            <w:tcW w:w="1340" w:type="dxa"/>
            <w:vAlign w:val="bottom"/>
          </w:tcPr>
          <w:p>
            <w:pPr>
              <w:jc w:val="center"/>
              <w:spacing w:after="0"/>
              <w:rPr>
                <w:sz w:val="20"/>
                <w:szCs w:val="20"/>
                <w:color w:val="auto"/>
              </w:rPr>
            </w:pPr>
            <w:r>
              <w:rPr>
                <w:rFonts w:ascii="Arial" w:cs="Arial" w:eastAsia="Arial" w:hAnsi="Arial"/>
                <w:sz w:val="14"/>
                <w:szCs w:val="14"/>
                <w:color w:val="auto"/>
              </w:rPr>
              <w:t>2,557,749</w:t>
            </w:r>
          </w:p>
        </w:tc>
        <w:tc>
          <w:tcPr>
            <w:tcW w:w="1340" w:type="dxa"/>
            <w:vAlign w:val="bottom"/>
          </w:tcPr>
          <w:p>
            <w:pPr>
              <w:jc w:val="center"/>
              <w:spacing w:after="0"/>
              <w:rPr>
                <w:sz w:val="20"/>
                <w:szCs w:val="20"/>
                <w:color w:val="auto"/>
              </w:rPr>
            </w:pPr>
            <w:r>
              <w:rPr>
                <w:rFonts w:ascii="Arial" w:cs="Arial" w:eastAsia="Arial" w:hAnsi="Arial"/>
                <w:sz w:val="14"/>
                <w:szCs w:val="14"/>
                <w:color w:val="auto"/>
              </w:rPr>
              <w:t>2,239,445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2,001,282</w:t>
            </w:r>
          </w:p>
        </w:tc>
        <w:tc>
          <w:tcPr>
            <w:tcW w:w="940" w:type="dxa"/>
            <w:vAlign w:val="bottom"/>
          </w:tcPr>
          <w:p>
            <w:pPr>
              <w:jc w:val="center"/>
              <w:ind w:left="288"/>
              <w:spacing w:after="0"/>
              <w:rPr>
                <w:sz w:val="20"/>
                <w:szCs w:val="20"/>
                <w:color w:val="auto"/>
              </w:rPr>
            </w:pPr>
            <w:r>
              <w:rPr>
                <w:rFonts w:ascii="Arial" w:cs="Arial" w:eastAsia="Arial" w:hAnsi="Arial"/>
                <w:sz w:val="14"/>
                <w:szCs w:val="14"/>
                <w:color w:val="auto"/>
              </w:rPr>
              <w:t>-10.6%</w:t>
            </w:r>
          </w:p>
        </w:tc>
        <w:tc>
          <w:tcPr>
            <w:tcW w:w="1720" w:type="dxa"/>
            <w:vAlign w:val="bottom"/>
            <w:tcBorders>
              <w:right w:val="single" w:sz="8" w:color="auto"/>
            </w:tcBorders>
          </w:tcPr>
          <w:p>
            <w:pPr>
              <w:jc w:val="center"/>
              <w:ind w:left="288"/>
              <w:spacing w:after="0"/>
              <w:rPr>
                <w:sz w:val="20"/>
                <w:szCs w:val="20"/>
                <w:color w:val="auto"/>
              </w:rPr>
            </w:pPr>
            <w:r>
              <w:rPr>
                <w:rFonts w:ascii="Arial" w:cs="Arial" w:eastAsia="Arial" w:hAnsi="Arial"/>
                <w:sz w:val="14"/>
                <w:szCs w:val="14"/>
                <w:color w:val="auto"/>
                <w:w w:val="99"/>
              </w:rPr>
              <w:t>-21.8%</w:t>
            </w:r>
          </w:p>
        </w:tc>
      </w:tr>
      <w:tr>
        <w:trPr>
          <w:trHeight w:val="171"/>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Non-performing loans (NPLs)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8,762,773</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7,662,657</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7,207,677</w:t>
            </w:r>
          </w:p>
        </w:tc>
        <w:tc>
          <w:tcPr>
            <w:tcW w:w="9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-5.9%</w:t>
            </w:r>
          </w:p>
        </w:tc>
        <w:tc>
          <w:tcPr>
            <w:tcW w:w="1720" w:type="dxa"/>
            <w:vAlign w:val="bottom"/>
            <w:tcBorders>
              <w:bottom w:val="single" w:sz="8" w:color="auto"/>
              <w:right w:val="single" w:sz="8" w:color="auto"/>
            </w:tcBorders>
          </w:tcPr>
          <w:p>
            <w:pPr>
              <w:jc w:val="center"/>
              <w:ind w:left="288"/>
              <w:spacing w:after="0"/>
              <w:rPr>
                <w:sz w:val="20"/>
                <w:szCs w:val="20"/>
                <w:color w:val="auto"/>
              </w:rPr>
            </w:pPr>
            <w:r>
              <w:rPr>
                <w:rFonts w:ascii="Arial" w:cs="Arial" w:eastAsia="Arial" w:hAnsi="Arial"/>
                <w:sz w:val="14"/>
                <w:szCs w:val="14"/>
                <w:color w:val="auto"/>
                <w:w w:val="99"/>
              </w:rPr>
              <w:t>-17.7%</w:t>
            </w:r>
          </w:p>
        </w:tc>
      </w:tr>
      <w:tr>
        <w:trPr>
          <w:trHeight w:val="146"/>
        </w:trPr>
        <w:tc>
          <w:tcPr>
            <w:tcW w:w="4520" w:type="dxa"/>
            <w:vAlign w:val="bottom"/>
            <w:tcBorders>
              <w:left w:val="single" w:sz="8" w:color="auto"/>
              <w:right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IOL ratio</w:t>
            </w: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4.4%</w:t>
            </w: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3.7%</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3.7%</w:t>
            </w:r>
          </w:p>
        </w:tc>
        <w:tc>
          <w:tcPr>
            <w:tcW w:w="940" w:type="dxa"/>
            <w:vAlign w:val="bottom"/>
          </w:tcPr>
          <w:p>
            <w:pPr>
              <w:jc w:val="center"/>
              <w:ind w:left="288"/>
              <w:spacing w:after="0" w:line="147" w:lineRule="exact"/>
              <w:rPr>
                <w:sz w:val="20"/>
                <w:szCs w:val="20"/>
                <w:color w:val="auto"/>
              </w:rPr>
            </w:pPr>
            <w:r>
              <w:rPr>
                <w:rFonts w:ascii="Arial" w:cs="Arial" w:eastAsia="Arial" w:hAnsi="Arial"/>
                <w:sz w:val="14"/>
                <w:szCs w:val="14"/>
                <w:b w:val="1"/>
                <w:bCs w:val="1"/>
                <w:color w:val="auto"/>
              </w:rPr>
              <w:t>-3 bps</w:t>
            </w:r>
          </w:p>
        </w:tc>
        <w:tc>
          <w:tcPr>
            <w:tcW w:w="1720" w:type="dxa"/>
            <w:vAlign w:val="bottom"/>
            <w:tcBorders>
              <w:right w:val="single" w:sz="8" w:color="auto"/>
            </w:tcBorders>
          </w:tcPr>
          <w:p>
            <w:pPr>
              <w:jc w:val="center"/>
              <w:ind w:left="288"/>
              <w:spacing w:after="0" w:line="147" w:lineRule="exact"/>
              <w:rPr>
                <w:sz w:val="20"/>
                <w:szCs w:val="20"/>
                <w:color w:val="auto"/>
              </w:rPr>
            </w:pPr>
            <w:r>
              <w:rPr>
                <w:rFonts w:ascii="Arial" w:cs="Arial" w:eastAsia="Arial" w:hAnsi="Arial"/>
                <w:sz w:val="14"/>
                <w:szCs w:val="14"/>
                <w:b w:val="1"/>
                <w:bCs w:val="1"/>
                <w:color w:val="auto"/>
              </w:rPr>
              <w:t>-72 bps</w:t>
            </w:r>
          </w:p>
        </w:tc>
      </w:tr>
      <w:tr>
        <w:trPr>
          <w:trHeight w:val="162"/>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IOL over 90-days ratio</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3.3%</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3.0%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3.0%</w:t>
            </w:r>
          </w:p>
        </w:tc>
        <w:tc>
          <w:tcPr>
            <w:tcW w:w="940" w:type="dxa"/>
            <w:vAlign w:val="bottom"/>
          </w:tcPr>
          <w:p>
            <w:pPr>
              <w:jc w:val="center"/>
              <w:ind w:left="288"/>
              <w:spacing w:after="0"/>
              <w:rPr>
                <w:sz w:val="20"/>
                <w:szCs w:val="20"/>
                <w:color w:val="auto"/>
              </w:rPr>
            </w:pPr>
            <w:r>
              <w:rPr>
                <w:rFonts w:ascii="Arial" w:cs="Arial" w:eastAsia="Arial" w:hAnsi="Arial"/>
                <w:sz w:val="14"/>
                <w:szCs w:val="14"/>
                <w:b w:val="1"/>
                <w:bCs w:val="1"/>
                <w:color w:val="auto"/>
              </w:rPr>
              <w:t>-1 bps</w:t>
            </w:r>
          </w:p>
        </w:tc>
        <w:tc>
          <w:tcPr>
            <w:tcW w:w="1720" w:type="dxa"/>
            <w:vAlign w:val="bottom"/>
            <w:tcBorders>
              <w:right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-34 bps</w:t>
            </w:r>
          </w:p>
        </w:tc>
      </w:tr>
      <w:tr>
        <w:trPr>
          <w:trHeight w:val="171"/>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NPL ratio</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6.2%</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5.3%</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5.1%</w:t>
            </w:r>
          </w:p>
        </w:tc>
        <w:tc>
          <w:tcPr>
            <w:tcW w:w="9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-16 bps</w:t>
            </w:r>
          </w:p>
        </w:tc>
        <w:tc>
          <w:tcPr>
            <w:tcW w:w="1720" w:type="dxa"/>
            <w:vAlign w:val="bottom"/>
            <w:tcBorders>
              <w:bottom w:val="single" w:sz="8" w:color="auto"/>
              <w:right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8"/>
              </w:rPr>
              <w:t>-112 bps</w:t>
            </w:r>
          </w:p>
        </w:tc>
      </w:tr>
    </w:tbl>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the NPL portfolio dropped 5.9%, led by</w:t>
      </w: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and followed by</w:t>
      </w:r>
      <w:r>
        <w:rPr>
          <w:rFonts w:ascii="Arial" w:cs="Arial" w:eastAsia="Arial" w:hAnsi="Arial"/>
          <w:sz w:val="18"/>
          <w:szCs w:val="18"/>
          <w:b w:val="1"/>
          <w:bCs w:val="1"/>
          <w:color w:val="auto"/>
        </w:rPr>
        <w:t xml:space="preserve"> Mibanco</w:t>
      </w:r>
      <w:r>
        <w:rPr>
          <w:rFonts w:ascii="Arial" w:cs="Arial" w:eastAsia="Arial" w:hAnsi="Arial"/>
          <w:sz w:val="18"/>
          <w:szCs w:val="18"/>
          <w:color w:val="auto"/>
        </w:rPr>
        <w:t>. Write-offs, which continue to be high, fell 20.1%,</w:t>
      </w:r>
      <w:r>
        <w:rPr>
          <w:rFonts w:ascii="Arial" w:cs="Arial" w:eastAsia="Arial" w:hAnsi="Arial"/>
          <w:sz w:val="18"/>
          <w:szCs w:val="18"/>
          <w:b w:val="1"/>
          <w:bCs w:val="1"/>
          <w:color w:val="auto"/>
        </w:rPr>
        <w:t xml:space="preserve"> </w:t>
      </w:r>
      <w:r>
        <w:rPr>
          <w:rFonts w:ascii="Arial" w:cs="Arial" w:eastAsia="Arial" w:hAnsi="Arial"/>
          <w:sz w:val="18"/>
          <w:szCs w:val="18"/>
          <w:color w:val="auto"/>
        </w:rPr>
        <w:t>driven mainly by an increase in the weight of new vintages with lower levels of risk within the I</w:t>
      </w:r>
      <w:r>
        <w:rPr>
          <w:rFonts w:ascii="Arial" w:cs="Arial" w:eastAsia="Arial" w:hAnsi="Arial"/>
          <w:sz w:val="18"/>
          <w:szCs w:val="18"/>
          <w:b w:val="1"/>
          <w:bCs w:val="1"/>
          <w:color w:val="auto"/>
        </w:rPr>
        <w:t>ndividuals</w:t>
      </w:r>
      <w:r>
        <w:rPr>
          <w:rFonts w:ascii="Arial" w:cs="Arial" w:eastAsia="Arial" w:hAnsi="Arial"/>
          <w:sz w:val="18"/>
          <w:szCs w:val="18"/>
          <w:color w:val="auto"/>
        </w:rPr>
        <w:t xml:space="preserve"> and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portfolios.</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the decline in the NPL portfolio was fueled primarily by (i)</w:t>
      </w:r>
      <w:r>
        <w:rPr>
          <w:rFonts w:ascii="Arial" w:cs="Arial" w:eastAsia="Arial" w:hAnsi="Arial"/>
          <w:sz w:val="18"/>
          <w:szCs w:val="18"/>
          <w:b w:val="1"/>
          <w:bCs w:val="1"/>
          <w:color w:val="auto"/>
        </w:rPr>
        <w:t xml:space="preserve"> Wholesale Banking</w:t>
      </w:r>
      <w:r>
        <w:rPr>
          <w:rFonts w:ascii="Arial" w:cs="Arial" w:eastAsia="Arial" w:hAnsi="Arial"/>
          <w:sz w:val="18"/>
          <w:szCs w:val="18"/>
          <w:color w:val="auto"/>
        </w:rPr>
        <w:t>, due primarily to debt cancellation of a refinanced client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commercial real estate sector and (ii)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on the back of a drop in internal overdue loans in the small-ticket segment in particular (&lt; s/ 90 thousand) and higher-risk loans. At </w:t>
      </w:r>
      <w:r>
        <w:rPr>
          <w:rFonts w:ascii="Arial" w:cs="Arial" w:eastAsia="Arial" w:hAnsi="Arial"/>
          <w:sz w:val="18"/>
          <w:szCs w:val="18"/>
          <w:b w:val="1"/>
          <w:bCs w:val="1"/>
          <w:color w:val="auto"/>
        </w:rPr>
        <w:t>Mibanco</w:t>
      </w:r>
      <w:r>
        <w:rPr>
          <w:rFonts w:ascii="Arial" w:cs="Arial" w:eastAsia="Arial" w:hAnsi="Arial"/>
          <w:sz w:val="18"/>
          <w:szCs w:val="18"/>
          <w:color w:val="auto"/>
        </w:rPr>
        <w:t>, the decline in NPL loans was driven by a decrease in internal overdue loans, which were impacted by stricter origination policies; improvements in debt collections management; and the debt relief facilities rolled out since 2Q24.</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the NPL Ratio dropped 17.7%, led mainly by</w:t>
      </w: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and followed by</w:t>
      </w:r>
      <w:r>
        <w:rPr>
          <w:rFonts w:ascii="Arial" w:cs="Arial" w:eastAsia="Arial" w:hAnsi="Arial"/>
          <w:sz w:val="18"/>
          <w:szCs w:val="18"/>
          <w:b w:val="1"/>
          <w:bCs w:val="1"/>
          <w:color w:val="auto"/>
        </w:rPr>
        <w:t xml:space="preserve"> Mibanco</w:t>
      </w:r>
      <w:r>
        <w:rPr>
          <w:rFonts w:ascii="Arial" w:cs="Arial" w:eastAsia="Arial" w:hAnsi="Arial"/>
          <w:sz w:val="18"/>
          <w:szCs w:val="18"/>
          <w:color w:val="auto"/>
        </w:rPr>
        <w:t>. The decline in write-offs (-24.6%) was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attributable to the same dynamics as those seen </w:t>
      </w:r>
      <w:r>
        <w:rPr>
          <w:rFonts w:ascii="Arial" w:cs="Arial" w:eastAsia="Arial" w:hAnsi="Arial"/>
          <w:sz w:val="18"/>
          <w:szCs w:val="18"/>
          <w:b w:val="1"/>
          <w:bCs w:val="1"/>
          <w:color w:val="auto"/>
        </w:rPr>
        <w:t>QoQ</w:t>
      </w:r>
      <w:r>
        <w:rPr>
          <w:rFonts w:ascii="Arial" w:cs="Arial" w:eastAsia="Arial" w:hAnsi="Arial"/>
          <w:sz w:val="18"/>
          <w:szCs w:val="18"/>
          <w:color w:val="auto"/>
        </w:rPr>
        <w:t>.</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0" w:name="page31"/>
    <w:bookmarkEnd w:id="30"/>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05. Portfolio Quality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the decrease in NPLs was driven by the following segments: (i)</w:t>
      </w:r>
      <w:r>
        <w:rPr>
          <w:rFonts w:ascii="Arial" w:cs="Arial" w:eastAsia="Arial" w:hAnsi="Arial"/>
          <w:sz w:val="18"/>
          <w:szCs w:val="18"/>
          <w:b w:val="1"/>
          <w:bCs w:val="1"/>
          <w:color w:val="auto"/>
        </w:rPr>
        <w:t xml:space="preserve"> Wholesale</w:t>
      </w:r>
      <w:r>
        <w:rPr>
          <w:rFonts w:ascii="Arial" w:cs="Arial" w:eastAsia="Arial" w:hAnsi="Arial"/>
          <w:sz w:val="18"/>
          <w:szCs w:val="18"/>
          <w:color w:val="auto"/>
        </w:rPr>
        <w:t>, due primarily to debt cancellations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two clients in the commercial real estate sector (ii)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due to the same dynamics as those seen </w:t>
      </w:r>
      <w:r>
        <w:rPr>
          <w:rFonts w:ascii="Arial" w:cs="Arial" w:eastAsia="Arial" w:hAnsi="Arial"/>
          <w:sz w:val="18"/>
          <w:szCs w:val="18"/>
          <w:b w:val="1"/>
          <w:bCs w:val="1"/>
          <w:color w:val="auto"/>
        </w:rPr>
        <w:t>QoQ</w:t>
      </w:r>
      <w:r>
        <w:rPr>
          <w:rFonts w:ascii="Arial" w:cs="Arial" w:eastAsia="Arial" w:hAnsi="Arial"/>
          <w:sz w:val="18"/>
          <w:szCs w:val="18"/>
          <w:color w:val="auto"/>
        </w:rPr>
        <w:t xml:space="preserve"> and to an uptick in honoring of loan guarantees under Reactiva; and (iii) </w:t>
      </w:r>
      <w:r>
        <w:rPr>
          <w:rFonts w:ascii="Arial" w:cs="Arial" w:eastAsia="Arial" w:hAnsi="Arial"/>
          <w:sz w:val="18"/>
          <w:szCs w:val="18"/>
          <w:b w:val="1"/>
          <w:bCs w:val="1"/>
          <w:color w:val="auto"/>
        </w:rPr>
        <w:t>Consumer and Credit Cards</w:t>
      </w:r>
      <w:r>
        <w:rPr>
          <w:rFonts w:ascii="Arial" w:cs="Arial" w:eastAsia="Arial" w:hAnsi="Arial"/>
          <w:sz w:val="18"/>
          <w:szCs w:val="18"/>
          <w:color w:val="auto"/>
        </w:rPr>
        <w:t xml:space="preserve">, driven primarily by growth in debt cancellations on the back of higher liquidity from pension fund withdrawals in previous quarters, and secondarily by improvements in debt collection management and an uptick in debt relief facilities through reprogramming.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the drop in NPLs was fueled by the same dynamics as those in play </w:t>
      </w:r>
      <w:r>
        <w:rPr>
          <w:rFonts w:ascii="Arial" w:cs="Arial" w:eastAsia="Arial" w:hAnsi="Arial"/>
          <w:sz w:val="18"/>
          <w:szCs w:val="18"/>
          <w:b w:val="1"/>
          <w:bCs w:val="1"/>
          <w:color w:val="auto"/>
        </w:rPr>
        <w:t>QoQ</w:t>
      </w:r>
      <w:r>
        <w:rPr>
          <w:rFonts w:ascii="Arial" w:cs="Arial" w:eastAsia="Arial" w:hAnsi="Arial"/>
          <w:sz w:val="18"/>
          <w:szCs w:val="18"/>
          <w:color w:val="auto"/>
        </w:rPr>
        <w:t>.</w:t>
      </w:r>
    </w:p>
    <w:p>
      <w:pPr>
        <w:spacing w:after="0" w:line="154"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NPL Ratio for Total Loans</w:t>
      </w:r>
    </w:p>
    <w:p>
      <w:pPr>
        <w:spacing w:after="0" w:line="198" w:lineRule="exact"/>
        <w:rPr>
          <w:sz w:val="20"/>
          <w:szCs w:val="20"/>
          <w:color w:val="auto"/>
        </w:rPr>
      </w:pPr>
    </w:p>
    <w:p>
      <w:pPr>
        <w:ind w:left="5840" w:right="20"/>
        <w:spacing w:after="0" w:line="247" w:lineRule="auto"/>
        <w:rPr>
          <w:sz w:val="20"/>
          <w:szCs w:val="20"/>
          <w:color w:val="auto"/>
        </w:rPr>
      </w:pPr>
      <w:r>
        <w:rPr>
          <w:rFonts w:ascii="Arial" w:cs="Arial" w:eastAsia="Arial" w:hAnsi="Arial"/>
          <w:sz w:val="18"/>
          <w:szCs w:val="18"/>
          <w:b w:val="1"/>
          <w:bCs w:val="1"/>
          <w:color w:val="auto"/>
        </w:rPr>
        <w:t>Credicorp</w:t>
      </w:r>
      <w:r>
        <w:rPr>
          <w:rFonts w:ascii="Arial" w:cs="Arial" w:eastAsia="Arial" w:hAnsi="Arial"/>
          <w:sz w:val="18"/>
          <w:szCs w:val="18"/>
          <w:color w:val="auto"/>
        </w:rPr>
        <w:t>’s NPL Ratio dropped 16 bps</w:t>
      </w:r>
      <w:r>
        <w:rPr>
          <w:rFonts w:ascii="Arial" w:cs="Arial" w:eastAsia="Arial" w:hAnsi="Arial"/>
          <w:sz w:val="18"/>
          <w:szCs w:val="18"/>
          <w:b w:val="1"/>
          <w:bCs w:val="1"/>
          <w:color w:val="auto"/>
        </w:rPr>
        <w:t xml:space="preserve"> QoQ </w:t>
      </w:r>
      <w:r>
        <w:rPr>
          <w:rFonts w:ascii="Arial" w:cs="Arial" w:eastAsia="Arial" w:hAnsi="Arial"/>
          <w:sz w:val="18"/>
          <w:szCs w:val="18"/>
          <w:color w:val="auto"/>
        </w:rPr>
        <w:t>to stand at 5.1%.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decline was fueled primarily by the dynamics that drove the decline in NPL volumes in the </w:t>
      </w:r>
      <w:r>
        <w:rPr>
          <w:rFonts w:ascii="Arial" w:cs="Arial" w:eastAsia="Arial" w:hAnsi="Arial"/>
          <w:sz w:val="18"/>
          <w:szCs w:val="18"/>
          <w:b w:val="1"/>
          <w:bCs w:val="1"/>
          <w:color w:val="auto"/>
        </w:rPr>
        <w:t>QoQ</w:t>
      </w:r>
      <w:r>
        <w:rPr>
          <w:rFonts w:ascii="Arial" w:cs="Arial" w:eastAsia="Arial" w:hAnsi="Arial"/>
          <w:sz w:val="18"/>
          <w:szCs w:val="18"/>
          <w:color w:val="auto"/>
        </w:rPr>
        <w:t xml:space="preserve"> analysis; the aforementioned was offset mainly by a drop in total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-528320</wp:posOffset>
            </wp:positionV>
            <wp:extent cx="3068955" cy="16630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68955" cy="1663065"/>
                    </a:xfrm>
                    <a:prstGeom prst="rect">
                      <a:avLst/>
                    </a:prstGeom>
                    <a:noFill/>
                  </pic:spPr>
                </pic:pic>
              </a:graphicData>
            </a:graphic>
          </wp:anchor>
        </w:drawing>
      </w:r>
    </w:p>
    <w:p>
      <w:pPr>
        <w:spacing w:after="0" w:line="140" w:lineRule="exact"/>
        <w:rPr>
          <w:sz w:val="20"/>
          <w:szCs w:val="20"/>
          <w:color w:val="auto"/>
        </w:rPr>
      </w:pPr>
    </w:p>
    <w:p>
      <w:pPr>
        <w:jc w:val="both"/>
        <w:ind w:left="5840"/>
        <w:spacing w:after="0" w:line="281" w:lineRule="auto"/>
        <w:rPr>
          <w:sz w:val="20"/>
          <w:szCs w:val="20"/>
          <w:color w:val="auto"/>
        </w:rPr>
      </w:pPr>
      <w:r>
        <w:rPr>
          <w:rFonts w:ascii="Arial" w:cs="Arial" w:eastAsia="Arial" w:hAnsi="Arial"/>
          <w:sz w:val="18"/>
          <w:szCs w:val="18"/>
          <w:b w:val="1"/>
          <w:bCs w:val="1"/>
          <w:color w:val="auto"/>
        </w:rPr>
        <w:t>If we analyze the QoQ evolution of the NPL Ratio by subsidiary, we see:</w:t>
      </w:r>
    </w:p>
    <w:p>
      <w:pPr>
        <w:spacing w:after="0" w:line="123" w:lineRule="exact"/>
        <w:rPr>
          <w:sz w:val="20"/>
          <w:szCs w:val="20"/>
          <w:color w:val="auto"/>
        </w:rPr>
      </w:pPr>
    </w:p>
    <w:p>
      <w:pPr>
        <w:jc w:val="both"/>
        <w:ind w:left="5840"/>
        <w:spacing w:after="0" w:line="244" w:lineRule="auto"/>
        <w:rPr>
          <w:sz w:val="20"/>
          <w:szCs w:val="20"/>
          <w:color w:val="auto"/>
        </w:rPr>
      </w:pP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where the NPL ratio fell 19 bps. In the case of</w:t>
      </w:r>
      <w:r>
        <w:rPr>
          <w:rFonts w:ascii="Arial" w:cs="Arial" w:eastAsia="Arial" w:hAnsi="Arial"/>
          <w:sz w:val="18"/>
          <w:szCs w:val="18"/>
          <w:b w:val="1"/>
          <w:bCs w:val="1"/>
          <w:color w:val="auto"/>
        </w:rPr>
        <w:t xml:space="preserve"> Wholesale </w:t>
      </w:r>
      <w:r>
        <w:rPr>
          <w:rFonts w:ascii="Arial" w:cs="Arial" w:eastAsia="Arial" w:hAnsi="Arial"/>
          <w:sz w:val="18"/>
          <w:szCs w:val="18"/>
          <w:color w:val="auto"/>
        </w:rPr>
        <w:t>and</w:t>
      </w:r>
      <w:r>
        <w:rPr>
          <w:rFonts w:ascii="Arial" w:cs="Arial" w:eastAsia="Arial" w:hAnsi="Arial"/>
          <w:sz w:val="18"/>
          <w:szCs w:val="18"/>
          <w:b w:val="1"/>
          <w:bCs w:val="1"/>
          <w:color w:val="auto"/>
        </w:rPr>
        <w:t xml:space="preserve"> SME-Pyme</w:t>
      </w:r>
      <w:r>
        <w:rPr>
          <w:rFonts w:ascii="Arial" w:cs="Arial" w:eastAsia="Arial" w:hAnsi="Arial"/>
          <w:sz w:val="18"/>
          <w:szCs w:val="18"/>
          <w:color w:val="auto"/>
        </w:rPr>
        <w:t>, the drop in the ratio was fueled mainly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a decrease in NPL volumes. In the case of </w:t>
      </w:r>
      <w:r>
        <w:rPr>
          <w:rFonts w:ascii="Arial" w:cs="Arial" w:eastAsia="Arial" w:hAnsi="Arial"/>
          <w:sz w:val="18"/>
          <w:szCs w:val="18"/>
          <w:b w:val="1"/>
          <w:bCs w:val="1"/>
          <w:color w:val="auto"/>
        </w:rPr>
        <w:t>Consumer</w:t>
      </w:r>
      <w:r>
        <w:rPr>
          <w:rFonts w:ascii="Arial" w:cs="Arial" w:eastAsia="Arial" w:hAnsi="Arial"/>
          <w:sz w:val="18"/>
          <w:szCs w:val="18"/>
          <w:color w:val="auto"/>
        </w:rPr>
        <w:t>, the reduction in the NPL ratio was driven primarily by growth in total loans and secondarily by a reduction in NPL volumes.</w:t>
      </w:r>
    </w:p>
    <w:p>
      <w:pPr>
        <w:spacing w:after="0" w:line="163" w:lineRule="exact"/>
        <w:rPr>
          <w:sz w:val="20"/>
          <w:szCs w:val="20"/>
          <w:color w:val="auto"/>
        </w:rPr>
      </w:pPr>
    </w:p>
    <w:p>
      <w:pPr>
        <w:ind w:left="740" w:right="260" w:hanging="408"/>
        <w:spacing w:after="0" w:line="271"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 where the NPL Ratio dropped 99 bps, driven mainly by a decrease in NPL volumes and secondarily by slight growth in</w:t>
      </w:r>
      <w:r>
        <w:rPr>
          <w:rFonts w:ascii="Arial" w:cs="Arial" w:eastAsia="Arial" w:hAnsi="Arial"/>
          <w:sz w:val="18"/>
          <w:szCs w:val="18"/>
          <w:b w:val="1"/>
          <w:bCs w:val="1"/>
          <w:color w:val="auto"/>
        </w:rPr>
        <w:t xml:space="preserve"> </w:t>
      </w:r>
      <w:r>
        <w:rPr>
          <w:rFonts w:ascii="Arial" w:cs="Arial" w:eastAsia="Arial" w:hAnsi="Arial"/>
          <w:sz w:val="18"/>
          <w:szCs w:val="18"/>
          <w:color w:val="auto"/>
        </w:rPr>
        <w:t>total loans.</w:t>
      </w:r>
    </w:p>
    <w:p>
      <w:pPr>
        <w:spacing w:after="0" w:line="131"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 xml:space="preserve">NPL Ratio for Total Loans at BCP </w:t>
      </w:r>
      <w:r>
        <w:rPr>
          <w:rFonts w:ascii="Arial" w:cs="Arial" w:eastAsia="Arial" w:hAnsi="Arial"/>
          <w:sz w:val="29"/>
          <w:szCs w:val="29"/>
          <w:b w:val="1"/>
          <w:bCs w:val="1"/>
          <w:color w:val="auto"/>
          <w:vertAlign w:val="superscript"/>
        </w:rPr>
        <w:t>(1)(2)</w:t>
      </w:r>
    </w:p>
    <w:p>
      <w:pPr>
        <w:spacing w:after="0" w:line="81" w:lineRule="exact"/>
        <w:rPr>
          <w:sz w:val="20"/>
          <w:szCs w:val="20"/>
          <w:color w:val="auto"/>
        </w:rPr>
      </w:pPr>
    </w:p>
    <w:p>
      <w:pPr>
        <w:jc w:val="both"/>
        <w:ind w:left="5840"/>
        <w:spacing w:after="0" w:line="247" w:lineRule="auto"/>
        <w:rPr>
          <w:sz w:val="20"/>
          <w:szCs w:val="20"/>
          <w:color w:val="auto"/>
        </w:rPr>
      </w:pPr>
      <w:r>
        <w:rPr>
          <w:rFonts w:ascii="Arial" w:cs="Arial" w:eastAsia="Arial" w:hAnsi="Arial"/>
          <w:sz w:val="18"/>
          <w:szCs w:val="18"/>
          <w:b w:val="1"/>
          <w:bCs w:val="1"/>
          <w:color w:val="auto"/>
        </w:rPr>
        <w:t>Credicorp</w:t>
      </w:r>
      <w:r>
        <w:rPr>
          <w:rFonts w:ascii="Arial" w:cs="Arial" w:eastAsia="Arial" w:hAnsi="Arial"/>
          <w:sz w:val="18"/>
          <w:szCs w:val="18"/>
          <w:color w:val="auto"/>
        </w:rPr>
        <w:t>’s NPL Ratio dropped 112 bps</w:t>
      </w:r>
      <w:r>
        <w:rPr>
          <w:rFonts w:ascii="Arial" w:cs="Arial" w:eastAsia="Arial" w:hAnsi="Arial"/>
          <w:sz w:val="18"/>
          <w:szCs w:val="18"/>
          <w:b w:val="1"/>
          <w:bCs w:val="1"/>
          <w:color w:val="auto"/>
        </w:rPr>
        <w:t xml:space="preserve"> YoY </w:t>
      </w:r>
      <w:r>
        <w:rPr>
          <w:rFonts w:ascii="Arial" w:cs="Arial" w:eastAsia="Arial" w:hAnsi="Arial"/>
          <w:sz w:val="18"/>
          <w:szCs w:val="18"/>
          <w:color w:val="auto"/>
        </w:rPr>
        <w:t>to stand at 5.1%.</w:t>
      </w:r>
      <w:r>
        <w:rPr>
          <w:rFonts w:ascii="Arial" w:cs="Arial" w:eastAsia="Arial" w:hAnsi="Arial"/>
          <w:sz w:val="18"/>
          <w:szCs w:val="18"/>
          <w:b w:val="1"/>
          <w:bCs w:val="1"/>
          <w:color w:val="auto"/>
        </w:rPr>
        <w:t xml:space="preserve"> </w:t>
      </w:r>
      <w:r>
        <w:rPr>
          <w:rFonts w:ascii="Arial" w:cs="Arial" w:eastAsia="Arial" w:hAnsi="Arial"/>
          <w:sz w:val="18"/>
          <w:szCs w:val="18"/>
          <w:color w:val="auto"/>
        </w:rPr>
        <w:t>This decline was spurred primarily by the same dynamics that drove the YoY evolution of NPLs, and secondarily by slight growth in total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-528320</wp:posOffset>
            </wp:positionV>
            <wp:extent cx="3034665" cy="18427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34665" cy="1842770"/>
                    </a:xfrm>
                    <a:prstGeom prst="rect">
                      <a:avLst/>
                    </a:prstGeom>
                    <a:noFill/>
                  </pic:spPr>
                </pic:pic>
              </a:graphicData>
            </a:graphic>
          </wp:anchor>
        </w:drawing>
      </w:r>
    </w:p>
    <w:p>
      <w:pPr>
        <w:spacing w:after="0" w:line="140" w:lineRule="exact"/>
        <w:rPr>
          <w:sz w:val="20"/>
          <w:szCs w:val="20"/>
          <w:color w:val="auto"/>
        </w:rPr>
      </w:pPr>
    </w:p>
    <w:p>
      <w:pPr>
        <w:jc w:val="both"/>
        <w:ind w:left="5840"/>
        <w:spacing w:after="0" w:line="281" w:lineRule="auto"/>
        <w:rPr>
          <w:sz w:val="20"/>
          <w:szCs w:val="20"/>
          <w:color w:val="auto"/>
        </w:rPr>
      </w:pPr>
      <w:r>
        <w:rPr>
          <w:rFonts w:ascii="Arial" w:cs="Arial" w:eastAsia="Arial" w:hAnsi="Arial"/>
          <w:sz w:val="18"/>
          <w:szCs w:val="18"/>
          <w:b w:val="1"/>
          <w:bCs w:val="1"/>
          <w:color w:val="auto"/>
        </w:rPr>
        <w:t>If we analyze the YoY evolution of the NPL Ratio by Subsidiary, we see:</w:t>
      </w:r>
    </w:p>
    <w:p>
      <w:pPr>
        <w:spacing w:after="0" w:line="123" w:lineRule="exact"/>
        <w:rPr>
          <w:sz w:val="20"/>
          <w:szCs w:val="20"/>
          <w:color w:val="auto"/>
        </w:rPr>
      </w:pPr>
    </w:p>
    <w:p>
      <w:pPr>
        <w:jc w:val="both"/>
        <w:ind w:left="5840"/>
        <w:spacing w:after="0" w:line="242" w:lineRule="auto"/>
        <w:rPr>
          <w:sz w:val="20"/>
          <w:szCs w:val="20"/>
          <w:color w:val="auto"/>
        </w:rPr>
      </w:pPr>
      <w:r>
        <w:rPr>
          <w:rFonts w:ascii="Arial" w:cs="Arial" w:eastAsia="Arial" w:hAnsi="Arial"/>
          <w:sz w:val="18"/>
          <w:szCs w:val="18"/>
          <w:b w:val="1"/>
          <w:bCs w:val="1"/>
          <w:color w:val="auto"/>
        </w:rPr>
        <w:t>• BCP Stand-alone</w:t>
      </w:r>
      <w:r>
        <w:rPr>
          <w:rFonts w:ascii="Arial" w:cs="Arial" w:eastAsia="Arial" w:hAnsi="Arial"/>
          <w:sz w:val="18"/>
          <w:szCs w:val="18"/>
          <w:color w:val="auto"/>
        </w:rPr>
        <w:t>, where the NPL ratio fell 136 bps. Across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segments, with the exception of </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the decline in the NPL ratio was driven mainly by a decrease in NPL volumes. In the case of </w:t>
      </w:r>
      <w:r>
        <w:rPr>
          <w:rFonts w:ascii="Arial" w:cs="Arial" w:eastAsia="Arial" w:hAnsi="Arial"/>
          <w:sz w:val="18"/>
          <w:szCs w:val="18"/>
          <w:b w:val="1"/>
          <w:bCs w:val="1"/>
          <w:color w:val="auto"/>
        </w:rPr>
        <w:t>Mortgage</w:t>
      </w:r>
      <w:r>
        <w:rPr>
          <w:rFonts w:ascii="Arial" w:cs="Arial" w:eastAsia="Arial" w:hAnsi="Arial"/>
          <w:sz w:val="18"/>
          <w:szCs w:val="18"/>
          <w:color w:val="auto"/>
        </w:rPr>
        <w:t>, the decline in the ratio was attributable primarily to growth in total loans and secondarily to a reduction in NPL volumes.</w:t>
      </w:r>
    </w:p>
    <w:p>
      <w:pPr>
        <w:spacing w:after="0" w:line="233" w:lineRule="exact"/>
        <w:rPr>
          <w:sz w:val="20"/>
          <w:szCs w:val="20"/>
          <w:color w:val="auto"/>
        </w:rPr>
      </w:pPr>
    </w:p>
    <w:p>
      <w:pPr>
        <w:ind w:left="740" w:right="180" w:hanging="408"/>
        <w:spacing w:after="0" w:line="271"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 where the NPL Ratio fell 101 bps, due to a decrease in NPL Volumes, which was partially offset by a contraction in total</w:t>
      </w:r>
      <w:r>
        <w:rPr>
          <w:rFonts w:ascii="Arial" w:cs="Arial" w:eastAsia="Arial" w:hAnsi="Arial"/>
          <w:sz w:val="18"/>
          <w:szCs w:val="18"/>
          <w:b w:val="1"/>
          <w:bCs w:val="1"/>
          <w:color w:val="auto"/>
        </w:rPr>
        <w:t xml:space="preserve"> </w:t>
      </w:r>
      <w:r>
        <w:rPr>
          <w:rFonts w:ascii="Arial" w:cs="Arial" w:eastAsia="Arial" w:hAnsi="Arial"/>
          <w:sz w:val="18"/>
          <w:szCs w:val="18"/>
          <w:color w:val="auto"/>
        </w:rPr>
        <w:t>loans.</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1" w:name="page32"/>
    <w:bookmarkEnd w:id="31"/>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05. Portfolio Quality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Provisions and Cost of Risk of the Total Portfolio</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64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4"/>
                <w:szCs w:val="14"/>
                <w:b w:val="1"/>
                <w:bCs w:val="1"/>
                <w:color w:val="FFFFFF"/>
              </w:rPr>
              <w:t>Loan Portfolio Provisions</w:t>
            </w:r>
          </w:p>
        </w:tc>
        <w:tc>
          <w:tcPr>
            <w:tcW w:w="1100" w:type="dxa"/>
            <w:vAlign w:val="bottom"/>
            <w:tcBorders>
              <w:top w:val="single" w:sz="8" w:color="auto"/>
            </w:tcBorders>
            <w:shd w:val="clear" w:color="auto" w:fill="33CCCC"/>
          </w:tcPr>
          <w:p>
            <w:pPr>
              <w:spacing w:after="0"/>
              <w:rPr>
                <w:sz w:val="18"/>
                <w:szCs w:val="18"/>
                <w:color w:val="auto"/>
              </w:rPr>
            </w:pPr>
          </w:p>
        </w:tc>
        <w:tc>
          <w:tcPr>
            <w:tcW w:w="1120" w:type="dxa"/>
            <w:vAlign w:val="bottom"/>
            <w:tcBorders>
              <w:top w:val="single" w:sz="8" w:color="auto"/>
            </w:tcBorders>
            <w:shd w:val="clear" w:color="auto" w:fill="33CCCC"/>
          </w:tcPr>
          <w:p>
            <w:pPr>
              <w:ind w:left="300"/>
              <w:spacing w:after="0"/>
              <w:rPr>
                <w:sz w:val="20"/>
                <w:szCs w:val="20"/>
                <w:color w:val="auto"/>
              </w:rPr>
            </w:pPr>
            <w:r>
              <w:rPr>
                <w:rFonts w:ascii="Arial" w:cs="Arial" w:eastAsia="Arial" w:hAnsi="Arial"/>
                <w:sz w:val="14"/>
                <w:szCs w:val="14"/>
                <w:b w:val="1"/>
                <w:bCs w:val="1"/>
                <w:color w:val="FFFFFF"/>
              </w:rPr>
              <w:t>Quarter</w:t>
            </w:r>
          </w:p>
        </w:tc>
        <w:tc>
          <w:tcPr>
            <w:tcW w:w="1140" w:type="dxa"/>
            <w:vAlign w:val="bottom"/>
            <w:tcBorders>
              <w:top w:val="single" w:sz="8" w:color="auto"/>
              <w:right w:val="single" w:sz="8" w:color="auto"/>
            </w:tcBorders>
            <w:shd w:val="clear" w:color="auto" w:fill="33CCCC"/>
          </w:tcPr>
          <w:p>
            <w:pPr>
              <w:spacing w:after="0"/>
              <w:rPr>
                <w:sz w:val="18"/>
                <w:szCs w:val="18"/>
                <w:color w:val="auto"/>
              </w:rPr>
            </w:pPr>
          </w:p>
        </w:tc>
        <w:tc>
          <w:tcPr>
            <w:tcW w:w="2240" w:type="dxa"/>
            <w:vAlign w:val="bottom"/>
            <w:tcBorders>
              <w:top w:val="single" w:sz="8" w:color="auto"/>
              <w:right w:val="single" w:sz="8" w:color="auto"/>
            </w:tcBorders>
            <w:gridSpan w:val="2"/>
            <w:shd w:val="clear" w:color="auto" w:fill="33CCCC"/>
          </w:tcPr>
          <w:p>
            <w:pPr>
              <w:ind w:left="780"/>
              <w:spacing w:after="0"/>
              <w:rPr>
                <w:sz w:val="20"/>
                <w:szCs w:val="20"/>
                <w:color w:val="auto"/>
              </w:rPr>
            </w:pPr>
            <w:r>
              <w:rPr>
                <w:rFonts w:ascii="Arial" w:cs="Arial" w:eastAsia="Arial" w:hAnsi="Arial"/>
                <w:sz w:val="14"/>
                <w:szCs w:val="14"/>
                <w:b w:val="1"/>
                <w:bCs w:val="1"/>
                <w:color w:val="FFFFFF"/>
              </w:rPr>
              <w:t>% change</w:t>
            </w:r>
          </w:p>
        </w:tc>
      </w:tr>
      <w:tr>
        <w:trPr>
          <w:trHeight w:val="168"/>
        </w:trPr>
        <w:tc>
          <w:tcPr>
            <w:tcW w:w="564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4"/>
                <w:szCs w:val="14"/>
                <w:b w:val="1"/>
                <w:bCs w:val="1"/>
                <w:color w:val="FFFFFF"/>
              </w:rPr>
              <w:t>S/000</w:t>
            </w:r>
          </w:p>
        </w:tc>
        <w:tc>
          <w:tcPr>
            <w:tcW w:w="11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w w:val="99"/>
              </w:rPr>
              <w:t>1Q24</w:t>
            </w:r>
          </w:p>
        </w:tc>
        <w:tc>
          <w:tcPr>
            <w:tcW w:w="11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4Q24</w:t>
            </w:r>
          </w:p>
        </w:tc>
        <w:tc>
          <w:tcPr>
            <w:tcW w:w="11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1Q25</w:t>
            </w:r>
          </w:p>
        </w:tc>
        <w:tc>
          <w:tcPr>
            <w:tcW w:w="11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w w:val="98"/>
              </w:rPr>
              <w:t>QoQ</w:t>
            </w:r>
          </w:p>
        </w:tc>
        <w:tc>
          <w:tcPr>
            <w:tcW w:w="11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w w:val="95"/>
              </w:rPr>
              <w:t>YoY</w:t>
            </w:r>
          </w:p>
        </w:tc>
      </w:tr>
      <w:tr>
        <w:trPr>
          <w:trHeight w:val="146"/>
        </w:trPr>
        <w:tc>
          <w:tcPr>
            <w:tcW w:w="5640" w:type="dxa"/>
            <w:vAlign w:val="bottom"/>
            <w:tcBorders>
              <w:left w:val="single" w:sz="8" w:color="auto"/>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Gross provision for credit losses on loan portfolio</w:t>
            </w:r>
          </w:p>
        </w:tc>
        <w:tc>
          <w:tcPr>
            <w:tcW w:w="1100" w:type="dxa"/>
            <w:vAlign w:val="bottom"/>
          </w:tcPr>
          <w:p>
            <w:pPr>
              <w:jc w:val="center"/>
              <w:spacing w:after="0" w:line="147" w:lineRule="exact"/>
              <w:rPr>
                <w:sz w:val="20"/>
                <w:szCs w:val="20"/>
                <w:color w:val="auto"/>
              </w:rPr>
            </w:pPr>
            <w:r>
              <w:rPr>
                <w:rFonts w:ascii="Arial" w:cs="Arial" w:eastAsia="Arial" w:hAnsi="Arial"/>
                <w:sz w:val="14"/>
                <w:szCs w:val="14"/>
                <w:color w:val="auto"/>
              </w:rPr>
              <w:t>(910,189)</w:t>
            </w:r>
          </w:p>
        </w:tc>
        <w:tc>
          <w:tcPr>
            <w:tcW w:w="1120" w:type="dxa"/>
            <w:vAlign w:val="bottom"/>
          </w:tcPr>
          <w:p>
            <w:pPr>
              <w:jc w:val="center"/>
              <w:spacing w:after="0" w:line="147" w:lineRule="exact"/>
              <w:rPr>
                <w:sz w:val="20"/>
                <w:szCs w:val="20"/>
                <w:color w:val="auto"/>
              </w:rPr>
            </w:pPr>
            <w:r>
              <w:rPr>
                <w:rFonts w:ascii="Arial" w:cs="Arial" w:eastAsia="Arial" w:hAnsi="Arial"/>
                <w:sz w:val="14"/>
                <w:szCs w:val="14"/>
                <w:color w:val="auto"/>
              </w:rPr>
              <w:t>(857,694)</w:t>
            </w:r>
          </w:p>
        </w:tc>
        <w:tc>
          <w:tcPr>
            <w:tcW w:w="11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(695,733)</w:t>
            </w:r>
          </w:p>
        </w:tc>
        <w:tc>
          <w:tcPr>
            <w:tcW w:w="1100" w:type="dxa"/>
            <w:vAlign w:val="bottom"/>
          </w:tcPr>
          <w:p>
            <w:pPr>
              <w:jc w:val="center"/>
              <w:spacing w:after="0" w:line="147" w:lineRule="exact"/>
              <w:rPr>
                <w:sz w:val="20"/>
                <w:szCs w:val="20"/>
                <w:color w:val="auto"/>
              </w:rPr>
            </w:pPr>
            <w:r>
              <w:rPr>
                <w:rFonts w:ascii="Arial" w:cs="Arial" w:eastAsia="Arial" w:hAnsi="Arial"/>
                <w:sz w:val="14"/>
                <w:szCs w:val="14"/>
                <w:color w:val="auto"/>
              </w:rPr>
              <w:t>-18.9%</w:t>
            </w:r>
          </w:p>
        </w:tc>
        <w:tc>
          <w:tcPr>
            <w:tcW w:w="11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-23.6%</w:t>
            </w:r>
          </w:p>
        </w:tc>
      </w:tr>
      <w:tr>
        <w:trPr>
          <w:trHeight w:val="162"/>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Recoveries of written-off loans</w:t>
            </w:r>
          </w:p>
        </w:tc>
        <w:tc>
          <w:tcPr>
            <w:tcW w:w="1100" w:type="dxa"/>
            <w:vAlign w:val="bottom"/>
          </w:tcPr>
          <w:p>
            <w:pPr>
              <w:jc w:val="center"/>
              <w:spacing w:after="0"/>
              <w:rPr>
                <w:sz w:val="20"/>
                <w:szCs w:val="20"/>
                <w:color w:val="auto"/>
              </w:rPr>
            </w:pPr>
            <w:r>
              <w:rPr>
                <w:rFonts w:ascii="Arial" w:cs="Arial" w:eastAsia="Arial" w:hAnsi="Arial"/>
                <w:sz w:val="14"/>
                <w:szCs w:val="14"/>
                <w:color w:val="auto"/>
              </w:rPr>
              <w:t>95,490</w:t>
            </w: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114,398</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113,840</w:t>
            </w:r>
          </w:p>
        </w:tc>
        <w:tc>
          <w:tcPr>
            <w:tcW w:w="1100" w:type="dxa"/>
            <w:vAlign w:val="bottom"/>
          </w:tcPr>
          <w:p>
            <w:pPr>
              <w:jc w:val="center"/>
              <w:spacing w:after="0"/>
              <w:rPr>
                <w:sz w:val="20"/>
                <w:szCs w:val="20"/>
                <w:color w:val="auto"/>
              </w:rPr>
            </w:pPr>
            <w:r>
              <w:rPr>
                <w:rFonts w:ascii="Arial" w:cs="Arial" w:eastAsia="Arial" w:hAnsi="Arial"/>
                <w:sz w:val="14"/>
                <w:szCs w:val="14"/>
                <w:color w:val="auto"/>
              </w:rPr>
              <w:t>-0.5%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19.2%</w:t>
            </w:r>
          </w:p>
        </w:tc>
      </w:tr>
      <w:tr>
        <w:trPr>
          <w:trHeight w:val="171"/>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Provision for credit losses on loan portfolio, net of recoveries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(814,699)</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(743,296)</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(581,893)</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-21.7%</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-28.6%</w:t>
            </w:r>
          </w:p>
        </w:tc>
      </w:tr>
      <w:tr>
        <w:trPr>
          <w:trHeight w:val="156"/>
        </w:trPr>
        <w:tc>
          <w:tcPr>
            <w:tcW w:w="5640" w:type="dxa"/>
            <w:vAlign w:val="bottom"/>
            <w:tcBorders>
              <w:left w:val="single" w:sz="8" w:color="auto"/>
              <w:bottom w:val="single" w:sz="8" w:color="auto"/>
              <w:right w:val="single" w:sz="8" w:color="auto"/>
            </w:tcBorders>
          </w:tcPr>
          <w:p>
            <w:pPr>
              <w:ind w:left="20"/>
              <w:spacing w:after="0" w:line="156" w:lineRule="exact"/>
              <w:rPr>
                <w:sz w:val="20"/>
                <w:szCs w:val="20"/>
                <w:color w:val="auto"/>
              </w:rPr>
            </w:pPr>
            <w:r>
              <w:rPr>
                <w:rFonts w:ascii="Arial" w:cs="Arial" w:eastAsia="Arial" w:hAnsi="Arial"/>
                <w:sz w:val="12"/>
                <w:szCs w:val="12"/>
                <w:color w:val="auto"/>
              </w:rPr>
              <w:t xml:space="preserve">Cost of risk </w:t>
            </w:r>
            <w:r>
              <w:rPr>
                <w:rFonts w:ascii="Arial" w:cs="Arial" w:eastAsia="Arial" w:hAnsi="Arial"/>
                <w:sz w:val="18"/>
                <w:szCs w:val="18"/>
                <w:color w:val="auto"/>
                <w:vertAlign w:val="superscript"/>
              </w:rPr>
              <w:t>(1)</w:t>
            </w:r>
          </w:p>
        </w:tc>
        <w:tc>
          <w:tcPr>
            <w:tcW w:w="11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2.3%</w:t>
            </w: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2.1%</w:t>
            </w:r>
          </w:p>
        </w:tc>
        <w:tc>
          <w:tcPr>
            <w:tcW w:w="11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1.6%</w:t>
            </w:r>
          </w:p>
        </w:tc>
        <w:tc>
          <w:tcPr>
            <w:tcW w:w="11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-44 bps</w:t>
            </w:r>
          </w:p>
        </w:tc>
        <w:tc>
          <w:tcPr>
            <w:tcW w:w="11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-66 bps</w:t>
            </w:r>
          </w:p>
        </w:tc>
      </w:tr>
    </w:tbl>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(1) Provisions for credit losses on loan portfolio, net of annualized recoveries / Average Total Loans. It includes reversal of provisions for “El Niño” Phenomenon in 1Q24.</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provisions dropped 21.7%, driven primarily by</w:t>
      </w: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and partially offset by</w:t>
      </w:r>
      <w:r>
        <w:rPr>
          <w:rFonts w:ascii="Arial" w:cs="Arial" w:eastAsia="Arial" w:hAnsi="Arial"/>
          <w:sz w:val="18"/>
          <w:szCs w:val="18"/>
          <w:b w:val="1"/>
          <w:bCs w:val="1"/>
          <w:color w:val="auto"/>
        </w:rPr>
        <w:t xml:space="preserve"> Mibanco</w:t>
      </w:r>
      <w:r>
        <w:rPr>
          <w:rFonts w:ascii="Arial" w:cs="Arial" w:eastAsia="Arial" w:hAnsi="Arial"/>
          <w:sz w:val="18"/>
          <w:szCs w:val="18"/>
          <w:color w:val="auto"/>
        </w:rPr>
        <w:t>. 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the reduction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provisions was primarily spurred by (i) </w:t>
      </w:r>
      <w:r>
        <w:rPr>
          <w:rFonts w:ascii="Arial" w:cs="Arial" w:eastAsia="Arial" w:hAnsi="Arial"/>
          <w:sz w:val="18"/>
          <w:szCs w:val="18"/>
          <w:b w:val="1"/>
          <w:bCs w:val="1"/>
          <w:color w:val="auto"/>
        </w:rPr>
        <w:t>Credit Cards</w:t>
      </w:r>
      <w:r>
        <w:rPr>
          <w:rFonts w:ascii="Arial" w:cs="Arial" w:eastAsia="Arial" w:hAnsi="Arial"/>
          <w:sz w:val="18"/>
          <w:szCs w:val="18"/>
          <w:color w:val="auto"/>
        </w:rPr>
        <w:t xml:space="preserve"> and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due primarily to a base effect via calibrations in our risk models and secondarily by improvement in payment performance, on the back of an increase in lower-risk vintages’ share of total loans and debt relief facilities, and (ii) </w:t>
      </w:r>
      <w:r>
        <w:rPr>
          <w:rFonts w:ascii="Arial" w:cs="Arial" w:eastAsia="Arial" w:hAnsi="Arial"/>
          <w:sz w:val="18"/>
          <w:szCs w:val="18"/>
          <w:b w:val="1"/>
          <w:bCs w:val="1"/>
          <w:color w:val="auto"/>
        </w:rPr>
        <w:t>Wholesale</w:t>
      </w:r>
      <w:r>
        <w:rPr>
          <w:rFonts w:ascii="Arial" w:cs="Arial" w:eastAsia="Arial" w:hAnsi="Arial"/>
          <w:sz w:val="18"/>
          <w:szCs w:val="18"/>
          <w:color w:val="auto"/>
        </w:rPr>
        <w:t xml:space="preserve">, due to an uptick in reversals originated by debt cancellations by refinanced clients.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provisions rose through a base effect given that write-offs were lower last quarter. In this context, the Cost of Risk at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dropped 44 bps </w:t>
      </w:r>
      <w:r>
        <w:rPr>
          <w:rFonts w:ascii="Arial" w:cs="Arial" w:eastAsia="Arial" w:hAnsi="Arial"/>
          <w:sz w:val="18"/>
          <w:szCs w:val="18"/>
          <w:b w:val="1"/>
          <w:bCs w:val="1"/>
          <w:color w:val="auto"/>
        </w:rPr>
        <w:t>QoQ</w:t>
      </w:r>
      <w:r>
        <w:rPr>
          <w:rFonts w:ascii="Arial" w:cs="Arial" w:eastAsia="Arial" w:hAnsi="Arial"/>
          <w:sz w:val="18"/>
          <w:szCs w:val="18"/>
          <w:color w:val="auto"/>
        </w:rPr>
        <w:t xml:space="preserve"> to stand at 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Next, our analysis of the yearly evolution of provisions will isolate the impact of provision reversals for the “El Niño” phenomenon in 1Q24.</w:t>
      </w:r>
    </w:p>
    <w:p>
      <w:pPr>
        <w:spacing w:after="0" w:line="85"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 xml:space="preserve">Cost of Risk by Subsidiary </w:t>
      </w:r>
      <w:r>
        <w:rPr>
          <w:rFonts w:ascii="Arial" w:cs="Arial" w:eastAsia="Arial" w:hAnsi="Arial"/>
          <w:sz w:val="29"/>
          <w:szCs w:val="29"/>
          <w:b w:val="1"/>
          <w:bCs w:val="1"/>
          <w:color w:val="auto"/>
          <w:vertAlign w:val="superscript"/>
        </w:rPr>
        <w:t>(1)</w:t>
      </w:r>
    </w:p>
    <w:p>
      <w:pPr>
        <w:jc w:val="both"/>
        <w:ind w:right="5960"/>
        <w:spacing w:after="0" w:line="237"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provisions fell 45.5%, driven by</w:t>
      </w: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and</w:t>
      </w:r>
      <w:r>
        <w:rPr>
          <w:rFonts w:ascii="Arial" w:cs="Arial" w:eastAsia="Arial" w:hAnsi="Arial"/>
          <w:sz w:val="18"/>
          <w:szCs w:val="18"/>
          <w:b w:val="1"/>
          <w:bCs w:val="1"/>
          <w:color w:val="auto"/>
        </w:rPr>
        <w:t xml:space="preserve"> Mibanco</w:t>
      </w:r>
      <w:r>
        <w:rPr>
          <w:rFonts w:ascii="Arial" w:cs="Arial" w:eastAsia="Arial" w:hAnsi="Arial"/>
          <w:sz w:val="18"/>
          <w:szCs w:val="18"/>
          <w:color w:val="auto"/>
        </w:rPr>
        <w:t>, which reported an improvement in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performance in a context of economic recovery. At </w:t>
      </w:r>
      <w:r>
        <w:rPr>
          <w:rFonts w:ascii="Arial" w:cs="Arial" w:eastAsia="Arial" w:hAnsi="Arial"/>
          <w:sz w:val="18"/>
          <w:szCs w:val="18"/>
          <w:b w:val="1"/>
          <w:bCs w:val="1"/>
          <w:color w:val="auto"/>
        </w:rPr>
        <w:t>BCP Stand-alone</w:t>
      </w:r>
      <w:r>
        <w:rPr>
          <w:rFonts w:ascii="Arial" w:cs="Arial" w:eastAsia="Arial" w:hAnsi="Arial"/>
          <w:sz w:val="18"/>
          <w:szCs w:val="18"/>
          <w:color w:val="auto"/>
        </w:rPr>
        <w:t>, the drop in provisions was primarily attributable to i)</w:t>
      </w:r>
      <w:r>
        <w:rPr>
          <w:rFonts w:ascii="Arial" w:cs="Arial" w:eastAsia="Arial" w:hAnsi="Arial"/>
          <w:sz w:val="18"/>
          <w:szCs w:val="18"/>
          <w:b w:val="1"/>
          <w:bCs w:val="1"/>
          <w:color w:val="auto"/>
        </w:rPr>
        <w:t xml:space="preserve"> Consumer </w:t>
      </w:r>
      <w:r>
        <w:rPr>
          <w:rFonts w:ascii="Arial" w:cs="Arial" w:eastAsia="Arial" w:hAnsi="Arial"/>
          <w:sz w:val="18"/>
          <w:szCs w:val="18"/>
          <w:color w:val="auto"/>
        </w:rPr>
        <w:t>and</w:t>
      </w:r>
      <w:r>
        <w:rPr>
          <w:rFonts w:ascii="Arial" w:cs="Arial" w:eastAsia="Arial" w:hAnsi="Arial"/>
          <w:sz w:val="18"/>
          <w:szCs w:val="18"/>
          <w:b w:val="1"/>
          <w:bCs w:val="1"/>
          <w:color w:val="auto"/>
        </w:rPr>
        <w:t xml:space="preserve"> Credit Cards</w:t>
      </w:r>
      <w:r>
        <w:rPr>
          <w:rFonts w:ascii="Arial" w:cs="Arial" w:eastAsia="Arial" w:hAnsi="Arial"/>
          <w:sz w:val="18"/>
          <w:szCs w:val="18"/>
          <w:color w:val="auto"/>
        </w:rPr>
        <w:t>, due to the same dynamics seen</w:t>
      </w:r>
      <w:r>
        <w:rPr>
          <w:rFonts w:ascii="Arial" w:cs="Arial" w:eastAsia="Arial" w:hAnsi="Arial"/>
          <w:sz w:val="18"/>
          <w:szCs w:val="18"/>
          <w:b w:val="1"/>
          <w:bCs w:val="1"/>
          <w:color w:val="auto"/>
        </w:rPr>
        <w:t xml:space="preserve"> QoQ</w:t>
      </w:r>
      <w:r>
        <w:rPr>
          <w:rFonts w:ascii="Arial" w:cs="Arial" w:eastAsia="Arial" w:hAnsi="Arial"/>
          <w:sz w:val="18"/>
          <w:szCs w:val="18"/>
          <w:color w:val="auto"/>
        </w:rPr>
        <w:t>; and ii)</w:t>
      </w:r>
      <w:r>
        <w:rPr>
          <w:rFonts w:ascii="Arial" w:cs="Arial" w:eastAsia="Arial" w:hAnsi="Arial"/>
          <w:sz w:val="18"/>
          <w:szCs w:val="18"/>
          <w:b w:val="1"/>
          <w:bCs w:val="1"/>
          <w:color w:val="auto"/>
        </w:rPr>
        <w:t xml:space="preserve"> SME-Pyme, </w:t>
      </w:r>
      <w:r>
        <w:rPr>
          <w:rFonts w:ascii="Arial" w:cs="Arial" w:eastAsia="Arial" w:hAnsi="Arial"/>
          <w:sz w:val="18"/>
          <w:szCs w:val="18"/>
          <w:color w:val="auto"/>
        </w:rPr>
        <w:t>due primarily to growth in the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lower- risk vintages in the loan mix. This evolution was partially offset by an uptick in provisions in </w:t>
      </w:r>
      <w:r>
        <w:rPr>
          <w:rFonts w:ascii="Arial" w:cs="Arial" w:eastAsia="Arial" w:hAnsi="Arial"/>
          <w:sz w:val="18"/>
          <w:szCs w:val="18"/>
          <w:b w:val="1"/>
          <w:bCs w:val="1"/>
          <w:color w:val="auto"/>
        </w:rPr>
        <w:t>Wholesale,</w:t>
      </w:r>
      <w:r>
        <w:rPr>
          <w:rFonts w:ascii="Arial" w:cs="Arial" w:eastAsia="Arial" w:hAnsi="Arial"/>
          <w:sz w:val="18"/>
          <w:szCs w:val="18"/>
          <w:color w:val="auto"/>
        </w:rPr>
        <w:t xml:space="preserve"> which was associated with a base effect given that reversals were higher in 1Q24. At Mibanco, the drop was spurred by an improvement in underlying risk as lower-risk vintages gained traction in the portfolio mix. In this context, the Cost of Risk at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fell 137 bps </w:t>
      </w:r>
      <w:r>
        <w:rPr>
          <w:rFonts w:ascii="Arial" w:cs="Arial" w:eastAsia="Arial" w:hAnsi="Arial"/>
          <w:sz w:val="18"/>
          <w:szCs w:val="18"/>
          <w:b w:val="1"/>
          <w:bCs w:val="1"/>
          <w:color w:val="auto"/>
        </w:rPr>
        <w:t>YoY</w:t>
      </w:r>
      <w:r>
        <w:rPr>
          <w:rFonts w:ascii="Arial" w:cs="Arial" w:eastAsia="Arial" w:hAnsi="Arial"/>
          <w:sz w:val="18"/>
          <w:szCs w:val="18"/>
          <w:color w:val="auto"/>
        </w:rPr>
        <w:t xml:space="preserve"> to stand at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-1685925</wp:posOffset>
            </wp:positionV>
            <wp:extent cx="2503170" cy="18770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03170" cy="187706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460"/>
        <w:spacing w:after="0"/>
        <w:tabs>
          <w:tab w:leader="none" w:pos="6440" w:val="left"/>
        </w:tabs>
        <w:rPr>
          <w:sz w:val="20"/>
          <w:szCs w:val="20"/>
          <w:color w:val="auto"/>
        </w:rPr>
      </w:pPr>
      <w:r>
        <w:rPr>
          <w:rFonts w:ascii="Arial" w:cs="Arial" w:eastAsia="Arial" w:hAnsi="Arial"/>
          <w:sz w:val="18"/>
          <w:szCs w:val="18"/>
          <w:b w:val="1"/>
          <w:bCs w:val="1"/>
          <w:color w:val="auto"/>
        </w:rPr>
        <w:t>QoQ Cost of Risk Evolution</w:t>
      </w:r>
      <w:r>
        <w:rPr>
          <w:sz w:val="20"/>
          <w:szCs w:val="20"/>
          <w:color w:val="auto"/>
        </w:rPr>
        <w:tab/>
      </w:r>
      <w:r>
        <w:rPr>
          <w:rFonts w:ascii="Arial" w:cs="Arial" w:eastAsia="Arial" w:hAnsi="Arial"/>
          <w:sz w:val="17"/>
          <w:szCs w:val="17"/>
          <w:b w:val="1"/>
          <w:bCs w:val="1"/>
          <w:color w:val="auto"/>
        </w:rPr>
        <w:t>YoY Underlying Cost of Risk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8890</wp:posOffset>
            </wp:positionV>
            <wp:extent cx="6155055" cy="10033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55055" cy="100330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40"/>
        <w:spacing w:after="0"/>
        <w:rPr>
          <w:sz w:val="20"/>
          <w:szCs w:val="20"/>
          <w:color w:val="auto"/>
        </w:rPr>
      </w:pPr>
      <w:r>
        <w:rPr>
          <w:rFonts w:ascii="Arial" w:cs="Arial" w:eastAsia="Arial" w:hAnsi="Arial"/>
          <w:sz w:val="11"/>
          <w:szCs w:val="11"/>
          <w:color w:val="auto"/>
        </w:rPr>
        <w:t>(1) Others include BCP Bolivia, Mibanco Colombia, ASB and eliminations.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1" w:hanging="155"/>
        <w:spacing w:after="0"/>
        <w:tabs>
          <w:tab w:leader="none" w:pos="181" w:val="left"/>
        </w:tabs>
        <w:numPr>
          <w:ilvl w:val="1"/>
          <w:numId w:val="32"/>
        </w:numPr>
        <w:rPr>
          <w:rFonts w:ascii="Arial" w:cs="Arial" w:eastAsia="Arial" w:hAnsi="Arial"/>
          <w:sz w:val="12"/>
          <w:szCs w:val="12"/>
          <w:color w:val="auto"/>
        </w:rPr>
      </w:pPr>
      <w:r>
        <w:rPr>
          <w:rFonts w:ascii="Arial" w:cs="Arial" w:eastAsia="Arial" w:hAnsi="Arial"/>
          <w:sz w:val="12"/>
          <w:szCs w:val="12"/>
          <w:color w:val="auto"/>
        </w:rPr>
        <w:t>It excludes reversals of provisions for “El Niño” Phenomenon in 1Q24.</w:t>
      </w:r>
    </w:p>
    <w:p>
      <w:pPr>
        <w:spacing w:after="0" w:line="7" w:lineRule="exact"/>
        <w:rPr>
          <w:rFonts w:ascii="Arial" w:cs="Arial" w:eastAsia="Arial" w:hAnsi="Arial"/>
          <w:sz w:val="12"/>
          <w:szCs w:val="12"/>
          <w:color w:val="auto"/>
        </w:rPr>
      </w:pPr>
    </w:p>
    <w:p>
      <w:pPr>
        <w:ind w:left="181" w:hanging="181"/>
        <w:spacing w:after="0"/>
        <w:tabs>
          <w:tab w:leader="none" w:pos="181" w:val="left"/>
        </w:tabs>
        <w:numPr>
          <w:ilvl w:val="0"/>
          <w:numId w:val="32"/>
        </w:numPr>
        <w:rPr>
          <w:rFonts w:ascii="Arial" w:cs="Arial" w:eastAsia="Arial" w:hAnsi="Arial"/>
          <w:sz w:val="12"/>
          <w:szCs w:val="12"/>
          <w:color w:val="auto"/>
        </w:rPr>
      </w:pPr>
      <w:r>
        <w:rPr>
          <w:rFonts w:ascii="Arial" w:cs="Arial" w:eastAsia="Arial" w:hAnsi="Arial"/>
          <w:sz w:val="12"/>
          <w:szCs w:val="12"/>
          <w:color w:val="auto"/>
        </w:rPr>
        <w:t>Others include BCP Bolivia, Mibanco Colombia, ASB and eliminations.</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519" w:space="720"/>
            <w:col w:w="5001"/>
          </w:cols>
          <w:pgMar w:left="320" w:top="314" w:right="339" w:bottom="1440" w:gutter="0" w:footer="0" w:header="0"/>
          <w:type w:val="continuous"/>
        </w:sectPr>
      </w:pPr>
    </w:p>
    <w:bookmarkStart w:id="32" w:name="page33"/>
    <w:bookmarkEnd w:id="32"/>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05. Portfolio Quality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Ratio of NPLs (in Quarter-end balances)</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4520" w:type="dxa"/>
            <w:vAlign w:val="bottom"/>
            <w:tcBorders>
              <w:top w:val="single" w:sz="8" w:color="auto"/>
              <w:left w:val="single" w:sz="8" w:color="auto"/>
              <w:right w:val="single" w:sz="8" w:color="auto"/>
            </w:tcBorders>
            <w:shd w:val="clear" w:color="auto" w:fill="33CCCC"/>
          </w:tcPr>
          <w:p>
            <w:pPr>
              <w:ind w:left="20"/>
              <w:spacing w:after="0" w:line="155" w:lineRule="exact"/>
              <w:rPr>
                <w:sz w:val="20"/>
                <w:szCs w:val="20"/>
                <w:color w:val="auto"/>
              </w:rPr>
            </w:pPr>
            <w:r>
              <w:rPr>
                <w:rFonts w:ascii="Arial" w:cs="Arial" w:eastAsia="Arial" w:hAnsi="Arial"/>
                <w:sz w:val="14"/>
                <w:szCs w:val="14"/>
                <w:b w:val="1"/>
                <w:bCs w:val="1"/>
                <w:color w:val="FFFFFF"/>
              </w:rPr>
              <w:t>Loan Portfolio Quality and Delinquency Ratios</w:t>
            </w:r>
          </w:p>
        </w:tc>
        <w:tc>
          <w:tcPr>
            <w:tcW w:w="1320" w:type="dxa"/>
            <w:vAlign w:val="bottom"/>
            <w:tcBorders>
              <w:top w:val="single" w:sz="8" w:color="auto"/>
            </w:tcBorders>
            <w:shd w:val="clear" w:color="auto" w:fill="33CCCC"/>
          </w:tcPr>
          <w:p>
            <w:pPr>
              <w:spacing w:after="0"/>
              <w:rPr>
                <w:sz w:val="13"/>
                <w:szCs w:val="13"/>
                <w:color w:val="auto"/>
              </w:rPr>
            </w:pPr>
          </w:p>
        </w:tc>
        <w:tc>
          <w:tcPr>
            <w:tcW w:w="1340" w:type="dxa"/>
            <w:vAlign w:val="bottom"/>
            <w:tcBorders>
              <w:top w:val="single" w:sz="8" w:color="auto"/>
            </w:tcBorders>
            <w:shd w:val="clear" w:color="auto" w:fill="33CCCC"/>
          </w:tcPr>
          <w:p>
            <w:pPr>
              <w:jc w:val="center"/>
              <w:spacing w:after="0" w:line="155" w:lineRule="exact"/>
              <w:rPr>
                <w:sz w:val="20"/>
                <w:szCs w:val="20"/>
                <w:color w:val="auto"/>
              </w:rPr>
            </w:pPr>
            <w:r>
              <w:rPr>
                <w:rFonts w:ascii="Arial" w:cs="Arial" w:eastAsia="Arial" w:hAnsi="Arial"/>
                <w:sz w:val="14"/>
                <w:szCs w:val="14"/>
                <w:b w:val="1"/>
                <w:bCs w:val="1"/>
                <w:color w:val="FFFFFF"/>
              </w:rPr>
              <w:t>As of</w:t>
            </w:r>
          </w:p>
        </w:tc>
        <w:tc>
          <w:tcPr>
            <w:tcW w:w="1360" w:type="dxa"/>
            <w:vAlign w:val="bottom"/>
            <w:tcBorders>
              <w:top w:val="single" w:sz="8" w:color="auto"/>
              <w:right w:val="single" w:sz="8" w:color="auto"/>
            </w:tcBorders>
            <w:shd w:val="clear" w:color="auto" w:fill="33CCCC"/>
          </w:tcPr>
          <w:p>
            <w:pPr>
              <w:spacing w:after="0"/>
              <w:rPr>
                <w:sz w:val="13"/>
                <w:szCs w:val="13"/>
                <w:color w:val="auto"/>
              </w:rPr>
            </w:pPr>
          </w:p>
        </w:tc>
        <w:tc>
          <w:tcPr>
            <w:tcW w:w="960" w:type="dxa"/>
            <w:vAlign w:val="bottom"/>
            <w:tcBorders>
              <w:top w:val="single" w:sz="8" w:color="auto"/>
            </w:tcBorders>
            <w:shd w:val="clear" w:color="auto" w:fill="33CCCC"/>
          </w:tcPr>
          <w:p>
            <w:pPr>
              <w:spacing w:after="0"/>
              <w:rPr>
                <w:sz w:val="13"/>
                <w:szCs w:val="13"/>
                <w:color w:val="auto"/>
              </w:rPr>
            </w:pPr>
          </w:p>
        </w:tc>
        <w:tc>
          <w:tcPr>
            <w:tcW w:w="1740" w:type="dxa"/>
            <w:vAlign w:val="bottom"/>
            <w:tcBorders>
              <w:top w:val="single" w:sz="8" w:color="auto"/>
              <w:right w:val="single" w:sz="8" w:color="auto"/>
            </w:tcBorders>
            <w:shd w:val="clear" w:color="auto" w:fill="33CCCC"/>
          </w:tcPr>
          <w:p>
            <w:pPr>
              <w:ind w:left="40"/>
              <w:spacing w:after="0" w:line="155" w:lineRule="exact"/>
              <w:rPr>
                <w:sz w:val="20"/>
                <w:szCs w:val="20"/>
                <w:color w:val="auto"/>
              </w:rPr>
            </w:pPr>
            <w:r>
              <w:rPr>
                <w:rFonts w:ascii="Arial" w:cs="Arial" w:eastAsia="Arial" w:hAnsi="Arial"/>
                <w:sz w:val="14"/>
                <w:szCs w:val="14"/>
                <w:b w:val="1"/>
                <w:bCs w:val="1"/>
                <w:color w:val="FFFFFF"/>
              </w:rPr>
              <w:t>% change</w:t>
            </w:r>
          </w:p>
        </w:tc>
      </w:tr>
      <w:tr>
        <w:trPr>
          <w:trHeight w:val="162"/>
        </w:trPr>
        <w:tc>
          <w:tcPr>
            <w:tcW w:w="452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4"/>
                <w:szCs w:val="14"/>
                <w:b w:val="1"/>
                <w:bCs w:val="1"/>
                <w:color w:val="FFFFFF"/>
              </w:rPr>
              <w:t>S/000</w:t>
            </w:r>
          </w:p>
        </w:tc>
        <w:tc>
          <w:tcPr>
            <w:tcW w:w="1320" w:type="dxa"/>
            <w:vAlign w:val="bottom"/>
            <w:tcBorders>
              <w:bottom w:val="single" w:sz="8" w:color="auto"/>
            </w:tcBorders>
            <w:shd w:val="clear" w:color="auto" w:fill="33CCCC"/>
          </w:tcPr>
          <w:p>
            <w:pPr>
              <w:ind w:left="440"/>
              <w:spacing w:after="0"/>
              <w:rPr>
                <w:sz w:val="20"/>
                <w:szCs w:val="20"/>
                <w:color w:val="auto"/>
              </w:rPr>
            </w:pPr>
            <w:r>
              <w:rPr>
                <w:rFonts w:ascii="Arial" w:cs="Arial" w:eastAsia="Arial" w:hAnsi="Arial"/>
                <w:sz w:val="14"/>
                <w:szCs w:val="14"/>
                <w:b w:val="1"/>
                <w:bCs w:val="1"/>
                <w:color w:val="FFFFFF"/>
              </w:rPr>
              <w:t>Mar 24</w:t>
            </w:r>
          </w:p>
        </w:tc>
        <w:tc>
          <w:tcPr>
            <w:tcW w:w="13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Dec 24</w:t>
            </w:r>
          </w:p>
        </w:tc>
        <w:tc>
          <w:tcPr>
            <w:tcW w:w="1360" w:type="dxa"/>
            <w:vAlign w:val="bottom"/>
            <w:tcBorders>
              <w:bottom w:val="single" w:sz="8" w:color="auto"/>
              <w:right w:val="single" w:sz="8" w:color="auto"/>
            </w:tcBorders>
            <w:shd w:val="clear" w:color="auto" w:fill="33CCCC"/>
          </w:tcPr>
          <w:p>
            <w:pPr>
              <w:ind w:left="440"/>
              <w:spacing w:after="0"/>
              <w:rPr>
                <w:sz w:val="20"/>
                <w:szCs w:val="20"/>
                <w:color w:val="auto"/>
              </w:rPr>
            </w:pPr>
            <w:r>
              <w:rPr>
                <w:rFonts w:ascii="Arial" w:cs="Arial" w:eastAsia="Arial" w:hAnsi="Arial"/>
                <w:sz w:val="14"/>
                <w:szCs w:val="14"/>
                <w:b w:val="1"/>
                <w:bCs w:val="1"/>
                <w:color w:val="FFFFFF"/>
              </w:rPr>
              <w:t>Mar 25</w:t>
            </w:r>
          </w:p>
        </w:tc>
        <w:tc>
          <w:tcPr>
            <w:tcW w:w="960" w:type="dxa"/>
            <w:vAlign w:val="bottom"/>
            <w:tcBorders>
              <w:bottom w:val="single" w:sz="8" w:color="auto"/>
            </w:tcBorders>
            <w:shd w:val="clear" w:color="auto" w:fill="33CCCC"/>
          </w:tcPr>
          <w:p>
            <w:pPr>
              <w:jc w:val="center"/>
              <w:ind w:left="288"/>
              <w:spacing w:after="0"/>
              <w:rPr>
                <w:sz w:val="20"/>
                <w:szCs w:val="20"/>
                <w:color w:val="auto"/>
              </w:rPr>
            </w:pPr>
            <w:r>
              <w:rPr>
                <w:rFonts w:ascii="Arial" w:cs="Arial" w:eastAsia="Arial" w:hAnsi="Arial"/>
                <w:sz w:val="14"/>
                <w:szCs w:val="14"/>
                <w:b w:val="1"/>
                <w:bCs w:val="1"/>
                <w:color w:val="FFFFFF"/>
              </w:rPr>
              <w:t>QoQ</w:t>
            </w:r>
          </w:p>
        </w:tc>
        <w:tc>
          <w:tcPr>
            <w:tcW w:w="1740" w:type="dxa"/>
            <w:vAlign w:val="bottom"/>
            <w:tcBorders>
              <w:bottom w:val="single" w:sz="8" w:color="auto"/>
              <w:right w:val="single" w:sz="8" w:color="auto"/>
            </w:tcBorders>
            <w:shd w:val="clear" w:color="auto" w:fill="33CCCC"/>
          </w:tcPr>
          <w:p>
            <w:pPr>
              <w:jc w:val="center"/>
              <w:ind w:left="288"/>
              <w:spacing w:after="0"/>
              <w:rPr>
                <w:sz w:val="20"/>
                <w:szCs w:val="20"/>
                <w:color w:val="auto"/>
              </w:rPr>
            </w:pPr>
            <w:r>
              <w:rPr>
                <w:rFonts w:ascii="Arial" w:cs="Arial" w:eastAsia="Arial" w:hAnsi="Arial"/>
                <w:sz w:val="14"/>
                <w:szCs w:val="14"/>
                <w:b w:val="1"/>
                <w:bCs w:val="1"/>
                <w:color w:val="FFFFFF"/>
                <w:w w:val="95"/>
              </w:rPr>
              <w:t>YoY</w:t>
            </w:r>
          </w:p>
        </w:tc>
      </w:tr>
      <w:tr>
        <w:trPr>
          <w:trHeight w:val="156"/>
        </w:trPr>
        <w:tc>
          <w:tcPr>
            <w:tcW w:w="4520" w:type="dxa"/>
            <w:vAlign w:val="bottom"/>
            <w:tcBorders>
              <w:left w:val="single" w:sz="8" w:color="auto"/>
              <w:bottom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Total loans (Quarter-end balance)</w:t>
            </w:r>
          </w:p>
        </w:tc>
        <w:tc>
          <w:tcPr>
            <w:tcW w:w="13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140,798,083</w:t>
            </w: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145,732,273</w:t>
            </w:r>
          </w:p>
        </w:tc>
        <w:tc>
          <w:tcPr>
            <w:tcW w:w="13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141,196,646</w:t>
            </w:r>
          </w:p>
        </w:tc>
        <w:tc>
          <w:tcPr>
            <w:tcW w:w="960" w:type="dxa"/>
            <w:vAlign w:val="bottom"/>
            <w:tcBorders>
              <w:bottom w:val="single" w:sz="8" w:color="auto"/>
            </w:tcBorders>
          </w:tcPr>
          <w:p>
            <w:pPr>
              <w:jc w:val="center"/>
              <w:ind w:left="288"/>
              <w:spacing w:after="0" w:line="155" w:lineRule="exact"/>
              <w:rPr>
                <w:sz w:val="20"/>
                <w:szCs w:val="20"/>
                <w:color w:val="auto"/>
              </w:rPr>
            </w:pPr>
            <w:r>
              <w:rPr>
                <w:rFonts w:ascii="Arial" w:cs="Arial" w:eastAsia="Arial" w:hAnsi="Arial"/>
                <w:sz w:val="14"/>
                <w:szCs w:val="14"/>
                <w:color w:val="auto"/>
                <w:w w:val="98"/>
              </w:rPr>
              <w:t>-3.1%</w:t>
            </w:r>
          </w:p>
        </w:tc>
        <w:tc>
          <w:tcPr>
            <w:tcW w:w="1740" w:type="dxa"/>
            <w:vAlign w:val="bottom"/>
            <w:tcBorders>
              <w:bottom w:val="single" w:sz="8" w:color="auto"/>
              <w:right w:val="single" w:sz="8" w:color="auto"/>
            </w:tcBorders>
          </w:tcPr>
          <w:p>
            <w:pPr>
              <w:jc w:val="center"/>
              <w:ind w:left="268"/>
              <w:spacing w:after="0" w:line="155" w:lineRule="exact"/>
              <w:rPr>
                <w:sz w:val="20"/>
                <w:szCs w:val="20"/>
                <w:color w:val="auto"/>
              </w:rPr>
            </w:pPr>
            <w:r>
              <w:rPr>
                <w:rFonts w:ascii="Arial" w:cs="Arial" w:eastAsia="Arial" w:hAnsi="Arial"/>
                <w:sz w:val="14"/>
                <w:szCs w:val="14"/>
                <w:color w:val="auto"/>
              </w:rPr>
              <w:t>0.3%</w:t>
            </w:r>
          </w:p>
        </w:tc>
      </w:tr>
      <w:tr>
        <w:trPr>
          <w:trHeight w:val="156"/>
        </w:trPr>
        <w:tc>
          <w:tcPr>
            <w:tcW w:w="4520" w:type="dxa"/>
            <w:vAlign w:val="bottom"/>
            <w:tcBorders>
              <w:left w:val="single" w:sz="8" w:color="auto"/>
              <w:bottom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Allowance for loan losses</w:t>
            </w:r>
          </w:p>
        </w:tc>
        <w:tc>
          <w:tcPr>
            <w:tcW w:w="13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8,190,343</w:t>
            </w: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7,994,977</w:t>
            </w:r>
          </w:p>
        </w:tc>
        <w:tc>
          <w:tcPr>
            <w:tcW w:w="13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7,742,792</w:t>
            </w:r>
          </w:p>
        </w:tc>
        <w:tc>
          <w:tcPr>
            <w:tcW w:w="960" w:type="dxa"/>
            <w:vAlign w:val="bottom"/>
            <w:tcBorders>
              <w:bottom w:val="single" w:sz="8" w:color="auto"/>
            </w:tcBorders>
          </w:tcPr>
          <w:p>
            <w:pPr>
              <w:jc w:val="center"/>
              <w:ind w:left="288"/>
              <w:spacing w:after="0" w:line="155" w:lineRule="exact"/>
              <w:rPr>
                <w:sz w:val="20"/>
                <w:szCs w:val="20"/>
                <w:color w:val="auto"/>
              </w:rPr>
            </w:pPr>
            <w:r>
              <w:rPr>
                <w:rFonts w:ascii="Arial" w:cs="Arial" w:eastAsia="Arial" w:hAnsi="Arial"/>
                <w:sz w:val="14"/>
                <w:szCs w:val="14"/>
                <w:color w:val="auto"/>
                <w:w w:val="98"/>
              </w:rPr>
              <w:t>-3.2%</w:t>
            </w:r>
          </w:p>
        </w:tc>
        <w:tc>
          <w:tcPr>
            <w:tcW w:w="1740" w:type="dxa"/>
            <w:vAlign w:val="bottom"/>
            <w:tcBorders>
              <w:bottom w:val="single" w:sz="8" w:color="auto"/>
              <w:right w:val="single" w:sz="8" w:color="auto"/>
            </w:tcBorders>
          </w:tcPr>
          <w:p>
            <w:pPr>
              <w:jc w:val="center"/>
              <w:ind w:left="288"/>
              <w:spacing w:after="0" w:line="155" w:lineRule="exact"/>
              <w:rPr>
                <w:sz w:val="20"/>
                <w:szCs w:val="20"/>
                <w:color w:val="auto"/>
              </w:rPr>
            </w:pPr>
            <w:r>
              <w:rPr>
                <w:rFonts w:ascii="Arial" w:cs="Arial" w:eastAsia="Arial" w:hAnsi="Arial"/>
                <w:sz w:val="14"/>
                <w:szCs w:val="14"/>
                <w:color w:val="auto"/>
              </w:rPr>
              <w:t>-5.5%</w:t>
            </w:r>
          </w:p>
        </w:tc>
      </w:tr>
      <w:tr>
        <w:trPr>
          <w:trHeight w:val="155"/>
        </w:trPr>
        <w:tc>
          <w:tcPr>
            <w:tcW w:w="4520" w:type="dxa"/>
            <w:vAlign w:val="bottom"/>
            <w:tcBorders>
              <w:left w:val="single" w:sz="8" w:color="auto"/>
              <w:bottom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Non-performing loans (NPLs)</w:t>
            </w:r>
          </w:p>
        </w:tc>
        <w:tc>
          <w:tcPr>
            <w:tcW w:w="13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8,762,773</w:t>
            </w: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7,662,657</w:t>
            </w:r>
          </w:p>
        </w:tc>
        <w:tc>
          <w:tcPr>
            <w:tcW w:w="13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7,207,677</w:t>
            </w:r>
          </w:p>
        </w:tc>
        <w:tc>
          <w:tcPr>
            <w:tcW w:w="960" w:type="dxa"/>
            <w:vAlign w:val="bottom"/>
            <w:tcBorders>
              <w:bottom w:val="single" w:sz="8" w:color="auto"/>
            </w:tcBorders>
          </w:tcPr>
          <w:p>
            <w:pPr>
              <w:jc w:val="center"/>
              <w:ind w:left="288"/>
              <w:spacing w:after="0" w:line="155" w:lineRule="exact"/>
              <w:rPr>
                <w:sz w:val="20"/>
                <w:szCs w:val="20"/>
                <w:color w:val="auto"/>
              </w:rPr>
            </w:pPr>
            <w:r>
              <w:rPr>
                <w:rFonts w:ascii="Arial" w:cs="Arial" w:eastAsia="Arial" w:hAnsi="Arial"/>
                <w:sz w:val="14"/>
                <w:szCs w:val="14"/>
                <w:color w:val="auto"/>
                <w:w w:val="98"/>
              </w:rPr>
              <w:t>-5.9%</w:t>
            </w:r>
          </w:p>
        </w:tc>
        <w:tc>
          <w:tcPr>
            <w:tcW w:w="1740" w:type="dxa"/>
            <w:vAlign w:val="bottom"/>
            <w:tcBorders>
              <w:bottom w:val="single" w:sz="8" w:color="auto"/>
              <w:right w:val="single" w:sz="8" w:color="auto"/>
            </w:tcBorders>
          </w:tcPr>
          <w:p>
            <w:pPr>
              <w:jc w:val="center"/>
              <w:ind w:left="288"/>
              <w:spacing w:after="0" w:line="155" w:lineRule="exact"/>
              <w:rPr>
                <w:sz w:val="20"/>
                <w:szCs w:val="20"/>
                <w:color w:val="auto"/>
              </w:rPr>
            </w:pPr>
            <w:r>
              <w:rPr>
                <w:rFonts w:ascii="Arial" w:cs="Arial" w:eastAsia="Arial" w:hAnsi="Arial"/>
                <w:sz w:val="14"/>
                <w:szCs w:val="14"/>
                <w:color w:val="auto"/>
              </w:rPr>
              <w:t>-17.7%</w:t>
            </w:r>
          </w:p>
        </w:tc>
      </w:tr>
      <w:tr>
        <w:trPr>
          <w:trHeight w:val="156"/>
        </w:trPr>
        <w:tc>
          <w:tcPr>
            <w:tcW w:w="4520" w:type="dxa"/>
            <w:vAlign w:val="bottom"/>
            <w:tcBorders>
              <w:left w:val="single" w:sz="8" w:color="auto"/>
              <w:bottom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Allowance for loan losses over Total loans</w:t>
            </w:r>
          </w:p>
        </w:tc>
        <w:tc>
          <w:tcPr>
            <w:tcW w:w="13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5.8%</w:t>
            </w: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5.5%</w:t>
            </w:r>
          </w:p>
        </w:tc>
        <w:tc>
          <w:tcPr>
            <w:tcW w:w="13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5.5%</w:t>
            </w:r>
          </w:p>
        </w:tc>
        <w:tc>
          <w:tcPr>
            <w:tcW w:w="960" w:type="dxa"/>
            <w:vAlign w:val="bottom"/>
            <w:tcBorders>
              <w:bottom w:val="single" w:sz="8" w:color="auto"/>
            </w:tcBorders>
          </w:tcPr>
          <w:p>
            <w:pPr>
              <w:jc w:val="center"/>
              <w:ind w:left="288"/>
              <w:spacing w:after="0" w:line="155" w:lineRule="exact"/>
              <w:rPr>
                <w:sz w:val="20"/>
                <w:szCs w:val="20"/>
                <w:color w:val="auto"/>
              </w:rPr>
            </w:pPr>
            <w:r>
              <w:rPr>
                <w:rFonts w:ascii="Arial" w:cs="Arial" w:eastAsia="Arial" w:hAnsi="Arial"/>
                <w:sz w:val="14"/>
                <w:szCs w:val="14"/>
                <w:b w:val="1"/>
                <w:bCs w:val="1"/>
                <w:color w:val="auto"/>
              </w:rPr>
              <w:t>-1 bps</w:t>
            </w:r>
          </w:p>
        </w:tc>
        <w:tc>
          <w:tcPr>
            <w:tcW w:w="1740" w:type="dxa"/>
            <w:vAlign w:val="bottom"/>
            <w:tcBorders>
              <w:bottom w:val="single" w:sz="8" w:color="auto"/>
              <w:right w:val="single" w:sz="8" w:color="auto"/>
            </w:tcBorders>
          </w:tcPr>
          <w:p>
            <w:pPr>
              <w:jc w:val="center"/>
              <w:ind w:left="288"/>
              <w:spacing w:after="0" w:line="155" w:lineRule="exact"/>
              <w:rPr>
                <w:sz w:val="20"/>
                <w:szCs w:val="20"/>
                <w:color w:val="auto"/>
              </w:rPr>
            </w:pPr>
            <w:r>
              <w:rPr>
                <w:rFonts w:ascii="Arial" w:cs="Arial" w:eastAsia="Arial" w:hAnsi="Arial"/>
                <w:sz w:val="14"/>
                <w:szCs w:val="14"/>
                <w:b w:val="1"/>
                <w:bCs w:val="1"/>
                <w:color w:val="auto"/>
              </w:rPr>
              <w:t>-34 bps</w:t>
            </w:r>
          </w:p>
        </w:tc>
      </w:tr>
      <w:tr>
        <w:trPr>
          <w:trHeight w:val="155"/>
        </w:trPr>
        <w:tc>
          <w:tcPr>
            <w:tcW w:w="4520" w:type="dxa"/>
            <w:vAlign w:val="bottom"/>
            <w:tcBorders>
              <w:left w:val="single" w:sz="8" w:color="auto"/>
              <w:bottom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Coverage ratio of NPLs</w:t>
            </w:r>
          </w:p>
        </w:tc>
        <w:tc>
          <w:tcPr>
            <w:tcW w:w="13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93.5%</w:t>
            </w: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104.3%</w:t>
            </w:r>
          </w:p>
        </w:tc>
        <w:tc>
          <w:tcPr>
            <w:tcW w:w="13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107.4%</w:t>
            </w:r>
          </w:p>
        </w:tc>
        <w:tc>
          <w:tcPr>
            <w:tcW w:w="960" w:type="dxa"/>
            <w:vAlign w:val="bottom"/>
            <w:tcBorders>
              <w:bottom w:val="single" w:sz="8" w:color="auto"/>
            </w:tcBorders>
          </w:tcPr>
          <w:p>
            <w:pPr>
              <w:jc w:val="center"/>
              <w:ind w:left="288"/>
              <w:spacing w:after="0" w:line="155" w:lineRule="exact"/>
              <w:rPr>
                <w:sz w:val="20"/>
                <w:szCs w:val="20"/>
                <w:color w:val="auto"/>
              </w:rPr>
            </w:pPr>
            <w:r>
              <w:rPr>
                <w:rFonts w:ascii="Arial" w:cs="Arial" w:eastAsia="Arial" w:hAnsi="Arial"/>
                <w:sz w:val="14"/>
                <w:szCs w:val="14"/>
                <w:b w:val="1"/>
                <w:bCs w:val="1"/>
                <w:color w:val="auto"/>
                <w:w w:val="99"/>
              </w:rPr>
              <w:t>308 bps</w:t>
            </w:r>
          </w:p>
        </w:tc>
        <w:tc>
          <w:tcPr>
            <w:tcW w:w="1740" w:type="dxa"/>
            <w:vAlign w:val="bottom"/>
            <w:tcBorders>
              <w:bottom w:val="single" w:sz="8" w:color="auto"/>
              <w:right w:val="single" w:sz="8" w:color="auto"/>
            </w:tcBorders>
          </w:tcPr>
          <w:p>
            <w:pPr>
              <w:jc w:val="center"/>
              <w:ind w:left="288"/>
              <w:spacing w:after="0" w:line="155" w:lineRule="exact"/>
              <w:rPr>
                <w:sz w:val="20"/>
                <w:szCs w:val="20"/>
                <w:color w:val="auto"/>
              </w:rPr>
            </w:pPr>
            <w:r>
              <w:rPr>
                <w:rFonts w:ascii="Arial" w:cs="Arial" w:eastAsia="Arial" w:hAnsi="Arial"/>
                <w:sz w:val="14"/>
                <w:szCs w:val="14"/>
                <w:b w:val="1"/>
                <w:bCs w:val="1"/>
                <w:color w:val="auto"/>
              </w:rPr>
              <w:t>1395 bps</w:t>
            </w:r>
          </w:p>
        </w:tc>
      </w:tr>
    </w:tbl>
    <w:p>
      <w:pPr>
        <w:spacing w:after="0" w:line="184" w:lineRule="exact"/>
        <w:rPr>
          <w:sz w:val="20"/>
          <w:szCs w:val="20"/>
          <w:color w:val="auto"/>
        </w:rPr>
      </w:pPr>
    </w:p>
    <w:p>
      <w:pPr>
        <w:jc w:val="center"/>
        <w:ind w:right="5960"/>
        <w:spacing w:after="0"/>
        <w:rPr>
          <w:sz w:val="20"/>
          <w:szCs w:val="20"/>
          <w:color w:val="auto"/>
        </w:rPr>
      </w:pPr>
      <w:r>
        <w:rPr>
          <w:rFonts w:ascii="Arial" w:cs="Arial" w:eastAsia="Arial" w:hAnsi="Arial"/>
          <w:sz w:val="18"/>
          <w:szCs w:val="18"/>
          <w:b w:val="1"/>
          <w:bCs w:val="1"/>
          <w:color w:val="auto"/>
        </w:rPr>
        <w:t>Allowance for loan losses</w:t>
      </w:r>
    </w:p>
    <w:p>
      <w:pPr>
        <w:spacing w:after="0" w:line="14" w:lineRule="exact"/>
        <w:rPr>
          <w:sz w:val="20"/>
          <w:szCs w:val="20"/>
          <w:color w:val="auto"/>
        </w:rPr>
      </w:pPr>
    </w:p>
    <w:p>
      <w:pPr>
        <w:jc w:val="center"/>
        <w:ind w:right="5960"/>
        <w:spacing w:after="0"/>
        <w:rPr>
          <w:sz w:val="20"/>
          <w:szCs w:val="20"/>
          <w:color w:val="auto"/>
        </w:rPr>
      </w:pPr>
      <w:r>
        <w:rPr>
          <w:rFonts w:ascii="Arial" w:cs="Arial" w:eastAsia="Arial" w:hAnsi="Arial"/>
          <w:sz w:val="18"/>
          <w:szCs w:val="18"/>
          <w:color w:val="auto"/>
        </w:rPr>
        <w:t>(in S/ millions)</w:t>
      </w:r>
    </w:p>
    <w:p>
      <w:pPr>
        <w:spacing w:after="0" w:line="167" w:lineRule="exact"/>
        <w:rPr>
          <w:sz w:val="20"/>
          <w:szCs w:val="20"/>
          <w:color w:val="auto"/>
        </w:rPr>
      </w:pPr>
    </w:p>
    <w:p>
      <w:pPr>
        <w:ind w:left="5520" w:right="460"/>
        <w:spacing w:after="0" w:line="281" w:lineRule="auto"/>
        <w:rPr>
          <w:sz w:val="20"/>
          <w:szCs w:val="20"/>
          <w:color w:val="auto"/>
        </w:rPr>
      </w:pPr>
      <w:r>
        <w:rPr>
          <w:rFonts w:ascii="Arial" w:cs="Arial" w:eastAsia="Arial" w:hAnsi="Arial"/>
          <w:sz w:val="18"/>
          <w:szCs w:val="18"/>
          <w:b w:val="1"/>
          <w:bCs w:val="1"/>
          <w:color w:val="auto"/>
        </w:rPr>
        <w:t xml:space="preserve">QoQ, </w:t>
      </w:r>
      <w:r>
        <w:rPr>
          <w:rFonts w:ascii="Arial" w:cs="Arial" w:eastAsia="Arial" w:hAnsi="Arial"/>
          <w:sz w:val="18"/>
          <w:szCs w:val="18"/>
          <w:color w:val="auto"/>
        </w:rPr>
        <w:t>Allowances for Loan Losses fell 3.2%, driven primarily by</w:t>
      </w:r>
      <w:r>
        <w:rPr>
          <w:rFonts w:ascii="Arial" w:cs="Arial" w:eastAsia="Arial" w:hAnsi="Arial"/>
          <w:sz w:val="18"/>
          <w:szCs w:val="18"/>
          <w:b w:val="1"/>
          <w:bCs w:val="1"/>
          <w:color w:val="auto"/>
        </w:rPr>
        <w:t xml:space="preserve"> BCP Bolivia </w:t>
      </w:r>
      <w:r>
        <w:rPr>
          <w:rFonts w:ascii="Arial" w:cs="Arial" w:eastAsia="Arial" w:hAnsi="Arial"/>
          <w:sz w:val="18"/>
          <w:szCs w:val="18"/>
          <w:color w:val="auto"/>
        </w:rPr>
        <w:t>and</w:t>
      </w:r>
      <w:r>
        <w:rPr>
          <w:rFonts w:ascii="Arial" w:cs="Arial" w:eastAsia="Arial" w:hAnsi="Arial"/>
          <w:sz w:val="18"/>
          <w:szCs w:val="18"/>
          <w:b w:val="1"/>
          <w:bCs w:val="1"/>
          <w:color w:val="auto"/>
        </w:rPr>
        <w:t xml:space="preserve"> 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-295275</wp:posOffset>
            </wp:positionV>
            <wp:extent cx="2614295" cy="16459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14295" cy="1645920"/>
                    </a:xfrm>
                    <a:prstGeom prst="rect">
                      <a:avLst/>
                    </a:prstGeom>
                    <a:noFill/>
                  </pic:spPr>
                </pic:pic>
              </a:graphicData>
            </a:graphic>
          </wp:anchor>
        </w:drawing>
      </w:r>
    </w:p>
    <w:p>
      <w:pPr>
        <w:spacing w:after="0" w:line="89" w:lineRule="exact"/>
        <w:rPr>
          <w:sz w:val="20"/>
          <w:szCs w:val="20"/>
          <w:color w:val="auto"/>
        </w:rPr>
      </w:pPr>
    </w:p>
    <w:p>
      <w:pPr>
        <w:jc w:val="both"/>
        <w:ind w:left="5520" w:right="460"/>
        <w:spacing w:after="0" w:line="257" w:lineRule="auto"/>
        <w:rPr>
          <w:sz w:val="20"/>
          <w:szCs w:val="20"/>
          <w:color w:val="auto"/>
        </w:rPr>
      </w:pPr>
      <w:r>
        <w:rPr>
          <w:rFonts w:ascii="Arial" w:cs="Arial" w:eastAsia="Arial" w:hAnsi="Arial"/>
          <w:sz w:val="18"/>
          <w:szCs w:val="18"/>
          <w:b w:val="1"/>
          <w:bCs w:val="1"/>
          <w:color w:val="auto"/>
        </w:rPr>
        <w:t xml:space="preserve">YoY, </w:t>
      </w:r>
      <w:r>
        <w:rPr>
          <w:rFonts w:ascii="Arial" w:cs="Arial" w:eastAsia="Arial" w:hAnsi="Arial"/>
          <w:sz w:val="18"/>
          <w:szCs w:val="18"/>
          <w:color w:val="auto"/>
        </w:rPr>
        <w:t>Allowances for Loan Losses dropped 5.5%, driven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w:t>
      </w:r>
      <w:r>
        <w:rPr>
          <w:rFonts w:ascii="Arial" w:cs="Arial" w:eastAsia="Arial" w:hAnsi="Arial"/>
          <w:sz w:val="18"/>
          <w:szCs w:val="18"/>
          <w:b w:val="1"/>
          <w:bCs w:val="1"/>
          <w:color w:val="auto"/>
        </w:rPr>
        <w:t>Small Businesses</w:t>
      </w:r>
      <w:r>
        <w:rPr>
          <w:rFonts w:ascii="Arial" w:cs="Arial" w:eastAsia="Arial" w:hAnsi="Arial"/>
          <w:sz w:val="18"/>
          <w:szCs w:val="18"/>
          <w:color w:val="auto"/>
        </w:rPr>
        <w:t xml:space="preserve"> and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at </w:t>
      </w:r>
      <w:r>
        <w:rPr>
          <w:rFonts w:ascii="Arial" w:cs="Arial" w:eastAsia="Arial" w:hAnsi="Arial"/>
          <w:sz w:val="18"/>
          <w:szCs w:val="18"/>
          <w:b w:val="1"/>
          <w:bCs w:val="1"/>
          <w:color w:val="auto"/>
        </w:rPr>
        <w:t>BCP Individual</w:t>
      </w:r>
      <w:r>
        <w:rPr>
          <w:rFonts w:ascii="Arial" w:cs="Arial" w:eastAsia="Arial" w:hAnsi="Arial"/>
          <w:sz w:val="18"/>
          <w:szCs w:val="18"/>
          <w:color w:val="auto"/>
        </w:rPr>
        <w:t xml:space="preserve"> and secondarily by </w:t>
      </w:r>
      <w:r>
        <w:rPr>
          <w:rFonts w:ascii="Arial" w:cs="Arial" w:eastAsia="Arial" w:hAnsi="Arial"/>
          <w:sz w:val="18"/>
          <w:szCs w:val="18"/>
          <w:b w:val="1"/>
          <w:bCs w:val="1"/>
          <w:color w:val="auto"/>
        </w:rPr>
        <w:t>BCP Bolivia.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(1) Others include Mibanco Colombia, ASB and eliminations.</w:t>
      </w:r>
    </w:p>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NPL Coverage Ratio</w:t>
      </w:r>
    </w:p>
    <w:p>
      <w:pPr>
        <w:spacing w:after="0" w:line="14" w:lineRule="exact"/>
        <w:rPr>
          <w:sz w:val="20"/>
          <w:szCs w:val="20"/>
          <w:color w:val="auto"/>
        </w:rPr>
      </w:pPr>
    </w:p>
    <w:p>
      <w:pPr>
        <w:jc w:val="both"/>
        <w:ind w:left="5520" w:right="460"/>
        <w:spacing w:after="0" w:line="242" w:lineRule="auto"/>
        <w:rPr>
          <w:sz w:val="20"/>
          <w:szCs w:val="20"/>
          <w:color w:val="auto"/>
        </w:rPr>
      </w:pPr>
      <w:r>
        <w:rPr>
          <w:rFonts w:ascii="Arial" w:cs="Arial" w:eastAsia="Arial" w:hAnsi="Arial"/>
          <w:sz w:val="18"/>
          <w:szCs w:val="18"/>
          <w:color w:val="auto"/>
        </w:rPr>
        <w:t xml:space="preserve">The NPL Coverage Ratio at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stood at 107.4% at the end of 1Q25. If we exclude NPL volumes from Government Loans (PG), the ratio stands at 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-224790</wp:posOffset>
            </wp:positionV>
            <wp:extent cx="2940050" cy="19888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940050" cy="1988820"/>
                    </a:xfrm>
                    <a:prstGeom prst="rect">
                      <a:avLst/>
                    </a:prstGeom>
                    <a:noFill/>
                  </pic:spPr>
                </pic:pic>
              </a:graphicData>
            </a:graphic>
          </wp:anchor>
        </w:drawing>
      </w:r>
    </w:p>
    <w:p>
      <w:pPr>
        <w:spacing w:after="0" w:line="146"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QoQ</w:t>
      </w:r>
    </w:p>
    <w:p>
      <w:pPr>
        <w:spacing w:after="0" w:line="14" w:lineRule="exact"/>
        <w:rPr>
          <w:sz w:val="20"/>
          <w:szCs w:val="20"/>
          <w:color w:val="auto"/>
        </w:rPr>
      </w:pPr>
    </w:p>
    <w:p>
      <w:pPr>
        <w:jc w:val="both"/>
        <w:ind w:left="5520" w:right="460"/>
        <w:spacing w:after="0" w:line="239" w:lineRule="auto"/>
        <w:rPr>
          <w:sz w:val="20"/>
          <w:szCs w:val="20"/>
          <w:color w:val="auto"/>
        </w:rPr>
      </w:pPr>
      <w:r>
        <w:rPr>
          <w:rFonts w:ascii="Arial" w:cs="Arial" w:eastAsia="Arial" w:hAnsi="Arial"/>
          <w:sz w:val="18"/>
          <w:szCs w:val="18"/>
          <w:color w:val="auto"/>
        </w:rPr>
        <w:t xml:space="preserve">the NPL Coverage Ratio at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rose 308 bps, driven by the evolution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and </w:t>
      </w:r>
      <w:r>
        <w:rPr>
          <w:rFonts w:ascii="Arial" w:cs="Arial" w:eastAsia="Arial" w:hAnsi="Arial"/>
          <w:sz w:val="18"/>
          <w:szCs w:val="18"/>
          <w:b w:val="1"/>
          <w:bCs w:val="1"/>
          <w:color w:val="auto"/>
        </w:rPr>
        <w:t>Mibanco</w:t>
      </w:r>
      <w:r>
        <w:rPr>
          <w:rFonts w:ascii="Arial" w:cs="Arial" w:eastAsia="Arial" w:hAnsi="Arial"/>
          <w:sz w:val="18"/>
          <w:szCs w:val="18"/>
          <w:color w:val="auto"/>
        </w:rPr>
        <w:t>. Next, our analysis of this evolution will isolate the effect of NPL volumes of Government loans, which have broad guarantees and are being honored satisfactorily.</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the NPL Coverage Ratio 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excluding</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Government Loans (GP), increased 431 bps to stand at 111.3%.</w:t>
      </w:r>
    </w:p>
    <w:p>
      <w:pPr>
        <w:ind w:left="5520"/>
        <w:spacing w:after="0" w:line="234" w:lineRule="auto"/>
        <w:rPr>
          <w:sz w:val="20"/>
          <w:szCs w:val="20"/>
          <w:color w:val="auto"/>
        </w:rPr>
      </w:pPr>
      <w:r>
        <w:rPr>
          <w:rFonts w:ascii="Arial" w:cs="Arial" w:eastAsia="Arial" w:hAnsi="Arial"/>
          <w:sz w:val="18"/>
          <w:szCs w:val="18"/>
          <w:color w:val="auto"/>
        </w:rPr>
        <w:t>This evolution was primarily driven by a decrease in NPL loans in</w:t>
      </w:r>
    </w:p>
    <w:p>
      <w:pPr>
        <w:ind w:left="5520"/>
        <w:spacing w:after="0" w:line="232" w:lineRule="auto"/>
        <w:rPr>
          <w:sz w:val="20"/>
          <w:szCs w:val="20"/>
          <w:color w:val="auto"/>
        </w:rPr>
      </w:pPr>
      <w:r>
        <w:rPr>
          <w:rFonts w:ascii="Arial" w:cs="Arial" w:eastAsia="Arial" w:hAnsi="Arial"/>
          <w:sz w:val="18"/>
          <w:szCs w:val="18"/>
          <w:b w:val="1"/>
          <w:bCs w:val="1"/>
          <w:color w:val="auto"/>
        </w:rPr>
        <w:t xml:space="preserve">Wholesale Banking </w:t>
      </w:r>
      <w:r>
        <w:rPr>
          <w:rFonts w:ascii="Arial" w:cs="Arial" w:eastAsia="Arial" w:hAnsi="Arial"/>
          <w:sz w:val="18"/>
          <w:szCs w:val="18"/>
          <w:color w:val="auto"/>
        </w:rPr>
        <w:t>and</w:t>
      </w:r>
      <w:r>
        <w:rPr>
          <w:rFonts w:ascii="Arial" w:cs="Arial" w:eastAsia="Arial" w:hAnsi="Arial"/>
          <w:sz w:val="18"/>
          <w:szCs w:val="18"/>
          <w:b w:val="1"/>
          <w:bCs w:val="1"/>
          <w:color w:val="auto"/>
        </w:rPr>
        <w:t xml:space="preserve"> Consumer</w:t>
      </w:r>
      <w:r>
        <w:rPr>
          <w:rFonts w:ascii="Arial" w:cs="Arial" w:eastAsia="Arial" w:hAnsi="Arial"/>
          <w:sz w:val="18"/>
          <w:szCs w:val="18"/>
          <w:color w:val="auto"/>
        </w:rPr>
        <w:t>. The NPL Coverage Ratio at</w:t>
      </w:r>
    </w:p>
    <w:p>
      <w:pPr>
        <w:jc w:val="both"/>
        <w:ind w:left="5520" w:right="460"/>
        <w:spacing w:after="0" w:line="238" w:lineRule="auto"/>
        <w:rPr>
          <w:sz w:val="20"/>
          <w:szCs w:val="20"/>
          <w:color w:val="auto"/>
        </w:rPr>
      </w:pPr>
      <w:r>
        <w:rPr>
          <w:rFonts w:ascii="Arial" w:cs="Arial" w:eastAsia="Arial" w:hAnsi="Arial"/>
          <w:sz w:val="20"/>
          <w:szCs w:val="20"/>
          <w:b w:val="1"/>
          <w:bCs w:val="1"/>
          <w:color w:val="auto"/>
        </w:rPr>
        <w:t>Mibanco</w:t>
      </w:r>
      <w:r>
        <w:rPr>
          <w:rFonts w:ascii="Arial" w:cs="Arial" w:eastAsia="Arial" w:hAnsi="Arial"/>
          <w:sz w:val="20"/>
          <w:szCs w:val="20"/>
          <w:color w:val="auto"/>
        </w:rPr>
        <w:t>, excluding Government Loans (GP), rose 562 bps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stand at 108.5%, fueled by a drop in NPLs, which was originated by the same factors seen </w:t>
      </w:r>
      <w:r>
        <w:rPr>
          <w:rFonts w:ascii="Arial" w:cs="Arial" w:eastAsia="Arial" w:hAnsi="Arial"/>
          <w:sz w:val="20"/>
          <w:szCs w:val="20"/>
          <w:b w:val="1"/>
          <w:bCs w:val="1"/>
          <w:color w:val="auto"/>
        </w:rPr>
        <w:t>QoQ</w:t>
      </w:r>
      <w:r>
        <w:rPr>
          <w:rFonts w:ascii="Arial" w:cs="Arial" w:eastAsia="Arial" w:hAnsi="Arial"/>
          <w:sz w:val="20"/>
          <w:szCs w:val="20"/>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YoY</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The NPL Coverage Ratio at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increased 1395 bps, driven primarily by the evolution of </w:t>
      </w:r>
      <w:r>
        <w:rPr>
          <w:rFonts w:ascii="Arial" w:cs="Arial" w:eastAsia="Arial" w:hAnsi="Arial"/>
          <w:sz w:val="18"/>
          <w:szCs w:val="18"/>
          <w:b w:val="1"/>
          <w:bCs w:val="1"/>
          <w:color w:val="auto"/>
        </w:rPr>
        <w:t>BCP Stand-alone</w:t>
      </w:r>
      <w:r>
        <w:rPr>
          <w:rFonts w:ascii="Arial" w:cs="Arial" w:eastAsia="Arial" w:hAnsi="Arial"/>
          <w:sz w:val="18"/>
          <w:szCs w:val="18"/>
          <w:color w:val="auto"/>
        </w:rPr>
        <w:t>. Next, our analysis will isolate the effect of NPL volumes from Government Loans (GP).</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the NPL Coverage Ratio 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excluding Government Loans (GP), rose 1625 bps, fueled mainly by a decrease in NPL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loans, which was driven by the same dynamics in play </w:t>
      </w:r>
      <w:r>
        <w:rPr>
          <w:rFonts w:ascii="Arial" w:cs="Arial" w:eastAsia="Arial" w:hAnsi="Arial"/>
          <w:sz w:val="18"/>
          <w:szCs w:val="18"/>
          <w:b w:val="1"/>
          <w:bCs w:val="1"/>
          <w:color w:val="auto"/>
        </w:rPr>
        <w:t>QoQ</w:t>
      </w:r>
      <w:r>
        <w:rPr>
          <w:rFonts w:ascii="Arial" w:cs="Arial" w:eastAsia="Arial" w:hAnsi="Arial"/>
          <w:sz w:val="18"/>
          <w:szCs w:val="18"/>
          <w:color w:val="auto"/>
        </w:rPr>
        <w:t xml:space="preserve">. The NPL Coverage Ratio at </w:t>
      </w:r>
      <w:r>
        <w:rPr>
          <w:rFonts w:ascii="Arial" w:cs="Arial" w:eastAsia="Arial" w:hAnsi="Arial"/>
          <w:sz w:val="18"/>
          <w:szCs w:val="18"/>
          <w:b w:val="1"/>
          <w:bCs w:val="1"/>
          <w:color w:val="auto"/>
        </w:rPr>
        <w:t>Mibanco</w:t>
      </w:r>
      <w:r>
        <w:rPr>
          <w:rFonts w:ascii="Arial" w:cs="Arial" w:eastAsia="Arial" w:hAnsi="Arial"/>
          <w:sz w:val="18"/>
          <w:szCs w:val="18"/>
          <w:color w:val="auto"/>
        </w:rPr>
        <w:t>, excluding Government Loans (GP), rose 888 bps YoY, spurred primarily by a decrease in NPL loans.</w:t>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3" w:name="page34"/>
    <w:bookmarkEnd w:id="33"/>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397" w:lineRule="exact"/>
        <w:rPr>
          <w:sz w:val="20"/>
          <w:szCs w:val="20"/>
          <w:color w:val="auto"/>
        </w:rPr>
      </w:pPr>
    </w:p>
    <w:p>
      <w:pPr>
        <w:ind w:left="460"/>
        <w:spacing w:after="0"/>
        <w:rPr>
          <w:sz w:val="20"/>
          <w:szCs w:val="20"/>
          <w:color w:val="auto"/>
        </w:rPr>
      </w:pPr>
      <w:r>
        <w:rPr>
          <w:rFonts w:ascii="Arial" w:cs="Arial" w:eastAsia="Arial" w:hAnsi="Arial"/>
          <w:sz w:val="52"/>
          <w:szCs w:val="52"/>
          <w:b w:val="1"/>
          <w:bCs w:val="1"/>
          <w:color w:val="E93BAC"/>
        </w:rPr>
        <w:t xml:space="preserve">06 </w:t>
      </w:r>
      <w:r>
        <w:rPr>
          <w:rFonts w:ascii="Arial" w:cs="Arial" w:eastAsia="Arial" w:hAnsi="Arial"/>
          <w:sz w:val="32"/>
          <w:szCs w:val="32"/>
          <w:color w:val="E93BAC"/>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160020</wp:posOffset>
            </wp:positionV>
            <wp:extent cx="6557645" cy="14744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57645" cy="1474470"/>
                    </a:xfrm>
                    <a:prstGeom prst="rect">
                      <a:avLst/>
                    </a:prstGeom>
                    <a:noFill/>
                  </pic:spPr>
                </pic:pic>
              </a:graphicData>
            </a:graphic>
          </wp:anchor>
        </w:drawing>
      </w:r>
    </w:p>
    <w:p>
      <w:pPr>
        <w:spacing w:after="0" w:line="308" w:lineRule="exact"/>
        <w:rPr>
          <w:sz w:val="20"/>
          <w:szCs w:val="20"/>
          <w:color w:val="auto"/>
        </w:rPr>
      </w:pPr>
    </w:p>
    <w:p>
      <w:pPr>
        <w:jc w:val="both"/>
        <w:ind w:left="580" w:right="560"/>
        <w:spacing w:after="0" w:line="253" w:lineRule="auto"/>
        <w:rPr>
          <w:sz w:val="20"/>
          <w:szCs w:val="20"/>
          <w:color w:val="auto"/>
        </w:rPr>
      </w:pPr>
      <w:r>
        <w:rPr>
          <w:rFonts w:ascii="Arial" w:cs="Arial" w:eastAsia="Arial" w:hAnsi="Arial"/>
          <w:sz w:val="18"/>
          <w:szCs w:val="18"/>
          <w:color w:val="FFFFFF"/>
        </w:rPr>
        <w:t>This quarter, Other Income grew by 6.8% QoQ and 21.4% YoY. This evolution includes an extraordinary gain of approximately S/236 million, resulting from the acquisition of the remaining 50% of Empresas Banmedica in the joint venture with Pacifico Seguros. Excluding this extraordinary gain, Other Income showed the following dynamics:</w:t>
      </w:r>
    </w:p>
    <w:p>
      <w:pPr>
        <w:spacing w:after="0" w:line="101" w:lineRule="exact"/>
        <w:rPr>
          <w:sz w:val="20"/>
          <w:szCs w:val="20"/>
          <w:color w:val="auto"/>
        </w:rPr>
      </w:pPr>
    </w:p>
    <w:p>
      <w:pPr>
        <w:jc w:val="both"/>
        <w:ind w:left="580" w:right="560"/>
        <w:spacing w:after="0" w:line="247" w:lineRule="auto"/>
        <w:rPr>
          <w:sz w:val="20"/>
          <w:szCs w:val="20"/>
          <w:color w:val="auto"/>
        </w:rPr>
      </w:pPr>
      <w:r>
        <w:rPr>
          <w:rFonts w:ascii="Arial" w:cs="Arial" w:eastAsia="Arial" w:hAnsi="Arial"/>
          <w:sz w:val="18"/>
          <w:szCs w:val="18"/>
          <w:color w:val="FFFFFF"/>
        </w:rPr>
        <w:t>QoQ, Other Income decreased by 8.1%. Other Core Income dropped 1.5% due to a decrease in Net Gain on FX Transactions. Although Fee Income grew by 2.1%, reflecting solid recurring transactional dynamics, this evolution was offset by lower FX results, due to a loss in the USD position at BCP Bolivia. Other Non-Core Income decreased by 47.9%, due to a base effect from the sale of real estate in BCP Stand-alone, as well as lower derivative income in ASB.</w:t>
      </w:r>
    </w:p>
    <w:p>
      <w:pPr>
        <w:spacing w:after="0" w:line="120" w:lineRule="exact"/>
        <w:rPr>
          <w:sz w:val="20"/>
          <w:szCs w:val="20"/>
          <w:color w:val="auto"/>
        </w:rPr>
      </w:pPr>
    </w:p>
    <w:p>
      <w:pPr>
        <w:jc w:val="both"/>
        <w:ind w:left="580" w:right="560"/>
        <w:spacing w:after="0" w:line="271" w:lineRule="auto"/>
        <w:rPr>
          <w:sz w:val="20"/>
          <w:szCs w:val="20"/>
          <w:color w:val="auto"/>
        </w:rPr>
      </w:pPr>
      <w:r>
        <w:rPr>
          <w:rFonts w:ascii="Arial" w:cs="Arial" w:eastAsia="Arial" w:hAnsi="Arial"/>
          <w:sz w:val="18"/>
          <w:szCs w:val="18"/>
          <w:color w:val="FFFFFF"/>
        </w:rPr>
        <w:t>YoY, Other Income increased by 4.5%. Other Core Income rose 15.1%, driven by BCP Stand-alone, which registered an uptick in fee income from Yape and gains on a rise in the volume of FX transactions by Retail clients.</w:t>
      </w:r>
    </w:p>
    <w:p>
      <w:pPr>
        <w:spacing w:after="0" w:line="23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Other Income</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47"/>
        </w:trPr>
        <w:tc>
          <w:tcPr>
            <w:tcW w:w="4700" w:type="dxa"/>
            <w:vAlign w:val="bottom"/>
            <w:tcBorders>
              <w:top w:val="single" w:sz="8" w:color="auto"/>
              <w:left w:val="single" w:sz="8" w:color="auto"/>
              <w:right w:val="single" w:sz="8" w:color="auto"/>
            </w:tcBorders>
            <w:shd w:val="clear" w:color="auto" w:fill="33CCCC"/>
          </w:tcPr>
          <w:p>
            <w:pPr>
              <w:ind w:left="20"/>
              <w:spacing w:after="0" w:line="147" w:lineRule="exact"/>
              <w:rPr>
                <w:sz w:val="20"/>
                <w:szCs w:val="20"/>
                <w:color w:val="auto"/>
              </w:rPr>
            </w:pPr>
            <w:r>
              <w:rPr>
                <w:rFonts w:ascii="Arial" w:cs="Arial" w:eastAsia="Arial" w:hAnsi="Arial"/>
                <w:sz w:val="11"/>
                <w:szCs w:val="11"/>
                <w:b w:val="1"/>
                <w:bCs w:val="1"/>
                <w:color w:val="FFFFFF"/>
              </w:rPr>
              <w:t xml:space="preserve">Other Income </w:t>
            </w:r>
            <w:r>
              <w:rPr>
                <w:rFonts w:ascii="Arial" w:cs="Arial" w:eastAsia="Arial" w:hAnsi="Arial"/>
                <w:sz w:val="17"/>
                <w:szCs w:val="17"/>
                <w:b w:val="1"/>
                <w:bCs w:val="1"/>
                <w:color w:val="FFFFFF"/>
                <w:vertAlign w:val="superscript"/>
              </w:rPr>
              <w:t>(1)</w:t>
            </w:r>
          </w:p>
        </w:tc>
        <w:tc>
          <w:tcPr>
            <w:tcW w:w="1360" w:type="dxa"/>
            <w:vAlign w:val="bottom"/>
            <w:tcBorders>
              <w:top w:val="single" w:sz="8" w:color="auto"/>
            </w:tcBorders>
            <w:shd w:val="clear" w:color="auto" w:fill="33CCCC"/>
          </w:tcPr>
          <w:p>
            <w:pPr>
              <w:spacing w:after="0"/>
              <w:rPr>
                <w:sz w:val="12"/>
                <w:szCs w:val="12"/>
                <w:color w:val="auto"/>
              </w:rPr>
            </w:pPr>
          </w:p>
        </w:tc>
        <w:tc>
          <w:tcPr>
            <w:tcW w:w="1360" w:type="dxa"/>
            <w:vAlign w:val="bottom"/>
            <w:tcBorders>
              <w:top w:val="single" w:sz="8" w:color="auto"/>
            </w:tcBorders>
            <w:shd w:val="clear" w:color="auto" w:fill="33CCCC"/>
          </w:tcPr>
          <w:p>
            <w:pPr>
              <w:ind w:left="440"/>
              <w:spacing w:after="0" w:line="148" w:lineRule="exact"/>
              <w:rPr>
                <w:sz w:val="20"/>
                <w:szCs w:val="20"/>
                <w:color w:val="auto"/>
              </w:rPr>
            </w:pPr>
            <w:r>
              <w:rPr>
                <w:rFonts w:ascii="Arial" w:cs="Arial" w:eastAsia="Arial" w:hAnsi="Arial"/>
                <w:sz w:val="13"/>
                <w:szCs w:val="13"/>
                <w:b w:val="1"/>
                <w:bCs w:val="1"/>
                <w:color w:val="FFFFFF"/>
              </w:rPr>
              <w:t>Quarter</w:t>
            </w:r>
          </w:p>
        </w:tc>
        <w:tc>
          <w:tcPr>
            <w:tcW w:w="1360" w:type="dxa"/>
            <w:vAlign w:val="bottom"/>
            <w:tcBorders>
              <w:top w:val="single" w:sz="8" w:color="auto"/>
              <w:right w:val="single" w:sz="8" w:color="auto"/>
            </w:tcBorders>
            <w:shd w:val="clear" w:color="auto" w:fill="33CCCC"/>
          </w:tcPr>
          <w:p>
            <w:pPr>
              <w:spacing w:after="0"/>
              <w:rPr>
                <w:sz w:val="12"/>
                <w:szCs w:val="12"/>
                <w:color w:val="auto"/>
              </w:rPr>
            </w:pPr>
          </w:p>
        </w:tc>
        <w:tc>
          <w:tcPr>
            <w:tcW w:w="860" w:type="dxa"/>
            <w:vAlign w:val="bottom"/>
            <w:tcBorders>
              <w:top w:val="single" w:sz="8" w:color="auto"/>
            </w:tcBorders>
            <w:shd w:val="clear" w:color="auto" w:fill="33CCCC"/>
          </w:tcPr>
          <w:p>
            <w:pPr>
              <w:spacing w:after="0"/>
              <w:rPr>
                <w:sz w:val="12"/>
                <w:szCs w:val="12"/>
                <w:color w:val="auto"/>
              </w:rPr>
            </w:pPr>
          </w:p>
        </w:tc>
        <w:tc>
          <w:tcPr>
            <w:tcW w:w="1600" w:type="dxa"/>
            <w:vAlign w:val="bottom"/>
            <w:tcBorders>
              <w:top w:val="single" w:sz="8" w:color="auto"/>
              <w:right w:val="single" w:sz="8" w:color="auto"/>
            </w:tcBorders>
            <w:shd w:val="clear" w:color="auto" w:fill="33CCCC"/>
          </w:tcPr>
          <w:p>
            <w:pPr>
              <w:ind w:left="40"/>
              <w:spacing w:after="0" w:line="148" w:lineRule="exact"/>
              <w:rPr>
                <w:sz w:val="20"/>
                <w:szCs w:val="20"/>
                <w:color w:val="auto"/>
              </w:rPr>
            </w:pPr>
            <w:r>
              <w:rPr>
                <w:rFonts w:ascii="Arial" w:cs="Arial" w:eastAsia="Arial" w:hAnsi="Arial"/>
                <w:sz w:val="13"/>
                <w:szCs w:val="13"/>
                <w:b w:val="1"/>
                <w:bCs w:val="1"/>
                <w:color w:val="FFFFFF"/>
              </w:rPr>
              <w:t>% Change</w:t>
            </w:r>
          </w:p>
        </w:tc>
      </w:tr>
      <w:tr>
        <w:trPr>
          <w:trHeight w:val="163"/>
        </w:trPr>
        <w:tc>
          <w:tcPr>
            <w:tcW w:w="470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3"/>
                <w:szCs w:val="13"/>
                <w:b w:val="1"/>
                <w:bCs w:val="1"/>
                <w:color w:val="FFFFFF"/>
              </w:rPr>
              <w:t>(S/ 000)</w:t>
            </w:r>
          </w:p>
        </w:tc>
        <w:tc>
          <w:tcPr>
            <w:tcW w:w="13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1Q24</w:t>
            </w:r>
          </w:p>
        </w:tc>
        <w:tc>
          <w:tcPr>
            <w:tcW w:w="13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4Q24</w:t>
            </w:r>
          </w:p>
        </w:tc>
        <w:tc>
          <w:tcPr>
            <w:tcW w:w="13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1Q25</w:t>
            </w:r>
          </w:p>
        </w:tc>
        <w:tc>
          <w:tcPr>
            <w:tcW w:w="860" w:type="dxa"/>
            <w:vAlign w:val="bottom"/>
            <w:tcBorders>
              <w:bottom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QoQ</w:t>
            </w:r>
          </w:p>
        </w:tc>
        <w:tc>
          <w:tcPr>
            <w:tcW w:w="1600" w:type="dxa"/>
            <w:vAlign w:val="bottom"/>
            <w:tcBorders>
              <w:bottom w:val="single" w:sz="8" w:color="auto"/>
              <w:right w:val="single" w:sz="8" w:color="auto"/>
            </w:tcBorders>
            <w:shd w:val="clear" w:color="auto" w:fill="33CCCC"/>
          </w:tcPr>
          <w:p>
            <w:pPr>
              <w:jc w:val="center"/>
              <w:ind w:left="270"/>
              <w:spacing w:after="0"/>
              <w:rPr>
                <w:sz w:val="20"/>
                <w:szCs w:val="20"/>
                <w:color w:val="auto"/>
              </w:rPr>
            </w:pPr>
            <w:r>
              <w:rPr>
                <w:rFonts w:ascii="Arial" w:cs="Arial" w:eastAsia="Arial" w:hAnsi="Arial"/>
                <w:sz w:val="13"/>
                <w:szCs w:val="13"/>
                <w:b w:val="1"/>
                <w:bCs w:val="1"/>
                <w:color w:val="FFFFFF"/>
              </w:rPr>
              <w:t>YoY</w:t>
            </w:r>
          </w:p>
        </w:tc>
      </w:tr>
      <w:tr>
        <w:trPr>
          <w:trHeight w:val="146"/>
        </w:trPr>
        <w:tc>
          <w:tcPr>
            <w:tcW w:w="4700" w:type="dxa"/>
            <w:vAlign w:val="bottom"/>
            <w:tcBorders>
              <w:left w:val="single" w:sz="8" w:color="auto"/>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Other Core Income</w:t>
            </w:r>
          </w:p>
        </w:tc>
        <w:tc>
          <w:tcPr>
            <w:tcW w:w="1360" w:type="dxa"/>
            <w:vAlign w:val="bottom"/>
          </w:tcPr>
          <w:p>
            <w:pPr>
              <w:jc w:val="center"/>
              <w:spacing w:after="0" w:line="147" w:lineRule="exact"/>
              <w:rPr>
                <w:sz w:val="20"/>
                <w:szCs w:val="20"/>
                <w:color w:val="auto"/>
              </w:rPr>
            </w:pPr>
            <w:r>
              <w:rPr>
                <w:rFonts w:ascii="Arial" w:cs="Arial" w:eastAsia="Arial" w:hAnsi="Arial"/>
                <w:sz w:val="14"/>
                <w:szCs w:val="14"/>
                <w:color w:val="auto"/>
              </w:rPr>
              <w:t>1,161,935</w:t>
            </w:r>
          </w:p>
        </w:tc>
        <w:tc>
          <w:tcPr>
            <w:tcW w:w="1360" w:type="dxa"/>
            <w:vAlign w:val="bottom"/>
          </w:tcPr>
          <w:p>
            <w:pPr>
              <w:jc w:val="center"/>
              <w:spacing w:after="0" w:line="147" w:lineRule="exact"/>
              <w:rPr>
                <w:sz w:val="20"/>
                <w:szCs w:val="20"/>
                <w:color w:val="auto"/>
              </w:rPr>
            </w:pPr>
            <w:r>
              <w:rPr>
                <w:rFonts w:ascii="Arial" w:cs="Arial" w:eastAsia="Arial" w:hAnsi="Arial"/>
                <w:sz w:val="14"/>
                <w:szCs w:val="14"/>
                <w:color w:val="auto"/>
              </w:rPr>
              <w:t>1,358,568</w:t>
            </w:r>
          </w:p>
        </w:tc>
        <w:tc>
          <w:tcPr>
            <w:tcW w:w="13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1,337,838</w:t>
            </w:r>
          </w:p>
        </w:tc>
        <w:tc>
          <w:tcPr>
            <w:tcW w:w="860" w:type="dxa"/>
            <w:vAlign w:val="bottom"/>
          </w:tcPr>
          <w:p>
            <w:pPr>
              <w:jc w:val="center"/>
              <w:ind w:left="289"/>
              <w:spacing w:after="0" w:line="147" w:lineRule="exact"/>
              <w:rPr>
                <w:sz w:val="20"/>
                <w:szCs w:val="20"/>
                <w:color w:val="auto"/>
              </w:rPr>
            </w:pPr>
            <w:r>
              <w:rPr>
                <w:rFonts w:ascii="Arial" w:cs="Arial" w:eastAsia="Arial" w:hAnsi="Arial"/>
                <w:sz w:val="14"/>
                <w:szCs w:val="14"/>
                <w:color w:val="auto"/>
              </w:rPr>
              <w:t>-1.5%</w:t>
            </w:r>
          </w:p>
        </w:tc>
        <w:tc>
          <w:tcPr>
            <w:tcW w:w="1600" w:type="dxa"/>
            <w:vAlign w:val="bottom"/>
            <w:tcBorders>
              <w:right w:val="single" w:sz="8" w:color="auto"/>
            </w:tcBorders>
          </w:tcPr>
          <w:p>
            <w:pPr>
              <w:jc w:val="center"/>
              <w:ind w:left="270"/>
              <w:spacing w:after="0" w:line="147" w:lineRule="exact"/>
              <w:rPr>
                <w:sz w:val="20"/>
                <w:szCs w:val="20"/>
                <w:color w:val="auto"/>
              </w:rPr>
            </w:pPr>
            <w:r>
              <w:rPr>
                <w:rFonts w:ascii="Arial" w:cs="Arial" w:eastAsia="Arial" w:hAnsi="Arial"/>
                <w:sz w:val="14"/>
                <w:szCs w:val="14"/>
                <w:color w:val="auto"/>
              </w:rPr>
              <w:t>15.1%</w:t>
            </w:r>
          </w:p>
        </w:tc>
      </w:tr>
      <w:tr>
        <w:trPr>
          <w:trHeight w:val="171"/>
        </w:trPr>
        <w:tc>
          <w:tcPr>
            <w:tcW w:w="4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Other Non-Core Income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230,624</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224,164</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352,378</w:t>
            </w:r>
          </w:p>
        </w:tc>
        <w:tc>
          <w:tcPr>
            <w:tcW w:w="860" w:type="dxa"/>
            <w:vAlign w:val="bottom"/>
            <w:tcBorders>
              <w:bottom w:val="single" w:sz="8" w:color="auto"/>
            </w:tcBorders>
          </w:tcPr>
          <w:p>
            <w:pPr>
              <w:jc w:val="center"/>
              <w:ind w:left="289"/>
              <w:spacing w:after="0"/>
              <w:rPr>
                <w:sz w:val="20"/>
                <w:szCs w:val="20"/>
                <w:color w:val="auto"/>
              </w:rPr>
            </w:pPr>
            <w:r>
              <w:rPr>
                <w:rFonts w:ascii="Arial" w:cs="Arial" w:eastAsia="Arial" w:hAnsi="Arial"/>
                <w:sz w:val="14"/>
                <w:szCs w:val="14"/>
                <w:color w:val="auto"/>
              </w:rPr>
              <w:t>57.2%</w:t>
            </w:r>
          </w:p>
        </w:tc>
        <w:tc>
          <w:tcPr>
            <w:tcW w:w="1600" w:type="dxa"/>
            <w:vAlign w:val="bottom"/>
            <w:tcBorders>
              <w:bottom w:val="single" w:sz="8" w:color="auto"/>
              <w:right w:val="single" w:sz="8" w:color="auto"/>
            </w:tcBorders>
          </w:tcPr>
          <w:p>
            <w:pPr>
              <w:jc w:val="center"/>
              <w:ind w:left="270"/>
              <w:spacing w:after="0"/>
              <w:rPr>
                <w:sz w:val="20"/>
                <w:szCs w:val="20"/>
                <w:color w:val="auto"/>
              </w:rPr>
            </w:pPr>
            <w:r>
              <w:rPr>
                <w:rFonts w:ascii="Arial" w:cs="Arial" w:eastAsia="Arial" w:hAnsi="Arial"/>
                <w:sz w:val="14"/>
                <w:szCs w:val="14"/>
                <w:color w:val="auto"/>
              </w:rPr>
              <w:t>52.8%</w:t>
            </w:r>
          </w:p>
        </w:tc>
      </w:tr>
      <w:tr>
        <w:trPr>
          <w:trHeight w:val="156"/>
        </w:trPr>
        <w:tc>
          <w:tcPr>
            <w:tcW w:w="4700" w:type="dxa"/>
            <w:vAlign w:val="bottom"/>
            <w:tcBorders>
              <w:left w:val="single" w:sz="8" w:color="auto"/>
              <w:bottom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Total Other Income</w:t>
            </w:r>
          </w:p>
        </w:tc>
        <w:tc>
          <w:tcPr>
            <w:tcW w:w="13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1,392,559</w:t>
            </w:r>
          </w:p>
        </w:tc>
        <w:tc>
          <w:tcPr>
            <w:tcW w:w="13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1,582,732</w:t>
            </w:r>
          </w:p>
        </w:tc>
        <w:tc>
          <w:tcPr>
            <w:tcW w:w="13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1,690,216</w:t>
            </w:r>
          </w:p>
        </w:tc>
        <w:tc>
          <w:tcPr>
            <w:tcW w:w="860" w:type="dxa"/>
            <w:vAlign w:val="bottom"/>
            <w:tcBorders>
              <w:bottom w:val="single" w:sz="8" w:color="auto"/>
            </w:tcBorders>
          </w:tcPr>
          <w:p>
            <w:pPr>
              <w:jc w:val="center"/>
              <w:ind w:left="289"/>
              <w:spacing w:after="0" w:line="155" w:lineRule="exact"/>
              <w:rPr>
                <w:sz w:val="20"/>
                <w:szCs w:val="20"/>
                <w:color w:val="auto"/>
              </w:rPr>
            </w:pPr>
            <w:r>
              <w:rPr>
                <w:rFonts w:ascii="Arial" w:cs="Arial" w:eastAsia="Arial" w:hAnsi="Arial"/>
                <w:sz w:val="14"/>
                <w:szCs w:val="14"/>
                <w:b w:val="1"/>
                <w:bCs w:val="1"/>
                <w:color w:val="auto"/>
              </w:rPr>
              <w:t>6.8%</w:t>
            </w:r>
          </w:p>
        </w:tc>
        <w:tc>
          <w:tcPr>
            <w:tcW w:w="1600" w:type="dxa"/>
            <w:vAlign w:val="bottom"/>
            <w:tcBorders>
              <w:bottom w:val="single" w:sz="8" w:color="auto"/>
              <w:right w:val="single" w:sz="8" w:color="auto"/>
            </w:tcBorders>
          </w:tcPr>
          <w:p>
            <w:pPr>
              <w:jc w:val="center"/>
              <w:ind w:left="270"/>
              <w:spacing w:after="0" w:line="155" w:lineRule="exact"/>
              <w:rPr>
                <w:sz w:val="20"/>
                <w:szCs w:val="20"/>
                <w:color w:val="auto"/>
              </w:rPr>
            </w:pPr>
            <w:r>
              <w:rPr>
                <w:rFonts w:ascii="Arial" w:cs="Arial" w:eastAsia="Arial" w:hAnsi="Arial"/>
                <w:sz w:val="14"/>
                <w:szCs w:val="14"/>
                <w:b w:val="1"/>
                <w:bCs w:val="1"/>
                <w:color w:val="auto"/>
              </w:rPr>
              <w:t>21.4%</w:t>
            </w:r>
          </w:p>
        </w:tc>
      </w:tr>
    </w:tbl>
    <w:p>
      <w:pPr>
        <w:ind w:left="340" w:right="20" w:hanging="332"/>
        <w:spacing w:after="0" w:line="245"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Beginning in 1Q25, accounting reclassifications have been incorporated affecting Fee Income, Net Gain on Foreign Exchange Transactions, and Net Gain on Derivatives Held for Trading. Prior periods have been restated for comparability and may differ from previously reported figures.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2025, Credicorp completed the acquisition of the remaining 50% of Empresas Banmedica in the joint venture with Pacifico Compañia de Seguros y Reaseguros S.A. (“Pacifico Seguros”), established in December 2014. As a result of this acquisition, the initial 50% stake was revalued in our books, generating an extraordinary gain of approximately S/236 million recorded in Other Non-Core Income.</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this context, Other Income increased by 6.8% QoQ and 21.4% YoY. Excluding the effect of the extraordinary gain, Other Income decreased by 8.1% QoQ and grew by 4.5% YoY.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Other Core Income</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4700" w:type="dxa"/>
            <w:vAlign w:val="bottom"/>
            <w:tcBorders>
              <w:top w:val="single" w:sz="8" w:color="auto"/>
              <w:left w:val="single" w:sz="8" w:color="auto"/>
              <w:right w:val="single" w:sz="8" w:color="auto"/>
            </w:tcBorders>
            <w:shd w:val="clear" w:color="auto" w:fill="33CCCC"/>
          </w:tcPr>
          <w:p>
            <w:pPr>
              <w:ind w:left="20"/>
              <w:spacing w:after="0" w:line="149" w:lineRule="exact"/>
              <w:rPr>
                <w:sz w:val="20"/>
                <w:szCs w:val="20"/>
                <w:color w:val="auto"/>
              </w:rPr>
            </w:pPr>
            <w:r>
              <w:rPr>
                <w:rFonts w:ascii="Arial" w:cs="Arial" w:eastAsia="Arial" w:hAnsi="Arial"/>
                <w:sz w:val="11"/>
                <w:szCs w:val="11"/>
                <w:b w:val="1"/>
                <w:bCs w:val="1"/>
                <w:color w:val="FFFFFF"/>
              </w:rPr>
              <w:t xml:space="preserve">Other Core Income </w:t>
            </w:r>
            <w:r>
              <w:rPr>
                <w:rFonts w:ascii="Arial" w:cs="Arial" w:eastAsia="Arial" w:hAnsi="Arial"/>
                <w:sz w:val="17"/>
                <w:szCs w:val="17"/>
                <w:b w:val="1"/>
                <w:bCs w:val="1"/>
                <w:color w:val="FFFFFF"/>
                <w:vertAlign w:val="superscript"/>
              </w:rPr>
              <w:t>(1)</w:t>
            </w:r>
          </w:p>
        </w:tc>
        <w:tc>
          <w:tcPr>
            <w:tcW w:w="1360" w:type="dxa"/>
            <w:vAlign w:val="bottom"/>
            <w:tcBorders>
              <w:top w:val="single" w:sz="8" w:color="auto"/>
            </w:tcBorders>
            <w:shd w:val="clear" w:color="auto" w:fill="33CCCC"/>
          </w:tcPr>
          <w:p>
            <w:pPr>
              <w:spacing w:after="0"/>
              <w:rPr>
                <w:sz w:val="12"/>
                <w:szCs w:val="12"/>
                <w:color w:val="auto"/>
              </w:rPr>
            </w:pPr>
          </w:p>
        </w:tc>
        <w:tc>
          <w:tcPr>
            <w:tcW w:w="1360" w:type="dxa"/>
            <w:vAlign w:val="bottom"/>
            <w:tcBorders>
              <w:top w:val="single" w:sz="8" w:color="auto"/>
            </w:tcBorders>
            <w:shd w:val="clear" w:color="auto" w:fill="33CCCC"/>
          </w:tcPr>
          <w:p>
            <w:pPr>
              <w:ind w:left="480"/>
              <w:spacing w:after="0"/>
              <w:rPr>
                <w:sz w:val="20"/>
                <w:szCs w:val="20"/>
                <w:color w:val="auto"/>
              </w:rPr>
            </w:pPr>
            <w:r>
              <w:rPr>
                <w:rFonts w:ascii="Arial" w:cs="Arial" w:eastAsia="Arial" w:hAnsi="Arial"/>
                <w:sz w:val="12"/>
                <w:szCs w:val="12"/>
                <w:b w:val="1"/>
                <w:bCs w:val="1"/>
                <w:color w:val="FFFFFF"/>
              </w:rPr>
              <w:t>Quarter</w:t>
            </w:r>
          </w:p>
        </w:tc>
        <w:tc>
          <w:tcPr>
            <w:tcW w:w="1360" w:type="dxa"/>
            <w:vAlign w:val="bottom"/>
            <w:tcBorders>
              <w:top w:val="single" w:sz="8" w:color="auto"/>
              <w:right w:val="single" w:sz="8" w:color="auto"/>
            </w:tcBorders>
            <w:shd w:val="clear" w:color="auto" w:fill="33CCCC"/>
          </w:tcPr>
          <w:p>
            <w:pPr>
              <w:spacing w:after="0"/>
              <w:rPr>
                <w:sz w:val="12"/>
                <w:szCs w:val="12"/>
                <w:color w:val="auto"/>
              </w:rPr>
            </w:pPr>
          </w:p>
        </w:tc>
        <w:tc>
          <w:tcPr>
            <w:tcW w:w="880" w:type="dxa"/>
            <w:vAlign w:val="bottom"/>
            <w:tcBorders>
              <w:top w:val="single" w:sz="8" w:color="auto"/>
            </w:tcBorders>
            <w:shd w:val="clear" w:color="auto" w:fill="33CCCC"/>
          </w:tcPr>
          <w:p>
            <w:pPr>
              <w:spacing w:after="0"/>
              <w:rPr>
                <w:sz w:val="12"/>
                <w:szCs w:val="12"/>
                <w:color w:val="auto"/>
              </w:rPr>
            </w:pPr>
          </w:p>
        </w:tc>
        <w:tc>
          <w:tcPr>
            <w:tcW w:w="1580" w:type="dxa"/>
            <w:vAlign w:val="bottom"/>
            <w:tcBorders>
              <w:top w:val="single" w:sz="8" w:color="auto"/>
              <w:right w:val="single" w:sz="8" w:color="auto"/>
            </w:tcBorders>
            <w:shd w:val="clear" w:color="auto" w:fill="33CCCC"/>
          </w:tcPr>
          <w:p>
            <w:pPr>
              <w:ind w:left="60"/>
              <w:spacing w:after="0"/>
              <w:rPr>
                <w:sz w:val="20"/>
                <w:szCs w:val="20"/>
                <w:color w:val="auto"/>
              </w:rPr>
            </w:pPr>
            <w:r>
              <w:rPr>
                <w:rFonts w:ascii="Arial" w:cs="Arial" w:eastAsia="Arial" w:hAnsi="Arial"/>
                <w:sz w:val="12"/>
                <w:szCs w:val="12"/>
                <w:b w:val="1"/>
                <w:bCs w:val="1"/>
                <w:color w:val="FFFFFF"/>
              </w:rPr>
              <w:t>% Change</w:t>
            </w:r>
          </w:p>
        </w:tc>
      </w:tr>
      <w:tr>
        <w:trPr>
          <w:trHeight w:val="135"/>
        </w:trPr>
        <w:tc>
          <w:tcPr>
            <w:tcW w:w="4700" w:type="dxa"/>
            <w:vAlign w:val="bottom"/>
            <w:tcBorders>
              <w:left w:val="single" w:sz="8" w:color="auto"/>
              <w:bottom w:val="single" w:sz="8" w:color="auto"/>
              <w:right w:val="single" w:sz="8" w:color="auto"/>
            </w:tcBorders>
            <w:shd w:val="clear" w:color="auto" w:fill="33CCCC"/>
          </w:tcPr>
          <w:p>
            <w:pPr>
              <w:ind w:left="20"/>
              <w:spacing w:after="0" w:line="135" w:lineRule="exact"/>
              <w:rPr>
                <w:sz w:val="20"/>
                <w:szCs w:val="20"/>
                <w:color w:val="auto"/>
              </w:rPr>
            </w:pPr>
            <w:r>
              <w:rPr>
                <w:rFonts w:ascii="Arial" w:cs="Arial" w:eastAsia="Arial" w:hAnsi="Arial"/>
                <w:sz w:val="12"/>
                <w:szCs w:val="12"/>
                <w:b w:val="1"/>
                <w:bCs w:val="1"/>
                <w:color w:val="FFFFFF"/>
              </w:rPr>
              <w:t>(S/ 000)</w:t>
            </w:r>
          </w:p>
        </w:tc>
        <w:tc>
          <w:tcPr>
            <w:tcW w:w="1360" w:type="dxa"/>
            <w:vAlign w:val="bottom"/>
            <w:tcBorders>
              <w:bottom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5"/>
              </w:rPr>
              <w:t>1Q24</w:t>
            </w:r>
          </w:p>
        </w:tc>
        <w:tc>
          <w:tcPr>
            <w:tcW w:w="1360" w:type="dxa"/>
            <w:vAlign w:val="bottom"/>
            <w:tcBorders>
              <w:bottom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5"/>
              </w:rPr>
              <w:t>4Q24</w:t>
            </w:r>
          </w:p>
        </w:tc>
        <w:tc>
          <w:tcPr>
            <w:tcW w:w="1360" w:type="dxa"/>
            <w:vAlign w:val="bottom"/>
            <w:tcBorders>
              <w:bottom w:val="single" w:sz="8" w:color="auto"/>
              <w:right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5"/>
              </w:rPr>
              <w:t>1Q25</w:t>
            </w:r>
          </w:p>
        </w:tc>
        <w:tc>
          <w:tcPr>
            <w:tcW w:w="880" w:type="dxa"/>
            <w:vAlign w:val="bottom"/>
            <w:tcBorders>
              <w:bottom w:val="single" w:sz="8" w:color="auto"/>
            </w:tcBorders>
            <w:shd w:val="clear" w:color="auto" w:fill="33CCCC"/>
          </w:tcPr>
          <w:p>
            <w:pPr>
              <w:ind w:left="480"/>
              <w:spacing w:after="0" w:line="135" w:lineRule="exact"/>
              <w:rPr>
                <w:sz w:val="20"/>
                <w:szCs w:val="20"/>
                <w:color w:val="auto"/>
              </w:rPr>
            </w:pPr>
            <w:r>
              <w:rPr>
                <w:rFonts w:ascii="Arial" w:cs="Arial" w:eastAsia="Arial" w:hAnsi="Arial"/>
                <w:sz w:val="12"/>
                <w:szCs w:val="12"/>
                <w:b w:val="1"/>
                <w:bCs w:val="1"/>
                <w:color w:val="FFFFFF"/>
              </w:rPr>
              <w:t>QoQ</w:t>
            </w:r>
          </w:p>
        </w:tc>
        <w:tc>
          <w:tcPr>
            <w:tcW w:w="1580" w:type="dxa"/>
            <w:vAlign w:val="bottom"/>
            <w:tcBorders>
              <w:bottom w:val="single" w:sz="8" w:color="auto"/>
              <w:right w:val="single" w:sz="8" w:color="auto"/>
            </w:tcBorders>
            <w:shd w:val="clear" w:color="auto" w:fill="33CCCC"/>
          </w:tcPr>
          <w:p>
            <w:pPr>
              <w:jc w:val="center"/>
              <w:ind w:left="260"/>
              <w:spacing w:after="0" w:line="135" w:lineRule="exact"/>
              <w:rPr>
                <w:sz w:val="20"/>
                <w:szCs w:val="20"/>
                <w:color w:val="auto"/>
              </w:rPr>
            </w:pPr>
            <w:r>
              <w:rPr>
                <w:rFonts w:ascii="Arial" w:cs="Arial" w:eastAsia="Arial" w:hAnsi="Arial"/>
                <w:sz w:val="12"/>
                <w:szCs w:val="12"/>
                <w:b w:val="1"/>
                <w:bCs w:val="1"/>
                <w:color w:val="FFFFFF"/>
                <w:w w:val="94"/>
              </w:rPr>
              <w:t>YoY</w:t>
            </w:r>
          </w:p>
        </w:tc>
      </w:tr>
      <w:tr>
        <w:trPr>
          <w:trHeight w:val="111"/>
        </w:trPr>
        <w:tc>
          <w:tcPr>
            <w:tcW w:w="4700" w:type="dxa"/>
            <w:vAlign w:val="bottom"/>
            <w:tcBorders>
              <w:left w:val="single" w:sz="8" w:color="auto"/>
              <w:right w:val="single" w:sz="8" w:color="auto"/>
            </w:tcBorders>
          </w:tcPr>
          <w:p>
            <w:pPr>
              <w:ind w:left="20"/>
              <w:spacing w:after="0" w:line="111" w:lineRule="exact"/>
              <w:rPr>
                <w:sz w:val="20"/>
                <w:szCs w:val="20"/>
                <w:color w:val="auto"/>
              </w:rPr>
            </w:pPr>
            <w:r>
              <w:rPr>
                <w:rFonts w:ascii="Arial" w:cs="Arial" w:eastAsia="Arial" w:hAnsi="Arial"/>
                <w:sz w:val="12"/>
                <w:szCs w:val="12"/>
                <w:color w:val="auto"/>
              </w:rPr>
              <w:t>Fee Income</w:t>
            </w:r>
          </w:p>
        </w:tc>
        <w:tc>
          <w:tcPr>
            <w:tcW w:w="1360" w:type="dxa"/>
            <w:vAlign w:val="bottom"/>
          </w:tcPr>
          <w:p>
            <w:pPr>
              <w:jc w:val="center"/>
              <w:spacing w:after="0" w:line="111" w:lineRule="exact"/>
              <w:rPr>
                <w:sz w:val="20"/>
                <w:szCs w:val="20"/>
                <w:color w:val="auto"/>
              </w:rPr>
            </w:pPr>
            <w:r>
              <w:rPr>
                <w:rFonts w:ascii="Arial" w:cs="Arial" w:eastAsia="Arial" w:hAnsi="Arial"/>
                <w:sz w:val="12"/>
                <w:szCs w:val="12"/>
                <w:color w:val="auto"/>
              </w:rPr>
              <w:t>856,565</w:t>
            </w:r>
          </w:p>
        </w:tc>
        <w:tc>
          <w:tcPr>
            <w:tcW w:w="1360" w:type="dxa"/>
            <w:vAlign w:val="bottom"/>
          </w:tcPr>
          <w:p>
            <w:pPr>
              <w:jc w:val="center"/>
              <w:spacing w:after="0" w:line="111" w:lineRule="exact"/>
              <w:rPr>
                <w:sz w:val="20"/>
                <w:szCs w:val="20"/>
                <w:color w:val="auto"/>
              </w:rPr>
            </w:pPr>
            <w:r>
              <w:rPr>
                <w:rFonts w:ascii="Arial" w:cs="Arial" w:eastAsia="Arial" w:hAnsi="Arial"/>
                <w:sz w:val="12"/>
                <w:szCs w:val="12"/>
                <w:color w:val="auto"/>
              </w:rPr>
              <w:t>973,338</w:t>
            </w:r>
          </w:p>
        </w:tc>
        <w:tc>
          <w:tcPr>
            <w:tcW w:w="136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994,024</w:t>
            </w:r>
          </w:p>
        </w:tc>
        <w:tc>
          <w:tcPr>
            <w:tcW w:w="880" w:type="dxa"/>
            <w:vAlign w:val="bottom"/>
          </w:tcPr>
          <w:p>
            <w:pPr>
              <w:jc w:val="center"/>
              <w:ind w:left="279"/>
              <w:spacing w:after="0" w:line="111" w:lineRule="exact"/>
              <w:rPr>
                <w:sz w:val="20"/>
                <w:szCs w:val="20"/>
                <w:color w:val="auto"/>
              </w:rPr>
            </w:pPr>
            <w:r>
              <w:rPr>
                <w:rFonts w:ascii="Arial" w:cs="Arial" w:eastAsia="Arial" w:hAnsi="Arial"/>
                <w:sz w:val="12"/>
                <w:szCs w:val="12"/>
                <w:color w:val="auto"/>
              </w:rPr>
              <w:t>2.1%</w:t>
            </w:r>
          </w:p>
        </w:tc>
        <w:tc>
          <w:tcPr>
            <w:tcW w:w="1580" w:type="dxa"/>
            <w:vAlign w:val="bottom"/>
            <w:tcBorders>
              <w:right w:val="single" w:sz="8" w:color="auto"/>
            </w:tcBorders>
          </w:tcPr>
          <w:p>
            <w:pPr>
              <w:jc w:val="center"/>
              <w:ind w:left="280"/>
              <w:spacing w:after="0" w:line="111" w:lineRule="exact"/>
              <w:rPr>
                <w:sz w:val="20"/>
                <w:szCs w:val="20"/>
                <w:color w:val="auto"/>
              </w:rPr>
            </w:pPr>
            <w:r>
              <w:rPr>
                <w:rFonts w:ascii="Arial" w:cs="Arial" w:eastAsia="Arial" w:hAnsi="Arial"/>
                <w:sz w:val="12"/>
                <w:szCs w:val="12"/>
                <w:color w:val="auto"/>
              </w:rPr>
              <w:t>16.0%</w:t>
            </w:r>
          </w:p>
        </w:tc>
      </w:tr>
      <w:tr>
        <w:trPr>
          <w:trHeight w:val="153"/>
        </w:trPr>
        <w:tc>
          <w:tcPr>
            <w:tcW w:w="4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Net Gain on Foreign Exchange Transactions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305,370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385,230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343,814</w:t>
            </w:r>
          </w:p>
        </w:tc>
        <w:tc>
          <w:tcPr>
            <w:tcW w:w="880" w:type="dxa"/>
            <w:vAlign w:val="bottom"/>
            <w:tcBorders>
              <w:bottom w:val="single" w:sz="8" w:color="auto"/>
            </w:tcBorders>
          </w:tcPr>
          <w:p>
            <w:pPr>
              <w:jc w:val="center"/>
              <w:ind w:left="299"/>
              <w:spacing w:after="0"/>
              <w:rPr>
                <w:sz w:val="20"/>
                <w:szCs w:val="20"/>
                <w:color w:val="auto"/>
              </w:rPr>
            </w:pPr>
            <w:r>
              <w:rPr>
                <w:rFonts w:ascii="Arial" w:cs="Arial" w:eastAsia="Arial" w:hAnsi="Arial"/>
                <w:sz w:val="13"/>
                <w:szCs w:val="13"/>
                <w:color w:val="auto"/>
                <w:w w:val="97"/>
              </w:rPr>
              <w:t>-10.8%</w:t>
            </w:r>
          </w:p>
        </w:tc>
        <w:tc>
          <w:tcPr>
            <w:tcW w:w="1580" w:type="dxa"/>
            <w:vAlign w:val="bottom"/>
            <w:tcBorders>
              <w:bottom w:val="single" w:sz="8" w:color="auto"/>
              <w:right w:val="single" w:sz="8" w:color="auto"/>
            </w:tcBorders>
          </w:tcPr>
          <w:p>
            <w:pPr>
              <w:jc w:val="center"/>
              <w:ind w:left="280"/>
              <w:spacing w:after="0"/>
              <w:rPr>
                <w:sz w:val="20"/>
                <w:szCs w:val="20"/>
                <w:color w:val="auto"/>
              </w:rPr>
            </w:pPr>
            <w:r>
              <w:rPr>
                <w:rFonts w:ascii="Arial" w:cs="Arial" w:eastAsia="Arial" w:hAnsi="Arial"/>
                <w:sz w:val="13"/>
                <w:szCs w:val="13"/>
                <w:color w:val="auto"/>
                <w:w w:val="97"/>
              </w:rPr>
              <w:t>12.6%</w:t>
            </w:r>
          </w:p>
        </w:tc>
      </w:tr>
      <w:tr>
        <w:trPr>
          <w:trHeight w:val="128"/>
        </w:trPr>
        <w:tc>
          <w:tcPr>
            <w:tcW w:w="470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Total Other Core Income</w:t>
            </w:r>
          </w:p>
        </w:tc>
        <w:tc>
          <w:tcPr>
            <w:tcW w:w="13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1,161,935</w:t>
            </w:r>
          </w:p>
        </w:tc>
        <w:tc>
          <w:tcPr>
            <w:tcW w:w="13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1,358,568</w:t>
            </w:r>
          </w:p>
        </w:tc>
        <w:tc>
          <w:tcPr>
            <w:tcW w:w="13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1,337,838</w:t>
            </w:r>
          </w:p>
        </w:tc>
        <w:tc>
          <w:tcPr>
            <w:tcW w:w="880" w:type="dxa"/>
            <w:vAlign w:val="bottom"/>
            <w:tcBorders>
              <w:bottom w:val="single" w:sz="8" w:color="auto"/>
            </w:tcBorders>
          </w:tcPr>
          <w:p>
            <w:pPr>
              <w:jc w:val="center"/>
              <w:ind w:left="279"/>
              <w:spacing w:after="0" w:line="129" w:lineRule="exact"/>
              <w:rPr>
                <w:sz w:val="20"/>
                <w:szCs w:val="20"/>
                <w:color w:val="auto"/>
              </w:rPr>
            </w:pPr>
            <w:r>
              <w:rPr>
                <w:rFonts w:ascii="Arial" w:cs="Arial" w:eastAsia="Arial" w:hAnsi="Arial"/>
                <w:sz w:val="13"/>
                <w:szCs w:val="13"/>
                <w:b w:val="1"/>
                <w:bCs w:val="1"/>
                <w:color w:val="auto"/>
                <w:w w:val="99"/>
              </w:rPr>
              <w:t>-1.5%</w:t>
            </w:r>
          </w:p>
        </w:tc>
        <w:tc>
          <w:tcPr>
            <w:tcW w:w="1580" w:type="dxa"/>
            <w:vAlign w:val="bottom"/>
            <w:tcBorders>
              <w:bottom w:val="single" w:sz="8" w:color="auto"/>
              <w:right w:val="single" w:sz="8" w:color="auto"/>
            </w:tcBorders>
          </w:tcPr>
          <w:p>
            <w:pPr>
              <w:jc w:val="center"/>
              <w:ind w:left="280"/>
              <w:spacing w:after="0" w:line="129" w:lineRule="exact"/>
              <w:rPr>
                <w:sz w:val="20"/>
                <w:szCs w:val="20"/>
                <w:color w:val="auto"/>
              </w:rPr>
            </w:pPr>
            <w:r>
              <w:rPr>
                <w:rFonts w:ascii="Arial" w:cs="Arial" w:eastAsia="Arial" w:hAnsi="Arial"/>
                <w:sz w:val="13"/>
                <w:szCs w:val="13"/>
                <w:b w:val="1"/>
                <w:bCs w:val="1"/>
                <w:color w:val="auto"/>
                <w:w w:val="97"/>
              </w:rPr>
              <w:t>15.1%</w:t>
            </w:r>
          </w:p>
        </w:tc>
      </w:tr>
    </w:tbl>
    <w:p>
      <w:pPr>
        <w:ind w:right="20" w:firstLine="8"/>
        <w:spacing w:after="0" w:line="245" w:lineRule="auto"/>
        <w:tabs>
          <w:tab w:leader="none" w:pos="181" w:val="left"/>
        </w:tabs>
        <w:numPr>
          <w:ilvl w:val="0"/>
          <w:numId w:val="34"/>
        </w:numPr>
        <w:rPr>
          <w:rFonts w:ascii="Arial" w:cs="Arial" w:eastAsia="Arial" w:hAnsi="Arial"/>
          <w:sz w:val="12"/>
          <w:szCs w:val="12"/>
          <w:color w:val="auto"/>
        </w:rPr>
      </w:pPr>
      <w:r>
        <w:rPr>
          <w:rFonts w:ascii="Arial" w:cs="Arial" w:eastAsia="Arial" w:hAnsi="Arial"/>
          <w:sz w:val="12"/>
          <w:szCs w:val="12"/>
          <w:color w:val="auto"/>
        </w:rPr>
        <w:t>Beginning in 1Q25, accounting reclassifications have been incorporated affecting Fee Income, Net Gain on Foreign Exchange Transactions, and Net Gain on Derivatives Held for Trading. Prior periods have been restated for comparability and may differ from previously reported figures.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Income diversification and digital capabilities drove growth in the primary recurring contributors to Other Income, as indicated below:</w:t>
      </w:r>
    </w:p>
    <w:p>
      <w:pPr>
        <w:spacing w:after="0" w:line="198" w:lineRule="exact"/>
        <w:rPr>
          <w:sz w:val="20"/>
          <w:szCs w:val="20"/>
          <w:color w:val="auto"/>
        </w:rPr>
      </w:pPr>
    </w:p>
    <w:p>
      <w:pPr>
        <w:jc w:val="both"/>
        <w:ind w:left="740" w:hanging="246"/>
        <w:spacing w:after="0" w:line="244" w:lineRule="auto"/>
        <w:tabs>
          <w:tab w:leader="none" w:pos="7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QoQ</w:t>
      </w:r>
      <w:r>
        <w:rPr>
          <w:rFonts w:ascii="Arial" w:cs="Arial" w:eastAsia="Arial" w:hAnsi="Arial"/>
          <w:sz w:val="18"/>
          <w:szCs w:val="18"/>
          <w:color w:val="auto"/>
        </w:rPr>
        <w:t>, Other Core Income recorded solid results, maintaining levels above S/1.3 billion for the third consecutive quarter. The</w:t>
      </w:r>
      <w:r>
        <w:rPr>
          <w:rFonts w:ascii="Arial" w:cs="Arial" w:eastAsia="Arial" w:hAnsi="Arial"/>
          <w:sz w:val="18"/>
          <w:szCs w:val="18"/>
          <w:b w:val="1"/>
          <w:bCs w:val="1"/>
          <w:color w:val="auto"/>
        </w:rPr>
        <w:t xml:space="preserve"> </w:t>
      </w:r>
      <w:r>
        <w:rPr>
          <w:rFonts w:ascii="Arial" w:cs="Arial" w:eastAsia="Arial" w:hAnsi="Arial"/>
          <w:sz w:val="18"/>
          <w:szCs w:val="18"/>
          <w:color w:val="auto"/>
        </w:rPr>
        <w:t>recurring business generated through Fee Income grew by 2.1% QoQ, underpinned by the solid business dynamics described in the next section. However, this evolution was offset by a decline in Net Gain on Foreign Exchange Transactions (-10.8%), which reflects a strategic decision to increase our balance position in USD at BCP Bolivia, which generated losses. As a result, Other Core Income fell 1.5% QoQ.</w:t>
      </w:r>
    </w:p>
    <w:p>
      <w:pPr>
        <w:spacing w:after="0" w:line="162" w:lineRule="exact"/>
        <w:rPr>
          <w:rFonts w:ascii="Arial" w:cs="Arial" w:eastAsia="Arial" w:hAnsi="Arial"/>
          <w:sz w:val="18"/>
          <w:szCs w:val="18"/>
          <w:b w:val="1"/>
          <w:bCs w:val="1"/>
          <w:color w:val="auto"/>
        </w:rPr>
      </w:pPr>
    </w:p>
    <w:p>
      <w:pPr>
        <w:jc w:val="both"/>
        <w:ind w:left="740" w:hanging="246"/>
        <w:spacing w:after="0" w:line="253" w:lineRule="auto"/>
        <w:tabs>
          <w:tab w:leader="none" w:pos="7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YoY</w:t>
      </w:r>
      <w:r>
        <w:rPr>
          <w:rFonts w:ascii="Arial" w:cs="Arial" w:eastAsia="Arial" w:hAnsi="Arial"/>
          <w:sz w:val="18"/>
          <w:szCs w:val="18"/>
          <w:color w:val="auto"/>
        </w:rPr>
        <w:t>, the growth of 15.1% was mainly driven by an increase in Fee Income, whose dynamics will be described in the next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To a lesser extent, the growth is due to the Net Gain on Foreign Exchange Transactions (+12.6%) at BCP Stand-alone, due to higher transaction volumes in Retail Banking amid exchange rate volatility.</w:t>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4" w:name="page35"/>
    <w:bookmarkEnd w:id="34"/>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06.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Fee Income by Subsidiary</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456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2"/>
                <w:szCs w:val="12"/>
                <w:b w:val="1"/>
                <w:bCs w:val="1"/>
                <w:color w:val="FFFFFF"/>
              </w:rPr>
              <w:t>Fee Income by Subsidiary</w:t>
            </w:r>
          </w:p>
        </w:tc>
        <w:tc>
          <w:tcPr>
            <w:tcW w:w="1320" w:type="dxa"/>
            <w:vAlign w:val="bottom"/>
            <w:tcBorders>
              <w:top w:val="single" w:sz="8" w:color="auto"/>
            </w:tcBorders>
            <w:shd w:val="clear" w:color="auto" w:fill="33CCCC"/>
          </w:tcPr>
          <w:p>
            <w:pPr>
              <w:spacing w:after="0"/>
              <w:rPr>
                <w:sz w:val="12"/>
                <w:szCs w:val="12"/>
                <w:color w:val="auto"/>
              </w:rPr>
            </w:pPr>
          </w:p>
        </w:tc>
        <w:tc>
          <w:tcPr>
            <w:tcW w:w="1320" w:type="dxa"/>
            <w:vAlign w:val="bottom"/>
            <w:tcBorders>
              <w:top w:val="single" w:sz="8" w:color="auto"/>
            </w:tcBorders>
            <w:shd w:val="clear" w:color="auto" w:fill="33CCCC"/>
          </w:tcPr>
          <w:p>
            <w:pPr>
              <w:ind w:left="460"/>
              <w:spacing w:after="0"/>
              <w:rPr>
                <w:sz w:val="20"/>
                <w:szCs w:val="20"/>
                <w:color w:val="auto"/>
              </w:rPr>
            </w:pPr>
            <w:r>
              <w:rPr>
                <w:rFonts w:ascii="Arial" w:cs="Arial" w:eastAsia="Arial" w:hAnsi="Arial"/>
                <w:sz w:val="12"/>
                <w:szCs w:val="12"/>
                <w:b w:val="1"/>
                <w:bCs w:val="1"/>
                <w:color w:val="FFFFFF"/>
              </w:rPr>
              <w:t>Quarter</w:t>
            </w:r>
          </w:p>
        </w:tc>
        <w:tc>
          <w:tcPr>
            <w:tcW w:w="1360" w:type="dxa"/>
            <w:vAlign w:val="bottom"/>
            <w:tcBorders>
              <w:top w:val="single" w:sz="8" w:color="auto"/>
              <w:right w:val="single" w:sz="8" w:color="auto"/>
            </w:tcBorders>
            <w:shd w:val="clear" w:color="auto" w:fill="33CCCC"/>
          </w:tcPr>
          <w:p>
            <w:pPr>
              <w:spacing w:after="0"/>
              <w:rPr>
                <w:sz w:val="12"/>
                <w:szCs w:val="12"/>
                <w:color w:val="auto"/>
              </w:rPr>
            </w:pPr>
          </w:p>
        </w:tc>
        <w:tc>
          <w:tcPr>
            <w:tcW w:w="960" w:type="dxa"/>
            <w:vAlign w:val="bottom"/>
            <w:tcBorders>
              <w:top w:val="single" w:sz="8" w:color="auto"/>
            </w:tcBorders>
            <w:shd w:val="clear" w:color="auto" w:fill="33CCCC"/>
          </w:tcPr>
          <w:p>
            <w:pPr>
              <w:spacing w:after="0"/>
              <w:rPr>
                <w:sz w:val="12"/>
                <w:szCs w:val="12"/>
                <w:color w:val="auto"/>
              </w:rPr>
            </w:pPr>
          </w:p>
        </w:tc>
        <w:tc>
          <w:tcPr>
            <w:tcW w:w="1720" w:type="dxa"/>
            <w:vAlign w:val="bottom"/>
            <w:tcBorders>
              <w:top w:val="single" w:sz="8" w:color="auto"/>
              <w:right w:val="single" w:sz="8" w:color="auto"/>
            </w:tcBorders>
            <w:shd w:val="clear" w:color="auto" w:fill="33CCCC"/>
          </w:tcPr>
          <w:p>
            <w:pPr>
              <w:ind w:left="80"/>
              <w:spacing w:after="0"/>
              <w:rPr>
                <w:sz w:val="20"/>
                <w:szCs w:val="20"/>
                <w:color w:val="auto"/>
              </w:rPr>
            </w:pPr>
            <w:r>
              <w:rPr>
                <w:rFonts w:ascii="Arial" w:cs="Arial" w:eastAsia="Arial" w:hAnsi="Arial"/>
                <w:sz w:val="12"/>
                <w:szCs w:val="12"/>
                <w:b w:val="1"/>
                <w:bCs w:val="1"/>
                <w:color w:val="FFFFFF"/>
              </w:rPr>
              <w:t>% Change</w:t>
            </w:r>
          </w:p>
        </w:tc>
      </w:tr>
      <w:tr>
        <w:trPr>
          <w:trHeight w:val="135"/>
        </w:trPr>
        <w:tc>
          <w:tcPr>
            <w:tcW w:w="4560" w:type="dxa"/>
            <w:vAlign w:val="bottom"/>
            <w:tcBorders>
              <w:left w:val="single" w:sz="8" w:color="auto"/>
              <w:bottom w:val="single" w:sz="8" w:color="auto"/>
              <w:right w:val="single" w:sz="8" w:color="auto"/>
            </w:tcBorders>
            <w:shd w:val="clear" w:color="auto" w:fill="33CCCC"/>
          </w:tcPr>
          <w:p>
            <w:pPr>
              <w:ind w:left="20"/>
              <w:spacing w:after="0" w:line="135" w:lineRule="exact"/>
              <w:rPr>
                <w:sz w:val="20"/>
                <w:szCs w:val="20"/>
                <w:color w:val="auto"/>
              </w:rPr>
            </w:pPr>
            <w:r>
              <w:rPr>
                <w:rFonts w:ascii="Arial" w:cs="Arial" w:eastAsia="Arial" w:hAnsi="Arial"/>
                <w:sz w:val="12"/>
                <w:szCs w:val="12"/>
                <w:b w:val="1"/>
                <w:bCs w:val="1"/>
                <w:color w:val="FFFFFF"/>
              </w:rPr>
              <w:t>(S/000)</w:t>
            </w:r>
          </w:p>
        </w:tc>
        <w:tc>
          <w:tcPr>
            <w:tcW w:w="1320" w:type="dxa"/>
            <w:vAlign w:val="bottom"/>
            <w:tcBorders>
              <w:bottom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rPr>
              <w:t>1Q24</w:t>
            </w:r>
          </w:p>
        </w:tc>
        <w:tc>
          <w:tcPr>
            <w:tcW w:w="1320" w:type="dxa"/>
            <w:vAlign w:val="bottom"/>
            <w:tcBorders>
              <w:bottom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5"/>
              </w:rPr>
              <w:t>4Q24</w:t>
            </w:r>
          </w:p>
        </w:tc>
        <w:tc>
          <w:tcPr>
            <w:tcW w:w="1360" w:type="dxa"/>
            <w:vAlign w:val="bottom"/>
            <w:tcBorders>
              <w:bottom w:val="single" w:sz="8" w:color="auto"/>
              <w:right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rPr>
              <w:t>1Q25</w:t>
            </w:r>
          </w:p>
        </w:tc>
        <w:tc>
          <w:tcPr>
            <w:tcW w:w="960" w:type="dxa"/>
            <w:vAlign w:val="bottom"/>
            <w:tcBorders>
              <w:bottom w:val="single" w:sz="8" w:color="auto"/>
            </w:tcBorders>
            <w:shd w:val="clear" w:color="auto" w:fill="33CCCC"/>
          </w:tcPr>
          <w:p>
            <w:pPr>
              <w:ind w:left="540"/>
              <w:spacing w:after="0" w:line="135" w:lineRule="exact"/>
              <w:rPr>
                <w:sz w:val="20"/>
                <w:szCs w:val="20"/>
                <w:color w:val="auto"/>
              </w:rPr>
            </w:pPr>
            <w:r>
              <w:rPr>
                <w:rFonts w:ascii="Arial" w:cs="Arial" w:eastAsia="Arial" w:hAnsi="Arial"/>
                <w:sz w:val="12"/>
                <w:szCs w:val="12"/>
                <w:b w:val="1"/>
                <w:bCs w:val="1"/>
                <w:color w:val="FFFFFF"/>
              </w:rPr>
              <w:t>QoQ</w:t>
            </w:r>
          </w:p>
        </w:tc>
        <w:tc>
          <w:tcPr>
            <w:tcW w:w="1720" w:type="dxa"/>
            <w:vAlign w:val="bottom"/>
            <w:tcBorders>
              <w:bottom w:val="single" w:sz="8" w:color="auto"/>
              <w:right w:val="single" w:sz="8" w:color="auto"/>
            </w:tcBorders>
            <w:shd w:val="clear" w:color="auto" w:fill="33CCCC"/>
          </w:tcPr>
          <w:p>
            <w:pPr>
              <w:ind w:left="920"/>
              <w:spacing w:after="0" w:line="135" w:lineRule="exact"/>
              <w:rPr>
                <w:sz w:val="20"/>
                <w:szCs w:val="20"/>
                <w:color w:val="auto"/>
              </w:rPr>
            </w:pPr>
            <w:r>
              <w:rPr>
                <w:rFonts w:ascii="Arial" w:cs="Arial" w:eastAsia="Arial" w:hAnsi="Arial"/>
                <w:sz w:val="12"/>
                <w:szCs w:val="12"/>
                <w:b w:val="1"/>
                <w:bCs w:val="1"/>
                <w:color w:val="FFFFFF"/>
              </w:rPr>
              <w:t>YoY</w:t>
            </w:r>
          </w:p>
        </w:tc>
      </w:tr>
      <w:tr>
        <w:trPr>
          <w:trHeight w:val="105"/>
        </w:trPr>
        <w:tc>
          <w:tcPr>
            <w:tcW w:w="4560" w:type="dxa"/>
            <w:vAlign w:val="bottom"/>
            <w:tcBorders>
              <w:left w:val="single" w:sz="8" w:color="auto"/>
              <w:right w:val="single" w:sz="8" w:color="auto"/>
            </w:tcBorders>
          </w:tcPr>
          <w:p>
            <w:pPr>
              <w:ind w:left="20"/>
              <w:spacing w:after="0" w:line="105" w:lineRule="exact"/>
              <w:rPr>
                <w:sz w:val="20"/>
                <w:szCs w:val="20"/>
                <w:color w:val="auto"/>
              </w:rPr>
            </w:pPr>
            <w:r>
              <w:rPr>
                <w:rFonts w:ascii="Arial" w:cs="Arial" w:eastAsia="Arial" w:hAnsi="Arial"/>
                <w:sz w:val="8"/>
                <w:szCs w:val="8"/>
                <w:color w:val="auto"/>
              </w:rPr>
              <w:t xml:space="preserve">BCP Stand-Alone </w:t>
            </w:r>
            <w:r>
              <w:rPr>
                <w:rFonts w:ascii="Arial" w:cs="Arial" w:eastAsia="Arial" w:hAnsi="Arial"/>
                <w:sz w:val="12"/>
                <w:szCs w:val="12"/>
                <w:color w:val="auto"/>
                <w:vertAlign w:val="superscript"/>
              </w:rPr>
              <w:t>(1)</w:t>
            </w:r>
          </w:p>
        </w:tc>
        <w:tc>
          <w:tcPr>
            <w:tcW w:w="1320" w:type="dxa"/>
            <w:vAlign w:val="bottom"/>
          </w:tcPr>
          <w:p>
            <w:pPr>
              <w:jc w:val="center"/>
              <w:spacing w:after="0" w:line="105" w:lineRule="exact"/>
              <w:rPr>
                <w:sz w:val="20"/>
                <w:szCs w:val="20"/>
                <w:color w:val="auto"/>
              </w:rPr>
            </w:pPr>
            <w:r>
              <w:rPr>
                <w:rFonts w:ascii="Arial" w:cs="Arial" w:eastAsia="Arial" w:hAnsi="Arial"/>
                <w:sz w:val="12"/>
                <w:szCs w:val="12"/>
                <w:color w:val="auto"/>
              </w:rPr>
              <w:t>704,628</w:t>
            </w:r>
          </w:p>
        </w:tc>
        <w:tc>
          <w:tcPr>
            <w:tcW w:w="1320" w:type="dxa"/>
            <w:vAlign w:val="bottom"/>
          </w:tcPr>
          <w:p>
            <w:pPr>
              <w:jc w:val="center"/>
              <w:spacing w:after="0" w:line="105" w:lineRule="exact"/>
              <w:rPr>
                <w:sz w:val="20"/>
                <w:szCs w:val="20"/>
                <w:color w:val="auto"/>
              </w:rPr>
            </w:pPr>
            <w:r>
              <w:rPr>
                <w:rFonts w:ascii="Arial" w:cs="Arial" w:eastAsia="Arial" w:hAnsi="Arial"/>
                <w:sz w:val="12"/>
                <w:szCs w:val="12"/>
                <w:color w:val="auto"/>
              </w:rPr>
              <w:t>809,060</w:t>
            </w:r>
          </w:p>
        </w:tc>
        <w:tc>
          <w:tcPr>
            <w:tcW w:w="136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color w:val="auto"/>
              </w:rPr>
              <w:t>831,427</w:t>
            </w:r>
          </w:p>
        </w:tc>
        <w:tc>
          <w:tcPr>
            <w:tcW w:w="960" w:type="dxa"/>
            <w:vAlign w:val="bottom"/>
          </w:tcPr>
          <w:p>
            <w:pPr>
              <w:jc w:val="center"/>
              <w:ind w:left="298"/>
              <w:spacing w:after="0" w:line="105" w:lineRule="exact"/>
              <w:rPr>
                <w:sz w:val="20"/>
                <w:szCs w:val="20"/>
                <w:color w:val="auto"/>
              </w:rPr>
            </w:pPr>
            <w:r>
              <w:rPr>
                <w:rFonts w:ascii="Arial" w:cs="Arial" w:eastAsia="Arial" w:hAnsi="Arial"/>
                <w:sz w:val="12"/>
                <w:szCs w:val="12"/>
                <w:color w:val="auto"/>
              </w:rPr>
              <w:t>2.8%</w:t>
            </w:r>
          </w:p>
        </w:tc>
        <w:tc>
          <w:tcPr>
            <w:tcW w:w="1720" w:type="dxa"/>
            <w:vAlign w:val="bottom"/>
            <w:tcBorders>
              <w:right w:val="single" w:sz="8" w:color="auto"/>
            </w:tcBorders>
          </w:tcPr>
          <w:p>
            <w:pPr>
              <w:jc w:val="center"/>
              <w:ind w:left="298"/>
              <w:spacing w:after="0" w:line="105" w:lineRule="exact"/>
              <w:rPr>
                <w:sz w:val="20"/>
                <w:szCs w:val="20"/>
                <w:color w:val="auto"/>
              </w:rPr>
            </w:pPr>
            <w:r>
              <w:rPr>
                <w:rFonts w:ascii="Arial" w:cs="Arial" w:eastAsia="Arial" w:hAnsi="Arial"/>
                <w:sz w:val="12"/>
                <w:szCs w:val="12"/>
                <w:color w:val="auto"/>
              </w:rPr>
              <w:t>18.0%</w:t>
            </w:r>
          </w:p>
        </w:tc>
      </w:tr>
      <w:tr>
        <w:trPr>
          <w:trHeight w:val="141"/>
        </w:trPr>
        <w:tc>
          <w:tcPr>
            <w:tcW w:w="4560" w:type="dxa"/>
            <w:vAlign w:val="bottom"/>
            <w:tcBorders>
              <w:left w:val="single" w:sz="8" w:color="auto"/>
              <w:right w:val="single" w:sz="8" w:color="auto"/>
            </w:tcBorders>
          </w:tcPr>
          <w:p>
            <w:pPr>
              <w:ind w:left="20"/>
              <w:spacing w:after="0" w:line="141" w:lineRule="exact"/>
              <w:rPr>
                <w:sz w:val="20"/>
                <w:szCs w:val="20"/>
                <w:color w:val="auto"/>
              </w:rPr>
            </w:pPr>
            <w:r>
              <w:rPr>
                <w:rFonts w:ascii="Arial" w:cs="Arial" w:eastAsia="Arial" w:hAnsi="Arial"/>
                <w:sz w:val="10"/>
                <w:szCs w:val="10"/>
                <w:color w:val="auto"/>
              </w:rPr>
              <w:t xml:space="preserve">BCP Bolivia </w:t>
            </w:r>
            <w:r>
              <w:rPr>
                <w:rFonts w:ascii="Arial" w:cs="Arial" w:eastAsia="Arial" w:hAnsi="Arial"/>
                <w:sz w:val="16"/>
                <w:szCs w:val="16"/>
                <w:color w:val="auto"/>
                <w:vertAlign w:val="superscript"/>
              </w:rPr>
              <w:t>(2)</w:t>
            </w:r>
          </w:p>
        </w:tc>
        <w:tc>
          <w:tcPr>
            <w:tcW w:w="1320" w:type="dxa"/>
            <w:vAlign w:val="bottom"/>
          </w:tcPr>
          <w:p>
            <w:pPr>
              <w:jc w:val="center"/>
              <w:spacing w:after="0" w:line="141" w:lineRule="exact"/>
              <w:rPr>
                <w:sz w:val="20"/>
                <w:szCs w:val="20"/>
                <w:color w:val="auto"/>
              </w:rPr>
            </w:pPr>
            <w:r>
              <w:rPr>
                <w:rFonts w:ascii="Arial" w:cs="Arial" w:eastAsia="Arial" w:hAnsi="Arial"/>
                <w:sz w:val="13"/>
                <w:szCs w:val="13"/>
                <w:color w:val="auto"/>
                <w:w w:val="95"/>
              </w:rPr>
              <w:t>14,868</w:t>
            </w:r>
          </w:p>
        </w:tc>
        <w:tc>
          <w:tcPr>
            <w:tcW w:w="1320" w:type="dxa"/>
            <w:vAlign w:val="bottom"/>
          </w:tcPr>
          <w:p>
            <w:pPr>
              <w:jc w:val="center"/>
              <w:spacing w:after="0" w:line="141" w:lineRule="exact"/>
              <w:rPr>
                <w:sz w:val="20"/>
                <w:szCs w:val="20"/>
                <w:color w:val="auto"/>
              </w:rPr>
            </w:pPr>
            <w:r>
              <w:rPr>
                <w:rFonts w:ascii="Arial" w:cs="Arial" w:eastAsia="Arial" w:hAnsi="Arial"/>
                <w:sz w:val="13"/>
                <w:szCs w:val="13"/>
                <w:color w:val="auto"/>
                <w:w w:val="95"/>
              </w:rPr>
              <w:t>14,197</w:t>
            </w: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5"/>
              </w:rPr>
              <w:t>12,844</w:t>
            </w:r>
          </w:p>
        </w:tc>
        <w:tc>
          <w:tcPr>
            <w:tcW w:w="960" w:type="dxa"/>
            <w:vAlign w:val="bottom"/>
          </w:tcPr>
          <w:p>
            <w:pPr>
              <w:jc w:val="center"/>
              <w:ind w:left="298"/>
              <w:spacing w:after="0" w:line="141" w:lineRule="exact"/>
              <w:rPr>
                <w:sz w:val="20"/>
                <w:szCs w:val="20"/>
                <w:color w:val="auto"/>
              </w:rPr>
            </w:pPr>
            <w:r>
              <w:rPr>
                <w:rFonts w:ascii="Arial" w:cs="Arial" w:eastAsia="Arial" w:hAnsi="Arial"/>
                <w:sz w:val="13"/>
                <w:szCs w:val="13"/>
                <w:color w:val="auto"/>
                <w:w w:val="94"/>
              </w:rPr>
              <w:t>-9.5%</w:t>
            </w:r>
          </w:p>
        </w:tc>
        <w:tc>
          <w:tcPr>
            <w:tcW w:w="1720" w:type="dxa"/>
            <w:vAlign w:val="bottom"/>
            <w:tcBorders>
              <w:right w:val="single" w:sz="8" w:color="auto"/>
            </w:tcBorders>
          </w:tcPr>
          <w:p>
            <w:pPr>
              <w:jc w:val="center"/>
              <w:ind w:left="298"/>
              <w:spacing w:after="0" w:line="141" w:lineRule="exact"/>
              <w:rPr>
                <w:sz w:val="20"/>
                <w:szCs w:val="20"/>
                <w:color w:val="auto"/>
              </w:rPr>
            </w:pPr>
            <w:r>
              <w:rPr>
                <w:rFonts w:ascii="Arial" w:cs="Arial" w:eastAsia="Arial" w:hAnsi="Arial"/>
                <w:sz w:val="13"/>
                <w:szCs w:val="13"/>
                <w:color w:val="auto"/>
                <w:w w:val="97"/>
              </w:rPr>
              <w:t>-13.6%</w:t>
            </w:r>
          </w:p>
        </w:tc>
      </w:tr>
      <w:tr>
        <w:trPr>
          <w:trHeight w:val="135"/>
        </w:trPr>
        <w:tc>
          <w:tcPr>
            <w:tcW w:w="456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Mibanco</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5"/>
              </w:rPr>
              <w:t>24,173</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5"/>
              </w:rPr>
              <w:t>24,108</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28,339</w:t>
            </w:r>
          </w:p>
        </w:tc>
        <w:tc>
          <w:tcPr>
            <w:tcW w:w="960" w:type="dxa"/>
            <w:vAlign w:val="bottom"/>
          </w:tcPr>
          <w:p>
            <w:pPr>
              <w:jc w:val="center"/>
              <w:ind w:left="298"/>
              <w:spacing w:after="0" w:line="135" w:lineRule="exact"/>
              <w:rPr>
                <w:sz w:val="20"/>
                <w:szCs w:val="20"/>
                <w:color w:val="auto"/>
              </w:rPr>
            </w:pPr>
            <w:r>
              <w:rPr>
                <w:rFonts w:ascii="Arial" w:cs="Arial" w:eastAsia="Arial" w:hAnsi="Arial"/>
                <w:sz w:val="13"/>
                <w:szCs w:val="13"/>
                <w:color w:val="auto"/>
                <w:w w:val="97"/>
              </w:rPr>
              <w:t>17.6%</w:t>
            </w:r>
          </w:p>
        </w:tc>
        <w:tc>
          <w:tcPr>
            <w:tcW w:w="1720" w:type="dxa"/>
            <w:vAlign w:val="bottom"/>
            <w:tcBorders>
              <w:right w:val="single" w:sz="8" w:color="auto"/>
            </w:tcBorders>
          </w:tcPr>
          <w:p>
            <w:pPr>
              <w:jc w:val="center"/>
              <w:ind w:left="298"/>
              <w:spacing w:after="0" w:line="135" w:lineRule="exact"/>
              <w:rPr>
                <w:sz w:val="20"/>
                <w:szCs w:val="20"/>
                <w:color w:val="auto"/>
              </w:rPr>
            </w:pPr>
            <w:r>
              <w:rPr>
                <w:rFonts w:ascii="Arial" w:cs="Arial" w:eastAsia="Arial" w:hAnsi="Arial"/>
                <w:sz w:val="13"/>
                <w:szCs w:val="13"/>
                <w:color w:val="auto"/>
                <w:w w:val="97"/>
              </w:rPr>
              <w:t>17.2%</w:t>
            </w:r>
          </w:p>
        </w:tc>
      </w:tr>
      <w:tr>
        <w:trPr>
          <w:trHeight w:val="135"/>
        </w:trPr>
        <w:tc>
          <w:tcPr>
            <w:tcW w:w="456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Mibanco Colombia</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5"/>
              </w:rPr>
              <w:t>11,250</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5"/>
              </w:rPr>
              <w:t>11,356</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9,126</w:t>
            </w:r>
          </w:p>
        </w:tc>
        <w:tc>
          <w:tcPr>
            <w:tcW w:w="960" w:type="dxa"/>
            <w:vAlign w:val="bottom"/>
          </w:tcPr>
          <w:p>
            <w:pPr>
              <w:jc w:val="center"/>
              <w:ind w:left="298"/>
              <w:spacing w:after="0" w:line="135" w:lineRule="exact"/>
              <w:rPr>
                <w:sz w:val="20"/>
                <w:szCs w:val="20"/>
                <w:color w:val="auto"/>
              </w:rPr>
            </w:pPr>
            <w:r>
              <w:rPr>
                <w:rFonts w:ascii="Arial" w:cs="Arial" w:eastAsia="Arial" w:hAnsi="Arial"/>
                <w:sz w:val="13"/>
                <w:szCs w:val="13"/>
                <w:color w:val="auto"/>
                <w:w w:val="97"/>
              </w:rPr>
              <w:t>-19.6%</w:t>
            </w:r>
          </w:p>
        </w:tc>
        <w:tc>
          <w:tcPr>
            <w:tcW w:w="1720" w:type="dxa"/>
            <w:vAlign w:val="bottom"/>
            <w:tcBorders>
              <w:right w:val="single" w:sz="8" w:color="auto"/>
            </w:tcBorders>
          </w:tcPr>
          <w:p>
            <w:pPr>
              <w:jc w:val="center"/>
              <w:ind w:left="298"/>
              <w:spacing w:after="0" w:line="135" w:lineRule="exact"/>
              <w:rPr>
                <w:sz w:val="20"/>
                <w:szCs w:val="20"/>
                <w:color w:val="auto"/>
              </w:rPr>
            </w:pPr>
            <w:r>
              <w:rPr>
                <w:rFonts w:ascii="Arial" w:cs="Arial" w:eastAsia="Arial" w:hAnsi="Arial"/>
                <w:sz w:val="13"/>
                <w:szCs w:val="13"/>
                <w:color w:val="auto"/>
                <w:w w:val="97"/>
              </w:rPr>
              <w:t>-18.9%</w:t>
            </w:r>
          </w:p>
        </w:tc>
      </w:tr>
      <w:tr>
        <w:trPr>
          <w:trHeight w:val="135"/>
        </w:trPr>
        <w:tc>
          <w:tcPr>
            <w:tcW w:w="456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Pacífico</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7"/>
              </w:rPr>
              <w:t>-3,199</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2"/>
              </w:rPr>
              <w:t>-3,115</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-3,757</w:t>
            </w:r>
          </w:p>
        </w:tc>
        <w:tc>
          <w:tcPr>
            <w:tcW w:w="960" w:type="dxa"/>
            <w:vAlign w:val="bottom"/>
          </w:tcPr>
          <w:p>
            <w:pPr>
              <w:jc w:val="center"/>
              <w:ind w:left="298"/>
              <w:spacing w:after="0" w:line="135" w:lineRule="exact"/>
              <w:rPr>
                <w:sz w:val="20"/>
                <w:szCs w:val="20"/>
                <w:color w:val="auto"/>
              </w:rPr>
            </w:pPr>
            <w:r>
              <w:rPr>
                <w:rFonts w:ascii="Arial" w:cs="Arial" w:eastAsia="Arial" w:hAnsi="Arial"/>
                <w:sz w:val="13"/>
                <w:szCs w:val="13"/>
                <w:color w:val="auto"/>
                <w:w w:val="97"/>
              </w:rPr>
              <w:t>20.6%</w:t>
            </w:r>
          </w:p>
        </w:tc>
        <w:tc>
          <w:tcPr>
            <w:tcW w:w="1720" w:type="dxa"/>
            <w:vAlign w:val="bottom"/>
            <w:tcBorders>
              <w:right w:val="single" w:sz="8" w:color="auto"/>
            </w:tcBorders>
          </w:tcPr>
          <w:p>
            <w:pPr>
              <w:jc w:val="center"/>
              <w:ind w:left="298"/>
              <w:spacing w:after="0" w:line="135" w:lineRule="exact"/>
              <w:rPr>
                <w:sz w:val="20"/>
                <w:szCs w:val="20"/>
                <w:color w:val="auto"/>
              </w:rPr>
            </w:pPr>
            <w:r>
              <w:rPr>
                <w:rFonts w:ascii="Arial" w:cs="Arial" w:eastAsia="Arial" w:hAnsi="Arial"/>
                <w:sz w:val="13"/>
                <w:szCs w:val="13"/>
                <w:color w:val="auto"/>
                <w:w w:val="97"/>
              </w:rPr>
              <w:t>17.4%</w:t>
            </w:r>
          </w:p>
        </w:tc>
      </w:tr>
      <w:tr>
        <w:trPr>
          <w:trHeight w:val="135"/>
        </w:trPr>
        <w:tc>
          <w:tcPr>
            <w:tcW w:w="456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Prima</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5"/>
              </w:rPr>
              <w:t>94,528</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5"/>
              </w:rPr>
              <w:t>88,102</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94,072</w:t>
            </w:r>
          </w:p>
        </w:tc>
        <w:tc>
          <w:tcPr>
            <w:tcW w:w="960" w:type="dxa"/>
            <w:vAlign w:val="bottom"/>
          </w:tcPr>
          <w:p>
            <w:pPr>
              <w:jc w:val="center"/>
              <w:ind w:left="298"/>
              <w:spacing w:after="0" w:line="135" w:lineRule="exact"/>
              <w:rPr>
                <w:sz w:val="20"/>
                <w:szCs w:val="20"/>
                <w:color w:val="auto"/>
              </w:rPr>
            </w:pPr>
            <w:r>
              <w:rPr>
                <w:rFonts w:ascii="Arial" w:cs="Arial" w:eastAsia="Arial" w:hAnsi="Arial"/>
                <w:sz w:val="13"/>
                <w:szCs w:val="13"/>
                <w:color w:val="auto"/>
                <w:w w:val="94"/>
              </w:rPr>
              <w:t>6.8%</w:t>
            </w:r>
          </w:p>
        </w:tc>
        <w:tc>
          <w:tcPr>
            <w:tcW w:w="1720" w:type="dxa"/>
            <w:vAlign w:val="bottom"/>
            <w:tcBorders>
              <w:right w:val="single" w:sz="8" w:color="auto"/>
            </w:tcBorders>
          </w:tcPr>
          <w:p>
            <w:pPr>
              <w:jc w:val="center"/>
              <w:ind w:left="298"/>
              <w:spacing w:after="0" w:line="135" w:lineRule="exact"/>
              <w:rPr>
                <w:sz w:val="20"/>
                <w:szCs w:val="20"/>
                <w:color w:val="auto"/>
              </w:rPr>
            </w:pPr>
            <w:r>
              <w:rPr>
                <w:rFonts w:ascii="Arial" w:cs="Arial" w:eastAsia="Arial" w:hAnsi="Arial"/>
                <w:sz w:val="13"/>
                <w:szCs w:val="13"/>
                <w:color w:val="auto"/>
                <w:w w:val="94"/>
              </w:rPr>
              <w:t>-0.5%</w:t>
            </w:r>
          </w:p>
        </w:tc>
      </w:tr>
      <w:tr>
        <w:trPr>
          <w:trHeight w:val="135"/>
        </w:trPr>
        <w:tc>
          <w:tcPr>
            <w:tcW w:w="456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ASB</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5"/>
              </w:rPr>
              <w:t>17,062</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5"/>
              </w:rPr>
              <w:t>15,170</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13,826</w:t>
            </w:r>
          </w:p>
        </w:tc>
        <w:tc>
          <w:tcPr>
            <w:tcW w:w="960" w:type="dxa"/>
            <w:vAlign w:val="bottom"/>
          </w:tcPr>
          <w:p>
            <w:pPr>
              <w:jc w:val="center"/>
              <w:ind w:left="298"/>
              <w:spacing w:after="0" w:line="135" w:lineRule="exact"/>
              <w:rPr>
                <w:sz w:val="20"/>
                <w:szCs w:val="20"/>
                <w:color w:val="auto"/>
              </w:rPr>
            </w:pPr>
            <w:r>
              <w:rPr>
                <w:rFonts w:ascii="Arial" w:cs="Arial" w:eastAsia="Arial" w:hAnsi="Arial"/>
                <w:sz w:val="13"/>
                <w:szCs w:val="13"/>
                <w:color w:val="auto"/>
                <w:w w:val="94"/>
              </w:rPr>
              <w:t>-8.9%</w:t>
            </w:r>
          </w:p>
        </w:tc>
        <w:tc>
          <w:tcPr>
            <w:tcW w:w="1720" w:type="dxa"/>
            <w:vAlign w:val="bottom"/>
            <w:tcBorders>
              <w:right w:val="single" w:sz="8" w:color="auto"/>
            </w:tcBorders>
          </w:tcPr>
          <w:p>
            <w:pPr>
              <w:jc w:val="center"/>
              <w:ind w:left="298"/>
              <w:spacing w:after="0" w:line="135" w:lineRule="exact"/>
              <w:rPr>
                <w:sz w:val="20"/>
                <w:szCs w:val="20"/>
                <w:color w:val="auto"/>
              </w:rPr>
            </w:pPr>
            <w:r>
              <w:rPr>
                <w:rFonts w:ascii="Arial" w:cs="Arial" w:eastAsia="Arial" w:hAnsi="Arial"/>
                <w:sz w:val="13"/>
                <w:szCs w:val="13"/>
                <w:color w:val="auto"/>
                <w:w w:val="97"/>
              </w:rPr>
              <w:t>-19.0%</w:t>
            </w:r>
          </w:p>
        </w:tc>
      </w:tr>
      <w:tr>
        <w:trPr>
          <w:trHeight w:val="129"/>
        </w:trPr>
        <w:tc>
          <w:tcPr>
            <w:tcW w:w="4560" w:type="dxa"/>
            <w:vAlign w:val="bottom"/>
            <w:tcBorders>
              <w:left w:val="single" w:sz="8" w:color="auto"/>
              <w:right w:val="single" w:sz="8" w:color="auto"/>
            </w:tcBorders>
          </w:tcPr>
          <w:p>
            <w:pPr>
              <w:ind w:left="20"/>
              <w:spacing w:after="0" w:line="129" w:lineRule="exact"/>
              <w:rPr>
                <w:sz w:val="20"/>
                <w:szCs w:val="20"/>
                <w:color w:val="auto"/>
              </w:rPr>
            </w:pPr>
            <w:r>
              <w:rPr>
                <w:rFonts w:ascii="Arial" w:cs="Arial" w:eastAsia="Arial" w:hAnsi="Arial"/>
                <w:sz w:val="13"/>
                <w:szCs w:val="13"/>
                <w:color w:val="auto"/>
              </w:rPr>
              <w:t>Credicorp Capital</w:t>
            </w:r>
          </w:p>
        </w:tc>
        <w:tc>
          <w:tcPr>
            <w:tcW w:w="1320" w:type="dxa"/>
            <w:vAlign w:val="bottom"/>
          </w:tcPr>
          <w:p>
            <w:pPr>
              <w:jc w:val="center"/>
              <w:spacing w:after="0" w:line="129" w:lineRule="exact"/>
              <w:rPr>
                <w:sz w:val="20"/>
                <w:szCs w:val="20"/>
                <w:color w:val="auto"/>
              </w:rPr>
            </w:pPr>
            <w:r>
              <w:rPr>
                <w:rFonts w:ascii="Arial" w:cs="Arial" w:eastAsia="Arial" w:hAnsi="Arial"/>
                <w:sz w:val="13"/>
                <w:szCs w:val="13"/>
                <w:color w:val="auto"/>
                <w:w w:val="97"/>
              </w:rPr>
              <w:t>128,148</w:t>
            </w:r>
          </w:p>
        </w:tc>
        <w:tc>
          <w:tcPr>
            <w:tcW w:w="1320" w:type="dxa"/>
            <w:vAlign w:val="bottom"/>
          </w:tcPr>
          <w:p>
            <w:pPr>
              <w:jc w:val="center"/>
              <w:spacing w:after="0" w:line="129" w:lineRule="exact"/>
              <w:rPr>
                <w:sz w:val="20"/>
                <w:szCs w:val="20"/>
                <w:color w:val="auto"/>
              </w:rPr>
            </w:pPr>
            <w:r>
              <w:rPr>
                <w:rFonts w:ascii="Arial" w:cs="Arial" w:eastAsia="Arial" w:hAnsi="Arial"/>
                <w:sz w:val="13"/>
                <w:szCs w:val="13"/>
                <w:color w:val="auto"/>
                <w:w w:val="97"/>
              </w:rPr>
              <w:t>131,199</w:t>
            </w:r>
          </w:p>
        </w:tc>
        <w:tc>
          <w:tcPr>
            <w:tcW w:w="13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7"/>
              </w:rPr>
              <w:t>136,264</w:t>
            </w:r>
          </w:p>
        </w:tc>
        <w:tc>
          <w:tcPr>
            <w:tcW w:w="960" w:type="dxa"/>
            <w:vAlign w:val="bottom"/>
          </w:tcPr>
          <w:p>
            <w:pPr>
              <w:jc w:val="center"/>
              <w:ind w:left="298"/>
              <w:spacing w:after="0" w:line="129" w:lineRule="exact"/>
              <w:rPr>
                <w:sz w:val="20"/>
                <w:szCs w:val="20"/>
                <w:color w:val="auto"/>
              </w:rPr>
            </w:pPr>
            <w:r>
              <w:rPr>
                <w:rFonts w:ascii="Arial" w:cs="Arial" w:eastAsia="Arial" w:hAnsi="Arial"/>
                <w:sz w:val="13"/>
                <w:szCs w:val="13"/>
                <w:color w:val="auto"/>
                <w:w w:val="94"/>
              </w:rPr>
              <w:t>3.9%</w:t>
            </w:r>
          </w:p>
        </w:tc>
        <w:tc>
          <w:tcPr>
            <w:tcW w:w="1720" w:type="dxa"/>
            <w:vAlign w:val="bottom"/>
            <w:tcBorders>
              <w:right w:val="single" w:sz="8" w:color="auto"/>
            </w:tcBorders>
          </w:tcPr>
          <w:p>
            <w:pPr>
              <w:jc w:val="center"/>
              <w:ind w:left="298"/>
              <w:spacing w:after="0" w:line="129" w:lineRule="exact"/>
              <w:rPr>
                <w:sz w:val="20"/>
                <w:szCs w:val="20"/>
                <w:color w:val="auto"/>
              </w:rPr>
            </w:pPr>
            <w:r>
              <w:rPr>
                <w:rFonts w:ascii="Arial" w:cs="Arial" w:eastAsia="Arial" w:hAnsi="Arial"/>
                <w:sz w:val="13"/>
                <w:szCs w:val="13"/>
                <w:color w:val="auto"/>
                <w:w w:val="94"/>
              </w:rPr>
              <w:t>6.3%</w:t>
            </w:r>
          </w:p>
        </w:tc>
      </w:tr>
      <w:tr>
        <w:trPr>
          <w:trHeight w:val="159"/>
        </w:trPr>
        <w:tc>
          <w:tcPr>
            <w:tcW w:w="4560" w:type="dxa"/>
            <w:vAlign w:val="bottom"/>
            <w:tcBorders>
              <w:left w:val="single" w:sz="8" w:color="auto"/>
              <w:bottom w:val="single" w:sz="8" w:color="auto"/>
              <w:right w:val="single" w:sz="8" w:color="auto"/>
            </w:tcBorders>
          </w:tcPr>
          <w:p>
            <w:pPr>
              <w:ind w:left="20"/>
              <w:spacing w:after="0" w:line="159" w:lineRule="exact"/>
              <w:rPr>
                <w:sz w:val="20"/>
                <w:szCs w:val="20"/>
                <w:color w:val="auto"/>
              </w:rPr>
            </w:pPr>
            <w:r>
              <w:rPr>
                <w:rFonts w:ascii="Arial" w:cs="Arial" w:eastAsia="Arial" w:hAnsi="Arial"/>
                <w:sz w:val="12"/>
                <w:szCs w:val="12"/>
                <w:color w:val="auto"/>
              </w:rPr>
              <w:t xml:space="preserve">Eliminations and Other </w:t>
            </w:r>
            <w:r>
              <w:rPr>
                <w:rFonts w:ascii="Arial" w:cs="Arial" w:eastAsia="Arial" w:hAnsi="Arial"/>
                <w:sz w:val="18"/>
                <w:szCs w:val="18"/>
                <w:color w:val="auto"/>
                <w:vertAlign w:val="superscript"/>
              </w:rPr>
              <w:t>(3)</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-134,893</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-116,738</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-128,117</w:t>
            </w:r>
          </w:p>
        </w:tc>
        <w:tc>
          <w:tcPr>
            <w:tcW w:w="960" w:type="dxa"/>
            <w:vAlign w:val="bottom"/>
            <w:tcBorders>
              <w:bottom w:val="single" w:sz="8" w:color="auto"/>
            </w:tcBorders>
          </w:tcPr>
          <w:p>
            <w:pPr>
              <w:jc w:val="center"/>
              <w:ind w:left="298"/>
              <w:spacing w:after="0"/>
              <w:rPr>
                <w:sz w:val="20"/>
                <w:szCs w:val="20"/>
                <w:color w:val="auto"/>
              </w:rPr>
            </w:pPr>
            <w:r>
              <w:rPr>
                <w:rFonts w:ascii="Arial" w:cs="Arial" w:eastAsia="Arial" w:hAnsi="Arial"/>
                <w:sz w:val="13"/>
                <w:szCs w:val="13"/>
                <w:color w:val="auto"/>
                <w:w w:val="94"/>
              </w:rPr>
              <w:t>9.7%</w:t>
            </w:r>
          </w:p>
        </w:tc>
        <w:tc>
          <w:tcPr>
            <w:tcW w:w="1720" w:type="dxa"/>
            <w:vAlign w:val="bottom"/>
            <w:tcBorders>
              <w:bottom w:val="single" w:sz="8" w:color="auto"/>
              <w:right w:val="single" w:sz="8" w:color="auto"/>
            </w:tcBorders>
          </w:tcPr>
          <w:p>
            <w:pPr>
              <w:jc w:val="center"/>
              <w:ind w:left="298"/>
              <w:spacing w:after="0"/>
              <w:rPr>
                <w:sz w:val="20"/>
                <w:szCs w:val="20"/>
                <w:color w:val="auto"/>
              </w:rPr>
            </w:pPr>
            <w:r>
              <w:rPr>
                <w:rFonts w:ascii="Arial" w:cs="Arial" w:eastAsia="Arial" w:hAnsi="Arial"/>
                <w:sz w:val="13"/>
                <w:szCs w:val="13"/>
                <w:color w:val="auto"/>
                <w:w w:val="94"/>
              </w:rPr>
              <w:t>-5.0%</w:t>
            </w:r>
          </w:p>
        </w:tc>
      </w:tr>
      <w:tr>
        <w:trPr>
          <w:trHeight w:val="128"/>
        </w:trPr>
        <w:tc>
          <w:tcPr>
            <w:tcW w:w="456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Total Net Fee Income</w:t>
            </w: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856,565</w:t>
            </w: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973,339</w:t>
            </w:r>
          </w:p>
        </w:tc>
        <w:tc>
          <w:tcPr>
            <w:tcW w:w="13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994,024</w:t>
            </w:r>
          </w:p>
        </w:tc>
        <w:tc>
          <w:tcPr>
            <w:tcW w:w="960" w:type="dxa"/>
            <w:vAlign w:val="bottom"/>
            <w:tcBorders>
              <w:bottom w:val="single" w:sz="8" w:color="auto"/>
            </w:tcBorders>
          </w:tcPr>
          <w:p>
            <w:pPr>
              <w:jc w:val="center"/>
              <w:ind w:left="298"/>
              <w:spacing w:after="0" w:line="129" w:lineRule="exact"/>
              <w:rPr>
                <w:sz w:val="20"/>
                <w:szCs w:val="20"/>
                <w:color w:val="auto"/>
              </w:rPr>
            </w:pPr>
            <w:r>
              <w:rPr>
                <w:rFonts w:ascii="Arial" w:cs="Arial" w:eastAsia="Arial" w:hAnsi="Arial"/>
                <w:sz w:val="13"/>
                <w:szCs w:val="13"/>
                <w:b w:val="1"/>
                <w:bCs w:val="1"/>
                <w:color w:val="auto"/>
                <w:w w:val="94"/>
              </w:rPr>
              <w:t>2.1%</w:t>
            </w:r>
          </w:p>
        </w:tc>
        <w:tc>
          <w:tcPr>
            <w:tcW w:w="1720" w:type="dxa"/>
            <w:vAlign w:val="bottom"/>
            <w:tcBorders>
              <w:bottom w:val="single" w:sz="8" w:color="auto"/>
              <w:right w:val="single" w:sz="8" w:color="auto"/>
            </w:tcBorders>
          </w:tcPr>
          <w:p>
            <w:pPr>
              <w:jc w:val="center"/>
              <w:ind w:left="298"/>
              <w:spacing w:after="0" w:line="129" w:lineRule="exact"/>
              <w:rPr>
                <w:sz w:val="20"/>
                <w:szCs w:val="20"/>
                <w:color w:val="auto"/>
              </w:rPr>
            </w:pPr>
            <w:r>
              <w:rPr>
                <w:rFonts w:ascii="Arial" w:cs="Arial" w:eastAsia="Arial" w:hAnsi="Arial"/>
                <w:sz w:val="13"/>
                <w:szCs w:val="13"/>
                <w:b w:val="1"/>
                <w:bCs w:val="1"/>
                <w:color w:val="auto"/>
                <w:w w:val="97"/>
              </w:rPr>
              <w:t>16.0%</w:t>
            </w:r>
          </w:p>
        </w:tc>
      </w:tr>
    </w:tbl>
    <w:p>
      <w:pPr>
        <w:ind w:left="180" w:right="180" w:hanging="172"/>
        <w:spacing w:after="0" w:line="236" w:lineRule="auto"/>
        <w:tabs>
          <w:tab w:leader="none" w:pos="1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Beginning in 1Q25, accounting reclassifications related to credit card loyalty program expenses and Yape’s transactional fee expenses have been incorporated. These reclassifications affected Administrative and General Expenses as well as Fee Income. Prior periods have been restated for comparability and may differ from previously reported figures.</w:t>
      </w:r>
    </w:p>
    <w:p>
      <w:pPr>
        <w:ind w:left="180" w:right="380" w:hanging="172"/>
        <w:spacing w:after="0" w:line="234" w:lineRule="auto"/>
        <w:tabs>
          <w:tab w:leader="none" w:pos="1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Beginning in 1Q25, reclassifications related to FX operations at BCP Bolivia have been incorporated. These reclassifications affected Fee Income and Net Gain on Derivatives Held for Trading, which are now consolidated into Net Gain on Foreign Exchange Transactions. Prior periods have been restated for comparability and may differ from previously reported figures.</w:t>
      </w:r>
    </w:p>
    <w:p>
      <w:pPr>
        <w:ind w:left="180" w:hanging="172"/>
        <w:spacing w:after="0"/>
        <w:tabs>
          <w:tab w:leader="none" w:pos="1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Correspond mainly to the eliminations of bancassurance between Pacifico, BCP, and Mibanco.</w:t>
      </w:r>
    </w:p>
    <w:p>
      <w:pPr>
        <w:spacing w:after="0" w:line="178" w:lineRule="exact"/>
        <w:rPr>
          <w:sz w:val="20"/>
          <w:szCs w:val="20"/>
          <w:color w:val="auto"/>
        </w:rPr>
      </w:pPr>
    </w:p>
    <w:p>
      <w:pPr>
        <w:ind w:right="220"/>
        <w:spacing w:after="0" w:line="576" w:lineRule="auto"/>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the 2.1% increase was driven mainly by an uptick in fee income at</w:t>
      </w: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(dynamics to be described in the next section).</w:t>
      </w:r>
      <w:r>
        <w:rPr>
          <w:rFonts w:ascii="Arial" w:cs="Arial" w:eastAsia="Arial" w:hAnsi="Arial"/>
          <w:sz w:val="18"/>
          <w:szCs w:val="18"/>
          <w:b w:val="1"/>
          <w:bCs w:val="1"/>
          <w:color w:val="auto"/>
        </w:rPr>
        <w:t xml:space="preserve"> YoY</w:t>
      </w:r>
      <w:r>
        <w:rPr>
          <w:rFonts w:ascii="Arial" w:cs="Arial" w:eastAsia="Arial" w:hAnsi="Arial"/>
          <w:sz w:val="18"/>
          <w:szCs w:val="18"/>
          <w:color w:val="auto"/>
        </w:rPr>
        <w:t>, growth of 16.0% was fueled primarily by</w:t>
      </w: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(details in the next section).</w:t>
      </w:r>
      <w:r>
        <w:rPr>
          <w:rFonts w:ascii="Arial" w:cs="Arial" w:eastAsia="Arial" w:hAnsi="Arial"/>
          <w:sz w:val="18"/>
          <w:szCs w:val="18"/>
          <w:b w:val="1"/>
          <w:bCs w:val="1"/>
          <w:color w:val="auto"/>
        </w:rPr>
        <w:t xml:space="preserve"> Fee Income at BCP Stand-alone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Composition of Fee Income at BCP Stand-alone </w:t>
      </w:r>
      <w:r>
        <w:rPr>
          <w:rFonts w:ascii="Arial" w:cs="Arial" w:eastAsia="Arial" w:hAnsi="Arial"/>
          <w:sz w:val="29"/>
          <w:szCs w:val="29"/>
          <w:b w:val="1"/>
          <w:bCs w:val="1"/>
          <w:color w:val="auto"/>
          <w:vertAlign w:val="superscript"/>
        </w:rPr>
        <w:t>(*)</w:t>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4560" w:type="dxa"/>
            <w:vAlign w:val="bottom"/>
            <w:tcBorders>
              <w:top w:val="single" w:sz="8" w:color="auto"/>
              <w:left w:val="single" w:sz="8" w:color="auto"/>
              <w:right w:val="single" w:sz="8" w:color="auto"/>
            </w:tcBorders>
            <w:shd w:val="clear" w:color="auto" w:fill="33CCCC"/>
          </w:tcPr>
          <w:p>
            <w:pPr>
              <w:ind w:left="20"/>
              <w:spacing w:after="0" w:line="131" w:lineRule="exact"/>
              <w:rPr>
                <w:sz w:val="20"/>
                <w:szCs w:val="20"/>
                <w:color w:val="auto"/>
              </w:rPr>
            </w:pPr>
            <w:r>
              <w:rPr>
                <w:rFonts w:ascii="Arial" w:cs="Arial" w:eastAsia="Arial" w:hAnsi="Arial"/>
                <w:sz w:val="13"/>
                <w:szCs w:val="13"/>
                <w:b w:val="1"/>
                <w:bCs w:val="1"/>
                <w:color w:val="FFFFFF"/>
              </w:rPr>
              <w:t>BCP Stand-alone Fees</w:t>
            </w:r>
          </w:p>
        </w:tc>
        <w:tc>
          <w:tcPr>
            <w:tcW w:w="1280" w:type="dxa"/>
            <w:vAlign w:val="bottom"/>
            <w:tcBorders>
              <w:top w:val="single" w:sz="8" w:color="auto"/>
            </w:tcBorders>
            <w:shd w:val="clear" w:color="auto" w:fill="33CCCC"/>
          </w:tcPr>
          <w:p>
            <w:pPr>
              <w:spacing w:after="0"/>
              <w:rPr>
                <w:sz w:val="11"/>
                <w:szCs w:val="11"/>
                <w:color w:val="auto"/>
              </w:rPr>
            </w:pPr>
          </w:p>
        </w:tc>
        <w:tc>
          <w:tcPr>
            <w:tcW w:w="1400" w:type="dxa"/>
            <w:vAlign w:val="bottom"/>
            <w:tcBorders>
              <w:top w:val="single" w:sz="8" w:color="auto"/>
            </w:tcBorders>
            <w:shd w:val="clear" w:color="auto" w:fill="33CCCC"/>
          </w:tcPr>
          <w:p>
            <w:pPr>
              <w:ind w:left="460"/>
              <w:spacing w:after="0" w:line="131" w:lineRule="exact"/>
              <w:rPr>
                <w:sz w:val="20"/>
                <w:szCs w:val="20"/>
                <w:color w:val="auto"/>
              </w:rPr>
            </w:pPr>
            <w:r>
              <w:rPr>
                <w:rFonts w:ascii="Arial" w:cs="Arial" w:eastAsia="Arial" w:hAnsi="Arial"/>
                <w:sz w:val="13"/>
                <w:szCs w:val="13"/>
                <w:b w:val="1"/>
                <w:bCs w:val="1"/>
                <w:color w:val="FFFFFF"/>
              </w:rPr>
              <w:t>Quarter</w:t>
            </w:r>
          </w:p>
        </w:tc>
        <w:tc>
          <w:tcPr>
            <w:tcW w:w="1320" w:type="dxa"/>
            <w:vAlign w:val="bottom"/>
            <w:tcBorders>
              <w:top w:val="single" w:sz="8" w:color="auto"/>
              <w:right w:val="single" w:sz="8" w:color="auto"/>
            </w:tcBorders>
            <w:shd w:val="clear" w:color="auto" w:fill="33CCCC"/>
          </w:tcPr>
          <w:p>
            <w:pPr>
              <w:spacing w:after="0"/>
              <w:rPr>
                <w:sz w:val="11"/>
                <w:szCs w:val="11"/>
                <w:color w:val="auto"/>
              </w:rPr>
            </w:pPr>
          </w:p>
        </w:tc>
        <w:tc>
          <w:tcPr>
            <w:tcW w:w="940" w:type="dxa"/>
            <w:vAlign w:val="bottom"/>
            <w:tcBorders>
              <w:top w:val="single" w:sz="8" w:color="auto"/>
            </w:tcBorders>
            <w:shd w:val="clear" w:color="auto" w:fill="33CCCC"/>
          </w:tcPr>
          <w:p>
            <w:pPr>
              <w:spacing w:after="0"/>
              <w:rPr>
                <w:sz w:val="11"/>
                <w:szCs w:val="11"/>
                <w:color w:val="auto"/>
              </w:rPr>
            </w:pPr>
          </w:p>
        </w:tc>
        <w:tc>
          <w:tcPr>
            <w:tcW w:w="1740" w:type="dxa"/>
            <w:vAlign w:val="bottom"/>
            <w:tcBorders>
              <w:top w:val="single" w:sz="8" w:color="auto"/>
              <w:right w:val="single" w:sz="8" w:color="auto"/>
            </w:tcBorders>
            <w:shd w:val="clear" w:color="auto" w:fill="33CCCC"/>
          </w:tcPr>
          <w:p>
            <w:pPr>
              <w:ind w:left="80"/>
              <w:spacing w:after="0" w:line="131" w:lineRule="exact"/>
              <w:rPr>
                <w:sz w:val="20"/>
                <w:szCs w:val="20"/>
                <w:color w:val="auto"/>
              </w:rPr>
            </w:pPr>
            <w:r>
              <w:rPr>
                <w:rFonts w:ascii="Arial" w:cs="Arial" w:eastAsia="Arial" w:hAnsi="Arial"/>
                <w:sz w:val="13"/>
                <w:szCs w:val="13"/>
                <w:b w:val="1"/>
                <w:bCs w:val="1"/>
                <w:color w:val="FFFFFF"/>
              </w:rPr>
              <w:t>% Change</w:t>
            </w:r>
          </w:p>
        </w:tc>
      </w:tr>
      <w:tr>
        <w:trPr>
          <w:trHeight w:val="153"/>
        </w:trPr>
        <w:tc>
          <w:tcPr>
            <w:tcW w:w="456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3"/>
                <w:szCs w:val="13"/>
                <w:b w:val="1"/>
                <w:bCs w:val="1"/>
                <w:color w:val="FFFFFF"/>
              </w:rPr>
              <w:t>(S/ 000,000)</w:t>
            </w:r>
          </w:p>
        </w:tc>
        <w:tc>
          <w:tcPr>
            <w:tcW w:w="12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4"/>
              </w:rPr>
              <w:t>1Q24</w:t>
            </w:r>
          </w:p>
        </w:tc>
        <w:tc>
          <w:tcPr>
            <w:tcW w:w="14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4"/>
              </w:rPr>
              <w:t>4Q24</w:t>
            </w:r>
          </w:p>
        </w:tc>
        <w:tc>
          <w:tcPr>
            <w:tcW w:w="13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4"/>
              </w:rPr>
              <w:t>1Q25</w:t>
            </w:r>
          </w:p>
        </w:tc>
        <w:tc>
          <w:tcPr>
            <w:tcW w:w="940" w:type="dxa"/>
            <w:vAlign w:val="bottom"/>
            <w:tcBorders>
              <w:bottom w:val="single" w:sz="8" w:color="auto"/>
            </w:tcBorders>
            <w:shd w:val="clear" w:color="auto" w:fill="33CCCC"/>
          </w:tcPr>
          <w:p>
            <w:pPr>
              <w:ind w:left="520"/>
              <w:spacing w:after="0"/>
              <w:rPr>
                <w:sz w:val="20"/>
                <w:szCs w:val="20"/>
                <w:color w:val="auto"/>
              </w:rPr>
            </w:pPr>
            <w:r>
              <w:rPr>
                <w:rFonts w:ascii="Arial" w:cs="Arial" w:eastAsia="Arial" w:hAnsi="Arial"/>
                <w:sz w:val="13"/>
                <w:szCs w:val="13"/>
                <w:b w:val="1"/>
                <w:bCs w:val="1"/>
                <w:color w:val="FFFFFF"/>
              </w:rPr>
              <w:t>QoQ</w:t>
            </w:r>
          </w:p>
        </w:tc>
        <w:tc>
          <w:tcPr>
            <w:tcW w:w="1740" w:type="dxa"/>
            <w:vAlign w:val="bottom"/>
            <w:tcBorders>
              <w:bottom w:val="single" w:sz="8" w:color="auto"/>
              <w:right w:val="single" w:sz="8" w:color="auto"/>
            </w:tcBorders>
            <w:shd w:val="clear" w:color="auto" w:fill="33CCCC"/>
          </w:tcPr>
          <w:p>
            <w:pPr>
              <w:ind w:left="940"/>
              <w:spacing w:after="0"/>
              <w:rPr>
                <w:sz w:val="20"/>
                <w:szCs w:val="20"/>
                <w:color w:val="auto"/>
              </w:rPr>
            </w:pPr>
            <w:r>
              <w:rPr>
                <w:rFonts w:ascii="Arial" w:cs="Arial" w:eastAsia="Arial" w:hAnsi="Arial"/>
                <w:sz w:val="13"/>
                <w:szCs w:val="13"/>
                <w:b w:val="1"/>
                <w:bCs w:val="1"/>
                <w:color w:val="FFFFFF"/>
              </w:rPr>
              <w:t>YoY</w:t>
            </w:r>
          </w:p>
        </w:tc>
      </w:tr>
      <w:tr>
        <w:trPr>
          <w:trHeight w:val="105"/>
        </w:trPr>
        <w:tc>
          <w:tcPr>
            <w:tcW w:w="4560" w:type="dxa"/>
            <w:vAlign w:val="bottom"/>
            <w:tcBorders>
              <w:left w:val="single" w:sz="8" w:color="auto"/>
              <w:right w:val="single" w:sz="8" w:color="auto"/>
            </w:tcBorders>
          </w:tcPr>
          <w:p>
            <w:pPr>
              <w:ind w:left="20"/>
              <w:spacing w:after="0" w:line="105" w:lineRule="exact"/>
              <w:rPr>
                <w:sz w:val="20"/>
                <w:szCs w:val="20"/>
                <w:color w:val="auto"/>
              </w:rPr>
            </w:pPr>
            <w:r>
              <w:rPr>
                <w:rFonts w:ascii="Arial" w:cs="Arial" w:eastAsia="Arial" w:hAnsi="Arial"/>
                <w:sz w:val="8"/>
                <w:szCs w:val="8"/>
                <w:color w:val="auto"/>
              </w:rPr>
              <w:t xml:space="preserve">Payments and transactional services </w:t>
            </w:r>
            <w:r>
              <w:rPr>
                <w:rFonts w:ascii="Arial" w:cs="Arial" w:eastAsia="Arial" w:hAnsi="Arial"/>
                <w:sz w:val="12"/>
                <w:szCs w:val="12"/>
                <w:color w:val="auto"/>
                <w:vertAlign w:val="superscript"/>
              </w:rPr>
              <w:t>(1)</w:t>
            </w:r>
          </w:p>
        </w:tc>
        <w:tc>
          <w:tcPr>
            <w:tcW w:w="1280" w:type="dxa"/>
            <w:vAlign w:val="bottom"/>
          </w:tcPr>
          <w:p>
            <w:pPr>
              <w:jc w:val="center"/>
              <w:spacing w:after="0" w:line="105" w:lineRule="exact"/>
              <w:rPr>
                <w:sz w:val="20"/>
                <w:szCs w:val="20"/>
                <w:color w:val="auto"/>
              </w:rPr>
            </w:pPr>
            <w:r>
              <w:rPr>
                <w:rFonts w:ascii="Arial" w:cs="Arial" w:eastAsia="Arial" w:hAnsi="Arial"/>
                <w:sz w:val="12"/>
                <w:szCs w:val="12"/>
                <w:color w:val="auto"/>
              </w:rPr>
              <w:t>272</w:t>
            </w:r>
          </w:p>
        </w:tc>
        <w:tc>
          <w:tcPr>
            <w:tcW w:w="1400" w:type="dxa"/>
            <w:vAlign w:val="bottom"/>
          </w:tcPr>
          <w:p>
            <w:pPr>
              <w:jc w:val="center"/>
              <w:spacing w:after="0" w:line="105" w:lineRule="exact"/>
              <w:rPr>
                <w:sz w:val="20"/>
                <w:szCs w:val="20"/>
                <w:color w:val="auto"/>
              </w:rPr>
            </w:pPr>
            <w:r>
              <w:rPr>
                <w:rFonts w:ascii="Arial" w:cs="Arial" w:eastAsia="Arial" w:hAnsi="Arial"/>
                <w:sz w:val="12"/>
                <w:szCs w:val="12"/>
                <w:color w:val="auto"/>
                <w:w w:val="99"/>
              </w:rPr>
              <w:t>281</w:t>
            </w:r>
          </w:p>
        </w:tc>
        <w:tc>
          <w:tcPr>
            <w:tcW w:w="13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color w:val="auto"/>
              </w:rPr>
              <w:t>278</w:t>
            </w:r>
          </w:p>
        </w:tc>
        <w:tc>
          <w:tcPr>
            <w:tcW w:w="940" w:type="dxa"/>
            <w:vAlign w:val="bottom"/>
          </w:tcPr>
          <w:p>
            <w:pPr>
              <w:jc w:val="center"/>
              <w:ind w:left="318"/>
              <w:spacing w:after="0" w:line="105" w:lineRule="exact"/>
              <w:rPr>
                <w:sz w:val="20"/>
                <w:szCs w:val="20"/>
                <w:color w:val="auto"/>
              </w:rPr>
            </w:pPr>
            <w:r>
              <w:rPr>
                <w:rFonts w:ascii="Arial" w:cs="Arial" w:eastAsia="Arial" w:hAnsi="Arial"/>
                <w:sz w:val="12"/>
                <w:szCs w:val="12"/>
                <w:color w:val="auto"/>
              </w:rPr>
              <w:t>-1.3%</w:t>
            </w:r>
          </w:p>
        </w:tc>
        <w:tc>
          <w:tcPr>
            <w:tcW w:w="1740" w:type="dxa"/>
            <w:vAlign w:val="bottom"/>
            <w:tcBorders>
              <w:right w:val="single" w:sz="8" w:color="auto"/>
            </w:tcBorders>
          </w:tcPr>
          <w:p>
            <w:pPr>
              <w:jc w:val="center"/>
              <w:ind w:left="317"/>
              <w:spacing w:after="0" w:line="105" w:lineRule="exact"/>
              <w:rPr>
                <w:sz w:val="20"/>
                <w:szCs w:val="20"/>
                <w:color w:val="auto"/>
              </w:rPr>
            </w:pPr>
            <w:r>
              <w:rPr>
                <w:rFonts w:ascii="Arial" w:cs="Arial" w:eastAsia="Arial" w:hAnsi="Arial"/>
                <w:sz w:val="12"/>
                <w:szCs w:val="12"/>
                <w:color w:val="auto"/>
              </w:rPr>
              <w:t>2.1%</w:t>
            </w:r>
          </w:p>
        </w:tc>
      </w:tr>
      <w:tr>
        <w:trPr>
          <w:trHeight w:val="135"/>
        </w:trPr>
        <w:tc>
          <w:tcPr>
            <w:tcW w:w="456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0"/>
                <w:szCs w:val="10"/>
                <w:color w:val="auto"/>
              </w:rPr>
              <w:t xml:space="preserve">Yape </w:t>
            </w:r>
            <w:r>
              <w:rPr>
                <w:rFonts w:ascii="Arial" w:cs="Arial" w:eastAsia="Arial" w:hAnsi="Arial"/>
                <w:sz w:val="15"/>
                <w:szCs w:val="15"/>
                <w:color w:val="auto"/>
                <w:vertAlign w:val="superscript"/>
              </w:rPr>
              <w:t>(2)</w:t>
            </w:r>
          </w:p>
        </w:tc>
        <w:tc>
          <w:tcPr>
            <w:tcW w:w="1280" w:type="dxa"/>
            <w:vAlign w:val="bottom"/>
          </w:tcPr>
          <w:p>
            <w:pPr>
              <w:jc w:val="center"/>
              <w:spacing w:after="0" w:line="135" w:lineRule="exact"/>
              <w:rPr>
                <w:sz w:val="20"/>
                <w:szCs w:val="20"/>
                <w:color w:val="auto"/>
              </w:rPr>
            </w:pPr>
            <w:r>
              <w:rPr>
                <w:rFonts w:ascii="Arial" w:cs="Arial" w:eastAsia="Arial" w:hAnsi="Arial"/>
                <w:sz w:val="13"/>
                <w:szCs w:val="13"/>
                <w:color w:val="auto"/>
                <w:w w:val="96"/>
              </w:rPr>
              <w:t>54</w:t>
            </w:r>
          </w:p>
        </w:tc>
        <w:tc>
          <w:tcPr>
            <w:tcW w:w="1400" w:type="dxa"/>
            <w:vAlign w:val="bottom"/>
          </w:tcPr>
          <w:p>
            <w:pPr>
              <w:jc w:val="center"/>
              <w:spacing w:after="0" w:line="135" w:lineRule="exact"/>
              <w:rPr>
                <w:sz w:val="20"/>
                <w:szCs w:val="20"/>
                <w:color w:val="auto"/>
              </w:rPr>
            </w:pPr>
            <w:r>
              <w:rPr>
                <w:rFonts w:ascii="Arial" w:cs="Arial" w:eastAsia="Arial" w:hAnsi="Arial"/>
                <w:sz w:val="13"/>
                <w:szCs w:val="13"/>
                <w:color w:val="auto"/>
                <w:w w:val="92"/>
              </w:rPr>
              <w:t>114</w:t>
            </w:r>
          </w:p>
        </w:tc>
        <w:tc>
          <w:tcPr>
            <w:tcW w:w="1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120</w:t>
            </w:r>
          </w:p>
        </w:tc>
        <w:tc>
          <w:tcPr>
            <w:tcW w:w="940" w:type="dxa"/>
            <w:vAlign w:val="bottom"/>
          </w:tcPr>
          <w:p>
            <w:pPr>
              <w:jc w:val="center"/>
              <w:ind w:left="318"/>
              <w:spacing w:after="0" w:line="135" w:lineRule="exact"/>
              <w:rPr>
                <w:sz w:val="20"/>
                <w:szCs w:val="20"/>
                <w:color w:val="auto"/>
              </w:rPr>
            </w:pPr>
            <w:r>
              <w:rPr>
                <w:rFonts w:ascii="Arial" w:cs="Arial" w:eastAsia="Arial" w:hAnsi="Arial"/>
                <w:sz w:val="13"/>
                <w:szCs w:val="13"/>
                <w:color w:val="auto"/>
                <w:w w:val="94"/>
              </w:rPr>
              <w:t>5.6%</w:t>
            </w:r>
          </w:p>
        </w:tc>
        <w:tc>
          <w:tcPr>
            <w:tcW w:w="1740" w:type="dxa"/>
            <w:vAlign w:val="bottom"/>
            <w:tcBorders>
              <w:right w:val="single" w:sz="8" w:color="auto"/>
            </w:tcBorders>
          </w:tcPr>
          <w:p>
            <w:pPr>
              <w:jc w:val="center"/>
              <w:ind w:left="317"/>
              <w:spacing w:after="0" w:line="135" w:lineRule="exact"/>
              <w:rPr>
                <w:sz w:val="20"/>
                <w:szCs w:val="20"/>
                <w:color w:val="auto"/>
              </w:rPr>
            </w:pPr>
            <w:r>
              <w:rPr>
                <w:rFonts w:ascii="Arial" w:cs="Arial" w:eastAsia="Arial" w:hAnsi="Arial"/>
                <w:sz w:val="13"/>
                <w:szCs w:val="13"/>
                <w:color w:val="auto"/>
                <w:w w:val="99"/>
              </w:rPr>
              <w:t>123.1%</w:t>
            </w:r>
          </w:p>
        </w:tc>
      </w:tr>
      <w:tr>
        <w:trPr>
          <w:trHeight w:val="135"/>
        </w:trPr>
        <w:tc>
          <w:tcPr>
            <w:tcW w:w="456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0"/>
                <w:szCs w:val="10"/>
                <w:color w:val="auto"/>
              </w:rPr>
              <w:t xml:space="preserve">Liability and Transactional Accounts </w:t>
            </w:r>
            <w:r>
              <w:rPr>
                <w:rFonts w:ascii="Arial" w:cs="Arial" w:eastAsia="Arial" w:hAnsi="Arial"/>
                <w:sz w:val="15"/>
                <w:szCs w:val="15"/>
                <w:color w:val="auto"/>
                <w:vertAlign w:val="superscript"/>
              </w:rPr>
              <w:t>(3)</w:t>
            </w:r>
          </w:p>
        </w:tc>
        <w:tc>
          <w:tcPr>
            <w:tcW w:w="1280" w:type="dxa"/>
            <w:vAlign w:val="bottom"/>
          </w:tcPr>
          <w:p>
            <w:pPr>
              <w:jc w:val="center"/>
              <w:spacing w:after="0" w:line="135" w:lineRule="exact"/>
              <w:rPr>
                <w:sz w:val="20"/>
                <w:szCs w:val="20"/>
                <w:color w:val="auto"/>
              </w:rPr>
            </w:pPr>
            <w:r>
              <w:rPr>
                <w:rFonts w:ascii="Arial" w:cs="Arial" w:eastAsia="Arial" w:hAnsi="Arial"/>
                <w:sz w:val="13"/>
                <w:szCs w:val="13"/>
                <w:color w:val="auto"/>
              </w:rPr>
              <w:t>179</w:t>
            </w:r>
          </w:p>
        </w:tc>
        <w:tc>
          <w:tcPr>
            <w:tcW w:w="1400" w:type="dxa"/>
            <w:vAlign w:val="bottom"/>
          </w:tcPr>
          <w:p>
            <w:pPr>
              <w:jc w:val="center"/>
              <w:spacing w:after="0" w:line="135" w:lineRule="exact"/>
              <w:rPr>
                <w:sz w:val="20"/>
                <w:szCs w:val="20"/>
                <w:color w:val="auto"/>
              </w:rPr>
            </w:pPr>
            <w:r>
              <w:rPr>
                <w:rFonts w:ascii="Arial" w:cs="Arial" w:eastAsia="Arial" w:hAnsi="Arial"/>
                <w:sz w:val="13"/>
                <w:szCs w:val="13"/>
                <w:color w:val="auto"/>
                <w:w w:val="92"/>
              </w:rPr>
              <w:t>192</w:t>
            </w:r>
          </w:p>
        </w:tc>
        <w:tc>
          <w:tcPr>
            <w:tcW w:w="1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200</w:t>
            </w:r>
          </w:p>
        </w:tc>
        <w:tc>
          <w:tcPr>
            <w:tcW w:w="940" w:type="dxa"/>
            <w:vAlign w:val="bottom"/>
          </w:tcPr>
          <w:p>
            <w:pPr>
              <w:jc w:val="center"/>
              <w:ind w:left="318"/>
              <w:spacing w:after="0" w:line="135" w:lineRule="exact"/>
              <w:rPr>
                <w:sz w:val="20"/>
                <w:szCs w:val="20"/>
                <w:color w:val="auto"/>
              </w:rPr>
            </w:pPr>
            <w:r>
              <w:rPr>
                <w:rFonts w:ascii="Arial" w:cs="Arial" w:eastAsia="Arial" w:hAnsi="Arial"/>
                <w:sz w:val="13"/>
                <w:szCs w:val="13"/>
                <w:color w:val="auto"/>
                <w:w w:val="94"/>
              </w:rPr>
              <w:t>4.1%</w:t>
            </w:r>
          </w:p>
        </w:tc>
        <w:tc>
          <w:tcPr>
            <w:tcW w:w="1740" w:type="dxa"/>
            <w:vAlign w:val="bottom"/>
            <w:tcBorders>
              <w:right w:val="single" w:sz="8" w:color="auto"/>
            </w:tcBorders>
          </w:tcPr>
          <w:p>
            <w:pPr>
              <w:jc w:val="center"/>
              <w:ind w:left="317"/>
              <w:spacing w:after="0" w:line="135" w:lineRule="exact"/>
              <w:rPr>
                <w:sz w:val="20"/>
                <w:szCs w:val="20"/>
                <w:color w:val="auto"/>
              </w:rPr>
            </w:pPr>
            <w:r>
              <w:rPr>
                <w:rFonts w:ascii="Arial" w:cs="Arial" w:eastAsia="Arial" w:hAnsi="Arial"/>
                <w:sz w:val="13"/>
                <w:szCs w:val="13"/>
                <w:color w:val="auto"/>
                <w:w w:val="97"/>
              </w:rPr>
              <w:t>11.6%</w:t>
            </w:r>
          </w:p>
        </w:tc>
      </w:tr>
      <w:tr>
        <w:trPr>
          <w:trHeight w:val="141"/>
        </w:trPr>
        <w:tc>
          <w:tcPr>
            <w:tcW w:w="4560" w:type="dxa"/>
            <w:vAlign w:val="bottom"/>
            <w:tcBorders>
              <w:left w:val="single" w:sz="8" w:color="auto"/>
              <w:right w:val="single" w:sz="8" w:color="auto"/>
            </w:tcBorders>
          </w:tcPr>
          <w:p>
            <w:pPr>
              <w:ind w:left="20"/>
              <w:spacing w:after="0" w:line="141" w:lineRule="exact"/>
              <w:rPr>
                <w:sz w:val="20"/>
                <w:szCs w:val="20"/>
                <w:color w:val="auto"/>
              </w:rPr>
            </w:pPr>
            <w:r>
              <w:rPr>
                <w:rFonts w:ascii="Arial" w:cs="Arial" w:eastAsia="Arial" w:hAnsi="Arial"/>
                <w:sz w:val="10"/>
                <w:szCs w:val="10"/>
                <w:color w:val="auto"/>
              </w:rPr>
              <w:t xml:space="preserve">Loan Disbursement </w:t>
            </w:r>
            <w:r>
              <w:rPr>
                <w:rFonts w:ascii="Arial" w:cs="Arial" w:eastAsia="Arial" w:hAnsi="Arial"/>
                <w:sz w:val="16"/>
                <w:szCs w:val="16"/>
                <w:color w:val="auto"/>
                <w:vertAlign w:val="superscript"/>
              </w:rPr>
              <w:t>(4)</w:t>
            </w:r>
          </w:p>
        </w:tc>
        <w:tc>
          <w:tcPr>
            <w:tcW w:w="1280" w:type="dxa"/>
            <w:vAlign w:val="bottom"/>
          </w:tcPr>
          <w:p>
            <w:pPr>
              <w:jc w:val="center"/>
              <w:spacing w:after="0" w:line="141" w:lineRule="exact"/>
              <w:rPr>
                <w:sz w:val="20"/>
                <w:szCs w:val="20"/>
                <w:color w:val="auto"/>
              </w:rPr>
            </w:pPr>
            <w:r>
              <w:rPr>
                <w:rFonts w:ascii="Arial" w:cs="Arial" w:eastAsia="Arial" w:hAnsi="Arial"/>
                <w:sz w:val="13"/>
                <w:szCs w:val="13"/>
                <w:color w:val="auto"/>
                <w:w w:val="96"/>
              </w:rPr>
              <w:t>90</w:t>
            </w:r>
          </w:p>
        </w:tc>
        <w:tc>
          <w:tcPr>
            <w:tcW w:w="1400" w:type="dxa"/>
            <w:vAlign w:val="bottom"/>
          </w:tcPr>
          <w:p>
            <w:pPr>
              <w:jc w:val="center"/>
              <w:spacing w:after="0" w:line="141" w:lineRule="exact"/>
              <w:rPr>
                <w:sz w:val="20"/>
                <w:szCs w:val="20"/>
                <w:color w:val="auto"/>
              </w:rPr>
            </w:pPr>
            <w:r>
              <w:rPr>
                <w:rFonts w:ascii="Arial" w:cs="Arial" w:eastAsia="Arial" w:hAnsi="Arial"/>
                <w:sz w:val="13"/>
                <w:szCs w:val="13"/>
                <w:color w:val="auto"/>
                <w:w w:val="96"/>
              </w:rPr>
              <w:t>98</w:t>
            </w:r>
          </w:p>
        </w:tc>
        <w:tc>
          <w:tcPr>
            <w:tcW w:w="13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6"/>
              </w:rPr>
              <w:t>98</w:t>
            </w:r>
          </w:p>
        </w:tc>
        <w:tc>
          <w:tcPr>
            <w:tcW w:w="940" w:type="dxa"/>
            <w:vAlign w:val="bottom"/>
          </w:tcPr>
          <w:p>
            <w:pPr>
              <w:jc w:val="center"/>
              <w:ind w:left="318"/>
              <w:spacing w:after="0" w:line="141" w:lineRule="exact"/>
              <w:rPr>
                <w:sz w:val="20"/>
                <w:szCs w:val="20"/>
                <w:color w:val="auto"/>
              </w:rPr>
            </w:pPr>
            <w:r>
              <w:rPr>
                <w:rFonts w:ascii="Arial" w:cs="Arial" w:eastAsia="Arial" w:hAnsi="Arial"/>
                <w:sz w:val="13"/>
                <w:szCs w:val="13"/>
                <w:color w:val="auto"/>
                <w:w w:val="94"/>
              </w:rPr>
              <w:t>-0.1%</w:t>
            </w:r>
          </w:p>
        </w:tc>
        <w:tc>
          <w:tcPr>
            <w:tcW w:w="1740" w:type="dxa"/>
            <w:vAlign w:val="bottom"/>
            <w:tcBorders>
              <w:right w:val="single" w:sz="8" w:color="auto"/>
            </w:tcBorders>
          </w:tcPr>
          <w:p>
            <w:pPr>
              <w:jc w:val="center"/>
              <w:ind w:left="317"/>
              <w:spacing w:after="0" w:line="141" w:lineRule="exact"/>
              <w:rPr>
                <w:sz w:val="20"/>
                <w:szCs w:val="20"/>
                <w:color w:val="auto"/>
              </w:rPr>
            </w:pPr>
            <w:r>
              <w:rPr>
                <w:rFonts w:ascii="Arial" w:cs="Arial" w:eastAsia="Arial" w:hAnsi="Arial"/>
                <w:sz w:val="13"/>
                <w:szCs w:val="13"/>
                <w:color w:val="auto"/>
                <w:w w:val="94"/>
              </w:rPr>
              <w:t>9.0%</w:t>
            </w:r>
          </w:p>
        </w:tc>
      </w:tr>
      <w:tr>
        <w:trPr>
          <w:trHeight w:val="135"/>
        </w:trPr>
        <w:tc>
          <w:tcPr>
            <w:tcW w:w="456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Off-balance sheet</w:t>
            </w:r>
          </w:p>
        </w:tc>
        <w:tc>
          <w:tcPr>
            <w:tcW w:w="1280" w:type="dxa"/>
            <w:vAlign w:val="bottom"/>
          </w:tcPr>
          <w:p>
            <w:pPr>
              <w:jc w:val="center"/>
              <w:spacing w:after="0" w:line="135" w:lineRule="exact"/>
              <w:rPr>
                <w:sz w:val="20"/>
                <w:szCs w:val="20"/>
                <w:color w:val="auto"/>
              </w:rPr>
            </w:pPr>
            <w:r>
              <w:rPr>
                <w:rFonts w:ascii="Arial" w:cs="Arial" w:eastAsia="Arial" w:hAnsi="Arial"/>
                <w:sz w:val="13"/>
                <w:szCs w:val="13"/>
                <w:color w:val="auto"/>
                <w:w w:val="96"/>
              </w:rPr>
              <w:t>57</w:t>
            </w:r>
          </w:p>
        </w:tc>
        <w:tc>
          <w:tcPr>
            <w:tcW w:w="1400" w:type="dxa"/>
            <w:vAlign w:val="bottom"/>
          </w:tcPr>
          <w:p>
            <w:pPr>
              <w:jc w:val="center"/>
              <w:spacing w:after="0" w:line="135" w:lineRule="exact"/>
              <w:rPr>
                <w:sz w:val="20"/>
                <w:szCs w:val="20"/>
                <w:color w:val="auto"/>
              </w:rPr>
            </w:pPr>
            <w:r>
              <w:rPr>
                <w:rFonts w:ascii="Arial" w:cs="Arial" w:eastAsia="Arial" w:hAnsi="Arial"/>
                <w:sz w:val="13"/>
                <w:szCs w:val="13"/>
                <w:color w:val="auto"/>
                <w:w w:val="96"/>
              </w:rPr>
              <w:t>55</w:t>
            </w:r>
          </w:p>
        </w:tc>
        <w:tc>
          <w:tcPr>
            <w:tcW w:w="1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56</w:t>
            </w:r>
          </w:p>
        </w:tc>
        <w:tc>
          <w:tcPr>
            <w:tcW w:w="940" w:type="dxa"/>
            <w:vAlign w:val="bottom"/>
          </w:tcPr>
          <w:p>
            <w:pPr>
              <w:jc w:val="center"/>
              <w:ind w:left="318"/>
              <w:spacing w:after="0" w:line="135" w:lineRule="exact"/>
              <w:rPr>
                <w:sz w:val="20"/>
                <w:szCs w:val="20"/>
                <w:color w:val="auto"/>
              </w:rPr>
            </w:pPr>
            <w:r>
              <w:rPr>
                <w:rFonts w:ascii="Arial" w:cs="Arial" w:eastAsia="Arial" w:hAnsi="Arial"/>
                <w:sz w:val="13"/>
                <w:szCs w:val="13"/>
                <w:color w:val="auto"/>
                <w:w w:val="94"/>
              </w:rPr>
              <w:t>2.1%</w:t>
            </w:r>
          </w:p>
        </w:tc>
        <w:tc>
          <w:tcPr>
            <w:tcW w:w="1740" w:type="dxa"/>
            <w:vAlign w:val="bottom"/>
            <w:tcBorders>
              <w:right w:val="single" w:sz="8" w:color="auto"/>
            </w:tcBorders>
          </w:tcPr>
          <w:p>
            <w:pPr>
              <w:jc w:val="center"/>
              <w:ind w:left="317"/>
              <w:spacing w:after="0" w:line="135" w:lineRule="exact"/>
              <w:rPr>
                <w:sz w:val="20"/>
                <w:szCs w:val="20"/>
                <w:color w:val="auto"/>
              </w:rPr>
            </w:pPr>
            <w:r>
              <w:rPr>
                <w:rFonts w:ascii="Arial" w:cs="Arial" w:eastAsia="Arial" w:hAnsi="Arial"/>
                <w:sz w:val="13"/>
                <w:szCs w:val="13"/>
                <w:color w:val="auto"/>
                <w:w w:val="94"/>
              </w:rPr>
              <w:t>-1.9%</w:t>
            </w:r>
          </w:p>
        </w:tc>
      </w:tr>
      <w:tr>
        <w:trPr>
          <w:trHeight w:val="135"/>
        </w:trPr>
        <w:tc>
          <w:tcPr>
            <w:tcW w:w="456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Insurances</w:t>
            </w:r>
          </w:p>
        </w:tc>
        <w:tc>
          <w:tcPr>
            <w:tcW w:w="1280" w:type="dxa"/>
            <w:vAlign w:val="bottom"/>
          </w:tcPr>
          <w:p>
            <w:pPr>
              <w:jc w:val="center"/>
              <w:spacing w:after="0" w:line="135" w:lineRule="exact"/>
              <w:rPr>
                <w:sz w:val="20"/>
                <w:szCs w:val="20"/>
                <w:color w:val="auto"/>
              </w:rPr>
            </w:pPr>
            <w:r>
              <w:rPr>
                <w:rFonts w:ascii="Arial" w:cs="Arial" w:eastAsia="Arial" w:hAnsi="Arial"/>
                <w:sz w:val="13"/>
                <w:szCs w:val="13"/>
                <w:color w:val="auto"/>
                <w:w w:val="96"/>
              </w:rPr>
              <w:t>34</w:t>
            </w:r>
          </w:p>
        </w:tc>
        <w:tc>
          <w:tcPr>
            <w:tcW w:w="1400" w:type="dxa"/>
            <w:vAlign w:val="bottom"/>
          </w:tcPr>
          <w:p>
            <w:pPr>
              <w:jc w:val="center"/>
              <w:spacing w:after="0" w:line="135" w:lineRule="exact"/>
              <w:rPr>
                <w:sz w:val="20"/>
                <w:szCs w:val="20"/>
                <w:color w:val="auto"/>
              </w:rPr>
            </w:pPr>
            <w:r>
              <w:rPr>
                <w:rFonts w:ascii="Arial" w:cs="Arial" w:eastAsia="Arial" w:hAnsi="Arial"/>
                <w:sz w:val="13"/>
                <w:szCs w:val="13"/>
                <w:color w:val="auto"/>
                <w:w w:val="96"/>
              </w:rPr>
              <w:t>35</w:t>
            </w:r>
          </w:p>
        </w:tc>
        <w:tc>
          <w:tcPr>
            <w:tcW w:w="1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48</w:t>
            </w:r>
          </w:p>
        </w:tc>
        <w:tc>
          <w:tcPr>
            <w:tcW w:w="940" w:type="dxa"/>
            <w:vAlign w:val="bottom"/>
          </w:tcPr>
          <w:p>
            <w:pPr>
              <w:jc w:val="center"/>
              <w:ind w:left="318"/>
              <w:spacing w:after="0" w:line="135" w:lineRule="exact"/>
              <w:rPr>
                <w:sz w:val="20"/>
                <w:szCs w:val="20"/>
                <w:color w:val="auto"/>
              </w:rPr>
            </w:pPr>
            <w:r>
              <w:rPr>
                <w:rFonts w:ascii="Arial" w:cs="Arial" w:eastAsia="Arial" w:hAnsi="Arial"/>
                <w:sz w:val="13"/>
                <w:szCs w:val="13"/>
                <w:color w:val="auto"/>
                <w:w w:val="97"/>
              </w:rPr>
              <w:t>37.3%</w:t>
            </w:r>
          </w:p>
        </w:tc>
        <w:tc>
          <w:tcPr>
            <w:tcW w:w="1740" w:type="dxa"/>
            <w:vAlign w:val="bottom"/>
            <w:tcBorders>
              <w:right w:val="single" w:sz="8" w:color="auto"/>
            </w:tcBorders>
          </w:tcPr>
          <w:p>
            <w:pPr>
              <w:jc w:val="center"/>
              <w:ind w:left="317"/>
              <w:spacing w:after="0" w:line="135" w:lineRule="exact"/>
              <w:rPr>
                <w:sz w:val="20"/>
                <w:szCs w:val="20"/>
                <w:color w:val="auto"/>
              </w:rPr>
            </w:pPr>
            <w:r>
              <w:rPr>
                <w:rFonts w:ascii="Arial" w:cs="Arial" w:eastAsia="Arial" w:hAnsi="Arial"/>
                <w:sz w:val="13"/>
                <w:szCs w:val="13"/>
                <w:color w:val="auto"/>
                <w:w w:val="97"/>
              </w:rPr>
              <w:t>43.0%</w:t>
            </w:r>
          </w:p>
        </w:tc>
      </w:tr>
      <w:tr>
        <w:trPr>
          <w:trHeight w:val="129"/>
        </w:trPr>
        <w:tc>
          <w:tcPr>
            <w:tcW w:w="4560" w:type="dxa"/>
            <w:vAlign w:val="bottom"/>
            <w:tcBorders>
              <w:left w:val="single" w:sz="8" w:color="auto"/>
              <w:right w:val="single" w:sz="8" w:color="auto"/>
            </w:tcBorders>
          </w:tcPr>
          <w:p>
            <w:pPr>
              <w:ind w:left="20"/>
              <w:spacing w:after="0" w:line="129" w:lineRule="exact"/>
              <w:rPr>
                <w:sz w:val="20"/>
                <w:szCs w:val="20"/>
                <w:color w:val="auto"/>
              </w:rPr>
            </w:pPr>
            <w:r>
              <w:rPr>
                <w:rFonts w:ascii="Arial" w:cs="Arial" w:eastAsia="Arial" w:hAnsi="Arial"/>
                <w:sz w:val="13"/>
                <w:szCs w:val="13"/>
                <w:color w:val="auto"/>
              </w:rPr>
              <w:t>Wealth Management and Corporate Finance</w:t>
            </w:r>
          </w:p>
        </w:tc>
        <w:tc>
          <w:tcPr>
            <w:tcW w:w="1280" w:type="dxa"/>
            <w:vAlign w:val="bottom"/>
          </w:tcPr>
          <w:p>
            <w:pPr>
              <w:jc w:val="center"/>
              <w:spacing w:after="0" w:line="129" w:lineRule="exact"/>
              <w:rPr>
                <w:sz w:val="20"/>
                <w:szCs w:val="20"/>
                <w:color w:val="auto"/>
              </w:rPr>
            </w:pPr>
            <w:r>
              <w:rPr>
                <w:rFonts w:ascii="Arial" w:cs="Arial" w:eastAsia="Arial" w:hAnsi="Arial"/>
                <w:sz w:val="13"/>
                <w:szCs w:val="13"/>
                <w:color w:val="auto"/>
                <w:w w:val="82"/>
              </w:rPr>
              <w:t>9</w:t>
            </w:r>
          </w:p>
        </w:tc>
        <w:tc>
          <w:tcPr>
            <w:tcW w:w="1400" w:type="dxa"/>
            <w:vAlign w:val="bottom"/>
          </w:tcPr>
          <w:p>
            <w:pPr>
              <w:jc w:val="center"/>
              <w:spacing w:after="0" w:line="129" w:lineRule="exact"/>
              <w:rPr>
                <w:sz w:val="20"/>
                <w:szCs w:val="20"/>
                <w:color w:val="auto"/>
              </w:rPr>
            </w:pPr>
            <w:r>
              <w:rPr>
                <w:rFonts w:ascii="Arial" w:cs="Arial" w:eastAsia="Arial" w:hAnsi="Arial"/>
                <w:sz w:val="13"/>
                <w:szCs w:val="13"/>
                <w:color w:val="auto"/>
                <w:w w:val="96"/>
              </w:rPr>
              <w:t>19</w:t>
            </w:r>
          </w:p>
        </w:tc>
        <w:tc>
          <w:tcPr>
            <w:tcW w:w="13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6"/>
              </w:rPr>
              <w:t>15</w:t>
            </w:r>
          </w:p>
        </w:tc>
        <w:tc>
          <w:tcPr>
            <w:tcW w:w="940" w:type="dxa"/>
            <w:vAlign w:val="bottom"/>
          </w:tcPr>
          <w:p>
            <w:pPr>
              <w:jc w:val="center"/>
              <w:ind w:left="318"/>
              <w:spacing w:after="0" w:line="129" w:lineRule="exact"/>
              <w:rPr>
                <w:sz w:val="20"/>
                <w:szCs w:val="20"/>
                <w:color w:val="auto"/>
              </w:rPr>
            </w:pPr>
            <w:r>
              <w:rPr>
                <w:rFonts w:ascii="Arial" w:cs="Arial" w:eastAsia="Arial" w:hAnsi="Arial"/>
                <w:sz w:val="13"/>
                <w:szCs w:val="13"/>
                <w:color w:val="auto"/>
                <w:w w:val="97"/>
              </w:rPr>
              <w:t>-22.9%</w:t>
            </w:r>
          </w:p>
        </w:tc>
        <w:tc>
          <w:tcPr>
            <w:tcW w:w="1740" w:type="dxa"/>
            <w:vAlign w:val="bottom"/>
            <w:tcBorders>
              <w:right w:val="single" w:sz="8" w:color="auto"/>
            </w:tcBorders>
          </w:tcPr>
          <w:p>
            <w:pPr>
              <w:jc w:val="center"/>
              <w:ind w:left="317"/>
              <w:spacing w:after="0" w:line="129" w:lineRule="exact"/>
              <w:rPr>
                <w:sz w:val="20"/>
                <w:szCs w:val="20"/>
                <w:color w:val="auto"/>
              </w:rPr>
            </w:pPr>
            <w:r>
              <w:rPr>
                <w:rFonts w:ascii="Arial" w:cs="Arial" w:eastAsia="Arial" w:hAnsi="Arial"/>
                <w:sz w:val="13"/>
                <w:szCs w:val="13"/>
                <w:color w:val="auto"/>
                <w:w w:val="97"/>
              </w:rPr>
              <w:t>57.6%</w:t>
            </w:r>
          </w:p>
        </w:tc>
      </w:tr>
      <w:tr>
        <w:trPr>
          <w:trHeight w:val="159"/>
        </w:trPr>
        <w:tc>
          <w:tcPr>
            <w:tcW w:w="4560" w:type="dxa"/>
            <w:vAlign w:val="bottom"/>
            <w:tcBorders>
              <w:left w:val="single" w:sz="8" w:color="auto"/>
              <w:bottom w:val="single" w:sz="8" w:color="auto"/>
              <w:right w:val="single" w:sz="8" w:color="auto"/>
            </w:tcBorders>
          </w:tcPr>
          <w:p>
            <w:pPr>
              <w:ind w:left="20"/>
              <w:spacing w:after="0" w:line="159" w:lineRule="exact"/>
              <w:rPr>
                <w:sz w:val="20"/>
                <w:szCs w:val="20"/>
                <w:color w:val="auto"/>
              </w:rPr>
            </w:pPr>
            <w:r>
              <w:rPr>
                <w:rFonts w:ascii="Arial" w:cs="Arial" w:eastAsia="Arial" w:hAnsi="Arial"/>
                <w:sz w:val="12"/>
                <w:szCs w:val="12"/>
                <w:color w:val="auto"/>
              </w:rPr>
              <w:t xml:space="preserve">Others </w:t>
            </w:r>
            <w:r>
              <w:rPr>
                <w:rFonts w:ascii="Arial" w:cs="Arial" w:eastAsia="Arial" w:hAnsi="Arial"/>
                <w:sz w:val="18"/>
                <w:szCs w:val="18"/>
                <w:color w:val="auto"/>
                <w:vertAlign w:val="superscript"/>
              </w:rPr>
              <w:t>(5)</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9</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14</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16</w:t>
            </w:r>
          </w:p>
        </w:tc>
        <w:tc>
          <w:tcPr>
            <w:tcW w:w="940" w:type="dxa"/>
            <w:vAlign w:val="bottom"/>
            <w:tcBorders>
              <w:bottom w:val="single" w:sz="8" w:color="auto"/>
            </w:tcBorders>
          </w:tcPr>
          <w:p>
            <w:pPr>
              <w:jc w:val="center"/>
              <w:ind w:left="318"/>
              <w:spacing w:after="0"/>
              <w:rPr>
                <w:sz w:val="20"/>
                <w:szCs w:val="20"/>
                <w:color w:val="auto"/>
              </w:rPr>
            </w:pPr>
            <w:r>
              <w:rPr>
                <w:rFonts w:ascii="Arial" w:cs="Arial" w:eastAsia="Arial" w:hAnsi="Arial"/>
                <w:sz w:val="13"/>
                <w:szCs w:val="13"/>
                <w:color w:val="auto"/>
                <w:w w:val="97"/>
              </w:rPr>
              <w:t>16.0%</w:t>
            </w:r>
          </w:p>
        </w:tc>
        <w:tc>
          <w:tcPr>
            <w:tcW w:w="1740" w:type="dxa"/>
            <w:vAlign w:val="bottom"/>
            <w:tcBorders>
              <w:bottom w:val="single" w:sz="8" w:color="auto"/>
              <w:right w:val="single" w:sz="8" w:color="auto"/>
            </w:tcBorders>
          </w:tcPr>
          <w:p>
            <w:pPr>
              <w:jc w:val="center"/>
              <w:ind w:left="317"/>
              <w:spacing w:after="0"/>
              <w:rPr>
                <w:sz w:val="20"/>
                <w:szCs w:val="20"/>
                <w:color w:val="auto"/>
              </w:rPr>
            </w:pPr>
            <w:r>
              <w:rPr>
                <w:rFonts w:ascii="Arial" w:cs="Arial" w:eastAsia="Arial" w:hAnsi="Arial"/>
                <w:sz w:val="13"/>
                <w:szCs w:val="13"/>
                <w:color w:val="auto"/>
                <w:w w:val="97"/>
              </w:rPr>
              <w:t>73.5%</w:t>
            </w:r>
          </w:p>
        </w:tc>
      </w:tr>
      <w:tr>
        <w:trPr>
          <w:trHeight w:val="128"/>
        </w:trPr>
        <w:tc>
          <w:tcPr>
            <w:tcW w:w="456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Total</w:t>
            </w:r>
          </w:p>
        </w:tc>
        <w:tc>
          <w:tcPr>
            <w:tcW w:w="12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705</w:t>
            </w:r>
          </w:p>
        </w:tc>
        <w:tc>
          <w:tcPr>
            <w:tcW w:w="14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809</w:t>
            </w:r>
          </w:p>
        </w:tc>
        <w:tc>
          <w:tcPr>
            <w:tcW w:w="13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831</w:t>
            </w:r>
          </w:p>
        </w:tc>
        <w:tc>
          <w:tcPr>
            <w:tcW w:w="940" w:type="dxa"/>
            <w:vAlign w:val="bottom"/>
            <w:tcBorders>
              <w:bottom w:val="single" w:sz="8" w:color="auto"/>
            </w:tcBorders>
          </w:tcPr>
          <w:p>
            <w:pPr>
              <w:jc w:val="center"/>
              <w:ind w:left="318"/>
              <w:spacing w:after="0" w:line="129" w:lineRule="exact"/>
              <w:rPr>
                <w:sz w:val="20"/>
                <w:szCs w:val="20"/>
                <w:color w:val="auto"/>
              </w:rPr>
            </w:pPr>
            <w:r>
              <w:rPr>
                <w:rFonts w:ascii="Arial" w:cs="Arial" w:eastAsia="Arial" w:hAnsi="Arial"/>
                <w:sz w:val="13"/>
                <w:szCs w:val="13"/>
                <w:b w:val="1"/>
                <w:bCs w:val="1"/>
                <w:color w:val="auto"/>
                <w:w w:val="94"/>
              </w:rPr>
              <w:t>2.8%</w:t>
            </w:r>
          </w:p>
        </w:tc>
        <w:tc>
          <w:tcPr>
            <w:tcW w:w="1740" w:type="dxa"/>
            <w:vAlign w:val="bottom"/>
            <w:tcBorders>
              <w:bottom w:val="single" w:sz="8" w:color="auto"/>
              <w:right w:val="single" w:sz="8" w:color="auto"/>
            </w:tcBorders>
          </w:tcPr>
          <w:p>
            <w:pPr>
              <w:jc w:val="center"/>
              <w:ind w:left="317"/>
              <w:spacing w:after="0" w:line="129" w:lineRule="exact"/>
              <w:rPr>
                <w:sz w:val="20"/>
                <w:szCs w:val="20"/>
                <w:color w:val="auto"/>
              </w:rPr>
            </w:pPr>
            <w:r>
              <w:rPr>
                <w:rFonts w:ascii="Arial" w:cs="Arial" w:eastAsia="Arial" w:hAnsi="Arial"/>
                <w:sz w:val="13"/>
                <w:szCs w:val="13"/>
                <w:b w:val="1"/>
                <w:bCs w:val="1"/>
                <w:color w:val="auto"/>
                <w:w w:val="97"/>
              </w:rPr>
              <w:t>18.0%</w:t>
            </w:r>
          </w:p>
        </w:tc>
      </w:tr>
    </w:tbl>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 Management figures.</w:t>
      </w:r>
    </w:p>
    <w:p>
      <w:pPr>
        <w:spacing w:after="0" w:line="7" w:lineRule="exact"/>
        <w:rPr>
          <w:sz w:val="20"/>
          <w:szCs w:val="20"/>
          <w:color w:val="auto"/>
        </w:rPr>
      </w:pPr>
    </w:p>
    <w:p>
      <w:pPr>
        <w:ind w:left="180" w:hanging="172"/>
        <w:spacing w:after="0" w:line="256" w:lineRule="auto"/>
        <w:tabs>
          <w:tab w:leader="none" w:pos="180" w:val="left"/>
        </w:tabs>
        <w:numPr>
          <w:ilvl w:val="0"/>
          <w:numId w:val="37"/>
        </w:numPr>
        <w:rPr>
          <w:rFonts w:ascii="Arial" w:cs="Arial" w:eastAsia="Arial" w:hAnsi="Arial"/>
          <w:sz w:val="11"/>
          <w:szCs w:val="11"/>
          <w:color w:val="auto"/>
        </w:rPr>
      </w:pPr>
      <w:r>
        <w:rPr>
          <w:rFonts w:ascii="Arial" w:cs="Arial" w:eastAsia="Arial" w:hAnsi="Arial"/>
          <w:sz w:val="11"/>
          <w:szCs w:val="11"/>
          <w:color w:val="auto"/>
        </w:rPr>
        <w:t>Includes fees from credit and debit card activity, payments, and collections. Beginning in 1Q25, accounting reclassifications related to expenses associated with the credit card loyalty program have been incorporated. These reclassifications affected Administrative and General Expenses and Fee Income. Figures for prior periods have been restated for comparability and may differ from those previously reported.</w:t>
      </w:r>
    </w:p>
    <w:p>
      <w:pPr>
        <w:ind w:left="180" w:hanging="172"/>
        <w:spacing w:after="0" w:line="234" w:lineRule="auto"/>
        <w:tabs>
          <w:tab w:leader="none" w:pos="1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Beginning in 1Q25, accounting reclassifications associated with Yape’s transactional fee expenses have been incorporated. These reclassifications affected Administrative and General Expenses and Fee Income. Figures for prior periods have been restated for comparability and may differ from those previously reported.</w:t>
      </w:r>
    </w:p>
    <w:p>
      <w:pPr>
        <w:ind w:left="180" w:hanging="172"/>
        <w:spacing w:after="0" w:line="234" w:lineRule="auto"/>
        <w:tabs>
          <w:tab w:leader="none" w:pos="1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Corresponds to fees from Account maintenance, interbank transfers, national transfers, and international transfers.</w:t>
      </w:r>
    </w:p>
    <w:p>
      <w:pPr>
        <w:ind w:left="180" w:hanging="172"/>
        <w:spacing w:after="0" w:line="234" w:lineRule="auto"/>
        <w:tabs>
          <w:tab w:leader="none" w:pos="1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Corresponds to fees from retail and wholesale loan disbursements.</w:t>
      </w:r>
    </w:p>
    <w:p>
      <w:pPr>
        <w:ind w:left="180" w:hanging="172"/>
        <w:spacing w:after="0"/>
        <w:tabs>
          <w:tab w:leader="none" w:pos="1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Use of third-party networks, other services to third parties, and Commissions in foreign branches.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QoQ, Fee Income </w:t>
      </w:r>
      <w:r>
        <w:rPr>
          <w:rFonts w:ascii="Arial" w:cs="Arial" w:eastAsia="Arial" w:hAnsi="Arial"/>
          <w:sz w:val="18"/>
          <w:szCs w:val="18"/>
          <w:color w:val="auto"/>
        </w:rPr>
        <w:t>at</w:t>
      </w: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rose 2.8% on the back of a growth in fee volume from:</w:t>
      </w:r>
    </w:p>
    <w:p>
      <w:pPr>
        <w:spacing w:after="0" w:line="198" w:lineRule="exact"/>
        <w:rPr>
          <w:sz w:val="20"/>
          <w:szCs w:val="20"/>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Yape</w:t>
      </w:r>
      <w:r>
        <w:rPr>
          <w:rFonts w:ascii="Arial" w:cs="Arial" w:eastAsia="Arial" w:hAnsi="Arial"/>
          <w:sz w:val="18"/>
          <w:szCs w:val="18"/>
          <w:color w:val="auto"/>
        </w:rPr>
        <w:t>, mainly through Service Payments, POS (QR) Payments and Checkout.</w:t>
      </w:r>
    </w:p>
    <w:p>
      <w:pPr>
        <w:spacing w:after="0" w:line="13" w:lineRule="exact"/>
        <w:rPr>
          <w:rFonts w:ascii="Arial" w:cs="Arial" w:eastAsia="Arial" w:hAnsi="Arial"/>
          <w:sz w:val="18"/>
          <w:szCs w:val="18"/>
          <w:color w:val="auto"/>
        </w:rPr>
      </w:pPr>
    </w:p>
    <w:p>
      <w:pPr>
        <w:ind w:left="740" w:right="80" w:hanging="246"/>
        <w:spacing w:after="0" w:line="234"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Liability and transactional accounts</w:t>
      </w:r>
      <w:r>
        <w:rPr>
          <w:rFonts w:ascii="Arial" w:cs="Arial" w:eastAsia="Arial" w:hAnsi="Arial"/>
          <w:sz w:val="18"/>
          <w:szCs w:val="18"/>
          <w:color w:val="auto"/>
        </w:rPr>
        <w:t>, after income increased through (i) Wires and Transfers, which rose primarily due to a base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 that included expenses for clearing services with the </w:t>
      </w:r>
      <w:r>
        <w:rPr>
          <w:rFonts w:ascii="Arial" w:cs="Arial" w:eastAsia="Arial" w:hAnsi="Arial"/>
          <w:sz w:val="18"/>
          <w:szCs w:val="18"/>
          <w:i w:val="1"/>
          <w:iCs w:val="1"/>
          <w:color w:val="auto"/>
        </w:rPr>
        <w:t>Cámara de Compensación Electrónica</w:t>
      </w:r>
      <w:r>
        <w:rPr>
          <w:rFonts w:ascii="Arial" w:cs="Arial" w:eastAsia="Arial" w:hAnsi="Arial"/>
          <w:sz w:val="18"/>
          <w:szCs w:val="18"/>
          <w:color w:val="auto"/>
        </w:rPr>
        <w:t>, and (ii) Current Accounts, which experienced growth in the client base after new accounts were opened to receive funds from AFP releases.</w:t>
      </w:r>
    </w:p>
    <w:p>
      <w:pPr>
        <w:spacing w:after="0" w:line="2" w:lineRule="exact"/>
        <w:rPr>
          <w:rFonts w:ascii="Arial" w:cs="Arial" w:eastAsia="Arial" w:hAnsi="Arial"/>
          <w:sz w:val="18"/>
          <w:szCs w:val="18"/>
          <w:color w:val="auto"/>
        </w:rPr>
      </w:pPr>
    </w:p>
    <w:p>
      <w:pPr>
        <w:ind w:left="740" w:right="60" w:hanging="246"/>
        <w:spacing w:after="0" w:line="250"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due to an extraordinary income between related parties in the credit life insurance, and to a lesser extent, higher fees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optional insurance brokerage service. Excluding this extraordinary income, the evolution of Insurance would remain stable</w:t>
      </w:r>
    </w:p>
    <w:p>
      <w:pPr>
        <w:spacing w:after="0" w:line="17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 xml:space="preserve">The aforementioned was partially offset by a drop in </w:t>
      </w:r>
      <w:r>
        <w:rPr>
          <w:rFonts w:ascii="Arial" w:cs="Arial" w:eastAsia="Arial" w:hAnsi="Arial"/>
          <w:sz w:val="18"/>
          <w:szCs w:val="18"/>
          <w:b w:val="1"/>
          <w:bCs w:val="1"/>
          <w:color w:val="auto"/>
        </w:rPr>
        <w:t>Payments and Transactional Services</w:t>
      </w:r>
      <w:r>
        <w:rPr>
          <w:rFonts w:ascii="Arial" w:cs="Arial" w:eastAsia="Arial" w:hAnsi="Arial"/>
          <w:sz w:val="18"/>
          <w:szCs w:val="18"/>
          <w:color w:val="auto"/>
        </w:rPr>
        <w:t>, which was associated with a seasonal effect where a normalization in consumption with debit and credit cards was recorded.</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5" w:name="page36"/>
    <w:bookmarkEnd w:id="35"/>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06.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YoY, Fee Income rose 18.0%, driven mainly by an increase in fees from:</w:t>
      </w:r>
    </w:p>
    <w:p>
      <w:pPr>
        <w:spacing w:after="0" w:line="198" w:lineRule="exact"/>
        <w:rPr>
          <w:sz w:val="20"/>
          <w:szCs w:val="20"/>
          <w:color w:val="auto"/>
        </w:rPr>
      </w:pPr>
    </w:p>
    <w:p>
      <w:pPr>
        <w:ind w:left="740" w:hanging="246"/>
        <w:spacing w:after="0" w:line="245"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Yape</w:t>
      </w:r>
      <w:r>
        <w:rPr>
          <w:rFonts w:ascii="Arial" w:cs="Arial" w:eastAsia="Arial" w:hAnsi="Arial"/>
          <w:sz w:val="18"/>
          <w:szCs w:val="18"/>
          <w:color w:val="auto"/>
        </w:rPr>
        <w:t>, which represented 52% of the growth in total fees and rose on the back of the same factors seen QoQ and via Yape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and Top-Ups.</w:t>
      </w:r>
    </w:p>
    <w:p>
      <w:pPr>
        <w:jc w:val="both"/>
        <w:ind w:left="740" w:hanging="246"/>
        <w:spacing w:after="0" w:line="234"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Liability and transactional accounts</w:t>
      </w:r>
      <w:r>
        <w:rPr>
          <w:rFonts w:ascii="Arial" w:cs="Arial" w:eastAsia="Arial" w:hAnsi="Arial"/>
          <w:sz w:val="18"/>
          <w:szCs w:val="18"/>
          <w:color w:val="auto"/>
        </w:rPr>
        <w:t>, which represented 16% of growth in total fees, where growth was fueled by (i) Wires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(+10.4%), which reflected an increase in the volume of inter-bank transfers, foreign transfers and remittances, and (ii) Current Accounts (+17.3%), driven by the same factors seen in the QoQ analysis.</w:t>
      </w:r>
    </w:p>
    <w:p>
      <w:pPr>
        <w:spacing w:after="0" w:line="2" w:lineRule="exact"/>
        <w:rPr>
          <w:rFonts w:ascii="Arial" w:cs="Arial" w:eastAsia="Arial" w:hAnsi="Arial"/>
          <w:sz w:val="18"/>
          <w:szCs w:val="18"/>
          <w:color w:val="auto"/>
        </w:rPr>
      </w:pPr>
    </w:p>
    <w:p>
      <w:pPr>
        <w:ind w:left="740" w:hanging="246"/>
        <w:spacing w:after="0" w:line="250"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which represents 11% of growth in total fees, rose on the back of the same drivers seen QoQ. Excluding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extraordinary income, the evolution of Insurance would remain stable.</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This growth was supported by an increase in </w:t>
      </w:r>
      <w:r>
        <w:rPr>
          <w:rFonts w:ascii="Arial" w:cs="Arial" w:eastAsia="Arial" w:hAnsi="Arial"/>
          <w:sz w:val="18"/>
          <w:szCs w:val="18"/>
          <w:b w:val="1"/>
          <w:bCs w:val="1"/>
          <w:color w:val="auto"/>
        </w:rPr>
        <w:t>Payments and Transactional Services</w:t>
      </w:r>
      <w:r>
        <w:rPr>
          <w:rFonts w:ascii="Arial" w:cs="Arial" w:eastAsia="Arial" w:hAnsi="Arial"/>
          <w:sz w:val="18"/>
          <w:szCs w:val="18"/>
          <w:color w:val="auto"/>
        </w:rPr>
        <w:t xml:space="preserve"> (+2.1%). Although merchant fees related to credit and debit cards have been growing at a mid-teens compound annual growth rate (CAGR), this impact has been overshadowed by a new allocation of paid commissions and a base effect stemming from the recognition of extraordinary income last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Other Non-Core Income</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4520" w:type="dxa"/>
            <w:vAlign w:val="bottom"/>
            <w:tcBorders>
              <w:top w:val="single" w:sz="8" w:color="auto"/>
              <w:left w:val="single" w:sz="8" w:color="auto"/>
              <w:right w:val="single" w:sz="8" w:color="auto"/>
            </w:tcBorders>
            <w:shd w:val="clear" w:color="auto" w:fill="33CCCC"/>
          </w:tcPr>
          <w:p>
            <w:pPr>
              <w:ind w:left="20"/>
              <w:spacing w:after="0" w:line="149" w:lineRule="exact"/>
              <w:rPr>
                <w:sz w:val="20"/>
                <w:szCs w:val="20"/>
                <w:color w:val="auto"/>
              </w:rPr>
            </w:pPr>
            <w:r>
              <w:rPr>
                <w:rFonts w:ascii="Arial" w:cs="Arial" w:eastAsia="Arial" w:hAnsi="Arial"/>
                <w:sz w:val="11"/>
                <w:szCs w:val="11"/>
                <w:b w:val="1"/>
                <w:bCs w:val="1"/>
                <w:color w:val="FFFFFF"/>
              </w:rPr>
              <w:t xml:space="preserve">Other Non-Core Income </w:t>
            </w:r>
            <w:r>
              <w:rPr>
                <w:rFonts w:ascii="Arial" w:cs="Arial" w:eastAsia="Arial" w:hAnsi="Arial"/>
                <w:sz w:val="17"/>
                <w:szCs w:val="17"/>
                <w:b w:val="1"/>
                <w:bCs w:val="1"/>
                <w:color w:val="FFFFFF"/>
                <w:vertAlign w:val="superscript"/>
              </w:rPr>
              <w:t>(1)</w:t>
            </w:r>
          </w:p>
        </w:tc>
        <w:tc>
          <w:tcPr>
            <w:tcW w:w="1360" w:type="dxa"/>
            <w:vAlign w:val="bottom"/>
            <w:tcBorders>
              <w:top w:val="single" w:sz="8" w:color="auto"/>
            </w:tcBorders>
            <w:shd w:val="clear" w:color="auto" w:fill="33CCCC"/>
          </w:tcPr>
          <w:p>
            <w:pPr>
              <w:spacing w:after="0"/>
              <w:rPr>
                <w:sz w:val="12"/>
                <w:szCs w:val="12"/>
                <w:color w:val="auto"/>
              </w:rPr>
            </w:pPr>
          </w:p>
        </w:tc>
        <w:tc>
          <w:tcPr>
            <w:tcW w:w="1360" w:type="dxa"/>
            <w:vAlign w:val="bottom"/>
            <w:tcBorders>
              <w:top w:val="single" w:sz="8" w:color="auto"/>
            </w:tcBorders>
            <w:shd w:val="clear" w:color="auto" w:fill="33CCCC"/>
          </w:tcPr>
          <w:p>
            <w:pPr>
              <w:ind w:left="480"/>
              <w:spacing w:after="0"/>
              <w:rPr>
                <w:sz w:val="20"/>
                <w:szCs w:val="20"/>
                <w:color w:val="auto"/>
              </w:rPr>
            </w:pPr>
            <w:r>
              <w:rPr>
                <w:rFonts w:ascii="Arial" w:cs="Arial" w:eastAsia="Arial" w:hAnsi="Arial"/>
                <w:sz w:val="12"/>
                <w:szCs w:val="12"/>
                <w:b w:val="1"/>
                <w:bCs w:val="1"/>
                <w:color w:val="FFFFFF"/>
              </w:rPr>
              <w:t>Quarter</w:t>
            </w:r>
          </w:p>
        </w:tc>
        <w:tc>
          <w:tcPr>
            <w:tcW w:w="1380" w:type="dxa"/>
            <w:vAlign w:val="bottom"/>
            <w:tcBorders>
              <w:top w:val="single" w:sz="8" w:color="auto"/>
              <w:right w:val="single" w:sz="8" w:color="auto"/>
            </w:tcBorders>
            <w:shd w:val="clear" w:color="auto" w:fill="33CCCC"/>
          </w:tcPr>
          <w:p>
            <w:pPr>
              <w:spacing w:after="0"/>
              <w:rPr>
                <w:sz w:val="12"/>
                <w:szCs w:val="12"/>
                <w:color w:val="auto"/>
              </w:rPr>
            </w:pPr>
          </w:p>
        </w:tc>
        <w:tc>
          <w:tcPr>
            <w:tcW w:w="960" w:type="dxa"/>
            <w:vAlign w:val="bottom"/>
            <w:tcBorders>
              <w:top w:val="single" w:sz="8" w:color="auto"/>
            </w:tcBorders>
            <w:shd w:val="clear" w:color="auto" w:fill="33CCCC"/>
          </w:tcPr>
          <w:p>
            <w:pPr>
              <w:spacing w:after="0"/>
              <w:rPr>
                <w:sz w:val="12"/>
                <w:szCs w:val="12"/>
                <w:color w:val="auto"/>
              </w:rPr>
            </w:pPr>
          </w:p>
        </w:tc>
        <w:tc>
          <w:tcPr>
            <w:tcW w:w="1660" w:type="dxa"/>
            <w:vAlign w:val="bottom"/>
            <w:tcBorders>
              <w:top w:val="single" w:sz="8" w:color="auto"/>
              <w:right w:val="single" w:sz="8" w:color="auto"/>
            </w:tcBorders>
            <w:shd w:val="clear" w:color="auto" w:fill="33CCCC"/>
          </w:tcPr>
          <w:p>
            <w:pPr>
              <w:ind w:left="60"/>
              <w:spacing w:after="0"/>
              <w:rPr>
                <w:sz w:val="20"/>
                <w:szCs w:val="20"/>
                <w:color w:val="auto"/>
              </w:rPr>
            </w:pPr>
            <w:r>
              <w:rPr>
                <w:rFonts w:ascii="Arial" w:cs="Arial" w:eastAsia="Arial" w:hAnsi="Arial"/>
                <w:sz w:val="12"/>
                <w:szCs w:val="12"/>
                <w:b w:val="1"/>
                <w:bCs w:val="1"/>
                <w:color w:val="FFFFFF"/>
              </w:rPr>
              <w:t>% Change</w:t>
            </w:r>
          </w:p>
        </w:tc>
      </w:tr>
      <w:tr>
        <w:trPr>
          <w:trHeight w:val="135"/>
        </w:trPr>
        <w:tc>
          <w:tcPr>
            <w:tcW w:w="4520" w:type="dxa"/>
            <w:vAlign w:val="bottom"/>
            <w:tcBorders>
              <w:left w:val="single" w:sz="8" w:color="auto"/>
              <w:bottom w:val="single" w:sz="8" w:color="auto"/>
              <w:right w:val="single" w:sz="8" w:color="auto"/>
            </w:tcBorders>
            <w:shd w:val="clear" w:color="auto" w:fill="33CCCC"/>
          </w:tcPr>
          <w:p>
            <w:pPr>
              <w:ind w:left="20"/>
              <w:spacing w:after="0" w:line="135" w:lineRule="exact"/>
              <w:rPr>
                <w:sz w:val="20"/>
                <w:szCs w:val="20"/>
                <w:color w:val="auto"/>
              </w:rPr>
            </w:pPr>
            <w:r>
              <w:rPr>
                <w:rFonts w:ascii="Arial" w:cs="Arial" w:eastAsia="Arial" w:hAnsi="Arial"/>
                <w:sz w:val="12"/>
                <w:szCs w:val="12"/>
                <w:b w:val="1"/>
                <w:bCs w:val="1"/>
                <w:color w:val="FFFFFF"/>
              </w:rPr>
              <w:t>S/000</w:t>
            </w:r>
          </w:p>
        </w:tc>
        <w:tc>
          <w:tcPr>
            <w:tcW w:w="1360" w:type="dxa"/>
            <w:vAlign w:val="bottom"/>
            <w:tcBorders>
              <w:bottom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5"/>
              </w:rPr>
              <w:t>1Q24</w:t>
            </w:r>
          </w:p>
        </w:tc>
        <w:tc>
          <w:tcPr>
            <w:tcW w:w="1360" w:type="dxa"/>
            <w:vAlign w:val="bottom"/>
            <w:tcBorders>
              <w:bottom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5"/>
              </w:rPr>
              <w:t>4Q24</w:t>
            </w:r>
          </w:p>
        </w:tc>
        <w:tc>
          <w:tcPr>
            <w:tcW w:w="1380" w:type="dxa"/>
            <w:vAlign w:val="bottom"/>
            <w:tcBorders>
              <w:bottom w:val="single" w:sz="8" w:color="auto"/>
              <w:right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5"/>
              </w:rPr>
              <w:t>1Q25</w:t>
            </w:r>
          </w:p>
        </w:tc>
        <w:tc>
          <w:tcPr>
            <w:tcW w:w="960" w:type="dxa"/>
            <w:vAlign w:val="bottom"/>
            <w:tcBorders>
              <w:bottom w:val="single" w:sz="8" w:color="auto"/>
            </w:tcBorders>
            <w:shd w:val="clear" w:color="auto" w:fill="33CCCC"/>
          </w:tcPr>
          <w:p>
            <w:pPr>
              <w:ind w:left="540"/>
              <w:spacing w:after="0" w:line="135" w:lineRule="exact"/>
              <w:rPr>
                <w:sz w:val="20"/>
                <w:szCs w:val="20"/>
                <w:color w:val="auto"/>
              </w:rPr>
            </w:pPr>
            <w:r>
              <w:rPr>
                <w:rFonts w:ascii="Arial" w:cs="Arial" w:eastAsia="Arial" w:hAnsi="Arial"/>
                <w:sz w:val="12"/>
                <w:szCs w:val="12"/>
                <w:b w:val="1"/>
                <w:bCs w:val="1"/>
                <w:color w:val="FFFFFF"/>
              </w:rPr>
              <w:t>QoQ</w:t>
            </w:r>
          </w:p>
        </w:tc>
        <w:tc>
          <w:tcPr>
            <w:tcW w:w="1660" w:type="dxa"/>
            <w:vAlign w:val="bottom"/>
            <w:tcBorders>
              <w:bottom w:val="single" w:sz="8" w:color="auto"/>
              <w:right w:val="single" w:sz="8" w:color="auto"/>
            </w:tcBorders>
            <w:shd w:val="clear" w:color="auto" w:fill="33CCCC"/>
          </w:tcPr>
          <w:p>
            <w:pPr>
              <w:ind w:left="900"/>
              <w:spacing w:after="0" w:line="135" w:lineRule="exact"/>
              <w:rPr>
                <w:sz w:val="20"/>
                <w:szCs w:val="20"/>
                <w:color w:val="auto"/>
              </w:rPr>
            </w:pPr>
            <w:r>
              <w:rPr>
                <w:rFonts w:ascii="Arial" w:cs="Arial" w:eastAsia="Arial" w:hAnsi="Arial"/>
                <w:sz w:val="12"/>
                <w:szCs w:val="12"/>
                <w:b w:val="1"/>
                <w:bCs w:val="1"/>
                <w:color w:val="FFFFFF"/>
              </w:rPr>
              <w:t>YoY</w:t>
            </w:r>
          </w:p>
        </w:tc>
      </w:tr>
      <w:tr>
        <w:trPr>
          <w:trHeight w:val="125"/>
        </w:trPr>
        <w:tc>
          <w:tcPr>
            <w:tcW w:w="4520" w:type="dxa"/>
            <w:vAlign w:val="bottom"/>
            <w:tcBorders>
              <w:left w:val="single" w:sz="8" w:color="auto"/>
              <w:right w:val="single" w:sz="8" w:color="auto"/>
            </w:tcBorders>
          </w:tcPr>
          <w:p>
            <w:pPr>
              <w:ind w:left="20"/>
              <w:spacing w:after="0" w:line="125" w:lineRule="exact"/>
              <w:rPr>
                <w:sz w:val="20"/>
                <w:szCs w:val="20"/>
                <w:color w:val="auto"/>
              </w:rPr>
            </w:pPr>
            <w:r>
              <w:rPr>
                <w:rFonts w:ascii="Arial" w:cs="Arial" w:eastAsia="Arial" w:hAnsi="Arial"/>
                <w:sz w:val="13"/>
                <w:szCs w:val="13"/>
                <w:color w:val="auto"/>
              </w:rPr>
              <w:t>Net Gain on Securities</w:t>
            </w:r>
          </w:p>
        </w:tc>
        <w:tc>
          <w:tcPr>
            <w:tcW w:w="1360" w:type="dxa"/>
            <w:vAlign w:val="bottom"/>
          </w:tcPr>
          <w:p>
            <w:pPr>
              <w:jc w:val="center"/>
              <w:spacing w:after="0" w:line="125" w:lineRule="exact"/>
              <w:rPr>
                <w:sz w:val="20"/>
                <w:szCs w:val="20"/>
                <w:color w:val="auto"/>
              </w:rPr>
            </w:pPr>
            <w:r>
              <w:rPr>
                <w:rFonts w:ascii="Arial" w:cs="Arial" w:eastAsia="Arial" w:hAnsi="Arial"/>
                <w:sz w:val="13"/>
                <w:szCs w:val="13"/>
                <w:color w:val="auto"/>
              </w:rPr>
              <w:t>61,745</w:t>
            </w:r>
          </w:p>
        </w:tc>
        <w:tc>
          <w:tcPr>
            <w:tcW w:w="1360" w:type="dxa"/>
            <w:vAlign w:val="bottom"/>
          </w:tcPr>
          <w:p>
            <w:pPr>
              <w:jc w:val="center"/>
              <w:spacing w:after="0" w:line="125" w:lineRule="exact"/>
              <w:rPr>
                <w:sz w:val="20"/>
                <w:szCs w:val="20"/>
                <w:color w:val="auto"/>
              </w:rPr>
            </w:pPr>
            <w:r>
              <w:rPr>
                <w:rFonts w:ascii="Arial" w:cs="Arial" w:eastAsia="Arial" w:hAnsi="Arial"/>
                <w:sz w:val="13"/>
                <w:szCs w:val="13"/>
                <w:color w:val="auto"/>
              </w:rPr>
              <w:t>-47,377</w:t>
            </w:r>
          </w:p>
        </w:tc>
        <w:tc>
          <w:tcPr>
            <w:tcW w:w="138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3"/>
                <w:szCs w:val="13"/>
                <w:color w:val="auto"/>
              </w:rPr>
              <w:t>-28,149</w:t>
            </w:r>
          </w:p>
        </w:tc>
        <w:tc>
          <w:tcPr>
            <w:tcW w:w="960" w:type="dxa"/>
            <w:vAlign w:val="bottom"/>
          </w:tcPr>
          <w:p>
            <w:pPr>
              <w:jc w:val="center"/>
              <w:ind w:left="294"/>
              <w:spacing w:after="0" w:line="125" w:lineRule="exact"/>
              <w:rPr>
                <w:sz w:val="20"/>
                <w:szCs w:val="20"/>
                <w:color w:val="auto"/>
              </w:rPr>
            </w:pPr>
            <w:r>
              <w:rPr>
                <w:rFonts w:ascii="Arial" w:cs="Arial" w:eastAsia="Arial" w:hAnsi="Arial"/>
                <w:sz w:val="13"/>
                <w:szCs w:val="13"/>
                <w:color w:val="auto"/>
              </w:rPr>
              <w:t>-40.6%</w:t>
            </w:r>
          </w:p>
        </w:tc>
        <w:tc>
          <w:tcPr>
            <w:tcW w:w="1660" w:type="dxa"/>
            <w:vAlign w:val="bottom"/>
            <w:tcBorders>
              <w:right w:val="single" w:sz="8" w:color="auto"/>
            </w:tcBorders>
          </w:tcPr>
          <w:p>
            <w:pPr>
              <w:jc w:val="center"/>
              <w:ind w:left="295"/>
              <w:spacing w:after="0" w:line="125" w:lineRule="exact"/>
              <w:rPr>
                <w:sz w:val="20"/>
                <w:szCs w:val="20"/>
                <w:color w:val="auto"/>
              </w:rPr>
            </w:pPr>
            <w:r>
              <w:rPr>
                <w:rFonts w:ascii="Arial" w:cs="Arial" w:eastAsia="Arial" w:hAnsi="Arial"/>
                <w:sz w:val="13"/>
                <w:szCs w:val="13"/>
                <w:color w:val="auto"/>
              </w:rPr>
              <w:t>-145.6%</w:t>
            </w:r>
          </w:p>
        </w:tc>
      </w:tr>
      <w:tr>
        <w:trPr>
          <w:trHeight w:val="148"/>
        </w:trPr>
        <w:tc>
          <w:tcPr>
            <w:tcW w:w="452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1"/>
                <w:szCs w:val="11"/>
                <w:color w:val="auto"/>
              </w:rPr>
              <w:t xml:space="preserve">Net Gain from Associates </w:t>
            </w:r>
            <w:r>
              <w:rPr>
                <w:rFonts w:ascii="Arial" w:cs="Arial" w:eastAsia="Arial" w:hAnsi="Arial"/>
                <w:sz w:val="17"/>
                <w:szCs w:val="17"/>
                <w:color w:val="auto"/>
                <w:vertAlign w:val="superscript"/>
              </w:rPr>
              <w:t>(2)</w:t>
            </w:r>
          </w:p>
        </w:tc>
        <w:tc>
          <w:tcPr>
            <w:tcW w:w="1360" w:type="dxa"/>
            <w:vAlign w:val="bottom"/>
          </w:tcPr>
          <w:p>
            <w:pPr>
              <w:jc w:val="center"/>
              <w:spacing w:after="0"/>
              <w:rPr>
                <w:sz w:val="20"/>
                <w:szCs w:val="20"/>
                <w:color w:val="auto"/>
              </w:rPr>
            </w:pPr>
            <w:r>
              <w:rPr>
                <w:rFonts w:ascii="Arial" w:cs="Arial" w:eastAsia="Arial" w:hAnsi="Arial"/>
                <w:sz w:val="13"/>
                <w:szCs w:val="13"/>
                <w:color w:val="auto"/>
              </w:rPr>
              <w:t>32,295</w:t>
            </w:r>
          </w:p>
        </w:tc>
        <w:tc>
          <w:tcPr>
            <w:tcW w:w="1360" w:type="dxa"/>
            <w:vAlign w:val="bottom"/>
          </w:tcPr>
          <w:p>
            <w:pPr>
              <w:jc w:val="center"/>
              <w:spacing w:after="0"/>
              <w:rPr>
                <w:sz w:val="20"/>
                <w:szCs w:val="20"/>
                <w:color w:val="auto"/>
              </w:rPr>
            </w:pPr>
            <w:r>
              <w:rPr>
                <w:rFonts w:ascii="Arial" w:cs="Arial" w:eastAsia="Arial" w:hAnsi="Arial"/>
                <w:sz w:val="13"/>
                <w:szCs w:val="13"/>
                <w:color w:val="auto"/>
              </w:rPr>
              <w:t>38,560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24,068</w:t>
            </w:r>
          </w:p>
        </w:tc>
        <w:tc>
          <w:tcPr>
            <w:tcW w:w="960" w:type="dxa"/>
            <w:vAlign w:val="bottom"/>
          </w:tcPr>
          <w:p>
            <w:pPr>
              <w:jc w:val="center"/>
              <w:ind w:left="294"/>
              <w:spacing w:after="0"/>
              <w:rPr>
                <w:sz w:val="20"/>
                <w:szCs w:val="20"/>
                <w:color w:val="auto"/>
              </w:rPr>
            </w:pPr>
            <w:r>
              <w:rPr>
                <w:rFonts w:ascii="Arial" w:cs="Arial" w:eastAsia="Arial" w:hAnsi="Arial"/>
                <w:sz w:val="13"/>
                <w:szCs w:val="13"/>
                <w:color w:val="auto"/>
              </w:rPr>
              <w:t>-37.6%</w:t>
            </w:r>
          </w:p>
        </w:tc>
        <w:tc>
          <w:tcPr>
            <w:tcW w:w="1660" w:type="dxa"/>
            <w:vAlign w:val="bottom"/>
            <w:tcBorders>
              <w:right w:val="single" w:sz="8" w:color="auto"/>
            </w:tcBorders>
          </w:tcPr>
          <w:p>
            <w:pPr>
              <w:jc w:val="center"/>
              <w:ind w:left="295"/>
              <w:spacing w:after="0"/>
              <w:rPr>
                <w:sz w:val="20"/>
                <w:szCs w:val="20"/>
                <w:color w:val="auto"/>
              </w:rPr>
            </w:pPr>
            <w:r>
              <w:rPr>
                <w:rFonts w:ascii="Arial" w:cs="Arial" w:eastAsia="Arial" w:hAnsi="Arial"/>
                <w:sz w:val="13"/>
                <w:szCs w:val="13"/>
                <w:color w:val="auto"/>
              </w:rPr>
              <w:t>-25.5%</w:t>
            </w:r>
          </w:p>
        </w:tc>
      </w:tr>
      <w:tr>
        <w:trPr>
          <w:trHeight w:val="153"/>
        </w:trPr>
        <w:tc>
          <w:tcPr>
            <w:tcW w:w="452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1"/>
                <w:szCs w:val="11"/>
                <w:color w:val="auto"/>
              </w:rPr>
              <w:t xml:space="preserve">Net Gain of Derivatives Held for Trading </w:t>
            </w:r>
            <w:r>
              <w:rPr>
                <w:rFonts w:ascii="Arial" w:cs="Arial" w:eastAsia="Arial" w:hAnsi="Arial"/>
                <w:sz w:val="17"/>
                <w:szCs w:val="17"/>
                <w:color w:val="auto"/>
                <w:vertAlign w:val="superscript"/>
              </w:rPr>
              <w:t>(3)</w:t>
            </w:r>
          </w:p>
        </w:tc>
        <w:tc>
          <w:tcPr>
            <w:tcW w:w="1360" w:type="dxa"/>
            <w:vAlign w:val="bottom"/>
          </w:tcPr>
          <w:p>
            <w:pPr>
              <w:jc w:val="center"/>
              <w:spacing w:after="0"/>
              <w:rPr>
                <w:sz w:val="20"/>
                <w:szCs w:val="20"/>
                <w:color w:val="auto"/>
              </w:rPr>
            </w:pPr>
            <w:r>
              <w:rPr>
                <w:rFonts w:ascii="Arial" w:cs="Arial" w:eastAsia="Arial" w:hAnsi="Arial"/>
                <w:sz w:val="13"/>
                <w:szCs w:val="13"/>
                <w:color w:val="auto"/>
              </w:rPr>
              <w:t>39,984</w:t>
            </w:r>
          </w:p>
        </w:tc>
        <w:tc>
          <w:tcPr>
            <w:tcW w:w="1360" w:type="dxa"/>
            <w:vAlign w:val="bottom"/>
          </w:tcPr>
          <w:p>
            <w:pPr>
              <w:jc w:val="center"/>
              <w:spacing w:after="0"/>
              <w:rPr>
                <w:sz w:val="20"/>
                <w:szCs w:val="20"/>
                <w:color w:val="auto"/>
              </w:rPr>
            </w:pPr>
            <w:r>
              <w:rPr>
                <w:rFonts w:ascii="Arial" w:cs="Arial" w:eastAsia="Arial" w:hAnsi="Arial"/>
                <w:sz w:val="13"/>
                <w:szCs w:val="13"/>
                <w:color w:val="auto"/>
              </w:rPr>
              <w:t>77,962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18,499</w:t>
            </w:r>
          </w:p>
        </w:tc>
        <w:tc>
          <w:tcPr>
            <w:tcW w:w="960" w:type="dxa"/>
            <w:vAlign w:val="bottom"/>
          </w:tcPr>
          <w:p>
            <w:pPr>
              <w:jc w:val="center"/>
              <w:ind w:left="294"/>
              <w:spacing w:after="0"/>
              <w:rPr>
                <w:sz w:val="20"/>
                <w:szCs w:val="20"/>
                <w:color w:val="auto"/>
              </w:rPr>
            </w:pPr>
            <w:r>
              <w:rPr>
                <w:rFonts w:ascii="Arial" w:cs="Arial" w:eastAsia="Arial" w:hAnsi="Arial"/>
                <w:sz w:val="13"/>
                <w:szCs w:val="13"/>
                <w:color w:val="auto"/>
              </w:rPr>
              <w:t>-76.3%</w:t>
            </w:r>
          </w:p>
        </w:tc>
        <w:tc>
          <w:tcPr>
            <w:tcW w:w="1660" w:type="dxa"/>
            <w:vAlign w:val="bottom"/>
            <w:tcBorders>
              <w:right w:val="single" w:sz="8" w:color="auto"/>
            </w:tcBorders>
          </w:tcPr>
          <w:p>
            <w:pPr>
              <w:jc w:val="center"/>
              <w:ind w:left="295"/>
              <w:spacing w:after="0"/>
              <w:rPr>
                <w:sz w:val="20"/>
                <w:szCs w:val="20"/>
                <w:color w:val="auto"/>
              </w:rPr>
            </w:pPr>
            <w:r>
              <w:rPr>
                <w:rFonts w:ascii="Arial" w:cs="Arial" w:eastAsia="Arial" w:hAnsi="Arial"/>
                <w:sz w:val="13"/>
                <w:szCs w:val="13"/>
                <w:color w:val="auto"/>
              </w:rPr>
              <w:t>-53.7%</w:t>
            </w:r>
          </w:p>
        </w:tc>
      </w:tr>
      <w:tr>
        <w:trPr>
          <w:trHeight w:val="148"/>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Net Gain from Exchange Differences</w:t>
            </w:r>
          </w:p>
        </w:tc>
        <w:tc>
          <w:tcPr>
            <w:tcW w:w="1360" w:type="dxa"/>
            <w:vAlign w:val="bottom"/>
          </w:tcPr>
          <w:p>
            <w:pPr>
              <w:jc w:val="center"/>
              <w:spacing w:after="0"/>
              <w:rPr>
                <w:sz w:val="20"/>
                <w:szCs w:val="20"/>
                <w:color w:val="auto"/>
              </w:rPr>
            </w:pPr>
            <w:r>
              <w:rPr>
                <w:rFonts w:ascii="Arial" w:cs="Arial" w:eastAsia="Arial" w:hAnsi="Arial"/>
                <w:sz w:val="13"/>
                <w:szCs w:val="13"/>
                <w:color w:val="auto"/>
              </w:rPr>
              <w:t>-5,621</w:t>
            </w:r>
          </w:p>
        </w:tc>
        <w:tc>
          <w:tcPr>
            <w:tcW w:w="1360" w:type="dxa"/>
            <w:vAlign w:val="bottom"/>
          </w:tcPr>
          <w:p>
            <w:pPr>
              <w:jc w:val="center"/>
              <w:spacing w:after="0"/>
              <w:rPr>
                <w:sz w:val="20"/>
                <w:szCs w:val="20"/>
                <w:color w:val="auto"/>
              </w:rPr>
            </w:pPr>
            <w:r>
              <w:rPr>
                <w:rFonts w:ascii="Arial" w:cs="Arial" w:eastAsia="Arial" w:hAnsi="Arial"/>
                <w:sz w:val="13"/>
                <w:szCs w:val="13"/>
                <w:color w:val="auto"/>
              </w:rPr>
              <w:t>-21,365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15,959</w:t>
            </w:r>
          </w:p>
        </w:tc>
        <w:tc>
          <w:tcPr>
            <w:tcW w:w="960" w:type="dxa"/>
            <w:vAlign w:val="bottom"/>
          </w:tcPr>
          <w:p>
            <w:pPr>
              <w:jc w:val="center"/>
              <w:ind w:left="314"/>
              <w:spacing w:after="0"/>
              <w:rPr>
                <w:sz w:val="20"/>
                <w:szCs w:val="20"/>
                <w:color w:val="auto"/>
              </w:rPr>
            </w:pPr>
            <w:r>
              <w:rPr>
                <w:rFonts w:ascii="Arial" w:cs="Arial" w:eastAsia="Arial" w:hAnsi="Arial"/>
                <w:sz w:val="13"/>
                <w:szCs w:val="13"/>
                <w:color w:val="auto"/>
              </w:rPr>
              <w:t>-174.7%</w:t>
            </w:r>
          </w:p>
        </w:tc>
        <w:tc>
          <w:tcPr>
            <w:tcW w:w="1660" w:type="dxa"/>
            <w:vAlign w:val="bottom"/>
            <w:tcBorders>
              <w:right w:val="single" w:sz="8" w:color="auto"/>
            </w:tcBorders>
          </w:tcPr>
          <w:p>
            <w:pPr>
              <w:jc w:val="center"/>
              <w:ind w:left="295"/>
              <w:spacing w:after="0"/>
              <w:rPr>
                <w:sz w:val="20"/>
                <w:szCs w:val="20"/>
                <w:color w:val="auto"/>
              </w:rPr>
            </w:pPr>
            <w:r>
              <w:rPr>
                <w:rFonts w:ascii="Arial" w:cs="Arial" w:eastAsia="Arial" w:hAnsi="Arial"/>
                <w:sz w:val="13"/>
                <w:szCs w:val="13"/>
                <w:color w:val="auto"/>
              </w:rPr>
              <w:t>-383.9%</w:t>
            </w:r>
          </w:p>
        </w:tc>
      </w:tr>
      <w:tr>
        <w:trPr>
          <w:trHeight w:val="161"/>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Other Non-operative Income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102,221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176,384</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322,001</w:t>
            </w:r>
          </w:p>
        </w:tc>
        <w:tc>
          <w:tcPr>
            <w:tcW w:w="960" w:type="dxa"/>
            <w:vAlign w:val="bottom"/>
            <w:tcBorders>
              <w:bottom w:val="single" w:sz="8" w:color="auto"/>
            </w:tcBorders>
          </w:tcPr>
          <w:p>
            <w:pPr>
              <w:jc w:val="center"/>
              <w:ind w:left="314"/>
              <w:spacing w:after="0"/>
              <w:rPr>
                <w:sz w:val="20"/>
                <w:szCs w:val="20"/>
                <w:color w:val="auto"/>
              </w:rPr>
            </w:pPr>
            <w:r>
              <w:rPr>
                <w:rFonts w:ascii="Arial" w:cs="Arial" w:eastAsia="Arial" w:hAnsi="Arial"/>
                <w:sz w:val="13"/>
                <w:szCs w:val="13"/>
                <w:color w:val="auto"/>
              </w:rPr>
              <w:t>82.6%</w:t>
            </w:r>
          </w:p>
        </w:tc>
        <w:tc>
          <w:tcPr>
            <w:tcW w:w="1660" w:type="dxa"/>
            <w:vAlign w:val="bottom"/>
            <w:tcBorders>
              <w:bottom w:val="single" w:sz="8" w:color="auto"/>
              <w:right w:val="single" w:sz="8" w:color="auto"/>
            </w:tcBorders>
          </w:tcPr>
          <w:p>
            <w:pPr>
              <w:jc w:val="center"/>
              <w:ind w:left="295"/>
              <w:spacing w:after="0"/>
              <w:rPr>
                <w:sz w:val="20"/>
                <w:szCs w:val="20"/>
                <w:color w:val="auto"/>
              </w:rPr>
            </w:pPr>
            <w:r>
              <w:rPr>
                <w:rFonts w:ascii="Arial" w:cs="Arial" w:eastAsia="Arial" w:hAnsi="Arial"/>
                <w:sz w:val="13"/>
                <w:szCs w:val="13"/>
                <w:color w:val="auto"/>
              </w:rPr>
              <w:t>215.0%</w:t>
            </w:r>
          </w:p>
        </w:tc>
      </w:tr>
      <w:tr>
        <w:trPr>
          <w:trHeight w:val="142"/>
        </w:trPr>
        <w:tc>
          <w:tcPr>
            <w:tcW w:w="452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Total Other Non-Core Income</w:t>
            </w: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230,624</w:t>
            </w: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224,164</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352,378</w:t>
            </w:r>
          </w:p>
        </w:tc>
        <w:tc>
          <w:tcPr>
            <w:tcW w:w="960" w:type="dxa"/>
            <w:vAlign w:val="bottom"/>
            <w:tcBorders>
              <w:bottom w:val="single" w:sz="8" w:color="auto"/>
            </w:tcBorders>
          </w:tcPr>
          <w:p>
            <w:pPr>
              <w:jc w:val="center"/>
              <w:ind w:left="314"/>
              <w:spacing w:after="0" w:line="142" w:lineRule="exact"/>
              <w:rPr>
                <w:sz w:val="20"/>
                <w:szCs w:val="20"/>
                <w:color w:val="auto"/>
              </w:rPr>
            </w:pPr>
            <w:r>
              <w:rPr>
                <w:rFonts w:ascii="Arial" w:cs="Arial" w:eastAsia="Arial" w:hAnsi="Arial"/>
                <w:sz w:val="13"/>
                <w:szCs w:val="13"/>
                <w:b w:val="1"/>
                <w:bCs w:val="1"/>
                <w:color w:val="auto"/>
              </w:rPr>
              <w:t>57.2%</w:t>
            </w:r>
          </w:p>
        </w:tc>
        <w:tc>
          <w:tcPr>
            <w:tcW w:w="1660" w:type="dxa"/>
            <w:vAlign w:val="bottom"/>
            <w:tcBorders>
              <w:bottom w:val="single" w:sz="8" w:color="auto"/>
              <w:right w:val="single" w:sz="8" w:color="auto"/>
            </w:tcBorders>
          </w:tcPr>
          <w:p>
            <w:pPr>
              <w:jc w:val="center"/>
              <w:ind w:left="295"/>
              <w:spacing w:after="0" w:line="142" w:lineRule="exact"/>
              <w:rPr>
                <w:sz w:val="20"/>
                <w:szCs w:val="20"/>
                <w:color w:val="auto"/>
              </w:rPr>
            </w:pPr>
            <w:r>
              <w:rPr>
                <w:rFonts w:ascii="Arial" w:cs="Arial" w:eastAsia="Arial" w:hAnsi="Arial"/>
                <w:sz w:val="13"/>
                <w:szCs w:val="13"/>
                <w:b w:val="1"/>
                <w:bCs w:val="1"/>
                <w:color w:val="auto"/>
              </w:rPr>
              <w:t>52.8%</w:t>
            </w:r>
          </w:p>
        </w:tc>
      </w:tr>
    </w:tbl>
    <w:p>
      <w:pPr>
        <w:ind w:left="180" w:hanging="172"/>
        <w:spacing w:after="0" w:line="236" w:lineRule="auto"/>
        <w:tabs>
          <w:tab w:leader="none" w:pos="1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Since March 2025, revenues from the EPS and Medical Services businesses are no longer reported under Net Gain from Associates. Instead, they are fully consolidated into the Underwriting Insurance Result and the newly created Medical Services Result, respectively.</w:t>
      </w:r>
    </w:p>
    <w:p>
      <w:pPr>
        <w:ind w:left="180" w:hanging="172"/>
        <w:spacing w:after="0" w:line="234" w:lineRule="auto"/>
        <w:tabs>
          <w:tab w:leader="none" w:pos="1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Includes gains on other investments, which are mainly attributable to the Banmedica result.</w:t>
      </w:r>
    </w:p>
    <w:p>
      <w:pPr>
        <w:ind w:left="180" w:hanging="172"/>
        <w:spacing w:after="0" w:line="241" w:lineRule="auto"/>
        <w:tabs>
          <w:tab w:leader="none" w:pos="1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Beginning in 1Q25, accounting reclassifications related to FX operations at BCP Bolivia have been incorporated. These reclassifications affected Fee Income and Net Gain on Derivatives Held for Trading, which are now consolidated into Net Gain on Foreign Exchange Transactions. Figures for prior periods have been restated for comparability and may differ from those previously reported.</w:t>
      </w:r>
    </w:p>
    <w:p>
      <w:pPr>
        <w:spacing w:after="0" w:line="170"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3880" w:type="dxa"/>
            <w:vAlign w:val="bottom"/>
          </w:tcPr>
          <w:p>
            <w:pPr>
              <w:jc w:val="center"/>
              <w:ind w:right="1773"/>
              <w:spacing w:after="0"/>
              <w:rPr>
                <w:sz w:val="20"/>
                <w:szCs w:val="20"/>
                <w:color w:val="auto"/>
              </w:rPr>
            </w:pPr>
            <w:r>
              <w:rPr>
                <w:rFonts w:ascii="Arial" w:cs="Arial" w:eastAsia="Arial" w:hAnsi="Arial"/>
                <w:sz w:val="18"/>
                <w:szCs w:val="18"/>
                <w:b w:val="1"/>
                <w:bCs w:val="1"/>
                <w:color w:val="auto"/>
                <w:w w:val="99"/>
              </w:rPr>
              <w:t>Other Non-Core Income</w:t>
            </w:r>
          </w:p>
        </w:tc>
        <w:tc>
          <w:tcPr>
            <w:tcW w:w="388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Other Non-Core Income</w:t>
            </w:r>
          </w:p>
        </w:tc>
      </w:tr>
      <w:tr>
        <w:trPr>
          <w:trHeight w:val="203"/>
        </w:trPr>
        <w:tc>
          <w:tcPr>
            <w:tcW w:w="3880" w:type="dxa"/>
            <w:vAlign w:val="bottom"/>
          </w:tcPr>
          <w:p>
            <w:pPr>
              <w:jc w:val="center"/>
              <w:ind w:right="1793"/>
              <w:spacing w:after="0" w:line="202" w:lineRule="exact"/>
              <w:rPr>
                <w:sz w:val="20"/>
                <w:szCs w:val="20"/>
                <w:color w:val="auto"/>
              </w:rPr>
            </w:pPr>
            <w:r>
              <w:rPr>
                <w:rFonts w:ascii="Arial" w:cs="Arial" w:eastAsia="Arial" w:hAnsi="Arial"/>
                <w:sz w:val="18"/>
                <w:szCs w:val="18"/>
                <w:b w:val="1"/>
                <w:bCs w:val="1"/>
                <w:color w:val="auto"/>
                <w:w w:val="99"/>
              </w:rPr>
              <w:t>QoQ evolution</w:t>
            </w:r>
          </w:p>
        </w:tc>
        <w:tc>
          <w:tcPr>
            <w:tcW w:w="3880" w:type="dxa"/>
            <w:vAlign w:val="bottom"/>
          </w:tcPr>
          <w:p>
            <w:pPr>
              <w:jc w:val="center"/>
              <w:ind w:left="1770"/>
              <w:spacing w:after="0" w:line="202" w:lineRule="exact"/>
              <w:rPr>
                <w:sz w:val="20"/>
                <w:szCs w:val="20"/>
                <w:color w:val="auto"/>
              </w:rPr>
            </w:pPr>
            <w:r>
              <w:rPr>
                <w:rFonts w:ascii="Arial" w:cs="Arial" w:eastAsia="Arial" w:hAnsi="Arial"/>
                <w:sz w:val="18"/>
                <w:szCs w:val="18"/>
                <w:b w:val="1"/>
                <w:bCs w:val="1"/>
                <w:color w:val="auto"/>
                <w:w w:val="98"/>
              </w:rPr>
              <w:t>YoY evolution</w:t>
            </w:r>
          </w:p>
        </w:tc>
      </w:tr>
      <w:tr>
        <w:trPr>
          <w:trHeight w:val="239"/>
        </w:trPr>
        <w:tc>
          <w:tcPr>
            <w:tcW w:w="3880" w:type="dxa"/>
            <w:vAlign w:val="bottom"/>
          </w:tcPr>
          <w:p>
            <w:pPr>
              <w:jc w:val="center"/>
              <w:ind w:right="1773"/>
              <w:spacing w:after="0"/>
              <w:rPr>
                <w:sz w:val="20"/>
                <w:szCs w:val="20"/>
                <w:color w:val="auto"/>
              </w:rPr>
            </w:pPr>
            <w:r>
              <w:rPr>
                <w:rFonts w:ascii="Arial" w:cs="Arial" w:eastAsia="Arial" w:hAnsi="Arial"/>
                <w:sz w:val="16"/>
                <w:szCs w:val="16"/>
                <w:color w:val="auto"/>
              </w:rPr>
              <w:t>(millions of soles)</w:t>
            </w:r>
          </w:p>
        </w:tc>
        <w:tc>
          <w:tcPr>
            <w:tcW w:w="3880" w:type="dxa"/>
            <w:vAlign w:val="bottom"/>
          </w:tcPr>
          <w:p>
            <w:pPr>
              <w:jc w:val="center"/>
              <w:ind w:left="1770"/>
              <w:spacing w:after="0"/>
              <w:rPr>
                <w:sz w:val="20"/>
                <w:szCs w:val="20"/>
                <w:color w:val="auto"/>
              </w:rPr>
            </w:pPr>
            <w:r>
              <w:rPr>
                <w:rFonts w:ascii="Arial" w:cs="Arial" w:eastAsia="Arial" w:hAnsi="Arial"/>
                <w:sz w:val="18"/>
                <w:szCs w:val="18"/>
                <w:color w:val="auto"/>
                <w:w w:val="99"/>
              </w:rPr>
              <w:t>(millions of soles)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109220</wp:posOffset>
            </wp:positionV>
            <wp:extent cx="6523355" cy="11144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2335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color w:val="auto"/>
        </w:rPr>
        <w:t>(1)Others: include Grupo Credito, Credicorp Stand-alone, eliminations and others.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the extraordinary gain of approximately S/236 million, resulting from the acquisition of the remaining 50% of Empresas Banmedica in the joint venture with Pacifico Seguros, Other Non-Core Income increased by 57.2% QoQ and 52.8% YoY. Excluding this extraordinary gain, Other Non-Core Income showed the following dynamics: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QoQ, Other Non-Core Income </w:t>
      </w:r>
      <w:r>
        <w:rPr>
          <w:rFonts w:ascii="Arial" w:cs="Arial" w:eastAsia="Arial" w:hAnsi="Arial"/>
          <w:sz w:val="18"/>
          <w:szCs w:val="18"/>
          <w:color w:val="auto"/>
        </w:rPr>
        <w:t>decreased -47.9%, driven mainly by:</w:t>
      </w:r>
    </w:p>
    <w:p>
      <w:pPr>
        <w:spacing w:after="0" w:line="225" w:lineRule="exact"/>
        <w:rPr>
          <w:sz w:val="20"/>
          <w:szCs w:val="20"/>
          <w:color w:val="auto"/>
        </w:rPr>
      </w:pPr>
    </w:p>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Other Non-Operative Income: </w:t>
      </w:r>
      <w:r>
        <w:rPr>
          <w:rFonts w:ascii="Arial" w:cs="Arial" w:eastAsia="Arial" w:hAnsi="Arial"/>
          <w:sz w:val="18"/>
          <w:szCs w:val="18"/>
          <w:color w:val="auto"/>
        </w:rPr>
        <w:t>at</w:t>
      </w: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due to a base effect from the sale of real estate.</w:t>
      </w:r>
    </w:p>
    <w:p>
      <w:pPr>
        <w:spacing w:after="0" w:line="13" w:lineRule="exact"/>
        <w:rPr>
          <w:rFonts w:ascii="Arial" w:cs="Arial" w:eastAsia="Arial" w:hAnsi="Arial"/>
          <w:sz w:val="18"/>
          <w:szCs w:val="18"/>
          <w:color w:val="auto"/>
        </w:rPr>
      </w:pPr>
    </w:p>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Net Gain on Derivatives Held for Trading: </w:t>
      </w:r>
      <w:r>
        <w:rPr>
          <w:rFonts w:ascii="Arial" w:cs="Arial" w:eastAsia="Arial" w:hAnsi="Arial"/>
          <w:sz w:val="18"/>
          <w:szCs w:val="18"/>
          <w:color w:val="auto"/>
        </w:rPr>
        <w:t>at</w:t>
      </w:r>
      <w:r>
        <w:rPr>
          <w:rFonts w:ascii="Arial" w:cs="Arial" w:eastAsia="Arial" w:hAnsi="Arial"/>
          <w:sz w:val="18"/>
          <w:szCs w:val="18"/>
          <w:b w:val="1"/>
          <w:bCs w:val="1"/>
          <w:color w:val="auto"/>
        </w:rPr>
        <w:t xml:space="preserve"> ASB</w:t>
      </w:r>
      <w:r>
        <w:rPr>
          <w:rFonts w:ascii="Arial" w:cs="Arial" w:eastAsia="Arial" w:hAnsi="Arial"/>
          <w:sz w:val="18"/>
          <w:szCs w:val="18"/>
          <w:color w:val="auto"/>
        </w:rPr>
        <w:t>, due to local currency exposures.</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6" w:name="page37"/>
    <w:bookmarkEnd w:id="36"/>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06.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jc w:val="both"/>
        <w:spacing w:after="0" w:line="243" w:lineRule="auto"/>
        <w:rPr>
          <w:sz w:val="20"/>
          <w:szCs w:val="20"/>
          <w:color w:val="auto"/>
        </w:rPr>
      </w:pPr>
      <w:r>
        <w:rPr>
          <w:rFonts w:ascii="Arial" w:cs="Arial" w:eastAsia="Arial" w:hAnsi="Arial"/>
          <w:sz w:val="18"/>
          <w:szCs w:val="18"/>
          <w:color w:val="auto"/>
        </w:rPr>
        <w:t xml:space="preserve">To a greater extent, this decline was partially mitigated by an increase in </w:t>
      </w:r>
      <w:r>
        <w:rPr>
          <w:rFonts w:ascii="Arial" w:cs="Arial" w:eastAsia="Arial" w:hAnsi="Arial"/>
          <w:sz w:val="18"/>
          <w:szCs w:val="18"/>
          <w:b w:val="1"/>
          <w:bCs w:val="1"/>
          <w:color w:val="auto"/>
        </w:rPr>
        <w:t>Net Gain From Exchange Difference</w:t>
      </w:r>
      <w:r>
        <w:rPr>
          <w:rFonts w:ascii="Arial" w:cs="Arial" w:eastAsia="Arial" w:hAnsi="Arial"/>
          <w:sz w:val="18"/>
          <w:szCs w:val="18"/>
          <w:color w:val="auto"/>
        </w:rPr>
        <w:t xml:space="preserve"> in </w:t>
      </w:r>
      <w:r>
        <w:rPr>
          <w:rFonts w:ascii="Arial" w:cs="Arial" w:eastAsia="Arial" w:hAnsi="Arial"/>
          <w:sz w:val="18"/>
          <w:szCs w:val="18"/>
          <w:b w:val="1"/>
          <w:bCs w:val="1"/>
          <w:color w:val="auto"/>
        </w:rPr>
        <w:t>ASB</w:t>
      </w:r>
      <w:r>
        <w:rPr>
          <w:rFonts w:ascii="Arial" w:cs="Arial" w:eastAsia="Arial" w:hAnsi="Arial"/>
          <w:sz w:val="18"/>
          <w:szCs w:val="18"/>
          <w:color w:val="auto"/>
        </w:rPr>
        <w:t xml:space="preserve">, due to realized gains in treasury from hedging exposures in local currencies. To a lesser extent, the decrease was offset by a higher </w:t>
      </w:r>
      <w:r>
        <w:rPr>
          <w:rFonts w:ascii="Arial" w:cs="Arial" w:eastAsia="Arial" w:hAnsi="Arial"/>
          <w:sz w:val="18"/>
          <w:szCs w:val="18"/>
          <w:b w:val="1"/>
          <w:bCs w:val="1"/>
          <w:color w:val="auto"/>
        </w:rPr>
        <w:t>Net Gain on Securities</w:t>
      </w:r>
      <w:r>
        <w:rPr>
          <w:rFonts w:ascii="Arial" w:cs="Arial" w:eastAsia="Arial" w:hAnsi="Arial"/>
          <w:sz w:val="18"/>
          <w:szCs w:val="18"/>
          <w:color w:val="auto"/>
        </w:rPr>
        <w:t xml:space="preserve"> in </w:t>
      </w:r>
      <w:r>
        <w:rPr>
          <w:rFonts w:ascii="Arial" w:cs="Arial" w:eastAsia="Arial" w:hAnsi="Arial"/>
          <w:sz w:val="18"/>
          <w:szCs w:val="18"/>
          <w:b w:val="1"/>
          <w:bCs w:val="1"/>
          <w:color w:val="auto"/>
        </w:rPr>
        <w:t>BCP Stand-alone</w:t>
      </w:r>
      <w:r>
        <w:rPr>
          <w:rFonts w:ascii="Arial" w:cs="Arial" w:eastAsia="Arial" w:hAnsi="Arial"/>
          <w:sz w:val="18"/>
          <w:szCs w:val="18"/>
          <w:color w:val="auto"/>
        </w:rPr>
        <w:t>, due to the revaluation of sovereign bonds in the trading portfolio. The latter was partially attenuated by a decline in</w:t>
      </w:r>
      <w:r>
        <w:rPr>
          <w:rFonts w:ascii="Arial" w:cs="Arial" w:eastAsia="Arial" w:hAnsi="Arial"/>
          <w:sz w:val="18"/>
          <w:szCs w:val="18"/>
          <w:b w:val="1"/>
          <w:bCs w:val="1"/>
          <w:color w:val="auto"/>
        </w:rPr>
        <w:t xml:space="preserve"> Others</w:t>
      </w:r>
      <w:r>
        <w:rPr>
          <w:rFonts w:ascii="Arial" w:cs="Arial" w:eastAsia="Arial" w:hAnsi="Arial"/>
          <w:sz w:val="18"/>
          <w:szCs w:val="18"/>
          <w:color w:val="auto"/>
        </w:rPr>
        <w:t>, related to the devaluation of an investment fund.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YoY, Other Non-Core Income </w:t>
      </w:r>
      <w:r>
        <w:rPr>
          <w:rFonts w:ascii="Arial" w:cs="Arial" w:eastAsia="Arial" w:hAnsi="Arial"/>
          <w:sz w:val="18"/>
          <w:szCs w:val="18"/>
          <w:color w:val="auto"/>
        </w:rPr>
        <w:t>dropped -49.3% due to:</w:t>
      </w:r>
    </w:p>
    <w:p>
      <w:pPr>
        <w:spacing w:after="0" w:line="198" w:lineRule="exact"/>
        <w:rPr>
          <w:sz w:val="20"/>
          <w:szCs w:val="20"/>
          <w:color w:val="auto"/>
        </w:rPr>
      </w:pPr>
    </w:p>
    <w:p>
      <w:pPr>
        <w:jc w:val="both"/>
        <w:ind w:left="740" w:hanging="246"/>
        <w:spacing w:after="0" w:line="241"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Net Gain (Loss) on securities: </w:t>
      </w:r>
      <w:r>
        <w:rPr>
          <w:rFonts w:ascii="Arial" w:cs="Arial" w:eastAsia="Arial" w:hAnsi="Arial"/>
          <w:sz w:val="18"/>
          <w:szCs w:val="18"/>
          <w:color w:val="auto"/>
        </w:rPr>
        <w:t>through (i)</w:t>
      </w:r>
      <w:r>
        <w:rPr>
          <w:rFonts w:ascii="Arial" w:cs="Arial" w:eastAsia="Arial" w:hAnsi="Arial"/>
          <w:sz w:val="18"/>
          <w:szCs w:val="18"/>
          <w:b w:val="1"/>
          <w:bCs w:val="1"/>
          <w:color w:val="auto"/>
        </w:rPr>
        <w:t xml:space="preserve"> Pacifico, </w:t>
      </w:r>
      <w:r>
        <w:rPr>
          <w:rFonts w:ascii="Arial" w:cs="Arial" w:eastAsia="Arial" w:hAnsi="Arial"/>
          <w:sz w:val="18"/>
          <w:szCs w:val="18"/>
          <w:color w:val="auto"/>
        </w:rPr>
        <w:t>attributable to the deterioration of an investment, and (ii)</w:t>
      </w:r>
      <w:r>
        <w:rPr>
          <w:rFonts w:ascii="Arial" w:cs="Arial" w:eastAsia="Arial" w:hAnsi="Arial"/>
          <w:sz w:val="18"/>
          <w:szCs w:val="18"/>
          <w:b w:val="1"/>
          <w:bCs w:val="1"/>
          <w:color w:val="auto"/>
        </w:rPr>
        <w:t xml:space="preserve"> Others</w:t>
      </w:r>
      <w:r>
        <w:rPr>
          <w:rFonts w:ascii="Arial" w:cs="Arial" w:eastAsia="Arial" w:hAnsi="Arial"/>
          <w:sz w:val="18"/>
          <w:szCs w:val="18"/>
          <w:color w:val="auto"/>
        </w:rPr>
        <w:t>,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factors in play QoQ. These results were partially attenuated by BCP Stand-alone, which registered a base effect given that in 1Q24, the bank reported devaluation in its trading portfolio.</w:t>
      </w:r>
    </w:p>
    <w:p>
      <w:pPr>
        <w:spacing w:after="0" w:line="1"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Net Gain (Loss) on Derivatives Held for Trading: </w:t>
      </w:r>
      <w:r>
        <w:rPr>
          <w:rFonts w:ascii="Arial" w:cs="Arial" w:eastAsia="Arial" w:hAnsi="Arial"/>
          <w:sz w:val="18"/>
          <w:szCs w:val="18"/>
          <w:color w:val="auto"/>
        </w:rPr>
        <w:t>at ASB, driven by the same factors seen QoQ.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decline was partially offset by higher </w:t>
      </w:r>
      <w:r>
        <w:rPr>
          <w:rFonts w:ascii="Arial" w:cs="Arial" w:eastAsia="Arial" w:hAnsi="Arial"/>
          <w:sz w:val="18"/>
          <w:szCs w:val="18"/>
          <w:b w:val="1"/>
          <w:bCs w:val="1"/>
          <w:color w:val="auto"/>
        </w:rPr>
        <w:t>Net Gain From Exchange Difference</w:t>
      </w:r>
      <w:r>
        <w:rPr>
          <w:rFonts w:ascii="Arial" w:cs="Arial" w:eastAsia="Arial" w:hAnsi="Arial"/>
          <w:sz w:val="18"/>
          <w:szCs w:val="18"/>
          <w:color w:val="auto"/>
        </w:rPr>
        <w:t xml:space="preserve"> in </w:t>
      </w:r>
      <w:r>
        <w:rPr>
          <w:rFonts w:ascii="Arial" w:cs="Arial" w:eastAsia="Arial" w:hAnsi="Arial"/>
          <w:sz w:val="18"/>
          <w:szCs w:val="18"/>
          <w:b w:val="1"/>
          <w:bCs w:val="1"/>
          <w:color w:val="auto"/>
        </w:rPr>
        <w:t>ASB</w:t>
      </w:r>
      <w:r>
        <w:rPr>
          <w:rFonts w:ascii="Arial" w:cs="Arial" w:eastAsia="Arial" w:hAnsi="Arial"/>
          <w:sz w:val="18"/>
          <w:szCs w:val="18"/>
          <w:color w:val="auto"/>
        </w:rPr>
        <w:t>, in line with the QoQ dynamics.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7" w:name="page38"/>
    <w:bookmarkEnd w:id="37"/>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397" w:lineRule="exact"/>
        <w:rPr>
          <w:sz w:val="20"/>
          <w:szCs w:val="20"/>
          <w:color w:val="auto"/>
        </w:rPr>
      </w:pPr>
    </w:p>
    <w:p>
      <w:pPr>
        <w:ind w:left="460"/>
        <w:spacing w:after="0"/>
        <w:rPr>
          <w:sz w:val="20"/>
          <w:szCs w:val="20"/>
          <w:color w:val="auto"/>
        </w:rPr>
      </w:pPr>
      <w:r>
        <w:rPr>
          <w:rFonts w:ascii="Arial" w:cs="Arial" w:eastAsia="Arial" w:hAnsi="Arial"/>
          <w:sz w:val="52"/>
          <w:szCs w:val="52"/>
          <w:b w:val="1"/>
          <w:bCs w:val="1"/>
          <w:color w:val="E93BAC"/>
        </w:rPr>
        <w:t xml:space="preserve">07 </w:t>
      </w:r>
      <w:r>
        <w:rPr>
          <w:rFonts w:ascii="Arial" w:cs="Arial" w:eastAsia="Arial" w:hAnsi="Arial"/>
          <w:sz w:val="32"/>
          <w:szCs w:val="32"/>
          <w:color w:val="E93BAC"/>
        </w:rPr>
        <w:t>Insurance Underwriting Result and the Medical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160020</wp:posOffset>
            </wp:positionV>
            <wp:extent cx="6557645" cy="900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57645" cy="900430"/>
                    </a:xfrm>
                    <a:prstGeom prst="rect">
                      <a:avLst/>
                    </a:prstGeom>
                    <a:noFill/>
                  </pic:spPr>
                </pic:pic>
              </a:graphicData>
            </a:graphic>
          </wp:anchor>
        </w:drawing>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QoQ, the Underwriting Result for Insurance rose 5.3%, due primarily to (i) a drop in Insurance Service Expenses in Life and P</w:t>
      </w:r>
    </w:p>
    <w:p>
      <w:pPr>
        <w:spacing w:after="0" w:line="14" w:lineRule="exact"/>
        <w:rPr>
          <w:sz w:val="20"/>
          <w:szCs w:val="20"/>
          <w:color w:val="auto"/>
        </w:rPr>
      </w:pPr>
    </w:p>
    <w:p>
      <w:pPr>
        <w:jc w:val="both"/>
        <w:ind w:left="580" w:right="560" w:firstLine="8"/>
        <w:spacing w:after="0" w:line="239" w:lineRule="auto"/>
        <w:tabs>
          <w:tab w:leader="none" w:pos="778" w:val="left"/>
        </w:tabs>
        <w:numPr>
          <w:ilvl w:val="0"/>
          <w:numId w:val="43"/>
        </w:numPr>
        <w:rPr>
          <w:rFonts w:ascii="Arial" w:cs="Arial" w:eastAsia="Arial" w:hAnsi="Arial"/>
          <w:sz w:val="18"/>
          <w:szCs w:val="18"/>
          <w:color w:val="FFFFFF"/>
        </w:rPr>
      </w:pPr>
      <w:r>
        <w:rPr>
          <w:rFonts w:ascii="Arial" w:cs="Arial" w:eastAsia="Arial" w:hAnsi="Arial"/>
          <w:sz w:val="18"/>
          <w:szCs w:val="18"/>
          <w:color w:val="FFFFFF"/>
        </w:rPr>
        <w:t>C businesses, which was driven by D &amp; S and Personal lines via a reduction in claims, and (ii) an improvement in the Reinsurance Result in P &amp;C. This was partially attenuated by a reduction in Insurance Service Income, primarily through Life and led by AFP. YoY, the Insurance Underwriting Result increased 17.9%, due to (i) an improvement in the Reinsurance Result, primarily in P &amp; C, and (ii) growth in Insurance Service Income, mainly through EPS and P &amp; C. This was partially attenuated by an increase in Insurance Service Expenses in EPS and P &amp; C.</w:t>
      </w:r>
    </w:p>
    <w:p>
      <w:pPr>
        <w:spacing w:after="0" w:line="2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March 2025, Credicorp completed its acquisition of the remaining 50% stake of Empresas Banmédica in the joint venture with Pacifico Compañía de Seguros y Reaseguros S.A. (“Pacifico Seguros”), which went into effect in December 2014. This transaction gave Credicorp, through its subsidiaries Pacifico Seguros and Grupo Crédito S.A., full ownership of Pacifico S.A. Entidad Prestadora de Salud (“Pacifico EPS”), which manages corporate health insurance for employees and medical services in Peru as well as private medical insurance. This acquisition strengthens Credicorp’s capacity to create a more sustainable and inclusive economy by improving access to health insurance as well as services and advances the Group’s financial including efforts in Peru.</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this acquisition, as of March 2025, the EPS business will be consolidated primarily in Credicorp’s Underwriting Insurance Result while the Medical Services Result will be registered in a new account denominated “Medical Services Results.” It is worth mentioning that there is no analysis of the Medical Services business this quarter as the impact on P&amp;L is not material and there is no comparative basis.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5220" w:type="dxa"/>
            <w:vAlign w:val="bottom"/>
            <w:tcBorders>
              <w:top w:val="single" w:sz="8" w:color="auto"/>
              <w:left w:val="single" w:sz="8" w:color="auto"/>
              <w:right w:val="single" w:sz="8" w:color="auto"/>
            </w:tcBorders>
            <w:gridSpan w:val="2"/>
            <w:shd w:val="clear" w:color="auto" w:fill="33CCCC"/>
          </w:tcPr>
          <w:p>
            <w:pPr>
              <w:ind w:left="20"/>
              <w:spacing w:after="0" w:line="180" w:lineRule="exact"/>
              <w:rPr>
                <w:sz w:val="20"/>
                <w:szCs w:val="20"/>
                <w:color w:val="auto"/>
              </w:rPr>
            </w:pPr>
            <w:r>
              <w:rPr>
                <w:rFonts w:ascii="Arial" w:cs="Arial" w:eastAsia="Arial" w:hAnsi="Arial"/>
                <w:sz w:val="17"/>
                <w:szCs w:val="17"/>
                <w:b w:val="1"/>
                <w:bCs w:val="1"/>
                <w:color w:val="FFFFFF"/>
              </w:rPr>
              <w:t>Insurance Underwriting Results</w:t>
            </w:r>
          </w:p>
        </w:tc>
        <w:tc>
          <w:tcPr>
            <w:tcW w:w="1160" w:type="dxa"/>
            <w:vAlign w:val="bottom"/>
            <w:tcBorders>
              <w:top w:val="single" w:sz="8" w:color="auto"/>
            </w:tcBorders>
            <w:shd w:val="clear" w:color="auto" w:fill="33CCCC"/>
          </w:tcPr>
          <w:p>
            <w:pPr>
              <w:spacing w:after="0"/>
              <w:rPr>
                <w:sz w:val="15"/>
                <w:szCs w:val="15"/>
                <w:color w:val="auto"/>
              </w:rPr>
            </w:pPr>
          </w:p>
        </w:tc>
        <w:tc>
          <w:tcPr>
            <w:tcW w:w="1240" w:type="dxa"/>
            <w:vAlign w:val="bottom"/>
            <w:tcBorders>
              <w:top w:val="single" w:sz="8" w:color="auto"/>
            </w:tcBorders>
            <w:shd w:val="clear" w:color="auto" w:fill="33CCCC"/>
          </w:tcPr>
          <w:p>
            <w:pPr>
              <w:ind w:left="300"/>
              <w:spacing w:after="0" w:line="180" w:lineRule="exact"/>
              <w:rPr>
                <w:sz w:val="20"/>
                <w:szCs w:val="20"/>
                <w:color w:val="auto"/>
              </w:rPr>
            </w:pPr>
            <w:r>
              <w:rPr>
                <w:rFonts w:ascii="Arial" w:cs="Arial" w:eastAsia="Arial" w:hAnsi="Arial"/>
                <w:sz w:val="17"/>
                <w:szCs w:val="17"/>
                <w:b w:val="1"/>
                <w:bCs w:val="1"/>
                <w:color w:val="FFFFFF"/>
              </w:rPr>
              <w:t>Quarter</w:t>
            </w:r>
          </w:p>
        </w:tc>
        <w:tc>
          <w:tcPr>
            <w:tcW w:w="1200" w:type="dxa"/>
            <w:vAlign w:val="bottom"/>
            <w:tcBorders>
              <w:top w:val="single" w:sz="8" w:color="auto"/>
              <w:right w:val="single" w:sz="8" w:color="auto"/>
            </w:tcBorders>
            <w:shd w:val="clear" w:color="auto" w:fill="33CCCC"/>
          </w:tcPr>
          <w:p>
            <w:pPr>
              <w:spacing w:after="0"/>
              <w:rPr>
                <w:sz w:val="15"/>
                <w:szCs w:val="15"/>
                <w:color w:val="auto"/>
              </w:rPr>
            </w:pPr>
          </w:p>
        </w:tc>
        <w:tc>
          <w:tcPr>
            <w:tcW w:w="2420" w:type="dxa"/>
            <w:vAlign w:val="bottom"/>
            <w:tcBorders>
              <w:top w:val="single" w:sz="8" w:color="auto"/>
              <w:right w:val="single" w:sz="8" w:color="auto"/>
            </w:tcBorders>
            <w:gridSpan w:val="2"/>
            <w:shd w:val="clear" w:color="auto" w:fill="33CCCC"/>
          </w:tcPr>
          <w:p>
            <w:pPr>
              <w:ind w:left="800"/>
              <w:spacing w:after="0" w:line="180" w:lineRule="exact"/>
              <w:rPr>
                <w:sz w:val="20"/>
                <w:szCs w:val="20"/>
                <w:color w:val="auto"/>
              </w:rPr>
            </w:pPr>
            <w:r>
              <w:rPr>
                <w:rFonts w:ascii="Arial" w:cs="Arial" w:eastAsia="Arial" w:hAnsi="Arial"/>
                <w:sz w:val="17"/>
                <w:szCs w:val="17"/>
                <w:b w:val="1"/>
                <w:bCs w:val="1"/>
                <w:color w:val="FFFFFF"/>
              </w:rPr>
              <w:t>% change</w:t>
            </w:r>
          </w:p>
        </w:tc>
        <w:tc>
          <w:tcPr>
            <w:tcW w:w="0" w:type="dxa"/>
            <w:vAlign w:val="bottom"/>
          </w:tcPr>
          <w:p>
            <w:pPr>
              <w:spacing w:after="0"/>
              <w:rPr>
                <w:sz w:val="1"/>
                <w:szCs w:val="1"/>
                <w:color w:val="auto"/>
              </w:rPr>
            </w:pPr>
          </w:p>
        </w:tc>
      </w:tr>
      <w:tr>
        <w:trPr>
          <w:trHeight w:val="211"/>
        </w:trPr>
        <w:tc>
          <w:tcPr>
            <w:tcW w:w="1300" w:type="dxa"/>
            <w:vAlign w:val="bottom"/>
            <w:tcBorders>
              <w:left w:val="single" w:sz="8" w:color="auto"/>
              <w:bottom w:val="single" w:sz="8" w:color="auto"/>
              <w:right w:val="single" w:sz="8" w:color="33CCCC"/>
            </w:tcBorders>
            <w:shd w:val="clear" w:color="auto" w:fill="33CCCC"/>
          </w:tcPr>
          <w:p>
            <w:pPr>
              <w:ind w:left="20"/>
              <w:spacing w:after="0"/>
              <w:rPr>
                <w:sz w:val="20"/>
                <w:szCs w:val="20"/>
                <w:color w:val="auto"/>
              </w:rPr>
            </w:pPr>
            <w:r>
              <w:rPr>
                <w:rFonts w:ascii="Arial" w:cs="Arial" w:eastAsia="Arial" w:hAnsi="Arial"/>
                <w:sz w:val="17"/>
                <w:szCs w:val="17"/>
                <w:b w:val="1"/>
                <w:bCs w:val="1"/>
                <w:color w:val="FFFFFF"/>
              </w:rPr>
              <w:t>S/millions</w:t>
            </w:r>
          </w:p>
        </w:tc>
        <w:tc>
          <w:tcPr>
            <w:tcW w:w="3920" w:type="dxa"/>
            <w:vAlign w:val="bottom"/>
            <w:tcBorders>
              <w:bottom w:val="single" w:sz="8" w:color="auto"/>
              <w:right w:val="single" w:sz="8" w:color="auto"/>
            </w:tcBorders>
            <w:shd w:val="clear" w:color="auto" w:fill="33CCCC"/>
          </w:tcPr>
          <w:p>
            <w:pPr>
              <w:spacing w:after="0"/>
              <w:rPr>
                <w:sz w:val="18"/>
                <w:szCs w:val="18"/>
                <w:color w:val="auto"/>
              </w:rPr>
            </w:pPr>
          </w:p>
        </w:tc>
        <w:tc>
          <w:tcPr>
            <w:tcW w:w="11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7"/>
                <w:szCs w:val="17"/>
                <w:b w:val="1"/>
                <w:bCs w:val="1"/>
                <w:color w:val="FFFFFF"/>
                <w:w w:val="96"/>
              </w:rPr>
              <w:t>1Q24</w:t>
            </w:r>
          </w:p>
        </w:tc>
        <w:tc>
          <w:tcPr>
            <w:tcW w:w="12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7"/>
                <w:szCs w:val="17"/>
                <w:b w:val="1"/>
                <w:bCs w:val="1"/>
                <w:color w:val="FFFFFF"/>
              </w:rPr>
              <w:t>4Q24</w:t>
            </w:r>
          </w:p>
        </w:tc>
        <w:tc>
          <w:tcPr>
            <w:tcW w:w="12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7"/>
                <w:szCs w:val="17"/>
                <w:b w:val="1"/>
                <w:bCs w:val="1"/>
                <w:color w:val="FFFFFF"/>
              </w:rPr>
              <w:t>1Q25</w:t>
            </w:r>
          </w:p>
        </w:tc>
        <w:tc>
          <w:tcPr>
            <w:tcW w:w="12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7"/>
                <w:szCs w:val="17"/>
                <w:b w:val="1"/>
                <w:bCs w:val="1"/>
                <w:color w:val="FFFFFF"/>
                <w:w w:val="97"/>
              </w:rPr>
              <w:t>QoQ</w:t>
            </w:r>
          </w:p>
        </w:tc>
        <w:tc>
          <w:tcPr>
            <w:tcW w:w="12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7"/>
                <w:szCs w:val="17"/>
                <w:b w:val="1"/>
                <w:bCs w:val="1"/>
                <w:color w:val="FFFFFF"/>
                <w:w w:val="96"/>
              </w:rPr>
              <w:t>YoY</w:t>
            </w:r>
          </w:p>
        </w:tc>
        <w:tc>
          <w:tcPr>
            <w:tcW w:w="0" w:type="dxa"/>
            <w:vAlign w:val="bottom"/>
          </w:tcPr>
          <w:p>
            <w:pPr>
              <w:spacing w:after="0"/>
              <w:rPr>
                <w:sz w:val="1"/>
                <w:szCs w:val="1"/>
                <w:color w:val="auto"/>
              </w:rPr>
            </w:pPr>
          </w:p>
        </w:tc>
      </w:tr>
      <w:tr>
        <w:trPr>
          <w:trHeight w:val="160"/>
        </w:trPr>
        <w:tc>
          <w:tcPr>
            <w:tcW w:w="1300" w:type="dxa"/>
            <w:vAlign w:val="bottom"/>
            <w:tcBorders>
              <w:left w:val="single" w:sz="8" w:color="auto"/>
              <w:right w:val="single" w:sz="8" w:color="auto"/>
            </w:tcBorders>
          </w:tcPr>
          <w:p>
            <w:pPr>
              <w:spacing w:after="0"/>
              <w:rPr>
                <w:sz w:val="13"/>
                <w:szCs w:val="13"/>
                <w:color w:val="auto"/>
              </w:rPr>
            </w:pPr>
          </w:p>
        </w:tc>
        <w:tc>
          <w:tcPr>
            <w:tcW w:w="3920" w:type="dxa"/>
            <w:vAlign w:val="bottom"/>
            <w:tcBorders>
              <w:right w:val="single" w:sz="8" w:color="auto"/>
            </w:tcBorders>
          </w:tcPr>
          <w:p>
            <w:pPr>
              <w:spacing w:after="0" w:line="160" w:lineRule="exact"/>
              <w:rPr>
                <w:sz w:val="20"/>
                <w:szCs w:val="20"/>
                <w:color w:val="auto"/>
              </w:rPr>
            </w:pPr>
            <w:r>
              <w:rPr>
                <w:rFonts w:ascii="Arial" w:cs="Arial" w:eastAsia="Arial" w:hAnsi="Arial"/>
                <w:sz w:val="17"/>
                <w:szCs w:val="17"/>
                <w:color w:val="auto"/>
              </w:rPr>
              <w:t>Insurance Service Income</w:t>
            </w:r>
          </w:p>
        </w:tc>
        <w:tc>
          <w:tcPr>
            <w:tcW w:w="1160" w:type="dxa"/>
            <w:vAlign w:val="bottom"/>
          </w:tcPr>
          <w:p>
            <w:pPr>
              <w:jc w:val="center"/>
              <w:spacing w:after="0" w:line="160" w:lineRule="exact"/>
              <w:rPr>
                <w:sz w:val="20"/>
                <w:szCs w:val="20"/>
                <w:color w:val="auto"/>
              </w:rPr>
            </w:pPr>
            <w:r>
              <w:rPr>
                <w:rFonts w:ascii="Arial" w:cs="Arial" w:eastAsia="Arial" w:hAnsi="Arial"/>
                <w:sz w:val="17"/>
                <w:szCs w:val="17"/>
                <w:color w:val="auto"/>
              </w:rPr>
              <w:t>937.9</w:t>
            </w:r>
          </w:p>
        </w:tc>
        <w:tc>
          <w:tcPr>
            <w:tcW w:w="1240" w:type="dxa"/>
            <w:vAlign w:val="bottom"/>
          </w:tcPr>
          <w:p>
            <w:pPr>
              <w:jc w:val="center"/>
              <w:spacing w:after="0" w:line="160" w:lineRule="exact"/>
              <w:rPr>
                <w:sz w:val="20"/>
                <w:szCs w:val="20"/>
                <w:color w:val="auto"/>
              </w:rPr>
            </w:pPr>
            <w:r>
              <w:rPr>
                <w:rFonts w:ascii="Arial" w:cs="Arial" w:eastAsia="Arial" w:hAnsi="Arial"/>
                <w:sz w:val="17"/>
                <w:szCs w:val="17"/>
                <w:color w:val="auto"/>
                <w:w w:val="98"/>
              </w:rPr>
              <w:t>982.5</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978.0</w:t>
            </w:r>
          </w:p>
        </w:tc>
        <w:tc>
          <w:tcPr>
            <w:tcW w:w="1200" w:type="dxa"/>
            <w:vAlign w:val="bottom"/>
          </w:tcPr>
          <w:p>
            <w:pPr>
              <w:jc w:val="center"/>
              <w:spacing w:after="0" w:line="160" w:lineRule="exact"/>
              <w:rPr>
                <w:sz w:val="20"/>
                <w:szCs w:val="20"/>
                <w:color w:val="auto"/>
              </w:rPr>
            </w:pPr>
            <w:r>
              <w:rPr>
                <w:rFonts w:ascii="Arial" w:cs="Arial" w:eastAsia="Arial" w:hAnsi="Arial"/>
                <w:sz w:val="17"/>
                <w:szCs w:val="17"/>
                <w:color w:val="auto"/>
                <w:w w:val="98"/>
              </w:rPr>
              <w:t>-0.5%</w:t>
            </w: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5"/>
              </w:rPr>
              <w:t>Total</w:t>
            </w:r>
          </w:p>
        </w:tc>
        <w:tc>
          <w:tcPr>
            <w:tcW w:w="3920" w:type="dxa"/>
            <w:vAlign w:val="bottom"/>
            <w:tcBorders>
              <w:right w:val="single" w:sz="8" w:color="auto"/>
            </w:tcBorders>
          </w:tcPr>
          <w:p>
            <w:pPr>
              <w:spacing w:after="0" w:line="189" w:lineRule="exact"/>
              <w:rPr>
                <w:sz w:val="20"/>
                <w:szCs w:val="20"/>
                <w:color w:val="auto"/>
              </w:rPr>
            </w:pPr>
            <w:r>
              <w:rPr>
                <w:rFonts w:ascii="Arial" w:cs="Arial" w:eastAsia="Arial" w:hAnsi="Arial"/>
                <w:sz w:val="17"/>
                <w:szCs w:val="17"/>
                <w:color w:val="auto"/>
              </w:rPr>
              <w:t>Insurance Service Expenses</w:t>
            </w:r>
          </w:p>
        </w:tc>
        <w:tc>
          <w:tcPr>
            <w:tcW w:w="1160" w:type="dxa"/>
            <w:vAlign w:val="bottom"/>
          </w:tcPr>
          <w:p>
            <w:pPr>
              <w:jc w:val="center"/>
              <w:spacing w:after="0" w:line="189" w:lineRule="exact"/>
              <w:rPr>
                <w:sz w:val="20"/>
                <w:szCs w:val="20"/>
                <w:color w:val="auto"/>
              </w:rPr>
            </w:pPr>
            <w:r>
              <w:rPr>
                <w:rFonts w:ascii="Arial" w:cs="Arial" w:eastAsia="Arial" w:hAnsi="Arial"/>
                <w:sz w:val="17"/>
                <w:szCs w:val="17"/>
                <w:color w:val="auto"/>
              </w:rPr>
              <w:t>(476.2)</w:t>
            </w:r>
          </w:p>
        </w:tc>
        <w:tc>
          <w:tcPr>
            <w:tcW w:w="1240" w:type="dxa"/>
            <w:vAlign w:val="bottom"/>
          </w:tcPr>
          <w:p>
            <w:pPr>
              <w:jc w:val="center"/>
              <w:spacing w:after="0" w:line="189" w:lineRule="exact"/>
              <w:rPr>
                <w:sz w:val="20"/>
                <w:szCs w:val="20"/>
                <w:color w:val="auto"/>
              </w:rPr>
            </w:pPr>
            <w:r>
              <w:rPr>
                <w:rFonts w:ascii="Arial" w:cs="Arial" w:eastAsia="Arial" w:hAnsi="Arial"/>
                <w:sz w:val="17"/>
                <w:szCs w:val="17"/>
                <w:color w:val="auto"/>
              </w:rPr>
              <w:t>(570.0)</w:t>
            </w:r>
          </w:p>
        </w:tc>
        <w:tc>
          <w:tcPr>
            <w:tcW w:w="12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(557.9)</w:t>
            </w:r>
          </w:p>
        </w:tc>
        <w:tc>
          <w:tcPr>
            <w:tcW w:w="1200" w:type="dxa"/>
            <w:vAlign w:val="bottom"/>
          </w:tcPr>
          <w:p>
            <w:pPr>
              <w:jc w:val="center"/>
              <w:spacing w:after="0" w:line="189" w:lineRule="exact"/>
              <w:rPr>
                <w:sz w:val="20"/>
                <w:szCs w:val="20"/>
                <w:color w:val="auto"/>
              </w:rPr>
            </w:pPr>
            <w:r>
              <w:rPr>
                <w:rFonts w:ascii="Arial" w:cs="Arial" w:eastAsia="Arial" w:hAnsi="Arial"/>
                <w:sz w:val="17"/>
                <w:szCs w:val="17"/>
                <w:color w:val="auto"/>
                <w:w w:val="98"/>
              </w:rPr>
              <w:t>-2.1%</w:t>
            </w:r>
          </w:p>
        </w:tc>
        <w:tc>
          <w:tcPr>
            <w:tcW w:w="12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9"/>
              </w:rPr>
              <w:t>17.2%</w:t>
            </w:r>
          </w:p>
        </w:tc>
        <w:tc>
          <w:tcPr>
            <w:tcW w:w="0" w:type="dxa"/>
            <w:vAlign w:val="bottom"/>
          </w:tcPr>
          <w:p>
            <w:pPr>
              <w:spacing w:after="0"/>
              <w:rPr>
                <w:sz w:val="1"/>
                <w:szCs w:val="1"/>
                <w:color w:val="auto"/>
              </w:rPr>
            </w:pPr>
          </w:p>
        </w:tc>
      </w:tr>
      <w:tr>
        <w:trPr>
          <w:trHeight w:val="130"/>
        </w:trPr>
        <w:tc>
          <w:tcPr>
            <w:tcW w:w="1300" w:type="dxa"/>
            <w:vAlign w:val="bottom"/>
            <w:tcBorders>
              <w:left w:val="single" w:sz="8" w:color="auto"/>
              <w:right w:val="single" w:sz="8" w:color="auto"/>
            </w:tcBorders>
            <w:vMerge w:val="continue"/>
          </w:tcPr>
          <w:p>
            <w:pPr>
              <w:spacing w:after="0"/>
              <w:rPr>
                <w:sz w:val="11"/>
                <w:szCs w:val="11"/>
                <w:color w:val="auto"/>
              </w:rPr>
            </w:pPr>
          </w:p>
        </w:tc>
        <w:tc>
          <w:tcPr>
            <w:tcW w:w="3920" w:type="dxa"/>
            <w:vAlign w:val="bottom"/>
            <w:tcBorders>
              <w:right w:val="single" w:sz="8" w:color="auto"/>
            </w:tcBorders>
            <w:vMerge w:val="restart"/>
          </w:tcPr>
          <w:p>
            <w:pPr>
              <w:spacing w:after="0" w:line="189" w:lineRule="exact"/>
              <w:rPr>
                <w:sz w:val="20"/>
                <w:szCs w:val="20"/>
                <w:color w:val="auto"/>
              </w:rPr>
            </w:pPr>
            <w:r>
              <w:rPr>
                <w:rFonts w:ascii="Arial" w:cs="Arial" w:eastAsia="Arial" w:hAnsi="Arial"/>
                <w:sz w:val="17"/>
                <w:szCs w:val="17"/>
                <w:color w:val="auto"/>
              </w:rPr>
              <w:t>Reinsurance Results</w:t>
            </w:r>
          </w:p>
        </w:tc>
        <w:tc>
          <w:tcPr>
            <w:tcW w:w="116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rPr>
              <w:t>(182.6)</w:t>
            </w:r>
          </w:p>
        </w:tc>
        <w:tc>
          <w:tcPr>
            <w:tcW w:w="124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w w:val="98"/>
              </w:rPr>
              <w:t>(99.9)</w:t>
            </w:r>
          </w:p>
        </w:tc>
        <w:tc>
          <w:tcPr>
            <w:tcW w:w="120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7"/>
                <w:szCs w:val="17"/>
                <w:color w:val="auto"/>
                <w:w w:val="98"/>
              </w:rPr>
              <w:t>(90.9)</w:t>
            </w:r>
          </w:p>
        </w:tc>
        <w:tc>
          <w:tcPr>
            <w:tcW w:w="120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w w:val="98"/>
              </w:rPr>
              <w:t>-9.0%</w:t>
            </w:r>
          </w:p>
        </w:tc>
        <w:tc>
          <w:tcPr>
            <w:tcW w:w="122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59"/>
        </w:trPr>
        <w:tc>
          <w:tcPr>
            <w:tcW w:w="1300" w:type="dxa"/>
            <w:vAlign w:val="bottom"/>
            <w:tcBorders>
              <w:left w:val="single" w:sz="8" w:color="auto"/>
              <w:right w:val="single" w:sz="8" w:color="auto"/>
            </w:tcBorders>
          </w:tcPr>
          <w:p>
            <w:pPr>
              <w:spacing w:after="0"/>
              <w:rPr>
                <w:sz w:val="5"/>
                <w:szCs w:val="5"/>
                <w:color w:val="auto"/>
              </w:rPr>
            </w:pPr>
          </w:p>
        </w:tc>
        <w:tc>
          <w:tcPr>
            <w:tcW w:w="3920" w:type="dxa"/>
            <w:vAlign w:val="bottom"/>
            <w:tcBorders>
              <w:right w:val="single" w:sz="8" w:color="auto"/>
            </w:tcBorders>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30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Insurance Undewrwriting Result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279.1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312.7</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329.1</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5.3%</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17.9%</w:t>
            </w:r>
          </w:p>
        </w:tc>
        <w:tc>
          <w:tcPr>
            <w:tcW w:w="0" w:type="dxa"/>
            <w:vAlign w:val="bottom"/>
          </w:tcPr>
          <w:p>
            <w:pPr>
              <w:spacing w:after="0"/>
              <w:rPr>
                <w:sz w:val="1"/>
                <w:szCs w:val="1"/>
                <w:color w:val="auto"/>
              </w:rPr>
            </w:pPr>
          </w:p>
        </w:tc>
      </w:tr>
      <w:tr>
        <w:trPr>
          <w:trHeight w:val="160"/>
        </w:trPr>
        <w:tc>
          <w:tcPr>
            <w:tcW w:w="1300" w:type="dxa"/>
            <w:vAlign w:val="bottom"/>
            <w:tcBorders>
              <w:left w:val="single" w:sz="8" w:color="auto"/>
              <w:right w:val="single" w:sz="8" w:color="auto"/>
            </w:tcBorders>
          </w:tcPr>
          <w:p>
            <w:pPr>
              <w:spacing w:after="0"/>
              <w:rPr>
                <w:sz w:val="13"/>
                <w:szCs w:val="13"/>
                <w:color w:val="auto"/>
              </w:rPr>
            </w:pPr>
          </w:p>
        </w:tc>
        <w:tc>
          <w:tcPr>
            <w:tcW w:w="3920" w:type="dxa"/>
            <w:vAlign w:val="bottom"/>
            <w:tcBorders>
              <w:right w:val="single" w:sz="8" w:color="auto"/>
            </w:tcBorders>
          </w:tcPr>
          <w:p>
            <w:pPr>
              <w:spacing w:after="0" w:line="160" w:lineRule="exact"/>
              <w:rPr>
                <w:sz w:val="20"/>
                <w:szCs w:val="20"/>
                <w:color w:val="auto"/>
              </w:rPr>
            </w:pPr>
            <w:r>
              <w:rPr>
                <w:rFonts w:ascii="Arial" w:cs="Arial" w:eastAsia="Arial" w:hAnsi="Arial"/>
                <w:sz w:val="17"/>
                <w:szCs w:val="17"/>
                <w:color w:val="auto"/>
              </w:rPr>
              <w:t>Insurance Service Income</w:t>
            </w:r>
          </w:p>
        </w:tc>
        <w:tc>
          <w:tcPr>
            <w:tcW w:w="1160" w:type="dxa"/>
            <w:vAlign w:val="bottom"/>
          </w:tcPr>
          <w:p>
            <w:pPr>
              <w:jc w:val="center"/>
              <w:spacing w:after="0" w:line="160" w:lineRule="exact"/>
              <w:rPr>
                <w:sz w:val="20"/>
                <w:szCs w:val="20"/>
                <w:color w:val="auto"/>
              </w:rPr>
            </w:pPr>
            <w:r>
              <w:rPr>
                <w:rFonts w:ascii="Arial" w:cs="Arial" w:eastAsia="Arial" w:hAnsi="Arial"/>
                <w:sz w:val="17"/>
                <w:szCs w:val="17"/>
                <w:color w:val="auto"/>
              </w:rPr>
              <w:t>468.4</w:t>
            </w:r>
          </w:p>
        </w:tc>
        <w:tc>
          <w:tcPr>
            <w:tcW w:w="1240" w:type="dxa"/>
            <w:vAlign w:val="bottom"/>
          </w:tcPr>
          <w:p>
            <w:pPr>
              <w:jc w:val="center"/>
              <w:spacing w:after="0" w:line="160" w:lineRule="exact"/>
              <w:rPr>
                <w:sz w:val="20"/>
                <w:szCs w:val="20"/>
                <w:color w:val="auto"/>
              </w:rPr>
            </w:pPr>
            <w:r>
              <w:rPr>
                <w:rFonts w:ascii="Arial" w:cs="Arial" w:eastAsia="Arial" w:hAnsi="Arial"/>
                <w:sz w:val="17"/>
                <w:szCs w:val="17"/>
                <w:color w:val="auto"/>
                <w:w w:val="98"/>
              </w:rPr>
              <w:t>492.0</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490.0</w:t>
            </w:r>
          </w:p>
        </w:tc>
        <w:tc>
          <w:tcPr>
            <w:tcW w:w="1200" w:type="dxa"/>
            <w:vAlign w:val="bottom"/>
          </w:tcPr>
          <w:p>
            <w:pPr>
              <w:jc w:val="center"/>
              <w:spacing w:after="0" w:line="160" w:lineRule="exact"/>
              <w:rPr>
                <w:sz w:val="20"/>
                <w:szCs w:val="20"/>
                <w:color w:val="auto"/>
              </w:rPr>
            </w:pPr>
            <w:r>
              <w:rPr>
                <w:rFonts w:ascii="Arial" w:cs="Arial" w:eastAsia="Arial" w:hAnsi="Arial"/>
                <w:sz w:val="17"/>
                <w:szCs w:val="17"/>
                <w:color w:val="auto"/>
                <w:w w:val="98"/>
              </w:rPr>
              <w:t>-0.4%</w:t>
            </w: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7"/>
              </w:rPr>
              <w:t>P&amp;C</w:t>
            </w:r>
          </w:p>
        </w:tc>
        <w:tc>
          <w:tcPr>
            <w:tcW w:w="3920" w:type="dxa"/>
            <w:vAlign w:val="bottom"/>
            <w:tcBorders>
              <w:right w:val="single" w:sz="8" w:color="auto"/>
            </w:tcBorders>
          </w:tcPr>
          <w:p>
            <w:pPr>
              <w:spacing w:after="0" w:line="189" w:lineRule="exact"/>
              <w:rPr>
                <w:sz w:val="20"/>
                <w:szCs w:val="20"/>
                <w:color w:val="auto"/>
              </w:rPr>
            </w:pPr>
            <w:r>
              <w:rPr>
                <w:rFonts w:ascii="Arial" w:cs="Arial" w:eastAsia="Arial" w:hAnsi="Arial"/>
                <w:sz w:val="17"/>
                <w:szCs w:val="17"/>
                <w:color w:val="auto"/>
              </w:rPr>
              <w:t>Insurance Service Expenses</w:t>
            </w:r>
          </w:p>
        </w:tc>
        <w:tc>
          <w:tcPr>
            <w:tcW w:w="1160" w:type="dxa"/>
            <w:vAlign w:val="bottom"/>
          </w:tcPr>
          <w:p>
            <w:pPr>
              <w:jc w:val="center"/>
              <w:spacing w:after="0" w:line="189" w:lineRule="exact"/>
              <w:rPr>
                <w:sz w:val="20"/>
                <w:szCs w:val="20"/>
                <w:color w:val="auto"/>
              </w:rPr>
            </w:pPr>
            <w:r>
              <w:rPr>
                <w:rFonts w:ascii="Arial" w:cs="Arial" w:eastAsia="Arial" w:hAnsi="Arial"/>
                <w:sz w:val="17"/>
                <w:szCs w:val="17"/>
                <w:color w:val="auto"/>
              </w:rPr>
              <w:t>(237.9)</w:t>
            </w:r>
          </w:p>
        </w:tc>
        <w:tc>
          <w:tcPr>
            <w:tcW w:w="1240" w:type="dxa"/>
            <w:vAlign w:val="bottom"/>
          </w:tcPr>
          <w:p>
            <w:pPr>
              <w:jc w:val="center"/>
              <w:spacing w:after="0" w:line="189" w:lineRule="exact"/>
              <w:rPr>
                <w:sz w:val="20"/>
                <w:szCs w:val="20"/>
                <w:color w:val="auto"/>
              </w:rPr>
            </w:pPr>
            <w:r>
              <w:rPr>
                <w:rFonts w:ascii="Arial" w:cs="Arial" w:eastAsia="Arial" w:hAnsi="Arial"/>
                <w:sz w:val="17"/>
                <w:szCs w:val="17"/>
                <w:color w:val="auto"/>
              </w:rPr>
              <w:t>(331.5)</w:t>
            </w:r>
          </w:p>
        </w:tc>
        <w:tc>
          <w:tcPr>
            <w:tcW w:w="12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(325.3)</w:t>
            </w:r>
          </w:p>
        </w:tc>
        <w:tc>
          <w:tcPr>
            <w:tcW w:w="1200" w:type="dxa"/>
            <w:vAlign w:val="bottom"/>
          </w:tcPr>
          <w:p>
            <w:pPr>
              <w:jc w:val="center"/>
              <w:spacing w:after="0" w:line="189" w:lineRule="exact"/>
              <w:rPr>
                <w:sz w:val="20"/>
                <w:szCs w:val="20"/>
                <w:color w:val="auto"/>
              </w:rPr>
            </w:pPr>
            <w:r>
              <w:rPr>
                <w:rFonts w:ascii="Arial" w:cs="Arial" w:eastAsia="Arial" w:hAnsi="Arial"/>
                <w:sz w:val="17"/>
                <w:szCs w:val="17"/>
                <w:color w:val="auto"/>
                <w:w w:val="98"/>
              </w:rPr>
              <w:t>-1.9%</w:t>
            </w:r>
          </w:p>
        </w:tc>
        <w:tc>
          <w:tcPr>
            <w:tcW w:w="12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9"/>
              </w:rPr>
              <w:t>36.7%</w:t>
            </w:r>
          </w:p>
        </w:tc>
        <w:tc>
          <w:tcPr>
            <w:tcW w:w="0" w:type="dxa"/>
            <w:vAlign w:val="bottom"/>
          </w:tcPr>
          <w:p>
            <w:pPr>
              <w:spacing w:after="0"/>
              <w:rPr>
                <w:sz w:val="1"/>
                <w:szCs w:val="1"/>
                <w:color w:val="auto"/>
              </w:rPr>
            </w:pPr>
          </w:p>
        </w:tc>
      </w:tr>
      <w:tr>
        <w:trPr>
          <w:trHeight w:val="130"/>
        </w:trPr>
        <w:tc>
          <w:tcPr>
            <w:tcW w:w="1300" w:type="dxa"/>
            <w:vAlign w:val="bottom"/>
            <w:tcBorders>
              <w:left w:val="single" w:sz="8" w:color="auto"/>
              <w:right w:val="single" w:sz="8" w:color="auto"/>
            </w:tcBorders>
            <w:vMerge w:val="continue"/>
          </w:tcPr>
          <w:p>
            <w:pPr>
              <w:spacing w:after="0"/>
              <w:rPr>
                <w:sz w:val="11"/>
                <w:szCs w:val="11"/>
                <w:color w:val="auto"/>
              </w:rPr>
            </w:pPr>
          </w:p>
        </w:tc>
        <w:tc>
          <w:tcPr>
            <w:tcW w:w="3920" w:type="dxa"/>
            <w:vAlign w:val="bottom"/>
            <w:tcBorders>
              <w:right w:val="single" w:sz="8" w:color="auto"/>
            </w:tcBorders>
            <w:vMerge w:val="restart"/>
          </w:tcPr>
          <w:p>
            <w:pPr>
              <w:spacing w:after="0" w:line="189" w:lineRule="exact"/>
              <w:rPr>
                <w:sz w:val="20"/>
                <w:szCs w:val="20"/>
                <w:color w:val="auto"/>
              </w:rPr>
            </w:pPr>
            <w:r>
              <w:rPr>
                <w:rFonts w:ascii="Arial" w:cs="Arial" w:eastAsia="Arial" w:hAnsi="Arial"/>
                <w:sz w:val="17"/>
                <w:szCs w:val="17"/>
                <w:color w:val="auto"/>
              </w:rPr>
              <w:t>Reinsurance Results</w:t>
            </w:r>
          </w:p>
        </w:tc>
        <w:tc>
          <w:tcPr>
            <w:tcW w:w="116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rPr>
              <w:t>(150.0)</w:t>
            </w:r>
          </w:p>
        </w:tc>
        <w:tc>
          <w:tcPr>
            <w:tcW w:w="124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w w:val="98"/>
              </w:rPr>
              <w:t>(78.4)</w:t>
            </w:r>
          </w:p>
        </w:tc>
        <w:tc>
          <w:tcPr>
            <w:tcW w:w="120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7"/>
                <w:szCs w:val="17"/>
                <w:color w:val="auto"/>
                <w:w w:val="98"/>
              </w:rPr>
              <w:t>(72.4)</w:t>
            </w:r>
          </w:p>
        </w:tc>
        <w:tc>
          <w:tcPr>
            <w:tcW w:w="120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w w:val="98"/>
              </w:rPr>
              <w:t>-7.6%</w:t>
            </w:r>
          </w:p>
        </w:tc>
        <w:tc>
          <w:tcPr>
            <w:tcW w:w="122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7"/>
                <w:szCs w:val="17"/>
                <w:color w:val="auto"/>
              </w:rPr>
              <w:t>-51.7%</w:t>
            </w:r>
          </w:p>
        </w:tc>
        <w:tc>
          <w:tcPr>
            <w:tcW w:w="0" w:type="dxa"/>
            <w:vAlign w:val="bottom"/>
          </w:tcPr>
          <w:p>
            <w:pPr>
              <w:spacing w:after="0"/>
              <w:rPr>
                <w:sz w:val="1"/>
                <w:szCs w:val="1"/>
                <w:color w:val="auto"/>
              </w:rPr>
            </w:pPr>
          </w:p>
        </w:tc>
      </w:tr>
      <w:tr>
        <w:trPr>
          <w:trHeight w:val="59"/>
        </w:trPr>
        <w:tc>
          <w:tcPr>
            <w:tcW w:w="1300" w:type="dxa"/>
            <w:vAlign w:val="bottom"/>
            <w:tcBorders>
              <w:left w:val="single" w:sz="8" w:color="auto"/>
              <w:right w:val="single" w:sz="8" w:color="auto"/>
            </w:tcBorders>
          </w:tcPr>
          <w:p>
            <w:pPr>
              <w:spacing w:after="0"/>
              <w:rPr>
                <w:sz w:val="5"/>
                <w:szCs w:val="5"/>
                <w:color w:val="auto"/>
              </w:rPr>
            </w:pPr>
          </w:p>
        </w:tc>
        <w:tc>
          <w:tcPr>
            <w:tcW w:w="3920" w:type="dxa"/>
            <w:vAlign w:val="bottom"/>
            <w:tcBorders>
              <w:right w:val="single" w:sz="8" w:color="auto"/>
            </w:tcBorders>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30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Insurance Undewrwriting Result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80.5</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82.1</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92.3</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12.5%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14.8%</w:t>
            </w:r>
          </w:p>
        </w:tc>
        <w:tc>
          <w:tcPr>
            <w:tcW w:w="0" w:type="dxa"/>
            <w:vAlign w:val="bottom"/>
          </w:tcPr>
          <w:p>
            <w:pPr>
              <w:spacing w:after="0"/>
              <w:rPr>
                <w:sz w:val="1"/>
                <w:szCs w:val="1"/>
                <w:color w:val="auto"/>
              </w:rPr>
            </w:pPr>
          </w:p>
        </w:tc>
      </w:tr>
      <w:tr>
        <w:trPr>
          <w:trHeight w:val="160"/>
        </w:trPr>
        <w:tc>
          <w:tcPr>
            <w:tcW w:w="1300" w:type="dxa"/>
            <w:vAlign w:val="bottom"/>
            <w:tcBorders>
              <w:left w:val="single" w:sz="8" w:color="auto"/>
              <w:right w:val="single" w:sz="8" w:color="auto"/>
            </w:tcBorders>
          </w:tcPr>
          <w:p>
            <w:pPr>
              <w:spacing w:after="0"/>
              <w:rPr>
                <w:sz w:val="13"/>
                <w:szCs w:val="13"/>
                <w:color w:val="auto"/>
              </w:rPr>
            </w:pPr>
          </w:p>
        </w:tc>
        <w:tc>
          <w:tcPr>
            <w:tcW w:w="3920" w:type="dxa"/>
            <w:vAlign w:val="bottom"/>
            <w:tcBorders>
              <w:right w:val="single" w:sz="8" w:color="auto"/>
            </w:tcBorders>
          </w:tcPr>
          <w:p>
            <w:pPr>
              <w:spacing w:after="0" w:line="160" w:lineRule="exact"/>
              <w:rPr>
                <w:sz w:val="20"/>
                <w:szCs w:val="20"/>
                <w:color w:val="auto"/>
              </w:rPr>
            </w:pPr>
            <w:r>
              <w:rPr>
                <w:rFonts w:ascii="Arial" w:cs="Arial" w:eastAsia="Arial" w:hAnsi="Arial"/>
                <w:sz w:val="17"/>
                <w:szCs w:val="17"/>
                <w:color w:val="auto"/>
              </w:rPr>
              <w:t>Insurance Service Income</w:t>
            </w:r>
          </w:p>
        </w:tc>
        <w:tc>
          <w:tcPr>
            <w:tcW w:w="1160" w:type="dxa"/>
            <w:vAlign w:val="bottom"/>
          </w:tcPr>
          <w:p>
            <w:pPr>
              <w:jc w:val="center"/>
              <w:spacing w:after="0" w:line="160" w:lineRule="exact"/>
              <w:rPr>
                <w:sz w:val="20"/>
                <w:szCs w:val="20"/>
                <w:color w:val="auto"/>
              </w:rPr>
            </w:pPr>
            <w:r>
              <w:rPr>
                <w:rFonts w:ascii="Arial" w:cs="Arial" w:eastAsia="Arial" w:hAnsi="Arial"/>
                <w:sz w:val="17"/>
                <w:szCs w:val="17"/>
                <w:color w:val="auto"/>
              </w:rPr>
              <w:t>438.1</w:t>
            </w:r>
          </w:p>
        </w:tc>
        <w:tc>
          <w:tcPr>
            <w:tcW w:w="1240" w:type="dxa"/>
            <w:vAlign w:val="bottom"/>
          </w:tcPr>
          <w:p>
            <w:pPr>
              <w:jc w:val="center"/>
              <w:spacing w:after="0" w:line="160" w:lineRule="exact"/>
              <w:rPr>
                <w:sz w:val="20"/>
                <w:szCs w:val="20"/>
                <w:color w:val="auto"/>
              </w:rPr>
            </w:pPr>
            <w:r>
              <w:rPr>
                <w:rFonts w:ascii="Arial" w:cs="Arial" w:eastAsia="Arial" w:hAnsi="Arial"/>
                <w:sz w:val="17"/>
                <w:szCs w:val="17"/>
                <w:color w:val="auto"/>
                <w:w w:val="98"/>
              </w:rPr>
              <w:t>471.5</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332.9</w:t>
            </w:r>
          </w:p>
        </w:tc>
        <w:tc>
          <w:tcPr>
            <w:tcW w:w="1200" w:type="dxa"/>
            <w:vAlign w:val="bottom"/>
          </w:tcPr>
          <w:p>
            <w:pPr>
              <w:jc w:val="center"/>
              <w:spacing w:after="0" w:line="160" w:lineRule="exact"/>
              <w:rPr>
                <w:sz w:val="20"/>
                <w:szCs w:val="20"/>
                <w:color w:val="auto"/>
              </w:rPr>
            </w:pPr>
            <w:r>
              <w:rPr>
                <w:rFonts w:ascii="Arial" w:cs="Arial" w:eastAsia="Arial" w:hAnsi="Arial"/>
                <w:sz w:val="17"/>
                <w:szCs w:val="17"/>
                <w:color w:val="auto"/>
              </w:rPr>
              <w:t>-29.4%</w:t>
            </w: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4"/>
              </w:rPr>
              <w:t>Life</w:t>
            </w:r>
          </w:p>
        </w:tc>
        <w:tc>
          <w:tcPr>
            <w:tcW w:w="3920" w:type="dxa"/>
            <w:vAlign w:val="bottom"/>
            <w:tcBorders>
              <w:right w:val="single" w:sz="8" w:color="auto"/>
            </w:tcBorders>
          </w:tcPr>
          <w:p>
            <w:pPr>
              <w:spacing w:after="0" w:line="189" w:lineRule="exact"/>
              <w:rPr>
                <w:sz w:val="20"/>
                <w:szCs w:val="20"/>
                <w:color w:val="auto"/>
              </w:rPr>
            </w:pPr>
            <w:r>
              <w:rPr>
                <w:rFonts w:ascii="Arial" w:cs="Arial" w:eastAsia="Arial" w:hAnsi="Arial"/>
                <w:sz w:val="17"/>
                <w:szCs w:val="17"/>
                <w:color w:val="auto"/>
              </w:rPr>
              <w:t>Insurance Service Expenses</w:t>
            </w:r>
          </w:p>
        </w:tc>
        <w:tc>
          <w:tcPr>
            <w:tcW w:w="1160" w:type="dxa"/>
            <w:vAlign w:val="bottom"/>
          </w:tcPr>
          <w:p>
            <w:pPr>
              <w:jc w:val="center"/>
              <w:spacing w:after="0" w:line="189" w:lineRule="exact"/>
              <w:rPr>
                <w:sz w:val="20"/>
                <w:szCs w:val="20"/>
                <w:color w:val="auto"/>
              </w:rPr>
            </w:pPr>
            <w:r>
              <w:rPr>
                <w:rFonts w:ascii="Arial" w:cs="Arial" w:eastAsia="Arial" w:hAnsi="Arial"/>
                <w:sz w:val="17"/>
                <w:szCs w:val="17"/>
                <w:color w:val="auto"/>
              </w:rPr>
              <w:t>(232.0)</w:t>
            </w:r>
          </w:p>
        </w:tc>
        <w:tc>
          <w:tcPr>
            <w:tcW w:w="1240" w:type="dxa"/>
            <w:vAlign w:val="bottom"/>
          </w:tcPr>
          <w:p>
            <w:pPr>
              <w:jc w:val="center"/>
              <w:spacing w:after="0" w:line="189" w:lineRule="exact"/>
              <w:rPr>
                <w:sz w:val="20"/>
                <w:szCs w:val="20"/>
                <w:color w:val="auto"/>
              </w:rPr>
            </w:pPr>
            <w:r>
              <w:rPr>
                <w:rFonts w:ascii="Arial" w:cs="Arial" w:eastAsia="Arial" w:hAnsi="Arial"/>
                <w:sz w:val="17"/>
                <w:szCs w:val="17"/>
                <w:color w:val="auto"/>
              </w:rPr>
              <w:t>(238.1)</w:t>
            </w:r>
          </w:p>
        </w:tc>
        <w:tc>
          <w:tcPr>
            <w:tcW w:w="12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6"/>
              </w:rPr>
              <w:t>(112.3)</w:t>
            </w:r>
          </w:p>
        </w:tc>
        <w:tc>
          <w:tcPr>
            <w:tcW w:w="1200" w:type="dxa"/>
            <w:vAlign w:val="bottom"/>
          </w:tcPr>
          <w:p>
            <w:pPr>
              <w:jc w:val="center"/>
              <w:spacing w:after="0" w:line="189" w:lineRule="exact"/>
              <w:rPr>
                <w:sz w:val="20"/>
                <w:szCs w:val="20"/>
                <w:color w:val="auto"/>
              </w:rPr>
            </w:pPr>
            <w:r>
              <w:rPr>
                <w:rFonts w:ascii="Arial" w:cs="Arial" w:eastAsia="Arial" w:hAnsi="Arial"/>
                <w:sz w:val="17"/>
                <w:szCs w:val="17"/>
                <w:color w:val="auto"/>
              </w:rPr>
              <w:t>-52.8%</w:t>
            </w:r>
          </w:p>
        </w:tc>
        <w:tc>
          <w:tcPr>
            <w:tcW w:w="12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130"/>
        </w:trPr>
        <w:tc>
          <w:tcPr>
            <w:tcW w:w="1300" w:type="dxa"/>
            <w:vAlign w:val="bottom"/>
            <w:tcBorders>
              <w:left w:val="single" w:sz="8" w:color="auto"/>
              <w:right w:val="single" w:sz="8" w:color="auto"/>
            </w:tcBorders>
            <w:vMerge w:val="continue"/>
          </w:tcPr>
          <w:p>
            <w:pPr>
              <w:spacing w:after="0"/>
              <w:rPr>
                <w:sz w:val="11"/>
                <w:szCs w:val="11"/>
                <w:color w:val="auto"/>
              </w:rPr>
            </w:pPr>
          </w:p>
        </w:tc>
        <w:tc>
          <w:tcPr>
            <w:tcW w:w="3920" w:type="dxa"/>
            <w:vAlign w:val="bottom"/>
            <w:tcBorders>
              <w:right w:val="single" w:sz="8" w:color="auto"/>
            </w:tcBorders>
            <w:vMerge w:val="restart"/>
          </w:tcPr>
          <w:p>
            <w:pPr>
              <w:spacing w:after="0" w:line="189" w:lineRule="exact"/>
              <w:rPr>
                <w:sz w:val="20"/>
                <w:szCs w:val="20"/>
                <w:color w:val="auto"/>
              </w:rPr>
            </w:pPr>
            <w:r>
              <w:rPr>
                <w:rFonts w:ascii="Arial" w:cs="Arial" w:eastAsia="Arial" w:hAnsi="Arial"/>
                <w:sz w:val="17"/>
                <w:szCs w:val="17"/>
                <w:color w:val="auto"/>
              </w:rPr>
              <w:t>Reinsurance Results</w:t>
            </w:r>
          </w:p>
        </w:tc>
        <w:tc>
          <w:tcPr>
            <w:tcW w:w="116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w w:val="98"/>
              </w:rPr>
              <w:t>(27.0)</w:t>
            </w:r>
          </w:p>
        </w:tc>
        <w:tc>
          <w:tcPr>
            <w:tcW w:w="124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w w:val="98"/>
              </w:rPr>
              <w:t>(15.6)</w:t>
            </w:r>
          </w:p>
        </w:tc>
        <w:tc>
          <w:tcPr>
            <w:tcW w:w="120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7"/>
                <w:szCs w:val="17"/>
                <w:color w:val="auto"/>
                <w:w w:val="98"/>
              </w:rPr>
              <w:t>(13.3)</w:t>
            </w:r>
          </w:p>
        </w:tc>
        <w:tc>
          <w:tcPr>
            <w:tcW w:w="120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rPr>
              <w:t>-14.6%</w:t>
            </w:r>
          </w:p>
        </w:tc>
        <w:tc>
          <w:tcPr>
            <w:tcW w:w="122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59"/>
        </w:trPr>
        <w:tc>
          <w:tcPr>
            <w:tcW w:w="1300" w:type="dxa"/>
            <w:vAlign w:val="bottom"/>
            <w:tcBorders>
              <w:left w:val="single" w:sz="8" w:color="auto"/>
              <w:right w:val="single" w:sz="8" w:color="auto"/>
            </w:tcBorders>
          </w:tcPr>
          <w:p>
            <w:pPr>
              <w:spacing w:after="0"/>
              <w:rPr>
                <w:sz w:val="5"/>
                <w:szCs w:val="5"/>
                <w:color w:val="auto"/>
              </w:rPr>
            </w:pPr>
          </w:p>
        </w:tc>
        <w:tc>
          <w:tcPr>
            <w:tcW w:w="3920" w:type="dxa"/>
            <w:vAlign w:val="bottom"/>
            <w:tcBorders>
              <w:right w:val="single" w:sz="8" w:color="auto"/>
            </w:tcBorders>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30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Insurance Undewrwriting Result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179.2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217.7</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207.2</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-4.8%</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15.7%</w:t>
            </w:r>
          </w:p>
        </w:tc>
        <w:tc>
          <w:tcPr>
            <w:tcW w:w="0" w:type="dxa"/>
            <w:vAlign w:val="bottom"/>
          </w:tcPr>
          <w:p>
            <w:pPr>
              <w:spacing w:after="0"/>
              <w:rPr>
                <w:sz w:val="1"/>
                <w:szCs w:val="1"/>
                <w:color w:val="auto"/>
              </w:rPr>
            </w:pPr>
          </w:p>
        </w:tc>
      </w:tr>
      <w:tr>
        <w:trPr>
          <w:trHeight w:val="160"/>
        </w:trPr>
        <w:tc>
          <w:tcPr>
            <w:tcW w:w="1300" w:type="dxa"/>
            <w:vAlign w:val="bottom"/>
            <w:tcBorders>
              <w:left w:val="single" w:sz="8" w:color="auto"/>
              <w:right w:val="single" w:sz="8" w:color="auto"/>
            </w:tcBorders>
          </w:tcPr>
          <w:p>
            <w:pPr>
              <w:spacing w:after="0"/>
              <w:rPr>
                <w:sz w:val="13"/>
                <w:szCs w:val="13"/>
                <w:color w:val="auto"/>
              </w:rPr>
            </w:pPr>
          </w:p>
        </w:tc>
        <w:tc>
          <w:tcPr>
            <w:tcW w:w="3920" w:type="dxa"/>
            <w:vAlign w:val="bottom"/>
            <w:tcBorders>
              <w:right w:val="single" w:sz="8" w:color="auto"/>
            </w:tcBorders>
          </w:tcPr>
          <w:p>
            <w:pPr>
              <w:spacing w:after="0" w:line="160" w:lineRule="exact"/>
              <w:rPr>
                <w:sz w:val="20"/>
                <w:szCs w:val="20"/>
                <w:color w:val="auto"/>
              </w:rPr>
            </w:pPr>
            <w:r>
              <w:rPr>
                <w:rFonts w:ascii="Arial" w:cs="Arial" w:eastAsia="Arial" w:hAnsi="Arial"/>
                <w:sz w:val="17"/>
                <w:szCs w:val="17"/>
                <w:color w:val="auto"/>
              </w:rPr>
              <w:t>Insurance Service Income</w:t>
            </w:r>
          </w:p>
        </w:tc>
        <w:tc>
          <w:tcPr>
            <w:tcW w:w="1160" w:type="dxa"/>
            <w:vAlign w:val="bottom"/>
          </w:tcPr>
          <w:p>
            <w:pPr>
              <w:jc w:val="center"/>
              <w:spacing w:after="0" w:line="160" w:lineRule="exact"/>
              <w:rPr>
                <w:sz w:val="20"/>
                <w:szCs w:val="20"/>
                <w:color w:val="auto"/>
              </w:rPr>
            </w:pPr>
            <w:r>
              <w:rPr>
                <w:rFonts w:ascii="Arial" w:cs="Arial" w:eastAsia="Arial" w:hAnsi="Arial"/>
                <w:sz w:val="17"/>
                <w:szCs w:val="17"/>
                <w:color w:val="auto"/>
                <w:w w:val="96"/>
              </w:rPr>
              <w:t>31.7</w:t>
            </w:r>
          </w:p>
        </w:tc>
        <w:tc>
          <w:tcPr>
            <w:tcW w:w="1240" w:type="dxa"/>
            <w:vAlign w:val="bottom"/>
          </w:tcPr>
          <w:p>
            <w:pPr>
              <w:jc w:val="center"/>
              <w:spacing w:after="0" w:line="160" w:lineRule="exact"/>
              <w:rPr>
                <w:sz w:val="20"/>
                <w:szCs w:val="20"/>
                <w:color w:val="auto"/>
              </w:rPr>
            </w:pPr>
            <w:r>
              <w:rPr>
                <w:rFonts w:ascii="Arial" w:cs="Arial" w:eastAsia="Arial" w:hAnsi="Arial"/>
                <w:sz w:val="17"/>
                <w:szCs w:val="17"/>
                <w:color w:val="auto"/>
              </w:rPr>
              <w:t>25.3</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6"/>
              </w:rPr>
              <w:t>22.9</w:t>
            </w:r>
          </w:p>
        </w:tc>
        <w:tc>
          <w:tcPr>
            <w:tcW w:w="1200" w:type="dxa"/>
            <w:vAlign w:val="bottom"/>
          </w:tcPr>
          <w:p>
            <w:pPr>
              <w:jc w:val="center"/>
              <w:spacing w:after="0" w:line="160" w:lineRule="exact"/>
              <w:rPr>
                <w:sz w:val="20"/>
                <w:szCs w:val="20"/>
                <w:color w:val="auto"/>
              </w:rPr>
            </w:pPr>
            <w:r>
              <w:rPr>
                <w:rFonts w:ascii="Arial" w:cs="Arial" w:eastAsia="Arial" w:hAnsi="Arial"/>
                <w:sz w:val="17"/>
                <w:szCs w:val="17"/>
                <w:color w:val="auto"/>
                <w:w w:val="98"/>
              </w:rPr>
              <w:t>-9.6%</w:t>
            </w: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Crediseguros</w:t>
            </w:r>
          </w:p>
        </w:tc>
        <w:tc>
          <w:tcPr>
            <w:tcW w:w="3920" w:type="dxa"/>
            <w:vAlign w:val="bottom"/>
            <w:tcBorders>
              <w:right w:val="single" w:sz="8" w:color="auto"/>
            </w:tcBorders>
          </w:tcPr>
          <w:p>
            <w:pPr>
              <w:spacing w:after="0" w:line="189" w:lineRule="exact"/>
              <w:rPr>
                <w:sz w:val="20"/>
                <w:szCs w:val="20"/>
                <w:color w:val="auto"/>
              </w:rPr>
            </w:pPr>
            <w:r>
              <w:rPr>
                <w:rFonts w:ascii="Arial" w:cs="Arial" w:eastAsia="Arial" w:hAnsi="Arial"/>
                <w:sz w:val="17"/>
                <w:szCs w:val="17"/>
                <w:color w:val="auto"/>
              </w:rPr>
              <w:t>Insurance Service Expenses</w:t>
            </w:r>
          </w:p>
        </w:tc>
        <w:tc>
          <w:tcPr>
            <w:tcW w:w="1160" w:type="dxa"/>
            <w:vAlign w:val="bottom"/>
          </w:tcPr>
          <w:p>
            <w:pPr>
              <w:jc w:val="center"/>
              <w:spacing w:after="0" w:line="189" w:lineRule="exact"/>
              <w:rPr>
                <w:sz w:val="20"/>
                <w:szCs w:val="20"/>
                <w:color w:val="auto"/>
              </w:rPr>
            </w:pPr>
            <w:r>
              <w:rPr>
                <w:rFonts w:ascii="Arial" w:cs="Arial" w:eastAsia="Arial" w:hAnsi="Arial"/>
                <w:sz w:val="17"/>
                <w:szCs w:val="17"/>
                <w:color w:val="auto"/>
                <w:w w:val="98"/>
              </w:rPr>
              <w:t>(11.5)</w:t>
            </w:r>
          </w:p>
        </w:tc>
        <w:tc>
          <w:tcPr>
            <w:tcW w:w="1240" w:type="dxa"/>
            <w:vAlign w:val="bottom"/>
          </w:tcPr>
          <w:p>
            <w:pPr>
              <w:jc w:val="center"/>
              <w:spacing w:after="0" w:line="189" w:lineRule="exact"/>
              <w:rPr>
                <w:sz w:val="20"/>
                <w:szCs w:val="20"/>
                <w:color w:val="auto"/>
              </w:rPr>
            </w:pPr>
            <w:r>
              <w:rPr>
                <w:rFonts w:ascii="Arial" w:cs="Arial" w:eastAsia="Arial" w:hAnsi="Arial"/>
                <w:sz w:val="17"/>
                <w:szCs w:val="17"/>
                <w:color w:val="auto"/>
                <w:w w:val="97"/>
              </w:rPr>
              <w:t>(5.6)</w:t>
            </w:r>
          </w:p>
        </w:tc>
        <w:tc>
          <w:tcPr>
            <w:tcW w:w="12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(5.8)</w:t>
            </w:r>
          </w:p>
        </w:tc>
        <w:tc>
          <w:tcPr>
            <w:tcW w:w="1200" w:type="dxa"/>
            <w:vAlign w:val="bottom"/>
          </w:tcPr>
          <w:p>
            <w:pPr>
              <w:jc w:val="center"/>
              <w:spacing w:after="0" w:line="189" w:lineRule="exact"/>
              <w:rPr>
                <w:sz w:val="20"/>
                <w:szCs w:val="20"/>
                <w:color w:val="auto"/>
              </w:rPr>
            </w:pPr>
            <w:r>
              <w:rPr>
                <w:rFonts w:ascii="Arial" w:cs="Arial" w:eastAsia="Arial" w:hAnsi="Arial"/>
                <w:sz w:val="17"/>
                <w:szCs w:val="17"/>
                <w:color w:val="auto"/>
              </w:rPr>
              <w:t>3.8%</w:t>
            </w:r>
          </w:p>
        </w:tc>
        <w:tc>
          <w:tcPr>
            <w:tcW w:w="12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-49.5%</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right w:val="single" w:sz="8" w:color="auto"/>
            </w:tcBorders>
            <w:vMerge w:val="continue"/>
          </w:tcPr>
          <w:p>
            <w:pPr>
              <w:spacing w:after="0"/>
              <w:rPr>
                <w:sz w:val="16"/>
                <w:szCs w:val="16"/>
                <w:color w:val="auto"/>
              </w:rPr>
            </w:pPr>
          </w:p>
        </w:tc>
        <w:tc>
          <w:tcPr>
            <w:tcW w:w="3920" w:type="dxa"/>
            <w:vAlign w:val="bottom"/>
            <w:tcBorders>
              <w:right w:val="single" w:sz="8" w:color="auto"/>
            </w:tcBorders>
          </w:tcPr>
          <w:p>
            <w:pPr>
              <w:spacing w:after="0" w:line="189" w:lineRule="exact"/>
              <w:rPr>
                <w:sz w:val="20"/>
                <w:szCs w:val="20"/>
                <w:color w:val="auto"/>
              </w:rPr>
            </w:pPr>
            <w:r>
              <w:rPr>
                <w:rFonts w:ascii="Arial" w:cs="Arial" w:eastAsia="Arial" w:hAnsi="Arial"/>
                <w:sz w:val="17"/>
                <w:szCs w:val="17"/>
                <w:color w:val="auto"/>
              </w:rPr>
              <w:t>Reinsurance Results</w:t>
            </w:r>
          </w:p>
        </w:tc>
        <w:tc>
          <w:tcPr>
            <w:tcW w:w="1160" w:type="dxa"/>
            <w:vAlign w:val="bottom"/>
          </w:tcPr>
          <w:p>
            <w:pPr>
              <w:jc w:val="center"/>
              <w:spacing w:after="0" w:line="189" w:lineRule="exact"/>
              <w:rPr>
                <w:sz w:val="20"/>
                <w:szCs w:val="20"/>
                <w:color w:val="auto"/>
              </w:rPr>
            </w:pPr>
            <w:r>
              <w:rPr>
                <w:rFonts w:ascii="Arial" w:cs="Arial" w:eastAsia="Arial" w:hAnsi="Arial"/>
                <w:sz w:val="17"/>
                <w:szCs w:val="17"/>
                <w:color w:val="auto"/>
              </w:rPr>
              <w:t>(5.8)</w:t>
            </w:r>
          </w:p>
        </w:tc>
        <w:tc>
          <w:tcPr>
            <w:tcW w:w="1240" w:type="dxa"/>
            <w:vAlign w:val="bottom"/>
          </w:tcPr>
          <w:p>
            <w:pPr>
              <w:jc w:val="center"/>
              <w:spacing w:after="0" w:line="189" w:lineRule="exact"/>
              <w:rPr>
                <w:sz w:val="20"/>
                <w:szCs w:val="20"/>
                <w:color w:val="auto"/>
              </w:rPr>
            </w:pPr>
            <w:r>
              <w:rPr>
                <w:rFonts w:ascii="Arial" w:cs="Arial" w:eastAsia="Arial" w:hAnsi="Arial"/>
                <w:sz w:val="17"/>
                <w:szCs w:val="17"/>
                <w:color w:val="auto"/>
                <w:w w:val="98"/>
              </w:rPr>
              <w:t>(12.3)</w:t>
            </w:r>
          </w:p>
        </w:tc>
        <w:tc>
          <w:tcPr>
            <w:tcW w:w="12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(8.3)</w:t>
            </w:r>
          </w:p>
        </w:tc>
        <w:tc>
          <w:tcPr>
            <w:tcW w:w="1200" w:type="dxa"/>
            <w:vAlign w:val="bottom"/>
          </w:tcPr>
          <w:p>
            <w:pPr>
              <w:jc w:val="center"/>
              <w:spacing w:after="0" w:line="189" w:lineRule="exact"/>
              <w:rPr>
                <w:sz w:val="20"/>
                <w:szCs w:val="20"/>
                <w:color w:val="auto"/>
              </w:rPr>
            </w:pPr>
            <w:r>
              <w:rPr>
                <w:rFonts w:ascii="Arial" w:cs="Arial" w:eastAsia="Arial" w:hAnsi="Arial"/>
                <w:sz w:val="17"/>
                <w:szCs w:val="17"/>
                <w:color w:val="auto"/>
              </w:rPr>
              <w:t>-32.5%</w:t>
            </w:r>
          </w:p>
        </w:tc>
        <w:tc>
          <w:tcPr>
            <w:tcW w:w="12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9"/>
              </w:rPr>
              <w:t>44.0%</w:t>
            </w:r>
          </w:p>
        </w:tc>
        <w:tc>
          <w:tcPr>
            <w:tcW w:w="0" w:type="dxa"/>
            <w:vAlign w:val="bottom"/>
          </w:tcPr>
          <w:p>
            <w:pPr>
              <w:spacing w:after="0"/>
              <w:rPr>
                <w:sz w:val="1"/>
                <w:szCs w:val="1"/>
                <w:color w:val="auto"/>
              </w:rPr>
            </w:pPr>
          </w:p>
        </w:tc>
      </w:tr>
      <w:tr>
        <w:trPr>
          <w:trHeight w:val="211"/>
        </w:trPr>
        <w:tc>
          <w:tcPr>
            <w:tcW w:w="130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Insurance Undewrwriting Result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14.4</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7.3</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8.7</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18.4%</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-39.4%</w:t>
            </w:r>
          </w:p>
        </w:tc>
        <w:tc>
          <w:tcPr>
            <w:tcW w:w="0" w:type="dxa"/>
            <w:vAlign w:val="bottom"/>
          </w:tcPr>
          <w:p>
            <w:pPr>
              <w:spacing w:after="0"/>
              <w:rPr>
                <w:sz w:val="1"/>
                <w:szCs w:val="1"/>
                <w:color w:val="auto"/>
              </w:rPr>
            </w:pPr>
          </w:p>
        </w:tc>
      </w:tr>
      <w:tr>
        <w:trPr>
          <w:trHeight w:val="160"/>
        </w:trPr>
        <w:tc>
          <w:tcPr>
            <w:tcW w:w="1300" w:type="dxa"/>
            <w:vAlign w:val="bottom"/>
            <w:tcBorders>
              <w:left w:val="single" w:sz="8" w:color="auto"/>
              <w:right w:val="single" w:sz="8" w:color="auto"/>
            </w:tcBorders>
          </w:tcPr>
          <w:p>
            <w:pPr>
              <w:spacing w:after="0"/>
              <w:rPr>
                <w:sz w:val="13"/>
                <w:szCs w:val="13"/>
                <w:color w:val="auto"/>
              </w:rPr>
            </w:pPr>
          </w:p>
        </w:tc>
        <w:tc>
          <w:tcPr>
            <w:tcW w:w="3920" w:type="dxa"/>
            <w:vAlign w:val="bottom"/>
            <w:tcBorders>
              <w:right w:val="single" w:sz="8" w:color="auto"/>
            </w:tcBorders>
          </w:tcPr>
          <w:p>
            <w:pPr>
              <w:spacing w:after="0" w:line="160" w:lineRule="exact"/>
              <w:rPr>
                <w:sz w:val="20"/>
                <w:szCs w:val="20"/>
                <w:color w:val="auto"/>
              </w:rPr>
            </w:pPr>
            <w:r>
              <w:rPr>
                <w:rFonts w:ascii="Arial" w:cs="Arial" w:eastAsia="Arial" w:hAnsi="Arial"/>
                <w:sz w:val="17"/>
                <w:szCs w:val="17"/>
                <w:color w:val="auto"/>
              </w:rPr>
              <w:t>Insurance Service Income</w:t>
            </w:r>
          </w:p>
        </w:tc>
        <w:tc>
          <w:tcPr>
            <w:tcW w:w="1160" w:type="dxa"/>
            <w:vAlign w:val="bottom"/>
          </w:tcPr>
          <w:p>
            <w:pPr>
              <w:jc w:val="center"/>
              <w:spacing w:after="0" w:line="160" w:lineRule="exact"/>
              <w:rPr>
                <w:sz w:val="20"/>
                <w:szCs w:val="20"/>
                <w:color w:val="auto"/>
              </w:rPr>
            </w:pPr>
            <w:r>
              <w:rPr>
                <w:rFonts w:ascii="Arial" w:cs="Arial" w:eastAsia="Arial" w:hAnsi="Arial"/>
                <w:sz w:val="17"/>
                <w:szCs w:val="17"/>
                <w:color w:val="auto"/>
              </w:rPr>
              <w:t>0.0</w:t>
            </w:r>
          </w:p>
        </w:tc>
        <w:tc>
          <w:tcPr>
            <w:tcW w:w="1240" w:type="dxa"/>
            <w:vAlign w:val="bottom"/>
          </w:tcPr>
          <w:p>
            <w:pPr>
              <w:jc w:val="center"/>
              <w:spacing w:after="0" w:line="160" w:lineRule="exact"/>
              <w:rPr>
                <w:sz w:val="20"/>
                <w:szCs w:val="20"/>
                <w:color w:val="auto"/>
              </w:rPr>
            </w:pPr>
            <w:r>
              <w:rPr>
                <w:rFonts w:ascii="Arial" w:cs="Arial" w:eastAsia="Arial" w:hAnsi="Arial"/>
                <w:sz w:val="17"/>
                <w:szCs w:val="17"/>
                <w:color w:val="auto"/>
              </w:rPr>
              <w:t>0.0</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137.0</w:t>
            </w:r>
          </w:p>
        </w:tc>
        <w:tc>
          <w:tcPr>
            <w:tcW w:w="1200" w:type="dxa"/>
            <w:vAlign w:val="bottom"/>
          </w:tcPr>
          <w:p>
            <w:pPr>
              <w:jc w:val="center"/>
              <w:spacing w:after="0" w:line="160" w:lineRule="exact"/>
              <w:rPr>
                <w:sz w:val="20"/>
                <w:szCs w:val="20"/>
                <w:color w:val="auto"/>
              </w:rPr>
            </w:pPr>
            <w:r>
              <w:rPr>
                <w:rFonts w:ascii="Arial" w:cs="Arial" w:eastAsia="Arial" w:hAnsi="Arial"/>
                <w:sz w:val="17"/>
                <w:szCs w:val="17"/>
                <w:color w:val="auto"/>
              </w:rPr>
              <w:t>n.a</w:t>
            </w: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9"/>
              </w:rPr>
              <w:t>EPS</w:t>
            </w:r>
          </w:p>
        </w:tc>
        <w:tc>
          <w:tcPr>
            <w:tcW w:w="3920" w:type="dxa"/>
            <w:vAlign w:val="bottom"/>
            <w:tcBorders>
              <w:right w:val="single" w:sz="8" w:color="auto"/>
            </w:tcBorders>
          </w:tcPr>
          <w:p>
            <w:pPr>
              <w:spacing w:after="0" w:line="189" w:lineRule="exact"/>
              <w:rPr>
                <w:sz w:val="20"/>
                <w:szCs w:val="20"/>
                <w:color w:val="auto"/>
              </w:rPr>
            </w:pPr>
            <w:r>
              <w:rPr>
                <w:rFonts w:ascii="Arial" w:cs="Arial" w:eastAsia="Arial" w:hAnsi="Arial"/>
                <w:sz w:val="17"/>
                <w:szCs w:val="17"/>
                <w:color w:val="auto"/>
              </w:rPr>
              <w:t>Insurance Service Expenses</w:t>
            </w:r>
          </w:p>
        </w:tc>
        <w:tc>
          <w:tcPr>
            <w:tcW w:w="1160" w:type="dxa"/>
            <w:vAlign w:val="bottom"/>
          </w:tcPr>
          <w:p>
            <w:pPr>
              <w:jc w:val="center"/>
              <w:spacing w:after="0" w:line="189" w:lineRule="exact"/>
              <w:rPr>
                <w:sz w:val="20"/>
                <w:szCs w:val="20"/>
                <w:color w:val="auto"/>
              </w:rPr>
            </w:pPr>
            <w:r>
              <w:rPr>
                <w:rFonts w:ascii="Arial" w:cs="Arial" w:eastAsia="Arial" w:hAnsi="Arial"/>
                <w:sz w:val="17"/>
                <w:szCs w:val="17"/>
                <w:color w:val="auto"/>
              </w:rPr>
              <w:t>0.0</w:t>
            </w:r>
          </w:p>
        </w:tc>
        <w:tc>
          <w:tcPr>
            <w:tcW w:w="1240" w:type="dxa"/>
            <w:vAlign w:val="bottom"/>
          </w:tcPr>
          <w:p>
            <w:pPr>
              <w:jc w:val="center"/>
              <w:spacing w:after="0" w:line="189" w:lineRule="exact"/>
              <w:rPr>
                <w:sz w:val="20"/>
                <w:szCs w:val="20"/>
                <w:color w:val="auto"/>
              </w:rPr>
            </w:pPr>
            <w:r>
              <w:rPr>
                <w:rFonts w:ascii="Arial" w:cs="Arial" w:eastAsia="Arial" w:hAnsi="Arial"/>
                <w:sz w:val="17"/>
                <w:szCs w:val="17"/>
                <w:color w:val="auto"/>
              </w:rPr>
              <w:t>0.0</w:t>
            </w:r>
          </w:p>
        </w:tc>
        <w:tc>
          <w:tcPr>
            <w:tcW w:w="12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(122.9)</w:t>
            </w:r>
          </w:p>
        </w:tc>
        <w:tc>
          <w:tcPr>
            <w:tcW w:w="1200" w:type="dxa"/>
            <w:vAlign w:val="bottom"/>
          </w:tcPr>
          <w:p>
            <w:pPr>
              <w:jc w:val="center"/>
              <w:spacing w:after="0" w:line="189" w:lineRule="exact"/>
              <w:rPr>
                <w:sz w:val="20"/>
                <w:szCs w:val="20"/>
                <w:color w:val="auto"/>
              </w:rPr>
            </w:pPr>
            <w:r>
              <w:rPr>
                <w:rFonts w:ascii="Arial" w:cs="Arial" w:eastAsia="Arial" w:hAnsi="Arial"/>
                <w:sz w:val="17"/>
                <w:szCs w:val="17"/>
                <w:color w:val="auto"/>
              </w:rPr>
              <w:t>n.a</w:t>
            </w:r>
          </w:p>
        </w:tc>
        <w:tc>
          <w:tcPr>
            <w:tcW w:w="12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30"/>
        </w:trPr>
        <w:tc>
          <w:tcPr>
            <w:tcW w:w="1300" w:type="dxa"/>
            <w:vAlign w:val="bottom"/>
            <w:tcBorders>
              <w:left w:val="single" w:sz="8" w:color="auto"/>
              <w:right w:val="single" w:sz="8" w:color="auto"/>
            </w:tcBorders>
            <w:vMerge w:val="continue"/>
          </w:tcPr>
          <w:p>
            <w:pPr>
              <w:spacing w:after="0"/>
              <w:rPr>
                <w:sz w:val="11"/>
                <w:szCs w:val="11"/>
                <w:color w:val="auto"/>
              </w:rPr>
            </w:pPr>
          </w:p>
        </w:tc>
        <w:tc>
          <w:tcPr>
            <w:tcW w:w="3920" w:type="dxa"/>
            <w:vAlign w:val="bottom"/>
            <w:tcBorders>
              <w:right w:val="single" w:sz="8" w:color="auto"/>
            </w:tcBorders>
            <w:vMerge w:val="restart"/>
          </w:tcPr>
          <w:p>
            <w:pPr>
              <w:spacing w:after="0" w:line="189" w:lineRule="exact"/>
              <w:rPr>
                <w:sz w:val="20"/>
                <w:szCs w:val="20"/>
                <w:color w:val="auto"/>
              </w:rPr>
            </w:pPr>
            <w:r>
              <w:rPr>
                <w:rFonts w:ascii="Arial" w:cs="Arial" w:eastAsia="Arial" w:hAnsi="Arial"/>
                <w:sz w:val="17"/>
                <w:szCs w:val="17"/>
                <w:color w:val="auto"/>
              </w:rPr>
              <w:t>Reinsurance Results</w:t>
            </w:r>
          </w:p>
        </w:tc>
        <w:tc>
          <w:tcPr>
            <w:tcW w:w="116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rPr>
              <w:t>0.0</w:t>
            </w:r>
          </w:p>
        </w:tc>
        <w:tc>
          <w:tcPr>
            <w:tcW w:w="124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rPr>
              <w:t>0.0</w:t>
            </w:r>
          </w:p>
        </w:tc>
        <w:tc>
          <w:tcPr>
            <w:tcW w:w="120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7"/>
                <w:szCs w:val="17"/>
                <w:color w:val="auto"/>
              </w:rPr>
              <w:t>(0.4)</w:t>
            </w:r>
          </w:p>
        </w:tc>
        <w:tc>
          <w:tcPr>
            <w:tcW w:w="120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rPr>
              <w:t>n.a</w:t>
            </w:r>
          </w:p>
        </w:tc>
        <w:tc>
          <w:tcPr>
            <w:tcW w:w="122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59"/>
        </w:trPr>
        <w:tc>
          <w:tcPr>
            <w:tcW w:w="1300" w:type="dxa"/>
            <w:vAlign w:val="bottom"/>
            <w:tcBorders>
              <w:left w:val="single" w:sz="8" w:color="auto"/>
              <w:right w:val="single" w:sz="8" w:color="auto"/>
            </w:tcBorders>
          </w:tcPr>
          <w:p>
            <w:pPr>
              <w:spacing w:after="0"/>
              <w:rPr>
                <w:sz w:val="5"/>
                <w:szCs w:val="5"/>
                <w:color w:val="auto"/>
              </w:rPr>
            </w:pPr>
          </w:p>
        </w:tc>
        <w:tc>
          <w:tcPr>
            <w:tcW w:w="3920" w:type="dxa"/>
            <w:vAlign w:val="bottom"/>
            <w:tcBorders>
              <w:right w:val="single" w:sz="8" w:color="auto"/>
            </w:tcBorders>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30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Insurance Undewrwriting Result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0.0</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13.7</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n.a</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n.a</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QoQ, the Insurance Underwriting Result rose 5.3% on the back of a reduction in Insurance Service Expenses (-2.1%) and an improvement in the Reinsurance Result (-9.0%); both the aforementioned were partially offset by a drop in Insurance Service Income (-0.5%).</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YoY, the Insurance Underwriting Result rose 17.9% due to a significant improvement in the Reinsurance result (-50.2%) and to an uptick in Insurance Service Income (+4.3%); the aforementioned were partially attenuated by growth in Insurance Service Expenses (+17.2%)</w:t>
      </w:r>
    </w:p>
    <w:p>
      <w:pPr>
        <w:spacing w:after="0" w:line="31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8" w:name="page39"/>
    <w:bookmarkEnd w:id="38"/>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07. Insurance Underwriting Results and the Medical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&amp; C Insurance</w:t>
      </w:r>
    </w:p>
    <w:p>
      <w:pPr>
        <w:spacing w:after="0" w:line="183" w:lineRule="exact"/>
        <w:rPr>
          <w:sz w:val="20"/>
          <w:szCs w:val="20"/>
          <w:color w:val="auto"/>
        </w:rPr>
      </w:pPr>
    </w:p>
    <w:p>
      <w:pPr>
        <w:ind w:left="1320"/>
        <w:spacing w:after="0"/>
        <w:tabs>
          <w:tab w:leader="none" w:pos="7620" w:val="left"/>
        </w:tabs>
        <w:rPr>
          <w:sz w:val="20"/>
          <w:szCs w:val="20"/>
          <w:color w:val="auto"/>
        </w:rPr>
      </w:pPr>
      <w:r>
        <w:rPr>
          <w:rFonts w:ascii="Arial" w:cs="Arial" w:eastAsia="Arial" w:hAnsi="Arial"/>
          <w:sz w:val="18"/>
          <w:szCs w:val="18"/>
          <w:b w:val="1"/>
          <w:bCs w:val="1"/>
          <w:color w:val="auto"/>
        </w:rPr>
        <w:t>Insurance Service Income</w:t>
      </w:r>
      <w:r>
        <w:rPr>
          <w:sz w:val="20"/>
          <w:szCs w:val="20"/>
          <w:color w:val="auto"/>
        </w:rPr>
        <w:tab/>
      </w:r>
      <w:r>
        <w:rPr>
          <w:rFonts w:ascii="Arial" w:cs="Arial" w:eastAsia="Arial" w:hAnsi="Arial"/>
          <w:sz w:val="17"/>
          <w:szCs w:val="17"/>
          <w:b w:val="1"/>
          <w:bCs w:val="1"/>
          <w:color w:val="auto"/>
        </w:rPr>
        <w:t>Insurance Service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128905</wp:posOffset>
            </wp:positionV>
            <wp:extent cx="6137910" cy="1791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3791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00" w:right="20" w:hanging="292"/>
        <w:spacing w:after="0" w:line="243" w:lineRule="auto"/>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 of 1Q25, the business previously known as “P &amp; C” has been reclassified into two separate categories: Personal Lines and Commercial Lines to better reflect the nature of insured risks. Historical figures have been adjusted for comparability purposes.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QoQ, the Insurance Underwriting Result rose 12.5% on the back of the following dynamics:</w:t>
      </w:r>
    </w:p>
    <w:p>
      <w:pPr>
        <w:spacing w:after="0" w:line="14" w:lineRule="exact"/>
        <w:rPr>
          <w:sz w:val="20"/>
          <w:szCs w:val="20"/>
          <w:color w:val="auto"/>
        </w:rPr>
      </w:pPr>
    </w:p>
    <w:p>
      <w:pPr>
        <w:ind w:left="740" w:hanging="246"/>
        <w:spacing w:after="0" w:line="234"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Insurance Service Income dropped slightly by 0.4%, driven by the evolution of Personal Lines and Medical Assistance, both of which were impacted by an increase in Reserves for Current Risks due to an uptick in premium turnover.</w:t>
      </w:r>
    </w:p>
    <w:p>
      <w:pPr>
        <w:spacing w:after="0" w:line="1" w:lineRule="exact"/>
        <w:rPr>
          <w:rFonts w:ascii="Arial" w:cs="Arial" w:eastAsia="Arial" w:hAnsi="Arial"/>
          <w:sz w:val="18"/>
          <w:szCs w:val="18"/>
          <w:color w:val="auto"/>
        </w:rPr>
      </w:pPr>
    </w:p>
    <w:p>
      <w:pPr>
        <w:jc w:val="both"/>
        <w:ind w:left="740" w:hanging="246"/>
        <w:spacing w:after="0" w:line="234"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Insurance Service Expenses dropped 1.9%, due to Personal Lines and Medical Assistance, which registered a drop in claims. The aforementioned was partially attenuated by (i) Cars, due to an increase in onerous contracts and (ii) Commercial Trees, which reported an uptick in claims for its Fire and Third-Party Liability products.</w:t>
      </w:r>
    </w:p>
    <w:p>
      <w:pPr>
        <w:spacing w:after="0" w:line="2"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Reinsurance Result improved, mainly due to a drop in ceded claims in the Personal Lines and Medical Assistance.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YoY, the Insurance Underwriting Result increased 14.8%. The following dynamics drove this evolution:</w:t>
      </w:r>
    </w:p>
    <w:p>
      <w:pPr>
        <w:spacing w:after="0" w:line="14" w:lineRule="exact"/>
        <w:rPr>
          <w:sz w:val="20"/>
          <w:szCs w:val="20"/>
          <w:color w:val="auto"/>
        </w:rPr>
      </w:pPr>
    </w:p>
    <w:p>
      <w:pPr>
        <w:ind w:left="740" w:right="20" w:hanging="246"/>
        <w:spacing w:after="0" w:line="234"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Insurance Service Income increased 4.6%, fueled mainly by (i) Commercial Lines, which reported growth in allotted premiums for new sales and growth in renewals and (ii) Cars, which reflected growth in sales through Yape.</w:t>
      </w:r>
    </w:p>
    <w:p>
      <w:pPr>
        <w:spacing w:after="0" w:line="1" w:lineRule="exact"/>
        <w:rPr>
          <w:rFonts w:ascii="Arial" w:cs="Arial" w:eastAsia="Arial" w:hAnsi="Arial"/>
          <w:sz w:val="18"/>
          <w:szCs w:val="18"/>
          <w:color w:val="auto"/>
        </w:rPr>
      </w:pPr>
    </w:p>
    <w:p>
      <w:pPr>
        <w:ind w:left="740" w:hanging="246"/>
        <w:spacing w:after="0" w:line="234"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Insurance Service Income rose 36.7% due primarily to Commercial and Service Lines, which reported an uptick in claims through its Fire, Third-Party Liability and Technical Lines.</w:t>
      </w:r>
    </w:p>
    <w:p>
      <w:pPr>
        <w:spacing w:after="0" w:line="1" w:lineRule="exact"/>
        <w:rPr>
          <w:rFonts w:ascii="Arial" w:cs="Arial" w:eastAsia="Arial" w:hAnsi="Arial"/>
          <w:sz w:val="18"/>
          <w:szCs w:val="18"/>
          <w:color w:val="auto"/>
        </w:rPr>
      </w:pPr>
    </w:p>
    <w:p>
      <w:pPr>
        <w:ind w:left="740" w:right="20" w:hanging="246"/>
        <w:spacing w:after="0" w:line="250"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Reinsurance Result improved, primarily through (i) Commercial Lines, which reported an uptick in claims recovered from the reinsurer, in line with growth in claims as described above, and (ii) Personal Line, which reflected a drop in ceded premiums.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Insurance</w:t>
      </w:r>
    </w:p>
    <w:p>
      <w:pPr>
        <w:spacing w:after="0" w:line="196" w:lineRule="exact"/>
        <w:rPr>
          <w:sz w:val="20"/>
          <w:szCs w:val="20"/>
          <w:color w:val="auto"/>
        </w:rPr>
      </w:pPr>
    </w:p>
    <w:p>
      <w:pPr>
        <w:ind w:left="1400"/>
        <w:spacing w:after="0"/>
        <w:tabs>
          <w:tab w:leader="none" w:pos="7560" w:val="left"/>
        </w:tabs>
        <w:rPr>
          <w:sz w:val="20"/>
          <w:szCs w:val="20"/>
          <w:color w:val="auto"/>
        </w:rPr>
      </w:pPr>
      <w:r>
        <w:rPr>
          <w:rFonts w:ascii="Arial" w:cs="Arial" w:eastAsia="Arial" w:hAnsi="Arial"/>
          <w:sz w:val="18"/>
          <w:szCs w:val="18"/>
          <w:b w:val="1"/>
          <w:bCs w:val="1"/>
          <w:color w:val="auto"/>
        </w:rPr>
        <w:t>Insurance Service Income</w:t>
      </w:r>
      <w:r>
        <w:rPr>
          <w:sz w:val="20"/>
          <w:szCs w:val="20"/>
          <w:color w:val="auto"/>
        </w:rPr>
        <w:tab/>
      </w:r>
      <w:r>
        <w:rPr>
          <w:rFonts w:ascii="Arial" w:cs="Arial" w:eastAsia="Arial" w:hAnsi="Arial"/>
          <w:sz w:val="18"/>
          <w:szCs w:val="18"/>
          <w:b w:val="1"/>
          <w:bCs w:val="1"/>
          <w:color w:val="auto"/>
        </w:rPr>
        <w:t>Insurance Service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128905</wp:posOffset>
            </wp:positionV>
            <wp:extent cx="6197600" cy="20059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9760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9" w:name="page40"/>
    <w:bookmarkEnd w:id="39"/>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07. Insurance Underwriting Results and the Medical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QoQ, the Insurance Underwriting Result dropped 4.8%. The following dynamics drove this evolution:</w:t>
      </w:r>
    </w:p>
    <w:p>
      <w:pPr>
        <w:spacing w:after="0" w:line="14" w:lineRule="exact"/>
        <w:rPr>
          <w:sz w:val="20"/>
          <w:szCs w:val="20"/>
          <w:color w:val="auto"/>
        </w:rPr>
      </w:pPr>
    </w:p>
    <w:p>
      <w:pPr>
        <w:jc w:val="both"/>
        <w:ind w:left="740" w:right="20" w:hanging="246"/>
        <w:spacing w:after="0" w:line="234"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Insurance Service Income dropped 29.4%, driven primarily by (i) D &amp; S, given that Pacifico was not awarded a tranche of SISCO VIII for 2025 (having won a tranche under SISCO VII last year), and (ii) Credit Life, due to a decrease in premium turnover in the Bancassurance channel.</w:t>
      </w:r>
    </w:p>
    <w:p>
      <w:pPr>
        <w:spacing w:after="0" w:line="2" w:lineRule="exact"/>
        <w:rPr>
          <w:rFonts w:ascii="Arial" w:cs="Arial" w:eastAsia="Arial" w:hAnsi="Arial"/>
          <w:sz w:val="18"/>
          <w:szCs w:val="18"/>
          <w:color w:val="auto"/>
        </w:rPr>
      </w:pPr>
    </w:p>
    <w:p>
      <w:pPr>
        <w:jc w:val="both"/>
        <w:ind w:left="740" w:right="20" w:hanging="246"/>
        <w:spacing w:after="0" w:line="234"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Insurance Service Expenses fell 52.8%, fueled mainly by (i) D &amp; S, which reported a drop in expenses for claims, which reflects the fact that Pacifico was not awarded a tranche of the SISCO VIII contract (having won a tranche under SISCO VII last year), and (ii) Credit Life, which reported a decrease in attributable expenses.</w:t>
      </w:r>
    </w:p>
    <w:p>
      <w:pPr>
        <w:spacing w:after="0" w:line="2"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Reinsurance Result improved, mainly via Individual Life, which reported growth in claims recovered from reinsurers.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YoY, the Insurance Underwriting Result rose 15.7% due to the following dynamics:</w:t>
      </w:r>
    </w:p>
    <w:p>
      <w:pPr>
        <w:spacing w:after="0" w:line="14" w:lineRule="exact"/>
        <w:rPr>
          <w:sz w:val="20"/>
          <w:szCs w:val="20"/>
          <w:color w:val="auto"/>
        </w:rPr>
      </w:pPr>
    </w:p>
    <w:p>
      <w:pPr>
        <w:jc w:val="both"/>
        <w:ind w:left="740" w:hanging="246"/>
        <w:spacing w:after="0" w:line="234"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Insurance Service Income dropped 24.0%, primarily driven by D &amp; S given that Pacifico was not awarded a tranche of SISCO VIII for 2025 (having won a tranche under SISCO VII last year); this dynamic was attenuated by Credit Life, which reported an uptick in premiums allotted to the period, distributed through Bancassurance and Alliances.</w:t>
      </w:r>
    </w:p>
    <w:p>
      <w:pPr>
        <w:spacing w:after="0" w:line="2" w:lineRule="exact"/>
        <w:rPr>
          <w:rFonts w:ascii="Arial" w:cs="Arial" w:eastAsia="Arial" w:hAnsi="Arial"/>
          <w:sz w:val="18"/>
          <w:szCs w:val="18"/>
          <w:color w:val="auto"/>
        </w:rPr>
      </w:pPr>
    </w:p>
    <w:p>
      <w:pPr>
        <w:jc w:val="both"/>
        <w:ind w:left="740" w:hanging="246"/>
        <w:spacing w:after="0" w:line="234"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Insurance Service Expenses dropped 51.6%, mainly fueled by (i) D &amp; S, which reflects the impact of having received no tranche award under SISCO VIII, and (ii) Individual Life, which reported a drop in expenses for claims. The aforementioned dynamics were partially offset by Credit Life, which reported growth in underwriting expenses in Alliances and an uptick in claims.</w:t>
      </w:r>
    </w:p>
    <w:p>
      <w:pPr>
        <w:spacing w:after="0" w:line="2" w:lineRule="exact"/>
        <w:rPr>
          <w:rFonts w:ascii="Arial" w:cs="Arial" w:eastAsia="Arial" w:hAnsi="Arial"/>
          <w:sz w:val="18"/>
          <w:szCs w:val="18"/>
          <w:color w:val="auto"/>
        </w:rPr>
      </w:pPr>
    </w:p>
    <w:p>
      <w:pPr>
        <w:ind w:left="740" w:hanging="246"/>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Reinsurance Result improved, primarily via D &amp; S, which registered a decrease in ceded premiums.</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0" w:name="page41"/>
    <w:bookmarkEnd w:id="40"/>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384" w:lineRule="exact"/>
        <w:rPr>
          <w:sz w:val="20"/>
          <w:szCs w:val="20"/>
          <w:color w:val="auto"/>
        </w:rPr>
      </w:pPr>
    </w:p>
    <w:p>
      <w:pPr>
        <w:ind w:left="460"/>
        <w:spacing w:after="0"/>
        <w:rPr>
          <w:sz w:val="20"/>
          <w:szCs w:val="20"/>
          <w:color w:val="auto"/>
        </w:rPr>
      </w:pPr>
      <w:r>
        <w:rPr>
          <w:rFonts w:ascii="Arial" w:cs="Arial" w:eastAsia="Arial" w:hAnsi="Arial"/>
          <w:sz w:val="52"/>
          <w:szCs w:val="52"/>
          <w:b w:val="1"/>
          <w:bCs w:val="1"/>
          <w:color w:val="E93BAC"/>
        </w:rPr>
        <w:t xml:space="preserve">08 </w:t>
      </w:r>
      <w:r>
        <w:rPr>
          <w:rFonts w:ascii="Arial" w:cs="Arial" w:eastAsia="Arial" w:hAnsi="Arial"/>
          <w:sz w:val="32"/>
          <w:szCs w:val="32"/>
          <w:color w:val="E93BAB"/>
        </w:rPr>
        <w:t>Operating Expenses</w:t>
      </w:r>
    </w:p>
    <w:p>
      <w:pPr>
        <w:spacing w:after="0" w:line="233" w:lineRule="exact"/>
        <w:rPr>
          <w:sz w:val="20"/>
          <w:szCs w:val="20"/>
          <w:color w:val="auto"/>
        </w:rPr>
      </w:pPr>
    </w:p>
    <w:p>
      <w:pPr>
        <w:jc w:val="both"/>
        <w:ind w:left="580" w:right="560"/>
        <w:spacing w:after="0" w:line="242" w:lineRule="auto"/>
        <w:rPr>
          <w:sz w:val="20"/>
          <w:szCs w:val="20"/>
          <w:color w:val="auto"/>
        </w:rPr>
      </w:pPr>
      <w:r>
        <w:rPr>
          <w:rFonts w:ascii="Arial" w:cs="Arial" w:eastAsia="Arial" w:hAnsi="Arial"/>
          <w:sz w:val="18"/>
          <w:szCs w:val="18"/>
          <w:color w:val="FFFFFF"/>
        </w:rPr>
        <w:t>Operating expenses rose 15.6% YoY, driven mainly by core businesses at BCP Stand-alone and innovation portfolio initiatives at the Credicorp level. Core business expenses at BCP Stand-alone rose due to: (i) higher expenses for employee salaries and benefits, which rose on the back of higher provisions for variable compensation and an uptick in headcount; and (ii) an increase in administrative expenses, which rose primarily due to an uptick in spending for Advertising and secondarily due to an increase in cloud use, which reflects growth in transactions among an increasingly digital client base. Expenses for innovation portfolio initiatives at Credicorp rose 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-782320</wp:posOffset>
            </wp:positionV>
            <wp:extent cx="6557645" cy="8401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57645" cy="84010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operating expenses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960" w:type="dxa"/>
            <w:vAlign w:val="bottom"/>
            <w:tcBorders>
              <w:top w:val="single" w:sz="8" w:color="auto"/>
              <w:left w:val="single" w:sz="8" w:color="auto"/>
              <w:right w:val="single" w:sz="8" w:color="auto"/>
            </w:tcBorders>
            <w:shd w:val="clear" w:color="auto" w:fill="2AD2C8"/>
          </w:tcPr>
          <w:p>
            <w:pPr>
              <w:ind w:left="20"/>
              <w:spacing w:after="0" w:line="180" w:lineRule="exact"/>
              <w:rPr>
                <w:sz w:val="20"/>
                <w:szCs w:val="20"/>
                <w:color w:val="auto"/>
              </w:rPr>
            </w:pPr>
            <w:r>
              <w:rPr>
                <w:rFonts w:ascii="Arial" w:cs="Arial" w:eastAsia="Arial" w:hAnsi="Arial"/>
                <w:sz w:val="17"/>
                <w:szCs w:val="17"/>
                <w:b w:val="1"/>
                <w:bCs w:val="1"/>
                <w:color w:val="FFFFFF"/>
              </w:rPr>
              <w:t>Operating expenses</w:t>
            </w:r>
          </w:p>
        </w:tc>
        <w:tc>
          <w:tcPr>
            <w:tcW w:w="1560" w:type="dxa"/>
            <w:vAlign w:val="bottom"/>
            <w:tcBorders>
              <w:top w:val="single" w:sz="8" w:color="auto"/>
            </w:tcBorders>
            <w:shd w:val="clear" w:color="auto" w:fill="2AD2C8"/>
          </w:tcPr>
          <w:p>
            <w:pPr>
              <w:spacing w:after="0"/>
              <w:rPr>
                <w:sz w:val="15"/>
                <w:szCs w:val="15"/>
                <w:color w:val="auto"/>
              </w:rPr>
            </w:pPr>
          </w:p>
        </w:tc>
        <w:tc>
          <w:tcPr>
            <w:tcW w:w="1440" w:type="dxa"/>
            <w:vAlign w:val="bottom"/>
            <w:tcBorders>
              <w:top w:val="single" w:sz="8" w:color="auto"/>
            </w:tcBorders>
            <w:shd w:val="clear" w:color="auto" w:fill="2AD2C8"/>
          </w:tcPr>
          <w:p>
            <w:pPr>
              <w:jc w:val="right"/>
              <w:ind w:right="415"/>
              <w:spacing w:after="0" w:line="180" w:lineRule="exact"/>
              <w:rPr>
                <w:sz w:val="20"/>
                <w:szCs w:val="20"/>
                <w:color w:val="auto"/>
              </w:rPr>
            </w:pPr>
            <w:r>
              <w:rPr>
                <w:rFonts w:ascii="Arial" w:cs="Arial" w:eastAsia="Arial" w:hAnsi="Arial"/>
                <w:sz w:val="17"/>
                <w:szCs w:val="17"/>
                <w:b w:val="1"/>
                <w:bCs w:val="1"/>
                <w:color w:val="FFFFFF"/>
              </w:rPr>
              <w:t>Quarter</w:t>
            </w:r>
          </w:p>
        </w:tc>
        <w:tc>
          <w:tcPr>
            <w:tcW w:w="1380" w:type="dxa"/>
            <w:vAlign w:val="bottom"/>
            <w:tcBorders>
              <w:top w:val="single" w:sz="8" w:color="auto"/>
              <w:right w:val="single" w:sz="8" w:color="auto"/>
            </w:tcBorders>
            <w:shd w:val="clear" w:color="auto" w:fill="2AD2C8"/>
          </w:tcPr>
          <w:p>
            <w:pPr>
              <w:spacing w:after="0"/>
              <w:rPr>
                <w:sz w:val="15"/>
                <w:szCs w:val="15"/>
                <w:color w:val="auto"/>
              </w:rPr>
            </w:pPr>
          </w:p>
        </w:tc>
        <w:tc>
          <w:tcPr>
            <w:tcW w:w="1000" w:type="dxa"/>
            <w:vAlign w:val="bottom"/>
            <w:tcBorders>
              <w:top w:val="single" w:sz="8" w:color="auto"/>
            </w:tcBorders>
            <w:shd w:val="clear" w:color="auto" w:fill="2AD2C8"/>
          </w:tcPr>
          <w:p>
            <w:pPr>
              <w:spacing w:after="0"/>
              <w:rPr>
                <w:sz w:val="15"/>
                <w:szCs w:val="15"/>
                <w:color w:val="auto"/>
              </w:rPr>
            </w:pPr>
          </w:p>
        </w:tc>
        <w:tc>
          <w:tcPr>
            <w:tcW w:w="1900" w:type="dxa"/>
            <w:vAlign w:val="bottom"/>
            <w:tcBorders>
              <w:top w:val="single" w:sz="8" w:color="auto"/>
              <w:right w:val="single" w:sz="8" w:color="auto"/>
            </w:tcBorders>
            <w:shd w:val="clear" w:color="auto" w:fill="2AD2C8"/>
          </w:tcPr>
          <w:p>
            <w:pPr>
              <w:ind w:left="20"/>
              <w:spacing w:after="0" w:line="180" w:lineRule="exact"/>
              <w:rPr>
                <w:sz w:val="20"/>
                <w:szCs w:val="20"/>
                <w:color w:val="auto"/>
              </w:rPr>
            </w:pPr>
            <w:r>
              <w:rPr>
                <w:rFonts w:ascii="Arial" w:cs="Arial" w:eastAsia="Arial" w:hAnsi="Arial"/>
                <w:sz w:val="17"/>
                <w:szCs w:val="17"/>
                <w:b w:val="1"/>
                <w:bCs w:val="1"/>
                <w:color w:val="FFFFFF"/>
              </w:rPr>
              <w:t>% change</w:t>
            </w:r>
          </w:p>
        </w:tc>
      </w:tr>
      <w:tr>
        <w:trPr>
          <w:trHeight w:val="211"/>
        </w:trPr>
        <w:tc>
          <w:tcPr>
            <w:tcW w:w="3960" w:type="dxa"/>
            <w:vAlign w:val="bottom"/>
            <w:tcBorders>
              <w:left w:val="single" w:sz="8" w:color="auto"/>
              <w:bottom w:val="single" w:sz="8" w:color="auto"/>
              <w:right w:val="single" w:sz="8" w:color="auto"/>
            </w:tcBorders>
            <w:shd w:val="clear" w:color="auto" w:fill="2AD2C8"/>
          </w:tcPr>
          <w:p>
            <w:pPr>
              <w:ind w:left="20"/>
              <w:spacing w:after="0"/>
              <w:rPr>
                <w:sz w:val="20"/>
                <w:szCs w:val="20"/>
                <w:color w:val="auto"/>
              </w:rPr>
            </w:pPr>
            <w:r>
              <w:rPr>
                <w:rFonts w:ascii="Arial" w:cs="Arial" w:eastAsia="Arial" w:hAnsi="Arial"/>
                <w:sz w:val="17"/>
                <w:szCs w:val="17"/>
                <w:b w:val="1"/>
                <w:bCs w:val="1"/>
                <w:color w:val="FFFFFF"/>
              </w:rPr>
              <w:t>S/ 000</w:t>
            </w:r>
          </w:p>
        </w:tc>
        <w:tc>
          <w:tcPr>
            <w:tcW w:w="1560" w:type="dxa"/>
            <w:vAlign w:val="bottom"/>
            <w:tcBorders>
              <w:bottom w:val="single" w:sz="8" w:color="auto"/>
            </w:tcBorders>
            <w:shd w:val="clear" w:color="auto" w:fill="2AD2C8"/>
          </w:tcPr>
          <w:p>
            <w:pPr>
              <w:jc w:val="right"/>
              <w:ind w:right="555"/>
              <w:spacing w:after="0"/>
              <w:rPr>
                <w:sz w:val="20"/>
                <w:szCs w:val="20"/>
                <w:color w:val="auto"/>
              </w:rPr>
            </w:pPr>
            <w:r>
              <w:rPr>
                <w:rFonts w:ascii="Arial" w:cs="Arial" w:eastAsia="Arial" w:hAnsi="Arial"/>
                <w:sz w:val="17"/>
                <w:szCs w:val="17"/>
                <w:b w:val="1"/>
                <w:bCs w:val="1"/>
                <w:color w:val="FFFFFF"/>
              </w:rPr>
              <w:t>1Q24</w:t>
            </w:r>
          </w:p>
        </w:tc>
        <w:tc>
          <w:tcPr>
            <w:tcW w:w="1440" w:type="dxa"/>
            <w:vAlign w:val="bottom"/>
            <w:tcBorders>
              <w:bottom w:val="single" w:sz="8" w:color="auto"/>
            </w:tcBorders>
            <w:shd w:val="clear" w:color="auto" w:fill="2AD2C8"/>
          </w:tcPr>
          <w:p>
            <w:pPr>
              <w:jc w:val="right"/>
              <w:ind w:right="535"/>
              <w:spacing w:after="0"/>
              <w:rPr>
                <w:sz w:val="20"/>
                <w:szCs w:val="20"/>
                <w:color w:val="auto"/>
              </w:rPr>
            </w:pPr>
            <w:r>
              <w:rPr>
                <w:rFonts w:ascii="Arial" w:cs="Arial" w:eastAsia="Arial" w:hAnsi="Arial"/>
                <w:sz w:val="17"/>
                <w:szCs w:val="17"/>
                <w:b w:val="1"/>
                <w:bCs w:val="1"/>
                <w:color w:val="FFFFFF"/>
              </w:rPr>
              <w:t>4Q24</w:t>
            </w:r>
          </w:p>
        </w:tc>
        <w:tc>
          <w:tcPr>
            <w:tcW w:w="1380" w:type="dxa"/>
            <w:vAlign w:val="bottom"/>
            <w:tcBorders>
              <w:bottom w:val="single" w:sz="8" w:color="auto"/>
              <w:right w:val="single" w:sz="8" w:color="auto"/>
            </w:tcBorders>
            <w:shd w:val="clear" w:color="auto" w:fill="2AD2C8"/>
          </w:tcPr>
          <w:p>
            <w:pPr>
              <w:jc w:val="right"/>
              <w:ind w:right="455"/>
              <w:spacing w:after="0"/>
              <w:rPr>
                <w:sz w:val="20"/>
                <w:szCs w:val="20"/>
                <w:color w:val="auto"/>
              </w:rPr>
            </w:pPr>
            <w:r>
              <w:rPr>
                <w:rFonts w:ascii="Arial" w:cs="Arial" w:eastAsia="Arial" w:hAnsi="Arial"/>
                <w:sz w:val="17"/>
                <w:szCs w:val="17"/>
                <w:b w:val="1"/>
                <w:bCs w:val="1"/>
                <w:color w:val="FFFFFF"/>
              </w:rPr>
              <w:t>1Q25</w:t>
            </w:r>
          </w:p>
        </w:tc>
        <w:tc>
          <w:tcPr>
            <w:tcW w:w="1000" w:type="dxa"/>
            <w:vAlign w:val="bottom"/>
            <w:tcBorders>
              <w:bottom w:val="single" w:sz="8" w:color="auto"/>
            </w:tcBorders>
            <w:shd w:val="clear" w:color="auto" w:fill="2AD2C8"/>
          </w:tcPr>
          <w:p>
            <w:pPr>
              <w:ind w:left="520"/>
              <w:spacing w:after="0"/>
              <w:rPr>
                <w:sz w:val="20"/>
                <w:szCs w:val="20"/>
                <w:color w:val="auto"/>
              </w:rPr>
            </w:pPr>
            <w:r>
              <w:rPr>
                <w:rFonts w:ascii="Arial" w:cs="Arial" w:eastAsia="Arial" w:hAnsi="Arial"/>
                <w:sz w:val="17"/>
                <w:szCs w:val="17"/>
                <w:b w:val="1"/>
                <w:bCs w:val="1"/>
                <w:color w:val="FFFFFF"/>
              </w:rPr>
              <w:t>QoQ</w:t>
            </w:r>
          </w:p>
        </w:tc>
        <w:tc>
          <w:tcPr>
            <w:tcW w:w="1900" w:type="dxa"/>
            <w:vAlign w:val="bottom"/>
            <w:tcBorders>
              <w:bottom w:val="single" w:sz="8" w:color="auto"/>
              <w:right w:val="single" w:sz="8" w:color="auto"/>
            </w:tcBorders>
            <w:shd w:val="clear" w:color="auto" w:fill="2AD2C8"/>
          </w:tcPr>
          <w:p>
            <w:pPr>
              <w:ind w:left="1000"/>
              <w:spacing w:after="0"/>
              <w:rPr>
                <w:sz w:val="20"/>
                <w:szCs w:val="20"/>
                <w:color w:val="auto"/>
              </w:rPr>
            </w:pPr>
            <w:r>
              <w:rPr>
                <w:rFonts w:ascii="Arial" w:cs="Arial" w:eastAsia="Arial" w:hAnsi="Arial"/>
                <w:sz w:val="17"/>
                <w:szCs w:val="17"/>
                <w:b w:val="1"/>
                <w:bCs w:val="1"/>
                <w:color w:val="FFFFFF"/>
              </w:rPr>
              <w:t>YoY</w:t>
            </w:r>
          </w:p>
        </w:tc>
      </w:tr>
      <w:tr>
        <w:trPr>
          <w:trHeight w:val="160"/>
        </w:trPr>
        <w:tc>
          <w:tcPr>
            <w:tcW w:w="3960" w:type="dxa"/>
            <w:vAlign w:val="bottom"/>
            <w:tcBorders>
              <w:left w:val="single" w:sz="8" w:color="auto"/>
              <w:right w:val="single" w:sz="8" w:color="auto"/>
            </w:tcBorders>
          </w:tcPr>
          <w:p>
            <w:pPr>
              <w:ind w:left="60"/>
              <w:spacing w:after="0" w:line="160" w:lineRule="exact"/>
              <w:rPr>
                <w:sz w:val="20"/>
                <w:szCs w:val="20"/>
                <w:color w:val="auto"/>
              </w:rPr>
            </w:pPr>
            <w:r>
              <w:rPr>
                <w:rFonts w:ascii="Arial" w:cs="Arial" w:eastAsia="Arial" w:hAnsi="Arial"/>
                <w:sz w:val="17"/>
                <w:szCs w:val="17"/>
                <w:color w:val="auto"/>
              </w:rPr>
              <w:t>Salaries and employees benefits</w:t>
            </w:r>
          </w:p>
        </w:tc>
        <w:tc>
          <w:tcPr>
            <w:tcW w:w="1560" w:type="dxa"/>
            <w:vAlign w:val="bottom"/>
          </w:tcPr>
          <w:p>
            <w:pPr>
              <w:jc w:val="right"/>
              <w:ind w:right="235"/>
              <w:spacing w:after="0" w:line="160" w:lineRule="exact"/>
              <w:rPr>
                <w:sz w:val="20"/>
                <w:szCs w:val="20"/>
                <w:color w:val="auto"/>
              </w:rPr>
            </w:pPr>
            <w:r>
              <w:rPr>
                <w:rFonts w:ascii="Arial" w:cs="Arial" w:eastAsia="Arial" w:hAnsi="Arial"/>
                <w:sz w:val="17"/>
                <w:szCs w:val="17"/>
                <w:color w:val="auto"/>
              </w:rPr>
              <w:t>1,107,069</w:t>
            </w:r>
          </w:p>
        </w:tc>
        <w:tc>
          <w:tcPr>
            <w:tcW w:w="1440" w:type="dxa"/>
            <w:vAlign w:val="bottom"/>
          </w:tcPr>
          <w:p>
            <w:pPr>
              <w:jc w:val="right"/>
              <w:ind w:right="275"/>
              <w:spacing w:after="0" w:line="160" w:lineRule="exact"/>
              <w:rPr>
                <w:sz w:val="20"/>
                <w:szCs w:val="20"/>
                <w:color w:val="auto"/>
              </w:rPr>
            </w:pPr>
            <w:r>
              <w:rPr>
                <w:rFonts w:ascii="Arial" w:cs="Arial" w:eastAsia="Arial" w:hAnsi="Arial"/>
                <w:sz w:val="17"/>
                <w:szCs w:val="17"/>
                <w:color w:val="auto"/>
              </w:rPr>
              <w:t>1,271,578</w:t>
            </w:r>
          </w:p>
        </w:tc>
        <w:tc>
          <w:tcPr>
            <w:tcW w:w="1380" w:type="dxa"/>
            <w:vAlign w:val="bottom"/>
            <w:tcBorders>
              <w:right w:val="single" w:sz="8" w:color="auto"/>
            </w:tcBorders>
          </w:tcPr>
          <w:p>
            <w:pPr>
              <w:jc w:val="right"/>
              <w:ind w:right="195"/>
              <w:spacing w:after="0" w:line="160" w:lineRule="exact"/>
              <w:rPr>
                <w:sz w:val="20"/>
                <w:szCs w:val="20"/>
                <w:color w:val="auto"/>
              </w:rPr>
            </w:pPr>
            <w:r>
              <w:rPr>
                <w:rFonts w:ascii="Arial" w:cs="Arial" w:eastAsia="Arial" w:hAnsi="Arial"/>
                <w:sz w:val="17"/>
                <w:szCs w:val="17"/>
                <w:color w:val="auto"/>
              </w:rPr>
              <w:t>1,361,690</w:t>
            </w:r>
          </w:p>
        </w:tc>
        <w:tc>
          <w:tcPr>
            <w:tcW w:w="1000" w:type="dxa"/>
            <w:vAlign w:val="bottom"/>
          </w:tcPr>
          <w:p>
            <w:pPr>
              <w:jc w:val="center"/>
              <w:ind w:left="335"/>
              <w:spacing w:after="0" w:line="160" w:lineRule="exact"/>
              <w:rPr>
                <w:sz w:val="20"/>
                <w:szCs w:val="20"/>
                <w:color w:val="auto"/>
              </w:rPr>
            </w:pPr>
            <w:r>
              <w:rPr>
                <w:rFonts w:ascii="Arial" w:cs="Arial" w:eastAsia="Arial" w:hAnsi="Arial"/>
                <w:sz w:val="17"/>
                <w:szCs w:val="17"/>
                <w:color w:val="auto"/>
                <w:w w:val="97"/>
              </w:rPr>
              <w:t>7.1%</w:t>
            </w:r>
          </w:p>
        </w:tc>
        <w:tc>
          <w:tcPr>
            <w:tcW w:w="1900" w:type="dxa"/>
            <w:vAlign w:val="bottom"/>
            <w:tcBorders>
              <w:right w:val="single" w:sz="8" w:color="auto"/>
            </w:tcBorders>
          </w:tcPr>
          <w:p>
            <w:pPr>
              <w:jc w:val="center"/>
              <w:ind w:left="335"/>
              <w:spacing w:after="0" w:line="160" w:lineRule="exact"/>
              <w:rPr>
                <w:sz w:val="20"/>
                <w:szCs w:val="20"/>
                <w:color w:val="auto"/>
              </w:rPr>
            </w:pPr>
            <w:r>
              <w:rPr>
                <w:rFonts w:ascii="Arial" w:cs="Arial" w:eastAsia="Arial" w:hAnsi="Arial"/>
                <w:sz w:val="17"/>
                <w:szCs w:val="17"/>
                <w:color w:val="auto"/>
                <w:w w:val="99"/>
              </w:rPr>
              <w:t>23.0%</w:t>
            </w:r>
          </w:p>
        </w:tc>
      </w:tr>
      <w:tr>
        <w:trPr>
          <w:trHeight w:val="189"/>
        </w:trPr>
        <w:tc>
          <w:tcPr>
            <w:tcW w:w="3960" w:type="dxa"/>
            <w:vAlign w:val="bottom"/>
            <w:tcBorders>
              <w:left w:val="single" w:sz="8" w:color="auto"/>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Administrative and general expenses</w:t>
            </w:r>
          </w:p>
        </w:tc>
        <w:tc>
          <w:tcPr>
            <w:tcW w:w="156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821,748</w:t>
            </w:r>
          </w:p>
        </w:tc>
        <w:tc>
          <w:tcPr>
            <w:tcW w:w="1440" w:type="dxa"/>
            <w:vAlign w:val="bottom"/>
          </w:tcPr>
          <w:p>
            <w:pPr>
              <w:jc w:val="right"/>
              <w:ind w:right="275"/>
              <w:spacing w:after="0" w:line="189" w:lineRule="exact"/>
              <w:rPr>
                <w:sz w:val="20"/>
                <w:szCs w:val="20"/>
                <w:color w:val="auto"/>
              </w:rPr>
            </w:pPr>
            <w:r>
              <w:rPr>
                <w:rFonts w:ascii="Arial" w:cs="Arial" w:eastAsia="Arial" w:hAnsi="Arial"/>
                <w:sz w:val="17"/>
                <w:szCs w:val="17"/>
                <w:color w:val="auto"/>
              </w:rPr>
              <w:t>1,150,867</w:t>
            </w:r>
          </w:p>
        </w:tc>
        <w:tc>
          <w:tcPr>
            <w:tcW w:w="1380" w:type="dxa"/>
            <w:vAlign w:val="bottom"/>
            <w:tcBorders>
              <w:right w:val="single" w:sz="8" w:color="auto"/>
            </w:tcBorders>
          </w:tcPr>
          <w:p>
            <w:pPr>
              <w:jc w:val="right"/>
              <w:ind w:right="195"/>
              <w:spacing w:after="0" w:line="189" w:lineRule="exact"/>
              <w:rPr>
                <w:sz w:val="20"/>
                <w:szCs w:val="20"/>
                <w:color w:val="auto"/>
              </w:rPr>
            </w:pPr>
            <w:r>
              <w:rPr>
                <w:rFonts w:ascii="Arial" w:cs="Arial" w:eastAsia="Arial" w:hAnsi="Arial"/>
                <w:sz w:val="17"/>
                <w:szCs w:val="17"/>
                <w:color w:val="auto"/>
              </w:rPr>
              <w:t>869,834</w:t>
            </w:r>
          </w:p>
        </w:tc>
        <w:tc>
          <w:tcPr>
            <w:tcW w:w="1000" w:type="dxa"/>
            <w:vAlign w:val="bottom"/>
          </w:tcPr>
          <w:p>
            <w:pPr>
              <w:jc w:val="center"/>
              <w:ind w:left="335"/>
              <w:spacing w:after="0" w:line="189" w:lineRule="exact"/>
              <w:rPr>
                <w:sz w:val="20"/>
                <w:szCs w:val="20"/>
                <w:color w:val="auto"/>
              </w:rPr>
            </w:pPr>
            <w:r>
              <w:rPr>
                <w:rFonts w:ascii="Arial" w:cs="Arial" w:eastAsia="Arial" w:hAnsi="Arial"/>
                <w:sz w:val="17"/>
                <w:szCs w:val="17"/>
                <w:color w:val="auto"/>
              </w:rPr>
              <w:t>-24.4%</w:t>
            </w:r>
          </w:p>
        </w:tc>
        <w:tc>
          <w:tcPr>
            <w:tcW w:w="1900" w:type="dxa"/>
            <w:vAlign w:val="bottom"/>
            <w:tcBorders>
              <w:right w:val="single" w:sz="8" w:color="auto"/>
            </w:tcBorders>
          </w:tcPr>
          <w:p>
            <w:pPr>
              <w:jc w:val="center"/>
              <w:ind w:left="335"/>
              <w:spacing w:after="0" w:line="189" w:lineRule="exact"/>
              <w:rPr>
                <w:sz w:val="20"/>
                <w:szCs w:val="20"/>
                <w:color w:val="auto"/>
              </w:rPr>
            </w:pPr>
            <w:r>
              <w:rPr>
                <w:rFonts w:ascii="Arial" w:cs="Arial" w:eastAsia="Arial" w:hAnsi="Arial"/>
                <w:sz w:val="17"/>
                <w:szCs w:val="17"/>
                <w:color w:val="auto"/>
              </w:rPr>
              <w:t>5.9%</w:t>
            </w:r>
          </w:p>
        </w:tc>
      </w:tr>
      <w:tr>
        <w:trPr>
          <w:trHeight w:val="189"/>
        </w:trPr>
        <w:tc>
          <w:tcPr>
            <w:tcW w:w="3960" w:type="dxa"/>
            <w:vAlign w:val="bottom"/>
            <w:tcBorders>
              <w:left w:val="single" w:sz="8" w:color="auto"/>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Depreciation and amortization</w:t>
            </w:r>
          </w:p>
        </w:tc>
        <w:tc>
          <w:tcPr>
            <w:tcW w:w="156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175,146</w:t>
            </w:r>
          </w:p>
        </w:tc>
        <w:tc>
          <w:tcPr>
            <w:tcW w:w="1440" w:type="dxa"/>
            <w:vAlign w:val="bottom"/>
          </w:tcPr>
          <w:p>
            <w:pPr>
              <w:jc w:val="right"/>
              <w:ind w:right="275"/>
              <w:spacing w:after="0" w:line="189" w:lineRule="exact"/>
              <w:rPr>
                <w:sz w:val="20"/>
                <w:szCs w:val="20"/>
                <w:color w:val="auto"/>
              </w:rPr>
            </w:pPr>
            <w:r>
              <w:rPr>
                <w:rFonts w:ascii="Arial" w:cs="Arial" w:eastAsia="Arial" w:hAnsi="Arial"/>
                <w:sz w:val="17"/>
                <w:szCs w:val="17"/>
                <w:color w:val="auto"/>
              </w:rPr>
              <w:t>186,625</w:t>
            </w:r>
          </w:p>
        </w:tc>
        <w:tc>
          <w:tcPr>
            <w:tcW w:w="1380" w:type="dxa"/>
            <w:vAlign w:val="bottom"/>
            <w:tcBorders>
              <w:right w:val="single" w:sz="8" w:color="auto"/>
            </w:tcBorders>
          </w:tcPr>
          <w:p>
            <w:pPr>
              <w:jc w:val="right"/>
              <w:ind w:right="195"/>
              <w:spacing w:after="0" w:line="189" w:lineRule="exact"/>
              <w:rPr>
                <w:sz w:val="20"/>
                <w:szCs w:val="20"/>
                <w:color w:val="auto"/>
              </w:rPr>
            </w:pPr>
            <w:r>
              <w:rPr>
                <w:rFonts w:ascii="Arial" w:cs="Arial" w:eastAsia="Arial" w:hAnsi="Arial"/>
                <w:sz w:val="17"/>
                <w:szCs w:val="17"/>
                <w:color w:val="auto"/>
              </w:rPr>
              <w:t>203,766</w:t>
            </w:r>
          </w:p>
        </w:tc>
        <w:tc>
          <w:tcPr>
            <w:tcW w:w="1000" w:type="dxa"/>
            <w:vAlign w:val="bottom"/>
          </w:tcPr>
          <w:p>
            <w:pPr>
              <w:jc w:val="center"/>
              <w:ind w:left="335"/>
              <w:spacing w:after="0" w:line="189" w:lineRule="exact"/>
              <w:rPr>
                <w:sz w:val="20"/>
                <w:szCs w:val="20"/>
                <w:color w:val="auto"/>
              </w:rPr>
            </w:pPr>
            <w:r>
              <w:rPr>
                <w:rFonts w:ascii="Arial" w:cs="Arial" w:eastAsia="Arial" w:hAnsi="Arial"/>
                <w:sz w:val="17"/>
                <w:szCs w:val="17"/>
                <w:color w:val="auto"/>
                <w:w w:val="97"/>
              </w:rPr>
              <w:t>9.2%</w:t>
            </w:r>
          </w:p>
        </w:tc>
        <w:tc>
          <w:tcPr>
            <w:tcW w:w="1900" w:type="dxa"/>
            <w:vAlign w:val="bottom"/>
            <w:tcBorders>
              <w:right w:val="single" w:sz="8" w:color="auto"/>
            </w:tcBorders>
          </w:tcPr>
          <w:p>
            <w:pPr>
              <w:jc w:val="center"/>
              <w:ind w:left="335"/>
              <w:spacing w:after="0" w:line="189" w:lineRule="exact"/>
              <w:rPr>
                <w:sz w:val="20"/>
                <w:szCs w:val="20"/>
                <w:color w:val="auto"/>
              </w:rPr>
            </w:pPr>
            <w:r>
              <w:rPr>
                <w:rFonts w:ascii="Arial" w:cs="Arial" w:eastAsia="Arial" w:hAnsi="Arial"/>
                <w:sz w:val="17"/>
                <w:szCs w:val="17"/>
                <w:color w:val="auto"/>
                <w:w w:val="99"/>
              </w:rPr>
              <w:t>16.3%</w:t>
            </w:r>
          </w:p>
        </w:tc>
      </w:tr>
      <w:tr>
        <w:trPr>
          <w:trHeight w:val="211"/>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Association in participation</w:t>
            </w:r>
          </w:p>
        </w:tc>
        <w:tc>
          <w:tcPr>
            <w:tcW w:w="15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8,847</w:t>
            </w:r>
          </w:p>
        </w:tc>
        <w:tc>
          <w:tcPr>
            <w:tcW w:w="14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3,808</w:t>
            </w:r>
          </w:p>
        </w:tc>
        <w:tc>
          <w:tcPr>
            <w:tcW w:w="138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7"/>
                <w:szCs w:val="17"/>
                <w:color w:val="auto"/>
              </w:rPr>
              <w:t>6,799</w:t>
            </w:r>
          </w:p>
        </w:tc>
        <w:tc>
          <w:tcPr>
            <w:tcW w:w="1000" w:type="dxa"/>
            <w:vAlign w:val="bottom"/>
            <w:tcBorders>
              <w:bottom w:val="single" w:sz="8" w:color="auto"/>
            </w:tcBorders>
          </w:tcPr>
          <w:p>
            <w:pPr>
              <w:jc w:val="center"/>
              <w:ind w:left="315"/>
              <w:spacing w:after="0"/>
              <w:rPr>
                <w:sz w:val="20"/>
                <w:szCs w:val="20"/>
                <w:color w:val="auto"/>
              </w:rPr>
            </w:pPr>
            <w:r>
              <w:rPr>
                <w:rFonts w:ascii="Arial" w:cs="Arial" w:eastAsia="Arial" w:hAnsi="Arial"/>
                <w:sz w:val="17"/>
                <w:szCs w:val="17"/>
                <w:color w:val="auto"/>
                <w:w w:val="99"/>
              </w:rPr>
              <w:t>78.5%</w:t>
            </w:r>
          </w:p>
        </w:tc>
        <w:tc>
          <w:tcPr>
            <w:tcW w:w="1900" w:type="dxa"/>
            <w:vAlign w:val="bottom"/>
            <w:tcBorders>
              <w:bottom w:val="single" w:sz="8" w:color="auto"/>
              <w:right w:val="single" w:sz="8" w:color="auto"/>
            </w:tcBorders>
          </w:tcPr>
          <w:p>
            <w:pPr>
              <w:jc w:val="center"/>
              <w:ind w:left="315"/>
              <w:spacing w:after="0"/>
              <w:rPr>
                <w:sz w:val="20"/>
                <w:szCs w:val="20"/>
                <w:color w:val="auto"/>
              </w:rPr>
            </w:pPr>
            <w:r>
              <w:rPr>
                <w:rFonts w:ascii="Arial" w:cs="Arial" w:eastAsia="Arial" w:hAnsi="Arial"/>
                <w:sz w:val="17"/>
                <w:szCs w:val="17"/>
                <w:color w:val="auto"/>
              </w:rPr>
              <w:t>-23.1%</w:t>
            </w:r>
          </w:p>
        </w:tc>
      </w:tr>
      <w:tr>
        <w:trPr>
          <w:trHeight w:val="223"/>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auto"/>
              </w:rPr>
              <w:t>Operating expenses</w:t>
            </w:r>
          </w:p>
        </w:tc>
        <w:tc>
          <w:tcPr>
            <w:tcW w:w="15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2,112,810</w:t>
            </w:r>
          </w:p>
        </w:tc>
        <w:tc>
          <w:tcPr>
            <w:tcW w:w="14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2,612,878</w:t>
            </w:r>
          </w:p>
        </w:tc>
        <w:tc>
          <w:tcPr>
            <w:tcW w:w="138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2,442,089</w:t>
            </w:r>
          </w:p>
        </w:tc>
        <w:tc>
          <w:tcPr>
            <w:tcW w:w="1000" w:type="dxa"/>
            <w:vAlign w:val="bottom"/>
            <w:tcBorders>
              <w:bottom w:val="single" w:sz="8" w:color="auto"/>
            </w:tcBorders>
          </w:tcPr>
          <w:p>
            <w:pPr>
              <w:jc w:val="center"/>
              <w:ind w:left="315"/>
              <w:spacing w:after="0"/>
              <w:rPr>
                <w:sz w:val="20"/>
                <w:szCs w:val="20"/>
                <w:color w:val="auto"/>
              </w:rPr>
            </w:pPr>
            <w:r>
              <w:rPr>
                <w:rFonts w:ascii="Arial" w:cs="Arial" w:eastAsia="Arial" w:hAnsi="Arial"/>
                <w:sz w:val="17"/>
                <w:szCs w:val="17"/>
                <w:b w:val="1"/>
                <w:bCs w:val="1"/>
                <w:color w:val="auto"/>
                <w:w w:val="98"/>
              </w:rPr>
              <w:t>-6.5%</w:t>
            </w:r>
          </w:p>
        </w:tc>
        <w:tc>
          <w:tcPr>
            <w:tcW w:w="1900" w:type="dxa"/>
            <w:vAlign w:val="bottom"/>
            <w:tcBorders>
              <w:bottom w:val="single" w:sz="8" w:color="auto"/>
              <w:right w:val="single" w:sz="8" w:color="auto"/>
            </w:tcBorders>
          </w:tcPr>
          <w:p>
            <w:pPr>
              <w:jc w:val="center"/>
              <w:ind w:left="335"/>
              <w:spacing w:after="0"/>
              <w:rPr>
                <w:sz w:val="20"/>
                <w:szCs w:val="20"/>
                <w:color w:val="auto"/>
              </w:rPr>
            </w:pPr>
            <w:r>
              <w:rPr>
                <w:rFonts w:ascii="Arial" w:cs="Arial" w:eastAsia="Arial" w:hAnsi="Arial"/>
                <w:sz w:val="17"/>
                <w:szCs w:val="17"/>
                <w:b w:val="1"/>
                <w:bCs w:val="1"/>
                <w:color w:val="auto"/>
                <w:w w:val="99"/>
              </w:rPr>
              <w:t>15.6%</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rose 15.6% YoY due to:</w:t>
      </w:r>
    </w:p>
    <w:p>
      <w:pPr>
        <w:spacing w:after="0" w:line="185" w:lineRule="exact"/>
        <w:rPr>
          <w:sz w:val="20"/>
          <w:szCs w:val="20"/>
          <w:color w:val="auto"/>
        </w:rPr>
      </w:pPr>
    </w:p>
    <w:p>
      <w:pPr>
        <w:jc w:val="both"/>
        <w:ind w:left="500" w:hanging="492"/>
        <w:spacing w:after="0" w:line="241"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increase in Employee Salaries and Benefits, which was driven primarily by (i) BCP Stand-alone, which reported an uptick in provisions for variable compensation, followed by growth in the headcount for new projects, and (ii) Mibanco y Pacifico, due to growth in salaries.</w:t>
      </w:r>
    </w:p>
    <w:p>
      <w:pPr>
        <w:spacing w:after="0" w:line="1" w:lineRule="exact"/>
        <w:rPr>
          <w:rFonts w:ascii="Arial" w:cs="Arial" w:eastAsia="Arial" w:hAnsi="Arial"/>
          <w:sz w:val="18"/>
          <w:szCs w:val="18"/>
          <w:color w:val="auto"/>
        </w:rPr>
      </w:pPr>
    </w:p>
    <w:p>
      <w:pPr>
        <w:jc w:val="both"/>
        <w:ind w:left="500" w:hanging="492"/>
        <w:spacing w:after="0" w:line="242"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increase reported in Administrative Expenses was attributable to BCP Stand-alone, which registered (i) higher expenses for Advertising, and (ii) growth in transactions through digital channels, which led expenses for cloud use and other IT-related activities to rise.</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the heels of Credicorp’s acquisition of the 50% stake held by Empresas Banmedica in the joint venture with Pacifico Compañia de Seguros y Reaseguros S.A., the holding began consolidating all expenses relative to this operation in March 2025. Accordingly, all expenses that were previously reported in the Association in Participation are now consolidated on a line-by-line basis for each line account presented in the consolidated financial statement.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and General Expenses</w:t>
      </w:r>
    </w:p>
    <w:p>
      <w:pPr>
        <w:spacing w:after="0" w:line="197" w:lineRule="exact"/>
        <w:rPr>
          <w:sz w:val="20"/>
          <w:szCs w:val="20"/>
          <w:color w:val="auto"/>
        </w:rPr>
      </w:pPr>
    </w:p>
    <w:tbl>
      <w:tblPr>
        <w:tblLayout w:type="fixed"/>
        <w:tblInd w:w="590" w:type="dxa"/>
        <w:tblCellMar>
          <w:top w:w="0" w:type="dxa"/>
          <w:left w:w="0" w:type="dxa"/>
          <w:bottom w:w="0" w:type="dxa"/>
          <w:right w:w="0" w:type="dxa"/>
        </w:tblCellMar>
      </w:tblPr>
      <w:tr>
        <w:trPr>
          <w:trHeight w:val="203"/>
        </w:trPr>
        <w:tc>
          <w:tcPr>
            <w:tcW w:w="4500" w:type="dxa"/>
            <w:vAlign w:val="bottom"/>
            <w:tcBorders>
              <w:top w:val="single" w:sz="8" w:color="auto"/>
              <w:left w:val="single" w:sz="8" w:color="auto"/>
              <w:right w:val="single" w:sz="8" w:color="auto"/>
            </w:tcBorders>
            <w:shd w:val="clear" w:color="auto" w:fill="2AD2C8"/>
          </w:tcPr>
          <w:p>
            <w:pPr>
              <w:ind w:left="40"/>
              <w:spacing w:after="0"/>
              <w:rPr>
                <w:sz w:val="20"/>
                <w:szCs w:val="20"/>
                <w:color w:val="auto"/>
              </w:rPr>
            </w:pPr>
            <w:r>
              <w:rPr>
                <w:rFonts w:ascii="Arial" w:cs="Arial" w:eastAsia="Arial" w:hAnsi="Arial"/>
                <w:sz w:val="14"/>
                <w:szCs w:val="14"/>
                <w:b w:val="1"/>
                <w:bCs w:val="1"/>
                <w:color w:val="FFFFFF"/>
              </w:rPr>
              <w:t>Administrative and General Expenses</w:t>
            </w:r>
          </w:p>
        </w:tc>
        <w:tc>
          <w:tcPr>
            <w:tcW w:w="1120" w:type="dxa"/>
            <w:vAlign w:val="bottom"/>
            <w:tcBorders>
              <w:top w:val="single" w:sz="8" w:color="auto"/>
            </w:tcBorders>
            <w:shd w:val="clear" w:color="auto" w:fill="2AD2C8"/>
          </w:tcPr>
          <w:p>
            <w:pPr>
              <w:spacing w:after="0"/>
              <w:rPr>
                <w:sz w:val="17"/>
                <w:szCs w:val="17"/>
                <w:color w:val="auto"/>
              </w:rPr>
            </w:pPr>
          </w:p>
        </w:tc>
        <w:tc>
          <w:tcPr>
            <w:tcW w:w="1240" w:type="dxa"/>
            <w:vAlign w:val="bottom"/>
            <w:tcBorders>
              <w:top w:val="single" w:sz="8" w:color="auto"/>
            </w:tcBorders>
            <w:shd w:val="clear" w:color="auto" w:fill="2AD2C8"/>
          </w:tcPr>
          <w:p>
            <w:pPr>
              <w:jc w:val="center"/>
              <w:spacing w:after="0"/>
              <w:rPr>
                <w:sz w:val="20"/>
                <w:szCs w:val="20"/>
                <w:color w:val="auto"/>
              </w:rPr>
            </w:pPr>
            <w:r>
              <w:rPr>
                <w:rFonts w:ascii="Arial" w:cs="Arial" w:eastAsia="Arial" w:hAnsi="Arial"/>
                <w:sz w:val="14"/>
                <w:szCs w:val="14"/>
                <w:b w:val="1"/>
                <w:bCs w:val="1"/>
                <w:color w:val="FFFFFF"/>
              </w:rPr>
              <w:t>Quarter</w:t>
            </w:r>
          </w:p>
        </w:tc>
        <w:tc>
          <w:tcPr>
            <w:tcW w:w="1140" w:type="dxa"/>
            <w:vAlign w:val="bottom"/>
            <w:tcBorders>
              <w:top w:val="single" w:sz="8" w:color="auto"/>
              <w:right w:val="single" w:sz="8" w:color="auto"/>
            </w:tcBorders>
            <w:shd w:val="clear" w:color="auto" w:fill="2AD2C8"/>
          </w:tcPr>
          <w:p>
            <w:pPr>
              <w:spacing w:after="0"/>
              <w:rPr>
                <w:sz w:val="17"/>
                <w:szCs w:val="17"/>
                <w:color w:val="auto"/>
              </w:rPr>
            </w:pPr>
          </w:p>
        </w:tc>
        <w:tc>
          <w:tcPr>
            <w:tcW w:w="1380" w:type="dxa"/>
            <w:vAlign w:val="bottom"/>
            <w:tcBorders>
              <w:top w:val="single" w:sz="8" w:color="auto"/>
            </w:tcBorders>
            <w:shd w:val="clear" w:color="auto" w:fill="2AD2C8"/>
          </w:tcPr>
          <w:p>
            <w:pPr>
              <w:ind w:left="700"/>
              <w:spacing w:after="0"/>
              <w:rPr>
                <w:sz w:val="20"/>
                <w:szCs w:val="20"/>
                <w:color w:val="auto"/>
              </w:rPr>
            </w:pPr>
            <w:r>
              <w:rPr>
                <w:rFonts w:ascii="Arial" w:cs="Arial" w:eastAsia="Arial" w:hAnsi="Arial"/>
                <w:sz w:val="14"/>
                <w:szCs w:val="14"/>
                <w:b w:val="1"/>
                <w:bCs w:val="1"/>
                <w:color w:val="FFFFFF"/>
              </w:rPr>
              <w:t>% change</w:t>
            </w:r>
          </w:p>
        </w:tc>
        <w:tc>
          <w:tcPr>
            <w:tcW w:w="720" w:type="dxa"/>
            <w:vAlign w:val="bottom"/>
            <w:tcBorders>
              <w:top w:val="single" w:sz="8" w:color="auto"/>
              <w:right w:val="single" w:sz="8" w:color="auto"/>
            </w:tcBorders>
            <w:shd w:val="clear" w:color="auto" w:fill="2AD2C8"/>
          </w:tcPr>
          <w:p>
            <w:pPr>
              <w:spacing w:after="0"/>
              <w:rPr>
                <w:sz w:val="17"/>
                <w:szCs w:val="17"/>
                <w:color w:val="auto"/>
              </w:rPr>
            </w:pPr>
          </w:p>
        </w:tc>
      </w:tr>
      <w:tr>
        <w:trPr>
          <w:trHeight w:val="189"/>
        </w:trPr>
        <w:tc>
          <w:tcPr>
            <w:tcW w:w="4500" w:type="dxa"/>
            <w:vAlign w:val="bottom"/>
            <w:tcBorders>
              <w:left w:val="single" w:sz="8" w:color="auto"/>
              <w:bottom w:val="single" w:sz="8" w:color="auto"/>
              <w:right w:val="single" w:sz="8" w:color="auto"/>
            </w:tcBorders>
            <w:shd w:val="clear" w:color="auto" w:fill="2AD2C8"/>
          </w:tcPr>
          <w:p>
            <w:pPr>
              <w:ind w:left="40"/>
              <w:spacing w:after="0"/>
              <w:rPr>
                <w:sz w:val="20"/>
                <w:szCs w:val="20"/>
                <w:color w:val="auto"/>
              </w:rPr>
            </w:pPr>
            <w:r>
              <w:rPr>
                <w:rFonts w:ascii="Arial" w:cs="Arial" w:eastAsia="Arial" w:hAnsi="Arial"/>
                <w:sz w:val="14"/>
                <w:szCs w:val="14"/>
                <w:b w:val="1"/>
                <w:bCs w:val="1"/>
                <w:color w:val="FFFFFF"/>
              </w:rPr>
              <w:t>S/ 000</w:t>
            </w:r>
          </w:p>
        </w:tc>
        <w:tc>
          <w:tcPr>
            <w:tcW w:w="1120" w:type="dxa"/>
            <w:vAlign w:val="bottom"/>
            <w:tcBorders>
              <w:bottom w:val="single" w:sz="8" w:color="auto"/>
            </w:tcBorders>
            <w:shd w:val="clear" w:color="auto" w:fill="2AD2C8"/>
          </w:tcPr>
          <w:p>
            <w:pPr>
              <w:ind w:left="360"/>
              <w:spacing w:after="0"/>
              <w:rPr>
                <w:sz w:val="20"/>
                <w:szCs w:val="20"/>
                <w:color w:val="auto"/>
              </w:rPr>
            </w:pPr>
            <w:r>
              <w:rPr>
                <w:rFonts w:ascii="Arial" w:cs="Arial" w:eastAsia="Arial" w:hAnsi="Arial"/>
                <w:sz w:val="14"/>
                <w:szCs w:val="14"/>
                <w:b w:val="1"/>
                <w:bCs w:val="1"/>
                <w:color w:val="FFFFFF"/>
              </w:rPr>
              <w:t>1Q24</w:t>
            </w:r>
          </w:p>
        </w:tc>
        <w:tc>
          <w:tcPr>
            <w:tcW w:w="124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4"/>
                <w:szCs w:val="14"/>
                <w:b w:val="1"/>
                <w:bCs w:val="1"/>
                <w:color w:val="FFFFFF"/>
              </w:rPr>
              <w:t>4Q24</w:t>
            </w:r>
          </w:p>
        </w:tc>
        <w:tc>
          <w:tcPr>
            <w:tcW w:w="114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4"/>
                <w:szCs w:val="14"/>
                <w:b w:val="1"/>
                <w:bCs w:val="1"/>
                <w:color w:val="FFFFFF"/>
              </w:rPr>
              <w:t>1Q25</w:t>
            </w:r>
          </w:p>
        </w:tc>
        <w:tc>
          <w:tcPr>
            <w:tcW w:w="1380" w:type="dxa"/>
            <w:vAlign w:val="bottom"/>
            <w:tcBorders>
              <w:bottom w:val="single" w:sz="8" w:color="auto"/>
            </w:tcBorders>
            <w:shd w:val="clear" w:color="auto" w:fill="2AD2C8"/>
          </w:tcPr>
          <w:p>
            <w:pPr>
              <w:ind w:left="380"/>
              <w:spacing w:after="0"/>
              <w:rPr>
                <w:sz w:val="20"/>
                <w:szCs w:val="20"/>
                <w:color w:val="auto"/>
              </w:rPr>
            </w:pPr>
            <w:r>
              <w:rPr>
                <w:rFonts w:ascii="Arial" w:cs="Arial" w:eastAsia="Arial" w:hAnsi="Arial"/>
                <w:sz w:val="14"/>
                <w:szCs w:val="14"/>
                <w:b w:val="1"/>
                <w:bCs w:val="1"/>
                <w:color w:val="FFFFFF"/>
              </w:rPr>
              <w:t>QoQ</w:t>
            </w:r>
          </w:p>
        </w:tc>
        <w:tc>
          <w:tcPr>
            <w:tcW w:w="720" w:type="dxa"/>
            <w:vAlign w:val="bottom"/>
            <w:tcBorders>
              <w:bottom w:val="single" w:sz="8" w:color="auto"/>
              <w:right w:val="single" w:sz="8" w:color="auto"/>
            </w:tcBorders>
            <w:shd w:val="clear" w:color="auto" w:fill="2AD2C8"/>
          </w:tcPr>
          <w:p>
            <w:pPr>
              <w:ind w:left="100"/>
              <w:spacing w:after="0"/>
              <w:rPr>
                <w:sz w:val="20"/>
                <w:szCs w:val="20"/>
                <w:color w:val="auto"/>
              </w:rPr>
            </w:pPr>
            <w:r>
              <w:rPr>
                <w:rFonts w:ascii="Arial" w:cs="Arial" w:eastAsia="Arial" w:hAnsi="Arial"/>
                <w:sz w:val="14"/>
                <w:szCs w:val="14"/>
                <w:b w:val="1"/>
                <w:bCs w:val="1"/>
                <w:color w:val="FFFFFF"/>
              </w:rPr>
              <w:t>YoY</w:t>
            </w:r>
          </w:p>
        </w:tc>
      </w:tr>
      <w:tr>
        <w:trPr>
          <w:trHeight w:val="160"/>
        </w:trPr>
        <w:tc>
          <w:tcPr>
            <w:tcW w:w="450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IT expenses and IT third-party services</w:t>
            </w:r>
          </w:p>
        </w:tc>
        <w:tc>
          <w:tcPr>
            <w:tcW w:w="1120" w:type="dxa"/>
            <w:vAlign w:val="bottom"/>
          </w:tcPr>
          <w:p>
            <w:pPr>
              <w:jc w:val="center"/>
              <w:spacing w:after="0" w:line="160" w:lineRule="exact"/>
              <w:rPr>
                <w:sz w:val="20"/>
                <w:szCs w:val="20"/>
                <w:color w:val="auto"/>
              </w:rPr>
            </w:pPr>
            <w:r>
              <w:rPr>
                <w:rFonts w:ascii="Arial" w:cs="Arial" w:eastAsia="Arial" w:hAnsi="Arial"/>
                <w:sz w:val="14"/>
                <w:szCs w:val="14"/>
                <w:color w:val="auto"/>
              </w:rPr>
              <w:t>282,905</w:t>
            </w:r>
          </w:p>
        </w:tc>
        <w:tc>
          <w:tcPr>
            <w:tcW w:w="1240" w:type="dxa"/>
            <w:vAlign w:val="bottom"/>
          </w:tcPr>
          <w:p>
            <w:pPr>
              <w:jc w:val="center"/>
              <w:spacing w:after="0" w:line="160" w:lineRule="exact"/>
              <w:rPr>
                <w:sz w:val="20"/>
                <w:szCs w:val="20"/>
                <w:color w:val="auto"/>
              </w:rPr>
            </w:pPr>
            <w:r>
              <w:rPr>
                <w:rFonts w:ascii="Arial" w:cs="Arial" w:eastAsia="Arial" w:hAnsi="Arial"/>
                <w:sz w:val="14"/>
                <w:szCs w:val="14"/>
                <w:color w:val="auto"/>
              </w:rPr>
              <w:t>386,150</w:t>
            </w:r>
          </w:p>
        </w:tc>
        <w:tc>
          <w:tcPr>
            <w:tcW w:w="114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4"/>
                <w:szCs w:val="14"/>
                <w:color w:val="auto"/>
              </w:rPr>
              <w:t>302,029</w:t>
            </w:r>
          </w:p>
        </w:tc>
        <w:tc>
          <w:tcPr>
            <w:tcW w:w="1380" w:type="dxa"/>
            <w:vAlign w:val="bottom"/>
          </w:tcPr>
          <w:p>
            <w:pPr>
              <w:jc w:val="center"/>
              <w:ind w:right="148"/>
              <w:spacing w:after="0" w:line="160" w:lineRule="exact"/>
              <w:rPr>
                <w:sz w:val="20"/>
                <w:szCs w:val="20"/>
                <w:color w:val="auto"/>
              </w:rPr>
            </w:pPr>
            <w:r>
              <w:rPr>
                <w:rFonts w:ascii="Arial" w:cs="Arial" w:eastAsia="Arial" w:hAnsi="Arial"/>
                <w:sz w:val="14"/>
                <w:szCs w:val="14"/>
                <w:color w:val="auto"/>
                <w:w w:val="99"/>
              </w:rPr>
              <w:t>-21.8%</w:t>
            </w:r>
          </w:p>
        </w:tc>
        <w:tc>
          <w:tcPr>
            <w:tcW w:w="720" w:type="dxa"/>
            <w:vAlign w:val="bottom"/>
            <w:tcBorders>
              <w:right w:val="single" w:sz="8" w:color="auto"/>
            </w:tcBorders>
          </w:tcPr>
          <w:p>
            <w:pPr>
              <w:jc w:val="center"/>
              <w:ind w:right="128"/>
              <w:spacing w:after="0" w:line="160" w:lineRule="exact"/>
              <w:rPr>
                <w:sz w:val="20"/>
                <w:szCs w:val="20"/>
                <w:color w:val="auto"/>
              </w:rPr>
            </w:pPr>
            <w:r>
              <w:rPr>
                <w:rFonts w:ascii="Arial" w:cs="Arial" w:eastAsia="Arial" w:hAnsi="Arial"/>
                <w:sz w:val="14"/>
                <w:szCs w:val="14"/>
                <w:color w:val="auto"/>
              </w:rPr>
              <w:t>6.8%</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1120" w:type="dxa"/>
            <w:vAlign w:val="bottom"/>
          </w:tcPr>
          <w:p>
            <w:pPr>
              <w:jc w:val="center"/>
              <w:spacing w:after="0"/>
              <w:rPr>
                <w:sz w:val="20"/>
                <w:szCs w:val="20"/>
                <w:color w:val="auto"/>
              </w:rPr>
            </w:pPr>
            <w:r>
              <w:rPr>
                <w:rFonts w:ascii="Arial" w:cs="Arial" w:eastAsia="Arial" w:hAnsi="Arial"/>
                <w:sz w:val="14"/>
                <w:szCs w:val="14"/>
                <w:color w:val="auto"/>
              </w:rPr>
              <w:t>57,734</w:t>
            </w:r>
          </w:p>
        </w:tc>
        <w:tc>
          <w:tcPr>
            <w:tcW w:w="1240" w:type="dxa"/>
            <w:vAlign w:val="bottom"/>
          </w:tcPr>
          <w:p>
            <w:pPr>
              <w:jc w:val="center"/>
              <w:spacing w:after="0"/>
              <w:rPr>
                <w:sz w:val="20"/>
                <w:szCs w:val="20"/>
                <w:color w:val="auto"/>
              </w:rPr>
            </w:pPr>
            <w:r>
              <w:rPr>
                <w:rFonts w:ascii="Arial" w:cs="Arial" w:eastAsia="Arial" w:hAnsi="Arial"/>
                <w:sz w:val="14"/>
                <w:szCs w:val="14"/>
                <w:color w:val="auto"/>
              </w:rPr>
              <w:t>163,897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85,390</w:t>
            </w:r>
          </w:p>
        </w:tc>
        <w:tc>
          <w:tcPr>
            <w:tcW w:w="1380" w:type="dxa"/>
            <w:vAlign w:val="bottom"/>
          </w:tcPr>
          <w:p>
            <w:pPr>
              <w:jc w:val="center"/>
              <w:ind w:right="148"/>
              <w:spacing w:after="0"/>
              <w:rPr>
                <w:sz w:val="20"/>
                <w:szCs w:val="20"/>
                <w:color w:val="auto"/>
              </w:rPr>
            </w:pPr>
            <w:r>
              <w:rPr>
                <w:rFonts w:ascii="Arial" w:cs="Arial" w:eastAsia="Arial" w:hAnsi="Arial"/>
                <w:sz w:val="14"/>
                <w:szCs w:val="14"/>
                <w:color w:val="auto"/>
                <w:w w:val="99"/>
              </w:rPr>
              <w:t>-47.9%</w:t>
            </w:r>
          </w:p>
        </w:tc>
        <w:tc>
          <w:tcPr>
            <w:tcW w:w="72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47.9%</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Taxes and contributions</w:t>
            </w:r>
          </w:p>
        </w:tc>
        <w:tc>
          <w:tcPr>
            <w:tcW w:w="1120" w:type="dxa"/>
            <w:vAlign w:val="bottom"/>
          </w:tcPr>
          <w:p>
            <w:pPr>
              <w:jc w:val="center"/>
              <w:spacing w:after="0"/>
              <w:rPr>
                <w:sz w:val="20"/>
                <w:szCs w:val="20"/>
                <w:color w:val="auto"/>
              </w:rPr>
            </w:pPr>
            <w:r>
              <w:rPr>
                <w:rFonts w:ascii="Arial" w:cs="Arial" w:eastAsia="Arial" w:hAnsi="Arial"/>
                <w:sz w:val="14"/>
                <w:szCs w:val="14"/>
                <w:color w:val="auto"/>
              </w:rPr>
              <w:t>92,887</w:t>
            </w:r>
          </w:p>
        </w:tc>
        <w:tc>
          <w:tcPr>
            <w:tcW w:w="1240" w:type="dxa"/>
            <w:vAlign w:val="bottom"/>
          </w:tcPr>
          <w:p>
            <w:pPr>
              <w:jc w:val="center"/>
              <w:spacing w:after="0"/>
              <w:rPr>
                <w:sz w:val="20"/>
                <w:szCs w:val="20"/>
                <w:color w:val="auto"/>
              </w:rPr>
            </w:pPr>
            <w:r>
              <w:rPr>
                <w:rFonts w:ascii="Arial" w:cs="Arial" w:eastAsia="Arial" w:hAnsi="Arial"/>
                <w:sz w:val="14"/>
                <w:szCs w:val="14"/>
                <w:color w:val="auto"/>
              </w:rPr>
              <w:t>105,296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83,347</w:t>
            </w:r>
          </w:p>
        </w:tc>
        <w:tc>
          <w:tcPr>
            <w:tcW w:w="1380" w:type="dxa"/>
            <w:vAlign w:val="bottom"/>
          </w:tcPr>
          <w:p>
            <w:pPr>
              <w:jc w:val="center"/>
              <w:ind w:right="148"/>
              <w:spacing w:after="0"/>
              <w:rPr>
                <w:sz w:val="20"/>
                <w:szCs w:val="20"/>
                <w:color w:val="auto"/>
              </w:rPr>
            </w:pPr>
            <w:r>
              <w:rPr>
                <w:rFonts w:ascii="Arial" w:cs="Arial" w:eastAsia="Arial" w:hAnsi="Arial"/>
                <w:sz w:val="14"/>
                <w:szCs w:val="14"/>
                <w:color w:val="auto"/>
                <w:w w:val="99"/>
              </w:rPr>
              <w:t>-20.8%</w:t>
            </w:r>
          </w:p>
        </w:tc>
        <w:tc>
          <w:tcPr>
            <w:tcW w:w="72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w w:val="99"/>
              </w:rPr>
              <w:t>-10.3%</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Audit Services, Consulting and professional fees</w:t>
            </w:r>
          </w:p>
        </w:tc>
        <w:tc>
          <w:tcPr>
            <w:tcW w:w="1120" w:type="dxa"/>
            <w:vAlign w:val="bottom"/>
          </w:tcPr>
          <w:p>
            <w:pPr>
              <w:jc w:val="center"/>
              <w:spacing w:after="0"/>
              <w:rPr>
                <w:sz w:val="20"/>
                <w:szCs w:val="20"/>
                <w:color w:val="auto"/>
              </w:rPr>
            </w:pPr>
            <w:r>
              <w:rPr>
                <w:rFonts w:ascii="Arial" w:cs="Arial" w:eastAsia="Arial" w:hAnsi="Arial"/>
                <w:sz w:val="14"/>
                <w:szCs w:val="14"/>
                <w:color w:val="auto"/>
              </w:rPr>
              <w:t>58,992</w:t>
            </w:r>
          </w:p>
        </w:tc>
        <w:tc>
          <w:tcPr>
            <w:tcW w:w="1240" w:type="dxa"/>
            <w:vAlign w:val="bottom"/>
          </w:tcPr>
          <w:p>
            <w:pPr>
              <w:jc w:val="center"/>
              <w:spacing w:after="0"/>
              <w:rPr>
                <w:sz w:val="20"/>
                <w:szCs w:val="20"/>
                <w:color w:val="auto"/>
              </w:rPr>
            </w:pPr>
            <w:r>
              <w:rPr>
                <w:rFonts w:ascii="Arial" w:cs="Arial" w:eastAsia="Arial" w:hAnsi="Arial"/>
                <w:sz w:val="14"/>
                <w:szCs w:val="14"/>
                <w:color w:val="auto"/>
              </w:rPr>
              <w:t>171,101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71,072</w:t>
            </w:r>
          </w:p>
        </w:tc>
        <w:tc>
          <w:tcPr>
            <w:tcW w:w="1380" w:type="dxa"/>
            <w:vAlign w:val="bottom"/>
          </w:tcPr>
          <w:p>
            <w:pPr>
              <w:jc w:val="center"/>
              <w:ind w:right="148"/>
              <w:spacing w:after="0"/>
              <w:rPr>
                <w:sz w:val="20"/>
                <w:szCs w:val="20"/>
                <w:color w:val="auto"/>
              </w:rPr>
            </w:pPr>
            <w:r>
              <w:rPr>
                <w:rFonts w:ascii="Arial" w:cs="Arial" w:eastAsia="Arial" w:hAnsi="Arial"/>
                <w:sz w:val="14"/>
                <w:szCs w:val="14"/>
                <w:color w:val="auto"/>
                <w:w w:val="99"/>
              </w:rPr>
              <w:t>-58.5%</w:t>
            </w:r>
          </w:p>
        </w:tc>
        <w:tc>
          <w:tcPr>
            <w:tcW w:w="72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20.5%</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Transport and communications</w:t>
            </w:r>
          </w:p>
        </w:tc>
        <w:tc>
          <w:tcPr>
            <w:tcW w:w="1120" w:type="dxa"/>
            <w:vAlign w:val="bottom"/>
          </w:tcPr>
          <w:p>
            <w:pPr>
              <w:jc w:val="center"/>
              <w:spacing w:after="0"/>
              <w:rPr>
                <w:sz w:val="20"/>
                <w:szCs w:val="20"/>
                <w:color w:val="auto"/>
              </w:rPr>
            </w:pPr>
            <w:r>
              <w:rPr>
                <w:rFonts w:ascii="Arial" w:cs="Arial" w:eastAsia="Arial" w:hAnsi="Arial"/>
                <w:sz w:val="14"/>
                <w:szCs w:val="14"/>
                <w:color w:val="auto"/>
              </w:rPr>
              <w:t>54,064</w:t>
            </w:r>
          </w:p>
        </w:tc>
        <w:tc>
          <w:tcPr>
            <w:tcW w:w="1240" w:type="dxa"/>
            <w:vAlign w:val="bottom"/>
          </w:tcPr>
          <w:p>
            <w:pPr>
              <w:jc w:val="center"/>
              <w:spacing w:after="0"/>
              <w:rPr>
                <w:sz w:val="20"/>
                <w:szCs w:val="20"/>
                <w:color w:val="auto"/>
              </w:rPr>
            </w:pPr>
            <w:r>
              <w:rPr>
                <w:rFonts w:ascii="Arial" w:cs="Arial" w:eastAsia="Arial" w:hAnsi="Arial"/>
                <w:sz w:val="14"/>
                <w:szCs w:val="14"/>
                <w:color w:val="auto"/>
              </w:rPr>
              <w:t>67,398</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52,810</w:t>
            </w:r>
          </w:p>
        </w:tc>
        <w:tc>
          <w:tcPr>
            <w:tcW w:w="1380" w:type="dxa"/>
            <w:vAlign w:val="bottom"/>
          </w:tcPr>
          <w:p>
            <w:pPr>
              <w:jc w:val="center"/>
              <w:ind w:right="148"/>
              <w:spacing w:after="0"/>
              <w:rPr>
                <w:sz w:val="20"/>
                <w:szCs w:val="20"/>
                <w:color w:val="auto"/>
              </w:rPr>
            </w:pPr>
            <w:r>
              <w:rPr>
                <w:rFonts w:ascii="Arial" w:cs="Arial" w:eastAsia="Arial" w:hAnsi="Arial"/>
                <w:sz w:val="14"/>
                <w:szCs w:val="14"/>
                <w:color w:val="auto"/>
                <w:w w:val="99"/>
              </w:rPr>
              <w:t>-21.6%</w:t>
            </w:r>
          </w:p>
        </w:tc>
        <w:tc>
          <w:tcPr>
            <w:tcW w:w="720" w:type="dxa"/>
            <w:vAlign w:val="bottom"/>
            <w:tcBorders>
              <w:right w:val="single" w:sz="8" w:color="auto"/>
            </w:tcBorders>
          </w:tcPr>
          <w:p>
            <w:pPr>
              <w:jc w:val="center"/>
              <w:ind w:right="148"/>
              <w:spacing w:after="0"/>
              <w:rPr>
                <w:sz w:val="20"/>
                <w:szCs w:val="20"/>
                <w:color w:val="auto"/>
              </w:rPr>
            </w:pPr>
            <w:r>
              <w:rPr>
                <w:rFonts w:ascii="Arial" w:cs="Arial" w:eastAsia="Arial" w:hAnsi="Arial"/>
                <w:sz w:val="14"/>
                <w:szCs w:val="14"/>
                <w:color w:val="auto"/>
              </w:rPr>
              <w:t>-2.3%</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Repair and maintenance</w:t>
            </w:r>
          </w:p>
        </w:tc>
        <w:tc>
          <w:tcPr>
            <w:tcW w:w="1120" w:type="dxa"/>
            <w:vAlign w:val="bottom"/>
          </w:tcPr>
          <w:p>
            <w:pPr>
              <w:jc w:val="center"/>
              <w:spacing w:after="0"/>
              <w:rPr>
                <w:sz w:val="20"/>
                <w:szCs w:val="20"/>
                <w:color w:val="auto"/>
              </w:rPr>
            </w:pPr>
            <w:r>
              <w:rPr>
                <w:rFonts w:ascii="Arial" w:cs="Arial" w:eastAsia="Arial" w:hAnsi="Arial"/>
                <w:sz w:val="14"/>
                <w:szCs w:val="14"/>
                <w:color w:val="auto"/>
              </w:rPr>
              <w:t>32,638</w:t>
            </w:r>
          </w:p>
        </w:tc>
        <w:tc>
          <w:tcPr>
            <w:tcW w:w="1240" w:type="dxa"/>
            <w:vAlign w:val="bottom"/>
          </w:tcPr>
          <w:p>
            <w:pPr>
              <w:jc w:val="center"/>
              <w:spacing w:after="0"/>
              <w:rPr>
                <w:sz w:val="20"/>
                <w:szCs w:val="20"/>
                <w:color w:val="auto"/>
              </w:rPr>
            </w:pPr>
            <w:r>
              <w:rPr>
                <w:rFonts w:ascii="Arial" w:cs="Arial" w:eastAsia="Arial" w:hAnsi="Arial"/>
                <w:sz w:val="14"/>
                <w:szCs w:val="14"/>
                <w:color w:val="auto"/>
              </w:rPr>
              <w:t>50,981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31,635</w:t>
            </w:r>
          </w:p>
        </w:tc>
        <w:tc>
          <w:tcPr>
            <w:tcW w:w="1380" w:type="dxa"/>
            <w:vAlign w:val="bottom"/>
          </w:tcPr>
          <w:p>
            <w:pPr>
              <w:jc w:val="center"/>
              <w:ind w:right="148"/>
              <w:spacing w:after="0"/>
              <w:rPr>
                <w:sz w:val="20"/>
                <w:szCs w:val="20"/>
                <w:color w:val="auto"/>
              </w:rPr>
            </w:pPr>
            <w:r>
              <w:rPr>
                <w:rFonts w:ascii="Arial" w:cs="Arial" w:eastAsia="Arial" w:hAnsi="Arial"/>
                <w:sz w:val="14"/>
                <w:szCs w:val="14"/>
                <w:color w:val="auto"/>
                <w:w w:val="99"/>
              </w:rPr>
              <w:t>-37.9%</w:t>
            </w:r>
          </w:p>
        </w:tc>
        <w:tc>
          <w:tcPr>
            <w:tcW w:w="720" w:type="dxa"/>
            <w:vAlign w:val="bottom"/>
            <w:tcBorders>
              <w:right w:val="single" w:sz="8" w:color="auto"/>
            </w:tcBorders>
          </w:tcPr>
          <w:p>
            <w:pPr>
              <w:jc w:val="center"/>
              <w:ind w:right="148"/>
              <w:spacing w:after="0"/>
              <w:rPr>
                <w:sz w:val="20"/>
                <w:szCs w:val="20"/>
                <w:color w:val="auto"/>
              </w:rPr>
            </w:pPr>
            <w:r>
              <w:rPr>
                <w:rFonts w:ascii="Arial" w:cs="Arial" w:eastAsia="Arial" w:hAnsi="Arial"/>
                <w:sz w:val="14"/>
                <w:szCs w:val="14"/>
                <w:color w:val="auto"/>
              </w:rPr>
              <w:t>-3.1%</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Agents’ Fees</w:t>
            </w:r>
          </w:p>
        </w:tc>
        <w:tc>
          <w:tcPr>
            <w:tcW w:w="1120" w:type="dxa"/>
            <w:vAlign w:val="bottom"/>
          </w:tcPr>
          <w:p>
            <w:pPr>
              <w:jc w:val="center"/>
              <w:spacing w:after="0"/>
              <w:rPr>
                <w:sz w:val="20"/>
                <w:szCs w:val="20"/>
                <w:color w:val="auto"/>
              </w:rPr>
            </w:pPr>
            <w:r>
              <w:rPr>
                <w:rFonts w:ascii="Arial" w:cs="Arial" w:eastAsia="Arial" w:hAnsi="Arial"/>
                <w:sz w:val="14"/>
                <w:szCs w:val="14"/>
                <w:color w:val="auto"/>
              </w:rPr>
              <w:t>27,388</w:t>
            </w:r>
          </w:p>
        </w:tc>
        <w:tc>
          <w:tcPr>
            <w:tcW w:w="1240" w:type="dxa"/>
            <w:vAlign w:val="bottom"/>
          </w:tcPr>
          <w:p>
            <w:pPr>
              <w:jc w:val="center"/>
              <w:spacing w:after="0"/>
              <w:rPr>
                <w:sz w:val="20"/>
                <w:szCs w:val="20"/>
                <w:color w:val="auto"/>
              </w:rPr>
            </w:pPr>
            <w:r>
              <w:rPr>
                <w:rFonts w:ascii="Arial" w:cs="Arial" w:eastAsia="Arial" w:hAnsi="Arial"/>
                <w:sz w:val="14"/>
                <w:szCs w:val="14"/>
                <w:color w:val="auto"/>
              </w:rPr>
              <w:t>31,436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26,102</w:t>
            </w:r>
          </w:p>
        </w:tc>
        <w:tc>
          <w:tcPr>
            <w:tcW w:w="1380" w:type="dxa"/>
            <w:vAlign w:val="bottom"/>
          </w:tcPr>
          <w:p>
            <w:pPr>
              <w:jc w:val="center"/>
              <w:ind w:right="148"/>
              <w:spacing w:after="0"/>
              <w:rPr>
                <w:sz w:val="20"/>
                <w:szCs w:val="20"/>
                <w:color w:val="auto"/>
              </w:rPr>
            </w:pPr>
            <w:r>
              <w:rPr>
                <w:rFonts w:ascii="Arial" w:cs="Arial" w:eastAsia="Arial" w:hAnsi="Arial"/>
                <w:sz w:val="14"/>
                <w:szCs w:val="14"/>
                <w:color w:val="auto"/>
                <w:w w:val="99"/>
              </w:rPr>
              <w:t>-17.0%</w:t>
            </w:r>
          </w:p>
        </w:tc>
        <w:tc>
          <w:tcPr>
            <w:tcW w:w="720" w:type="dxa"/>
            <w:vAlign w:val="bottom"/>
            <w:tcBorders>
              <w:right w:val="single" w:sz="8" w:color="auto"/>
            </w:tcBorders>
          </w:tcPr>
          <w:p>
            <w:pPr>
              <w:jc w:val="center"/>
              <w:ind w:right="148"/>
              <w:spacing w:after="0"/>
              <w:rPr>
                <w:sz w:val="20"/>
                <w:szCs w:val="20"/>
                <w:color w:val="auto"/>
              </w:rPr>
            </w:pPr>
            <w:r>
              <w:rPr>
                <w:rFonts w:ascii="Arial" w:cs="Arial" w:eastAsia="Arial" w:hAnsi="Arial"/>
                <w:sz w:val="14"/>
                <w:szCs w:val="14"/>
                <w:color w:val="auto"/>
              </w:rPr>
              <w:t>-4.7%</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Services by third-party</w:t>
            </w:r>
          </w:p>
        </w:tc>
        <w:tc>
          <w:tcPr>
            <w:tcW w:w="1120" w:type="dxa"/>
            <w:vAlign w:val="bottom"/>
          </w:tcPr>
          <w:p>
            <w:pPr>
              <w:jc w:val="center"/>
              <w:spacing w:after="0"/>
              <w:rPr>
                <w:sz w:val="20"/>
                <w:szCs w:val="20"/>
                <w:color w:val="auto"/>
              </w:rPr>
            </w:pPr>
            <w:r>
              <w:rPr>
                <w:rFonts w:ascii="Arial" w:cs="Arial" w:eastAsia="Arial" w:hAnsi="Arial"/>
                <w:sz w:val="14"/>
                <w:szCs w:val="14"/>
                <w:color w:val="auto"/>
              </w:rPr>
              <w:t>28,415</w:t>
            </w:r>
          </w:p>
        </w:tc>
        <w:tc>
          <w:tcPr>
            <w:tcW w:w="1240" w:type="dxa"/>
            <w:vAlign w:val="bottom"/>
          </w:tcPr>
          <w:p>
            <w:pPr>
              <w:jc w:val="center"/>
              <w:spacing w:after="0"/>
              <w:rPr>
                <w:sz w:val="20"/>
                <w:szCs w:val="20"/>
                <w:color w:val="auto"/>
              </w:rPr>
            </w:pPr>
            <w:r>
              <w:rPr>
                <w:rFonts w:ascii="Arial" w:cs="Arial" w:eastAsia="Arial" w:hAnsi="Arial"/>
                <w:sz w:val="14"/>
                <w:szCs w:val="14"/>
                <w:color w:val="auto"/>
              </w:rPr>
              <w:t>6,220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21,436</w:t>
            </w:r>
          </w:p>
        </w:tc>
        <w:tc>
          <w:tcPr>
            <w:tcW w:w="1380" w:type="dxa"/>
            <w:vAlign w:val="bottom"/>
          </w:tcPr>
          <w:p>
            <w:pPr>
              <w:jc w:val="center"/>
              <w:ind w:right="128"/>
              <w:spacing w:after="0"/>
              <w:rPr>
                <w:sz w:val="20"/>
                <w:szCs w:val="20"/>
                <w:color w:val="auto"/>
              </w:rPr>
            </w:pPr>
            <w:r>
              <w:rPr>
                <w:rFonts w:ascii="Arial" w:cs="Arial" w:eastAsia="Arial" w:hAnsi="Arial"/>
                <w:sz w:val="14"/>
                <w:szCs w:val="14"/>
                <w:color w:val="auto"/>
              </w:rPr>
              <w:t>244.6%</w:t>
            </w:r>
          </w:p>
        </w:tc>
        <w:tc>
          <w:tcPr>
            <w:tcW w:w="72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w w:val="99"/>
              </w:rPr>
              <w:t>-24.6%</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Leases of low value and short-term</w:t>
            </w:r>
          </w:p>
        </w:tc>
        <w:tc>
          <w:tcPr>
            <w:tcW w:w="1120" w:type="dxa"/>
            <w:vAlign w:val="bottom"/>
          </w:tcPr>
          <w:p>
            <w:pPr>
              <w:jc w:val="center"/>
              <w:spacing w:after="0"/>
              <w:rPr>
                <w:sz w:val="20"/>
                <w:szCs w:val="20"/>
                <w:color w:val="auto"/>
              </w:rPr>
            </w:pPr>
            <w:r>
              <w:rPr>
                <w:rFonts w:ascii="Arial" w:cs="Arial" w:eastAsia="Arial" w:hAnsi="Arial"/>
                <w:sz w:val="14"/>
                <w:szCs w:val="14"/>
                <w:color w:val="auto"/>
              </w:rPr>
              <w:t>30,465</w:t>
            </w:r>
          </w:p>
        </w:tc>
        <w:tc>
          <w:tcPr>
            <w:tcW w:w="1240" w:type="dxa"/>
            <w:vAlign w:val="bottom"/>
          </w:tcPr>
          <w:p>
            <w:pPr>
              <w:jc w:val="center"/>
              <w:spacing w:after="0"/>
              <w:rPr>
                <w:sz w:val="20"/>
                <w:szCs w:val="20"/>
                <w:color w:val="auto"/>
              </w:rPr>
            </w:pPr>
            <w:r>
              <w:rPr>
                <w:rFonts w:ascii="Arial" w:cs="Arial" w:eastAsia="Arial" w:hAnsi="Arial"/>
                <w:sz w:val="14"/>
                <w:szCs w:val="14"/>
                <w:color w:val="auto"/>
              </w:rPr>
              <w:t>36,936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33,177</w:t>
            </w:r>
          </w:p>
        </w:tc>
        <w:tc>
          <w:tcPr>
            <w:tcW w:w="1380" w:type="dxa"/>
            <w:vAlign w:val="bottom"/>
          </w:tcPr>
          <w:p>
            <w:pPr>
              <w:jc w:val="center"/>
              <w:ind w:right="148"/>
              <w:spacing w:after="0"/>
              <w:rPr>
                <w:sz w:val="20"/>
                <w:szCs w:val="20"/>
                <w:color w:val="auto"/>
              </w:rPr>
            </w:pPr>
            <w:r>
              <w:rPr>
                <w:rFonts w:ascii="Arial" w:cs="Arial" w:eastAsia="Arial" w:hAnsi="Arial"/>
                <w:sz w:val="14"/>
                <w:szCs w:val="14"/>
                <w:color w:val="auto"/>
                <w:w w:val="99"/>
              </w:rPr>
              <w:t>-10.2%</w:t>
            </w:r>
          </w:p>
        </w:tc>
        <w:tc>
          <w:tcPr>
            <w:tcW w:w="72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8.9%</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Miscellaneous supplies</w:t>
            </w:r>
          </w:p>
        </w:tc>
        <w:tc>
          <w:tcPr>
            <w:tcW w:w="1120" w:type="dxa"/>
            <w:vAlign w:val="bottom"/>
          </w:tcPr>
          <w:p>
            <w:pPr>
              <w:jc w:val="center"/>
              <w:spacing w:after="0"/>
              <w:rPr>
                <w:sz w:val="20"/>
                <w:szCs w:val="20"/>
                <w:color w:val="auto"/>
              </w:rPr>
            </w:pPr>
            <w:r>
              <w:rPr>
                <w:rFonts w:ascii="Arial" w:cs="Arial" w:eastAsia="Arial" w:hAnsi="Arial"/>
                <w:sz w:val="14"/>
                <w:szCs w:val="14"/>
                <w:color w:val="auto"/>
              </w:rPr>
              <w:t>18,653</w:t>
            </w:r>
          </w:p>
        </w:tc>
        <w:tc>
          <w:tcPr>
            <w:tcW w:w="1240" w:type="dxa"/>
            <w:vAlign w:val="bottom"/>
          </w:tcPr>
          <w:p>
            <w:pPr>
              <w:jc w:val="center"/>
              <w:spacing w:after="0"/>
              <w:rPr>
                <w:sz w:val="20"/>
                <w:szCs w:val="20"/>
                <w:color w:val="auto"/>
              </w:rPr>
            </w:pPr>
            <w:r>
              <w:rPr>
                <w:rFonts w:ascii="Arial" w:cs="Arial" w:eastAsia="Arial" w:hAnsi="Arial"/>
                <w:sz w:val="14"/>
                <w:szCs w:val="14"/>
                <w:color w:val="auto"/>
              </w:rPr>
              <w:t>24,864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19,383</w:t>
            </w:r>
          </w:p>
        </w:tc>
        <w:tc>
          <w:tcPr>
            <w:tcW w:w="1380" w:type="dxa"/>
            <w:vAlign w:val="bottom"/>
          </w:tcPr>
          <w:p>
            <w:pPr>
              <w:jc w:val="center"/>
              <w:ind w:right="148"/>
              <w:spacing w:after="0"/>
              <w:rPr>
                <w:sz w:val="20"/>
                <w:szCs w:val="20"/>
                <w:color w:val="auto"/>
              </w:rPr>
            </w:pPr>
            <w:r>
              <w:rPr>
                <w:rFonts w:ascii="Arial" w:cs="Arial" w:eastAsia="Arial" w:hAnsi="Arial"/>
                <w:sz w:val="14"/>
                <w:szCs w:val="14"/>
                <w:color w:val="auto"/>
                <w:w w:val="99"/>
              </w:rPr>
              <w:t>-22.0%</w:t>
            </w:r>
          </w:p>
        </w:tc>
        <w:tc>
          <w:tcPr>
            <w:tcW w:w="72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3.9%</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Security and protection</w:t>
            </w:r>
          </w:p>
        </w:tc>
        <w:tc>
          <w:tcPr>
            <w:tcW w:w="1120" w:type="dxa"/>
            <w:vAlign w:val="bottom"/>
          </w:tcPr>
          <w:p>
            <w:pPr>
              <w:jc w:val="center"/>
              <w:spacing w:after="0"/>
              <w:rPr>
                <w:sz w:val="20"/>
                <w:szCs w:val="20"/>
                <w:color w:val="auto"/>
              </w:rPr>
            </w:pPr>
            <w:r>
              <w:rPr>
                <w:rFonts w:ascii="Arial" w:cs="Arial" w:eastAsia="Arial" w:hAnsi="Arial"/>
                <w:sz w:val="14"/>
                <w:szCs w:val="14"/>
                <w:color w:val="auto"/>
              </w:rPr>
              <w:t>15,903</w:t>
            </w:r>
          </w:p>
        </w:tc>
        <w:tc>
          <w:tcPr>
            <w:tcW w:w="1240" w:type="dxa"/>
            <w:vAlign w:val="bottom"/>
          </w:tcPr>
          <w:p>
            <w:pPr>
              <w:jc w:val="center"/>
              <w:spacing w:after="0"/>
              <w:rPr>
                <w:sz w:val="20"/>
                <w:szCs w:val="20"/>
                <w:color w:val="auto"/>
              </w:rPr>
            </w:pPr>
            <w:r>
              <w:rPr>
                <w:rFonts w:ascii="Arial" w:cs="Arial" w:eastAsia="Arial" w:hAnsi="Arial"/>
                <w:sz w:val="14"/>
                <w:szCs w:val="14"/>
                <w:color w:val="auto"/>
              </w:rPr>
              <w:t>16,614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16,946</w:t>
            </w:r>
          </w:p>
        </w:tc>
        <w:tc>
          <w:tcPr>
            <w:tcW w:w="1380" w:type="dxa"/>
            <w:vAlign w:val="bottom"/>
          </w:tcPr>
          <w:p>
            <w:pPr>
              <w:jc w:val="center"/>
              <w:ind w:right="128"/>
              <w:spacing w:after="0"/>
              <w:rPr>
                <w:sz w:val="20"/>
                <w:szCs w:val="20"/>
                <w:color w:val="auto"/>
              </w:rPr>
            </w:pPr>
            <w:r>
              <w:rPr>
                <w:rFonts w:ascii="Arial" w:cs="Arial" w:eastAsia="Arial" w:hAnsi="Arial"/>
                <w:sz w:val="14"/>
                <w:szCs w:val="14"/>
                <w:color w:val="auto"/>
              </w:rPr>
              <w:t>2.0%</w:t>
            </w:r>
          </w:p>
        </w:tc>
        <w:tc>
          <w:tcPr>
            <w:tcW w:w="72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6.6%</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Subscriptions and quotes</w:t>
            </w:r>
          </w:p>
        </w:tc>
        <w:tc>
          <w:tcPr>
            <w:tcW w:w="1120" w:type="dxa"/>
            <w:vAlign w:val="bottom"/>
          </w:tcPr>
          <w:p>
            <w:pPr>
              <w:jc w:val="center"/>
              <w:spacing w:after="0"/>
              <w:rPr>
                <w:sz w:val="20"/>
                <w:szCs w:val="20"/>
                <w:color w:val="auto"/>
              </w:rPr>
            </w:pPr>
            <w:r>
              <w:rPr>
                <w:rFonts w:ascii="Arial" w:cs="Arial" w:eastAsia="Arial" w:hAnsi="Arial"/>
                <w:sz w:val="14"/>
                <w:szCs w:val="14"/>
                <w:color w:val="auto"/>
              </w:rPr>
              <w:t>17,172</w:t>
            </w:r>
          </w:p>
        </w:tc>
        <w:tc>
          <w:tcPr>
            <w:tcW w:w="1240" w:type="dxa"/>
            <w:vAlign w:val="bottom"/>
          </w:tcPr>
          <w:p>
            <w:pPr>
              <w:jc w:val="center"/>
              <w:spacing w:after="0"/>
              <w:rPr>
                <w:sz w:val="20"/>
                <w:szCs w:val="20"/>
                <w:color w:val="auto"/>
              </w:rPr>
            </w:pPr>
            <w:r>
              <w:rPr>
                <w:rFonts w:ascii="Arial" w:cs="Arial" w:eastAsia="Arial" w:hAnsi="Arial"/>
                <w:sz w:val="14"/>
                <w:szCs w:val="14"/>
                <w:color w:val="auto"/>
              </w:rPr>
              <w:t>14,261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18,330</w:t>
            </w:r>
          </w:p>
        </w:tc>
        <w:tc>
          <w:tcPr>
            <w:tcW w:w="1380" w:type="dxa"/>
            <w:vAlign w:val="bottom"/>
          </w:tcPr>
          <w:p>
            <w:pPr>
              <w:jc w:val="center"/>
              <w:ind w:right="148"/>
              <w:spacing w:after="0"/>
              <w:rPr>
                <w:sz w:val="20"/>
                <w:szCs w:val="20"/>
                <w:color w:val="auto"/>
              </w:rPr>
            </w:pPr>
            <w:r>
              <w:rPr>
                <w:rFonts w:ascii="Arial" w:cs="Arial" w:eastAsia="Arial" w:hAnsi="Arial"/>
                <w:sz w:val="14"/>
                <w:szCs w:val="14"/>
                <w:color w:val="auto"/>
              </w:rPr>
              <w:t>28.5%</w:t>
            </w:r>
          </w:p>
        </w:tc>
        <w:tc>
          <w:tcPr>
            <w:tcW w:w="72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6.7%</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Electricity and water</w:t>
            </w:r>
          </w:p>
        </w:tc>
        <w:tc>
          <w:tcPr>
            <w:tcW w:w="1120" w:type="dxa"/>
            <w:vAlign w:val="bottom"/>
          </w:tcPr>
          <w:p>
            <w:pPr>
              <w:jc w:val="center"/>
              <w:spacing w:after="0"/>
              <w:rPr>
                <w:sz w:val="20"/>
                <w:szCs w:val="20"/>
                <w:color w:val="auto"/>
              </w:rPr>
            </w:pPr>
            <w:r>
              <w:rPr>
                <w:rFonts w:ascii="Arial" w:cs="Arial" w:eastAsia="Arial" w:hAnsi="Arial"/>
                <w:sz w:val="14"/>
                <w:szCs w:val="14"/>
                <w:color w:val="auto"/>
                <w:w w:val="97"/>
              </w:rPr>
              <w:t>11,736</w:t>
            </w:r>
          </w:p>
        </w:tc>
        <w:tc>
          <w:tcPr>
            <w:tcW w:w="1240" w:type="dxa"/>
            <w:vAlign w:val="bottom"/>
          </w:tcPr>
          <w:p>
            <w:pPr>
              <w:jc w:val="center"/>
              <w:spacing w:after="0"/>
              <w:rPr>
                <w:sz w:val="20"/>
                <w:szCs w:val="20"/>
                <w:color w:val="auto"/>
              </w:rPr>
            </w:pPr>
            <w:r>
              <w:rPr>
                <w:rFonts w:ascii="Arial" w:cs="Arial" w:eastAsia="Arial" w:hAnsi="Arial"/>
                <w:sz w:val="14"/>
                <w:szCs w:val="14"/>
                <w:color w:val="auto"/>
              </w:rPr>
              <w:t>15,053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10,275</w:t>
            </w:r>
          </w:p>
        </w:tc>
        <w:tc>
          <w:tcPr>
            <w:tcW w:w="1380" w:type="dxa"/>
            <w:vAlign w:val="bottom"/>
          </w:tcPr>
          <w:p>
            <w:pPr>
              <w:jc w:val="center"/>
              <w:ind w:right="148"/>
              <w:spacing w:after="0"/>
              <w:rPr>
                <w:sz w:val="20"/>
                <w:szCs w:val="20"/>
                <w:color w:val="auto"/>
              </w:rPr>
            </w:pPr>
            <w:r>
              <w:rPr>
                <w:rFonts w:ascii="Arial" w:cs="Arial" w:eastAsia="Arial" w:hAnsi="Arial"/>
                <w:sz w:val="14"/>
                <w:szCs w:val="14"/>
                <w:color w:val="auto"/>
                <w:w w:val="99"/>
              </w:rPr>
              <w:t>-31.7%</w:t>
            </w:r>
          </w:p>
        </w:tc>
        <w:tc>
          <w:tcPr>
            <w:tcW w:w="72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w w:val="99"/>
              </w:rPr>
              <w:t>-12.4%</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Electronic processing</w:t>
            </w:r>
          </w:p>
        </w:tc>
        <w:tc>
          <w:tcPr>
            <w:tcW w:w="1120" w:type="dxa"/>
            <w:vAlign w:val="bottom"/>
          </w:tcPr>
          <w:p>
            <w:pPr>
              <w:jc w:val="center"/>
              <w:spacing w:after="0"/>
              <w:rPr>
                <w:sz w:val="20"/>
                <w:szCs w:val="20"/>
                <w:color w:val="auto"/>
              </w:rPr>
            </w:pPr>
            <w:r>
              <w:rPr>
                <w:rFonts w:ascii="Arial" w:cs="Arial" w:eastAsia="Arial" w:hAnsi="Arial"/>
                <w:sz w:val="14"/>
                <w:szCs w:val="14"/>
                <w:color w:val="auto"/>
              </w:rPr>
              <w:t>7,748</w:t>
            </w:r>
          </w:p>
        </w:tc>
        <w:tc>
          <w:tcPr>
            <w:tcW w:w="1240" w:type="dxa"/>
            <w:vAlign w:val="bottom"/>
          </w:tcPr>
          <w:p>
            <w:pPr>
              <w:jc w:val="center"/>
              <w:spacing w:after="0"/>
              <w:rPr>
                <w:sz w:val="20"/>
                <w:szCs w:val="20"/>
                <w:color w:val="auto"/>
              </w:rPr>
            </w:pPr>
            <w:r>
              <w:rPr>
                <w:rFonts w:ascii="Arial" w:cs="Arial" w:eastAsia="Arial" w:hAnsi="Arial"/>
                <w:sz w:val="14"/>
                <w:szCs w:val="14"/>
                <w:color w:val="auto"/>
              </w:rPr>
              <w:t>8,124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7,635</w:t>
            </w:r>
          </w:p>
        </w:tc>
        <w:tc>
          <w:tcPr>
            <w:tcW w:w="1380" w:type="dxa"/>
            <w:vAlign w:val="bottom"/>
          </w:tcPr>
          <w:p>
            <w:pPr>
              <w:jc w:val="center"/>
              <w:ind w:right="128"/>
              <w:spacing w:after="0"/>
              <w:rPr>
                <w:sz w:val="20"/>
                <w:szCs w:val="20"/>
                <w:color w:val="auto"/>
              </w:rPr>
            </w:pPr>
            <w:r>
              <w:rPr>
                <w:rFonts w:ascii="Arial" w:cs="Arial" w:eastAsia="Arial" w:hAnsi="Arial"/>
                <w:sz w:val="14"/>
                <w:szCs w:val="14"/>
                <w:color w:val="auto"/>
              </w:rPr>
              <w:t>-6.0%</w:t>
            </w:r>
          </w:p>
        </w:tc>
        <w:tc>
          <w:tcPr>
            <w:tcW w:w="720" w:type="dxa"/>
            <w:vAlign w:val="bottom"/>
            <w:tcBorders>
              <w:right w:val="single" w:sz="8" w:color="auto"/>
            </w:tcBorders>
          </w:tcPr>
          <w:p>
            <w:pPr>
              <w:jc w:val="center"/>
              <w:ind w:right="148"/>
              <w:spacing w:after="0"/>
              <w:rPr>
                <w:sz w:val="20"/>
                <w:szCs w:val="20"/>
                <w:color w:val="auto"/>
              </w:rPr>
            </w:pPr>
            <w:r>
              <w:rPr>
                <w:rFonts w:ascii="Arial" w:cs="Arial" w:eastAsia="Arial" w:hAnsi="Arial"/>
                <w:sz w:val="14"/>
                <w:szCs w:val="14"/>
                <w:color w:val="auto"/>
              </w:rPr>
              <w:t>-1.5%</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Insurance</w:t>
            </w:r>
          </w:p>
        </w:tc>
        <w:tc>
          <w:tcPr>
            <w:tcW w:w="1120" w:type="dxa"/>
            <w:vAlign w:val="bottom"/>
          </w:tcPr>
          <w:p>
            <w:pPr>
              <w:jc w:val="center"/>
              <w:spacing w:after="0"/>
              <w:rPr>
                <w:sz w:val="20"/>
                <w:szCs w:val="20"/>
                <w:color w:val="auto"/>
              </w:rPr>
            </w:pPr>
            <w:r>
              <w:rPr>
                <w:rFonts w:ascii="Arial" w:cs="Arial" w:eastAsia="Arial" w:hAnsi="Arial"/>
                <w:sz w:val="14"/>
                <w:szCs w:val="14"/>
                <w:color w:val="auto"/>
              </w:rPr>
              <w:t>5,172</w:t>
            </w:r>
          </w:p>
        </w:tc>
        <w:tc>
          <w:tcPr>
            <w:tcW w:w="1240" w:type="dxa"/>
            <w:vAlign w:val="bottom"/>
          </w:tcPr>
          <w:p>
            <w:pPr>
              <w:jc w:val="center"/>
              <w:spacing w:after="0"/>
              <w:rPr>
                <w:sz w:val="20"/>
                <w:szCs w:val="20"/>
                <w:color w:val="auto"/>
              </w:rPr>
            </w:pPr>
            <w:r>
              <w:rPr>
                <w:rFonts w:ascii="Arial" w:cs="Arial" w:eastAsia="Arial" w:hAnsi="Arial"/>
                <w:sz w:val="14"/>
                <w:szCs w:val="14"/>
                <w:color w:val="auto"/>
              </w:rPr>
              <w:t>14,312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11,719</w:t>
            </w:r>
          </w:p>
        </w:tc>
        <w:tc>
          <w:tcPr>
            <w:tcW w:w="1380" w:type="dxa"/>
            <w:vAlign w:val="bottom"/>
          </w:tcPr>
          <w:p>
            <w:pPr>
              <w:jc w:val="center"/>
              <w:ind w:right="148"/>
              <w:spacing w:after="0"/>
              <w:rPr>
                <w:sz w:val="20"/>
                <w:szCs w:val="20"/>
                <w:color w:val="auto"/>
              </w:rPr>
            </w:pPr>
            <w:r>
              <w:rPr>
                <w:rFonts w:ascii="Arial" w:cs="Arial" w:eastAsia="Arial" w:hAnsi="Arial"/>
                <w:sz w:val="14"/>
                <w:szCs w:val="14"/>
                <w:color w:val="auto"/>
                <w:w w:val="99"/>
              </w:rPr>
              <w:t>-18.1%</w:t>
            </w:r>
          </w:p>
        </w:tc>
        <w:tc>
          <w:tcPr>
            <w:tcW w:w="72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126.6%</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Cleaning</w:t>
            </w:r>
          </w:p>
        </w:tc>
        <w:tc>
          <w:tcPr>
            <w:tcW w:w="1120" w:type="dxa"/>
            <w:vAlign w:val="bottom"/>
          </w:tcPr>
          <w:p>
            <w:pPr>
              <w:jc w:val="center"/>
              <w:spacing w:after="0"/>
              <w:rPr>
                <w:sz w:val="20"/>
                <w:szCs w:val="20"/>
                <w:color w:val="auto"/>
              </w:rPr>
            </w:pPr>
            <w:r>
              <w:rPr>
                <w:rFonts w:ascii="Arial" w:cs="Arial" w:eastAsia="Arial" w:hAnsi="Arial"/>
                <w:sz w:val="14"/>
                <w:szCs w:val="14"/>
                <w:color w:val="auto"/>
              </w:rPr>
              <w:t>5,744</w:t>
            </w:r>
          </w:p>
        </w:tc>
        <w:tc>
          <w:tcPr>
            <w:tcW w:w="1240" w:type="dxa"/>
            <w:vAlign w:val="bottom"/>
          </w:tcPr>
          <w:p>
            <w:pPr>
              <w:jc w:val="center"/>
              <w:spacing w:after="0"/>
              <w:rPr>
                <w:sz w:val="20"/>
                <w:szCs w:val="20"/>
                <w:color w:val="auto"/>
              </w:rPr>
            </w:pPr>
            <w:r>
              <w:rPr>
                <w:rFonts w:ascii="Arial" w:cs="Arial" w:eastAsia="Arial" w:hAnsi="Arial"/>
                <w:sz w:val="14"/>
                <w:szCs w:val="14"/>
                <w:color w:val="auto"/>
              </w:rPr>
              <w:t>8,415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6,558</w:t>
            </w:r>
          </w:p>
        </w:tc>
        <w:tc>
          <w:tcPr>
            <w:tcW w:w="1380" w:type="dxa"/>
            <w:vAlign w:val="bottom"/>
          </w:tcPr>
          <w:p>
            <w:pPr>
              <w:jc w:val="center"/>
              <w:ind w:right="148"/>
              <w:spacing w:after="0"/>
              <w:rPr>
                <w:sz w:val="20"/>
                <w:szCs w:val="20"/>
                <w:color w:val="auto"/>
              </w:rPr>
            </w:pPr>
            <w:r>
              <w:rPr>
                <w:rFonts w:ascii="Arial" w:cs="Arial" w:eastAsia="Arial" w:hAnsi="Arial"/>
                <w:sz w:val="14"/>
                <w:szCs w:val="14"/>
                <w:color w:val="auto"/>
                <w:w w:val="99"/>
              </w:rPr>
              <w:t>-22.1%</w:t>
            </w:r>
          </w:p>
        </w:tc>
        <w:tc>
          <w:tcPr>
            <w:tcW w:w="72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color w:val="auto"/>
              </w:rPr>
              <w:t>14.2%</w:t>
            </w:r>
          </w:p>
        </w:tc>
      </w:tr>
      <w:tr>
        <w:trPr>
          <w:trHeight w:val="171"/>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Others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74,132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29,809</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71,990</w:t>
            </w:r>
          </w:p>
        </w:tc>
        <w:tc>
          <w:tcPr>
            <w:tcW w:w="13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rPr>
              <w:t>141.5%</w:t>
            </w:r>
          </w:p>
        </w:tc>
        <w:tc>
          <w:tcPr>
            <w:tcW w:w="720" w:type="dxa"/>
            <w:vAlign w:val="bottom"/>
            <w:tcBorders>
              <w:bottom w:val="single" w:sz="8" w:color="auto"/>
              <w:right w:val="single" w:sz="8" w:color="auto"/>
            </w:tcBorders>
          </w:tcPr>
          <w:p>
            <w:pPr>
              <w:jc w:val="center"/>
              <w:ind w:right="148"/>
              <w:spacing w:after="0"/>
              <w:rPr>
                <w:sz w:val="20"/>
                <w:szCs w:val="20"/>
                <w:color w:val="auto"/>
              </w:rPr>
            </w:pPr>
            <w:r>
              <w:rPr>
                <w:rFonts w:ascii="Arial" w:cs="Arial" w:eastAsia="Arial" w:hAnsi="Arial"/>
                <w:sz w:val="14"/>
                <w:szCs w:val="14"/>
                <w:color w:val="auto"/>
              </w:rPr>
              <w:t>-2.9%</w:t>
            </w:r>
          </w:p>
        </w:tc>
      </w:tr>
      <w:tr>
        <w:trPr>
          <w:trHeight w:val="169"/>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821,748</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1,150,867</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869,834</w:t>
            </w:r>
          </w:p>
        </w:tc>
        <w:tc>
          <w:tcPr>
            <w:tcW w:w="13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9"/>
              </w:rPr>
              <w:t>-24.4%</w:t>
            </w:r>
          </w:p>
        </w:tc>
        <w:tc>
          <w:tcPr>
            <w:tcW w:w="720" w:type="dxa"/>
            <w:vAlign w:val="bottom"/>
            <w:tcBorders>
              <w:bottom w:val="single" w:sz="8" w:color="auto"/>
              <w:right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5.9%</w:t>
            </w:r>
          </w:p>
        </w:tc>
      </w:tr>
    </w:tbl>
    <w:p>
      <w:pPr>
        <w:spacing w:after="0" w:line="3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1" w:name="page42"/>
    <w:bookmarkEnd w:id="41"/>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08.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YoY, Administrative and General Expenses rose 5.9%. Growth in operating expenses corresponds primarily to BCP Stand-alone, which reported (i) higher expenses for Advertising, and (ii) an increase in IT expenses and system outsourcing.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at Core Business and innovation portfolio</w:t>
      </w:r>
    </w:p>
    <w:p>
      <w:pPr>
        <w:spacing w:after="0" w:line="197" w:lineRule="exact"/>
        <w:rPr>
          <w:sz w:val="20"/>
          <w:szCs w:val="20"/>
          <w:color w:val="auto"/>
        </w:rPr>
      </w:pPr>
    </w:p>
    <w:tbl>
      <w:tblPr>
        <w:tblLayout w:type="fixed"/>
        <w:tblInd w:w="1150" w:type="dxa"/>
        <w:tblCellMar>
          <w:top w:w="0" w:type="dxa"/>
          <w:left w:w="0" w:type="dxa"/>
          <w:bottom w:w="0" w:type="dxa"/>
          <w:right w:w="0" w:type="dxa"/>
        </w:tblCellMar>
      </w:tblPr>
      <w:tr>
        <w:trPr>
          <w:trHeight w:val="257"/>
        </w:trPr>
        <w:tc>
          <w:tcPr>
            <w:tcW w:w="2260" w:type="dxa"/>
            <w:vAlign w:val="bottom"/>
            <w:tcBorders>
              <w:top w:val="single" w:sz="8" w:color="auto"/>
              <w:left w:val="single" w:sz="8" w:color="auto"/>
              <w:right w:val="single" w:sz="8" w:color="auto"/>
            </w:tcBorders>
            <w:shd w:val="clear" w:color="auto" w:fill="2AD2C8"/>
          </w:tcPr>
          <w:p>
            <w:pPr>
              <w:ind w:left="40"/>
              <w:spacing w:after="0" w:line="257" w:lineRule="exact"/>
              <w:rPr>
                <w:sz w:val="20"/>
                <w:szCs w:val="20"/>
                <w:color w:val="auto"/>
              </w:rPr>
            </w:pPr>
            <w:r>
              <w:rPr>
                <w:rFonts w:ascii="Arial" w:cs="Arial" w:eastAsia="Arial" w:hAnsi="Arial"/>
                <w:sz w:val="17"/>
                <w:szCs w:val="17"/>
                <w:b w:val="1"/>
                <w:bCs w:val="1"/>
                <w:color w:val="FFFFFF"/>
              </w:rPr>
              <w:t xml:space="preserve">Operating Expenses </w:t>
            </w:r>
            <w:r>
              <w:rPr>
                <w:rFonts w:ascii="Arial" w:cs="Arial" w:eastAsia="Arial" w:hAnsi="Arial"/>
                <w:sz w:val="28"/>
                <w:szCs w:val="28"/>
                <w:b w:val="1"/>
                <w:bCs w:val="1"/>
                <w:color w:val="FFFFFF"/>
                <w:vertAlign w:val="superscript"/>
              </w:rPr>
              <w:t>(1)</w:t>
            </w:r>
          </w:p>
        </w:tc>
        <w:tc>
          <w:tcPr>
            <w:tcW w:w="1420" w:type="dxa"/>
            <w:vAlign w:val="bottom"/>
            <w:tcBorders>
              <w:top w:val="single" w:sz="8" w:color="auto"/>
            </w:tcBorders>
            <w:shd w:val="clear" w:color="auto" w:fill="2AD2C8"/>
          </w:tcPr>
          <w:p>
            <w:pPr>
              <w:spacing w:after="0"/>
              <w:rPr>
                <w:sz w:val="22"/>
                <w:szCs w:val="22"/>
                <w:color w:val="auto"/>
              </w:rPr>
            </w:pPr>
          </w:p>
        </w:tc>
        <w:tc>
          <w:tcPr>
            <w:tcW w:w="1360" w:type="dxa"/>
            <w:vAlign w:val="bottom"/>
            <w:tcBorders>
              <w:top w:val="single" w:sz="8" w:color="auto"/>
            </w:tcBorders>
            <w:shd w:val="clear" w:color="auto" w:fill="2AD2C8"/>
          </w:tcPr>
          <w:p>
            <w:pPr>
              <w:jc w:val="right"/>
              <w:ind w:right="415"/>
              <w:spacing w:after="0"/>
              <w:rPr>
                <w:sz w:val="20"/>
                <w:szCs w:val="20"/>
                <w:color w:val="auto"/>
              </w:rPr>
            </w:pPr>
            <w:r>
              <w:rPr>
                <w:rFonts w:ascii="Arial" w:cs="Arial" w:eastAsia="Arial" w:hAnsi="Arial"/>
                <w:sz w:val="17"/>
                <w:szCs w:val="17"/>
                <w:b w:val="1"/>
                <w:bCs w:val="1"/>
                <w:color w:val="FFFFFF"/>
              </w:rPr>
              <w:t>Quarter</w:t>
            </w:r>
          </w:p>
        </w:tc>
        <w:tc>
          <w:tcPr>
            <w:tcW w:w="1240" w:type="dxa"/>
            <w:vAlign w:val="bottom"/>
            <w:tcBorders>
              <w:top w:val="single" w:sz="8" w:color="auto"/>
              <w:right w:val="single" w:sz="8" w:color="auto"/>
            </w:tcBorders>
            <w:shd w:val="clear" w:color="auto" w:fill="2AD2C8"/>
          </w:tcPr>
          <w:p>
            <w:pPr>
              <w:spacing w:after="0"/>
              <w:rPr>
                <w:sz w:val="22"/>
                <w:szCs w:val="22"/>
                <w:color w:val="auto"/>
              </w:rPr>
            </w:pPr>
          </w:p>
        </w:tc>
        <w:tc>
          <w:tcPr>
            <w:tcW w:w="940" w:type="dxa"/>
            <w:vAlign w:val="bottom"/>
            <w:tcBorders>
              <w:top w:val="single" w:sz="8" w:color="auto"/>
            </w:tcBorders>
            <w:shd w:val="clear" w:color="auto" w:fill="2AD2C8"/>
          </w:tcPr>
          <w:p>
            <w:pPr>
              <w:spacing w:after="0"/>
              <w:rPr>
                <w:sz w:val="22"/>
                <w:szCs w:val="22"/>
                <w:color w:val="auto"/>
              </w:rPr>
            </w:pPr>
          </w:p>
        </w:tc>
        <w:tc>
          <w:tcPr>
            <w:tcW w:w="1760" w:type="dxa"/>
            <w:vAlign w:val="bottom"/>
            <w:tcBorders>
              <w:top w:val="single" w:sz="8" w:color="auto"/>
              <w:right w:val="single" w:sz="8" w:color="auto"/>
            </w:tcBorders>
            <w:shd w:val="clear" w:color="auto" w:fill="2AD2C8"/>
          </w:tcPr>
          <w:p>
            <w:pPr>
              <w:spacing w:after="0"/>
              <w:rPr>
                <w:sz w:val="20"/>
                <w:szCs w:val="20"/>
                <w:color w:val="auto"/>
              </w:rPr>
            </w:pPr>
            <w:r>
              <w:rPr>
                <w:rFonts w:ascii="Arial" w:cs="Arial" w:eastAsia="Arial" w:hAnsi="Arial"/>
                <w:sz w:val="17"/>
                <w:szCs w:val="17"/>
                <w:b w:val="1"/>
                <w:bCs w:val="1"/>
                <w:color w:val="FFFFFF"/>
              </w:rPr>
              <w:t>% change</w:t>
            </w:r>
          </w:p>
        </w:tc>
        <w:tc>
          <w:tcPr>
            <w:tcW w:w="0" w:type="dxa"/>
            <w:vAlign w:val="bottom"/>
          </w:tcPr>
          <w:p>
            <w:pPr>
              <w:spacing w:after="0"/>
              <w:rPr>
                <w:sz w:val="1"/>
                <w:szCs w:val="1"/>
                <w:color w:val="auto"/>
              </w:rPr>
            </w:pPr>
          </w:p>
        </w:tc>
      </w:tr>
      <w:tr>
        <w:trPr>
          <w:trHeight w:val="256"/>
        </w:trPr>
        <w:tc>
          <w:tcPr>
            <w:tcW w:w="2260" w:type="dxa"/>
            <w:vAlign w:val="bottom"/>
            <w:tcBorders>
              <w:left w:val="single" w:sz="8" w:color="auto"/>
              <w:bottom w:val="single" w:sz="8" w:color="auto"/>
              <w:right w:val="single" w:sz="8" w:color="auto"/>
            </w:tcBorders>
            <w:shd w:val="clear" w:color="auto" w:fill="2AD2C8"/>
          </w:tcPr>
          <w:p>
            <w:pPr>
              <w:ind w:left="40"/>
              <w:spacing w:after="0"/>
              <w:rPr>
                <w:sz w:val="20"/>
                <w:szCs w:val="20"/>
                <w:color w:val="auto"/>
              </w:rPr>
            </w:pPr>
            <w:r>
              <w:rPr>
                <w:rFonts w:ascii="Arial" w:cs="Arial" w:eastAsia="Arial" w:hAnsi="Arial"/>
                <w:sz w:val="17"/>
                <w:szCs w:val="17"/>
                <w:b w:val="1"/>
                <w:bCs w:val="1"/>
                <w:color w:val="FFFFFF"/>
              </w:rPr>
              <w:t>S/ 000</w:t>
            </w:r>
          </w:p>
        </w:tc>
        <w:tc>
          <w:tcPr>
            <w:tcW w:w="1420" w:type="dxa"/>
            <w:vAlign w:val="bottom"/>
            <w:tcBorders>
              <w:bottom w:val="single" w:sz="8" w:color="auto"/>
            </w:tcBorders>
            <w:shd w:val="clear" w:color="auto" w:fill="2AD2C8"/>
          </w:tcPr>
          <w:p>
            <w:pPr>
              <w:jc w:val="right"/>
              <w:ind w:right="475"/>
              <w:spacing w:after="0"/>
              <w:rPr>
                <w:sz w:val="20"/>
                <w:szCs w:val="20"/>
                <w:color w:val="auto"/>
              </w:rPr>
            </w:pPr>
            <w:r>
              <w:rPr>
                <w:rFonts w:ascii="Arial" w:cs="Arial" w:eastAsia="Arial" w:hAnsi="Arial"/>
                <w:sz w:val="17"/>
                <w:szCs w:val="17"/>
                <w:b w:val="1"/>
                <w:bCs w:val="1"/>
                <w:color w:val="FFFFFF"/>
              </w:rPr>
              <w:t>1Q24</w:t>
            </w:r>
          </w:p>
        </w:tc>
        <w:tc>
          <w:tcPr>
            <w:tcW w:w="1360" w:type="dxa"/>
            <w:vAlign w:val="bottom"/>
            <w:tcBorders>
              <w:bottom w:val="single" w:sz="8" w:color="auto"/>
            </w:tcBorders>
            <w:shd w:val="clear" w:color="auto" w:fill="2AD2C8"/>
          </w:tcPr>
          <w:p>
            <w:pPr>
              <w:jc w:val="right"/>
              <w:ind w:right="495"/>
              <w:spacing w:after="0"/>
              <w:rPr>
                <w:sz w:val="20"/>
                <w:szCs w:val="20"/>
                <w:color w:val="auto"/>
              </w:rPr>
            </w:pPr>
            <w:r>
              <w:rPr>
                <w:rFonts w:ascii="Arial" w:cs="Arial" w:eastAsia="Arial" w:hAnsi="Arial"/>
                <w:sz w:val="17"/>
                <w:szCs w:val="17"/>
                <w:b w:val="1"/>
                <w:bCs w:val="1"/>
                <w:color w:val="FFFFFF"/>
              </w:rPr>
              <w:t>4Q24</w:t>
            </w:r>
          </w:p>
        </w:tc>
        <w:tc>
          <w:tcPr>
            <w:tcW w:w="1240" w:type="dxa"/>
            <w:vAlign w:val="bottom"/>
            <w:tcBorders>
              <w:bottom w:val="single" w:sz="8" w:color="auto"/>
              <w:right w:val="single" w:sz="8" w:color="auto"/>
            </w:tcBorders>
            <w:shd w:val="clear" w:color="auto" w:fill="2AD2C8"/>
          </w:tcPr>
          <w:p>
            <w:pPr>
              <w:jc w:val="right"/>
              <w:ind w:right="395"/>
              <w:spacing w:after="0"/>
              <w:rPr>
                <w:sz w:val="20"/>
                <w:szCs w:val="20"/>
                <w:color w:val="auto"/>
              </w:rPr>
            </w:pPr>
            <w:r>
              <w:rPr>
                <w:rFonts w:ascii="Arial" w:cs="Arial" w:eastAsia="Arial" w:hAnsi="Arial"/>
                <w:sz w:val="17"/>
                <w:szCs w:val="17"/>
                <w:b w:val="1"/>
                <w:bCs w:val="1"/>
                <w:color w:val="FFFFFF"/>
              </w:rPr>
              <w:t>1Q25</w:t>
            </w:r>
          </w:p>
        </w:tc>
        <w:tc>
          <w:tcPr>
            <w:tcW w:w="940" w:type="dxa"/>
            <w:vAlign w:val="bottom"/>
            <w:tcBorders>
              <w:bottom w:val="single" w:sz="8" w:color="auto"/>
            </w:tcBorders>
            <w:shd w:val="clear" w:color="auto" w:fill="2AD2C8"/>
          </w:tcPr>
          <w:p>
            <w:pPr>
              <w:jc w:val="center"/>
              <w:ind w:left="295"/>
              <w:spacing w:after="0"/>
              <w:rPr>
                <w:sz w:val="20"/>
                <w:szCs w:val="20"/>
                <w:color w:val="auto"/>
              </w:rPr>
            </w:pPr>
            <w:r>
              <w:rPr>
                <w:rFonts w:ascii="Arial" w:cs="Arial" w:eastAsia="Arial" w:hAnsi="Arial"/>
                <w:sz w:val="17"/>
                <w:szCs w:val="17"/>
                <w:b w:val="1"/>
                <w:bCs w:val="1"/>
                <w:color w:val="FFFFFF"/>
                <w:w w:val="97"/>
              </w:rPr>
              <w:t>QoQ</w:t>
            </w:r>
          </w:p>
        </w:tc>
        <w:tc>
          <w:tcPr>
            <w:tcW w:w="1760" w:type="dxa"/>
            <w:vAlign w:val="bottom"/>
            <w:tcBorders>
              <w:bottom w:val="single" w:sz="8" w:color="auto"/>
              <w:right w:val="single" w:sz="8" w:color="auto"/>
            </w:tcBorders>
            <w:shd w:val="clear" w:color="auto" w:fill="2AD2C8"/>
          </w:tcPr>
          <w:p>
            <w:pPr>
              <w:jc w:val="center"/>
              <w:ind w:left="275"/>
              <w:spacing w:after="0"/>
              <w:rPr>
                <w:sz w:val="20"/>
                <w:szCs w:val="20"/>
                <w:color w:val="auto"/>
              </w:rPr>
            </w:pPr>
            <w:r>
              <w:rPr>
                <w:rFonts w:ascii="Arial" w:cs="Arial" w:eastAsia="Arial" w:hAnsi="Arial"/>
                <w:sz w:val="17"/>
                <w:szCs w:val="17"/>
                <w:b w:val="1"/>
                <w:bCs w:val="1"/>
                <w:color w:val="FFFFFF"/>
                <w:w w:val="96"/>
              </w:rPr>
              <w:t>YoY</w:t>
            </w:r>
          </w:p>
        </w:tc>
        <w:tc>
          <w:tcPr>
            <w:tcW w:w="0" w:type="dxa"/>
            <w:vAlign w:val="bottom"/>
          </w:tcPr>
          <w:p>
            <w:pPr>
              <w:spacing w:after="0"/>
              <w:rPr>
                <w:sz w:val="1"/>
                <w:szCs w:val="1"/>
                <w:color w:val="auto"/>
              </w:rPr>
            </w:pPr>
          </w:p>
        </w:tc>
      </w:tr>
      <w:tr>
        <w:trPr>
          <w:trHeight w:val="187"/>
        </w:trPr>
        <w:tc>
          <w:tcPr>
            <w:tcW w:w="226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7"/>
                <w:szCs w:val="17"/>
                <w:color w:val="auto"/>
              </w:rPr>
              <w:t>Operating Expenses Ex</w:t>
            </w:r>
          </w:p>
        </w:tc>
        <w:tc>
          <w:tcPr>
            <w:tcW w:w="1420" w:type="dxa"/>
            <w:vAlign w:val="bottom"/>
          </w:tcPr>
          <w:p>
            <w:pPr>
              <w:jc w:val="right"/>
              <w:ind w:right="175"/>
              <w:spacing w:after="0" w:line="187" w:lineRule="exact"/>
              <w:rPr>
                <w:sz w:val="20"/>
                <w:szCs w:val="20"/>
                <w:color w:val="auto"/>
              </w:rPr>
            </w:pPr>
            <w:r>
              <w:rPr>
                <w:rFonts w:ascii="Arial" w:cs="Arial" w:eastAsia="Arial" w:hAnsi="Arial"/>
                <w:sz w:val="17"/>
                <w:szCs w:val="17"/>
                <w:color w:val="auto"/>
              </w:rPr>
              <w:t>1,856,886</w:t>
            </w:r>
          </w:p>
        </w:tc>
        <w:tc>
          <w:tcPr>
            <w:tcW w:w="1360" w:type="dxa"/>
            <w:vAlign w:val="bottom"/>
          </w:tcPr>
          <w:p>
            <w:pPr>
              <w:jc w:val="right"/>
              <w:ind w:right="215"/>
              <w:spacing w:after="0" w:line="187" w:lineRule="exact"/>
              <w:rPr>
                <w:sz w:val="20"/>
                <w:szCs w:val="20"/>
                <w:color w:val="auto"/>
              </w:rPr>
            </w:pPr>
            <w:r>
              <w:rPr>
                <w:rFonts w:ascii="Arial" w:cs="Arial" w:eastAsia="Arial" w:hAnsi="Arial"/>
                <w:sz w:val="17"/>
                <w:szCs w:val="17"/>
                <w:color w:val="auto"/>
              </w:rPr>
              <w:t>2,257,102</w:t>
            </w:r>
          </w:p>
        </w:tc>
        <w:tc>
          <w:tcPr>
            <w:tcW w:w="1240" w:type="dxa"/>
            <w:vAlign w:val="bottom"/>
            <w:tcBorders>
              <w:right w:val="single" w:sz="8" w:color="auto"/>
            </w:tcBorders>
          </w:tcPr>
          <w:p>
            <w:pPr>
              <w:jc w:val="right"/>
              <w:ind w:right="95"/>
              <w:spacing w:after="0" w:line="187" w:lineRule="exact"/>
              <w:rPr>
                <w:sz w:val="20"/>
                <w:szCs w:val="20"/>
                <w:color w:val="auto"/>
              </w:rPr>
            </w:pPr>
            <w:r>
              <w:rPr>
                <w:rFonts w:ascii="Arial" w:cs="Arial" w:eastAsia="Arial" w:hAnsi="Arial"/>
                <w:sz w:val="17"/>
                <w:szCs w:val="17"/>
                <w:color w:val="auto"/>
              </w:rPr>
              <w:t>2,141,262</w:t>
            </w:r>
          </w:p>
        </w:tc>
        <w:tc>
          <w:tcPr>
            <w:tcW w:w="940" w:type="dxa"/>
            <w:vAlign w:val="bottom"/>
          </w:tcPr>
          <w:p>
            <w:pPr>
              <w:jc w:val="center"/>
              <w:ind w:left="315"/>
              <w:spacing w:after="0" w:line="187" w:lineRule="exact"/>
              <w:rPr>
                <w:sz w:val="20"/>
                <w:szCs w:val="20"/>
                <w:color w:val="auto"/>
              </w:rPr>
            </w:pPr>
            <w:r>
              <w:rPr>
                <w:rFonts w:ascii="Arial" w:cs="Arial" w:eastAsia="Arial" w:hAnsi="Arial"/>
                <w:sz w:val="17"/>
                <w:szCs w:val="17"/>
                <w:color w:val="auto"/>
              </w:rPr>
              <w:t>-5.1%</w:t>
            </w:r>
          </w:p>
        </w:tc>
        <w:tc>
          <w:tcPr>
            <w:tcW w:w="1760" w:type="dxa"/>
            <w:vAlign w:val="bottom"/>
            <w:tcBorders>
              <w:right w:val="single" w:sz="8" w:color="auto"/>
            </w:tcBorders>
          </w:tcPr>
          <w:p>
            <w:pPr>
              <w:jc w:val="center"/>
              <w:ind w:left="315"/>
              <w:spacing w:after="0" w:line="187" w:lineRule="exact"/>
              <w:rPr>
                <w:sz w:val="20"/>
                <w:szCs w:val="20"/>
                <w:color w:val="auto"/>
              </w:rPr>
            </w:pPr>
            <w:r>
              <w:rPr>
                <w:rFonts w:ascii="Arial" w:cs="Arial" w:eastAsia="Arial" w:hAnsi="Arial"/>
                <w:sz w:val="17"/>
                <w:szCs w:val="17"/>
                <w:color w:val="auto"/>
                <w:w w:val="99"/>
              </w:rPr>
              <w:t>15.3%</w:t>
            </w:r>
          </w:p>
        </w:tc>
        <w:tc>
          <w:tcPr>
            <w:tcW w:w="0" w:type="dxa"/>
            <w:vAlign w:val="bottom"/>
          </w:tcPr>
          <w:p>
            <w:pPr>
              <w:spacing w:after="0"/>
              <w:rPr>
                <w:sz w:val="1"/>
                <w:szCs w:val="1"/>
                <w:color w:val="auto"/>
              </w:rPr>
            </w:pPr>
          </w:p>
        </w:tc>
      </w:tr>
      <w:tr>
        <w:trPr>
          <w:trHeight w:val="225"/>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Innovation</w:t>
            </w:r>
          </w:p>
        </w:tc>
        <w:tc>
          <w:tcPr>
            <w:tcW w:w="1420" w:type="dxa"/>
            <w:vAlign w:val="bottom"/>
            <w:vMerge w:val="restart"/>
          </w:tcPr>
          <w:p>
            <w:pPr>
              <w:jc w:val="right"/>
              <w:ind w:right="175"/>
              <w:spacing w:after="0"/>
              <w:rPr>
                <w:sz w:val="20"/>
                <w:szCs w:val="20"/>
                <w:color w:val="auto"/>
              </w:rPr>
            </w:pPr>
            <w:r>
              <w:rPr>
                <w:rFonts w:ascii="Arial" w:cs="Arial" w:eastAsia="Arial" w:hAnsi="Arial"/>
                <w:sz w:val="17"/>
                <w:szCs w:val="17"/>
                <w:color w:val="auto"/>
              </w:rPr>
              <w:t>255,924</w:t>
            </w:r>
          </w:p>
        </w:tc>
        <w:tc>
          <w:tcPr>
            <w:tcW w:w="1360" w:type="dxa"/>
            <w:vAlign w:val="bottom"/>
            <w:vMerge w:val="restart"/>
          </w:tcPr>
          <w:p>
            <w:pPr>
              <w:jc w:val="right"/>
              <w:ind w:right="215"/>
              <w:spacing w:after="0"/>
              <w:rPr>
                <w:sz w:val="20"/>
                <w:szCs w:val="20"/>
                <w:color w:val="auto"/>
              </w:rPr>
            </w:pPr>
            <w:r>
              <w:rPr>
                <w:rFonts w:ascii="Arial" w:cs="Arial" w:eastAsia="Arial" w:hAnsi="Arial"/>
                <w:sz w:val="17"/>
                <w:szCs w:val="17"/>
                <w:color w:val="auto"/>
              </w:rPr>
              <w:t>355,776</w:t>
            </w:r>
          </w:p>
        </w:tc>
        <w:tc>
          <w:tcPr>
            <w:tcW w:w="1240" w:type="dxa"/>
            <w:vAlign w:val="bottom"/>
            <w:tcBorders>
              <w:right w:val="single" w:sz="8" w:color="auto"/>
            </w:tcBorders>
            <w:vMerge w:val="restart"/>
          </w:tcPr>
          <w:p>
            <w:pPr>
              <w:jc w:val="right"/>
              <w:ind w:right="95"/>
              <w:spacing w:after="0"/>
              <w:rPr>
                <w:sz w:val="20"/>
                <w:szCs w:val="20"/>
                <w:color w:val="auto"/>
              </w:rPr>
            </w:pPr>
            <w:r>
              <w:rPr>
                <w:rFonts w:ascii="Arial" w:cs="Arial" w:eastAsia="Arial" w:hAnsi="Arial"/>
                <w:sz w:val="17"/>
                <w:szCs w:val="17"/>
                <w:color w:val="auto"/>
              </w:rPr>
              <w:t>300,827</w:t>
            </w:r>
          </w:p>
        </w:tc>
        <w:tc>
          <w:tcPr>
            <w:tcW w:w="940" w:type="dxa"/>
            <w:vAlign w:val="bottom"/>
            <w:vMerge w:val="restart"/>
          </w:tcPr>
          <w:p>
            <w:pPr>
              <w:jc w:val="center"/>
              <w:ind w:left="315"/>
              <w:spacing w:after="0"/>
              <w:rPr>
                <w:sz w:val="20"/>
                <w:szCs w:val="20"/>
                <w:color w:val="auto"/>
              </w:rPr>
            </w:pPr>
            <w:r>
              <w:rPr>
                <w:rFonts w:ascii="Arial" w:cs="Arial" w:eastAsia="Arial" w:hAnsi="Arial"/>
                <w:sz w:val="17"/>
                <w:szCs w:val="17"/>
                <w:color w:val="auto"/>
              </w:rPr>
              <w:t>-15.4%</w:t>
            </w:r>
          </w:p>
        </w:tc>
        <w:tc>
          <w:tcPr>
            <w:tcW w:w="1760" w:type="dxa"/>
            <w:vAlign w:val="bottom"/>
            <w:tcBorders>
              <w:right w:val="single" w:sz="8" w:color="auto"/>
            </w:tcBorders>
            <w:vMerge w:val="restart"/>
          </w:tcPr>
          <w:p>
            <w:pPr>
              <w:jc w:val="center"/>
              <w:ind w:left="315"/>
              <w:spacing w:after="0"/>
              <w:rPr>
                <w:sz w:val="20"/>
                <w:szCs w:val="20"/>
                <w:color w:val="auto"/>
              </w:rPr>
            </w:pPr>
            <w:r>
              <w:rPr>
                <w:rFonts w:ascii="Arial" w:cs="Arial" w:eastAsia="Arial" w:hAnsi="Arial"/>
                <w:sz w:val="17"/>
                <w:szCs w:val="17"/>
                <w:color w:val="auto"/>
                <w:w w:val="99"/>
              </w:rPr>
              <w:t>17.5%</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bottom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 xml:space="preserve">Innovation Portfolio </w:t>
            </w:r>
            <w:r>
              <w:rPr>
                <w:rFonts w:ascii="Arial" w:cs="Arial" w:eastAsia="Arial" w:hAnsi="Arial"/>
                <w:sz w:val="25"/>
                <w:szCs w:val="25"/>
                <w:color w:val="auto"/>
                <w:vertAlign w:val="superscript"/>
              </w:rPr>
              <w:t>(2)</w:t>
            </w:r>
          </w:p>
        </w:tc>
        <w:tc>
          <w:tcPr>
            <w:tcW w:w="142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right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Total Operating Expenses</w:t>
            </w: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2,112,810</w:t>
            </w:r>
          </w:p>
        </w:tc>
        <w:tc>
          <w:tcPr>
            <w:tcW w:w="13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2,612,878</w:t>
            </w:r>
          </w:p>
        </w:tc>
        <w:tc>
          <w:tcPr>
            <w:tcW w:w="1240" w:type="dxa"/>
            <w:vAlign w:val="bottom"/>
            <w:tcBorders>
              <w:bottom w:val="single" w:sz="8" w:color="auto"/>
              <w:right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2,442,089</w:t>
            </w:r>
          </w:p>
        </w:tc>
        <w:tc>
          <w:tcPr>
            <w:tcW w:w="940" w:type="dxa"/>
            <w:vAlign w:val="bottom"/>
            <w:tcBorders>
              <w:bottom w:val="single" w:sz="8" w:color="auto"/>
            </w:tcBorders>
          </w:tcPr>
          <w:p>
            <w:pPr>
              <w:jc w:val="center"/>
              <w:ind w:left="335"/>
              <w:spacing w:after="0"/>
              <w:rPr>
                <w:sz w:val="20"/>
                <w:szCs w:val="20"/>
                <w:color w:val="auto"/>
              </w:rPr>
            </w:pPr>
            <w:r>
              <w:rPr>
                <w:rFonts w:ascii="Arial" w:cs="Arial" w:eastAsia="Arial" w:hAnsi="Arial"/>
                <w:sz w:val="17"/>
                <w:szCs w:val="17"/>
                <w:b w:val="1"/>
                <w:bCs w:val="1"/>
                <w:color w:val="auto"/>
                <w:w w:val="98"/>
              </w:rPr>
              <w:t>-6.5%</w:t>
            </w:r>
          </w:p>
        </w:tc>
        <w:tc>
          <w:tcPr>
            <w:tcW w:w="1760" w:type="dxa"/>
            <w:vAlign w:val="bottom"/>
            <w:tcBorders>
              <w:bottom w:val="single" w:sz="8" w:color="auto"/>
              <w:right w:val="single" w:sz="8" w:color="auto"/>
            </w:tcBorders>
          </w:tcPr>
          <w:p>
            <w:pPr>
              <w:jc w:val="center"/>
              <w:ind w:left="315"/>
              <w:spacing w:after="0"/>
              <w:rPr>
                <w:sz w:val="20"/>
                <w:szCs w:val="20"/>
                <w:color w:val="auto"/>
              </w:rPr>
            </w:pPr>
            <w:r>
              <w:rPr>
                <w:rFonts w:ascii="Arial" w:cs="Arial" w:eastAsia="Arial" w:hAnsi="Arial"/>
                <w:sz w:val="17"/>
                <w:szCs w:val="17"/>
                <w:b w:val="1"/>
                <w:bCs w:val="1"/>
                <w:color w:val="auto"/>
                <w:w w:val="99"/>
              </w:rPr>
              <w:t>15.6%</w:t>
            </w: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Management figures.</w:t>
      </w: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innovation portfolio initiatives in subsidiaries and Krealo.</w:t>
      </w:r>
    </w:p>
    <w:p>
      <w:pPr>
        <w:spacing w:after="0" w:line="25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YoY, the 15.6% growth in operating expenses was driven mainly by our core businesses, where the following stand out: (i) BCP Stand- alone, due to higher provisions for variable compensation, and (ii) Pacifico, which reported growth in Employee Salaries and Benefits following the consolidation of Empresas Banmedica as of March 2025. Additionally, operating expenses for our innovation portfolio initiatives grew 17.5%.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growth in core businesses at BCP Stand-alone was fueled by:</w:t>
      </w:r>
    </w:p>
    <w:p>
      <w:pPr>
        <w:spacing w:after="0" w:line="198" w:lineRule="exact"/>
        <w:rPr>
          <w:sz w:val="20"/>
          <w:szCs w:val="20"/>
          <w:color w:val="auto"/>
        </w:rPr>
      </w:pPr>
    </w:p>
    <w:p>
      <w:pPr>
        <w:ind w:left="840" w:hanging="346"/>
        <w:spacing w:after="0"/>
        <w:tabs>
          <w:tab w:leader="none" w:pos="8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Expenses for core businesses excluding IT</w:t>
      </w:r>
    </w:p>
    <w:p>
      <w:pPr>
        <w:spacing w:after="0" w:line="13" w:lineRule="exact"/>
        <w:rPr>
          <w:rFonts w:ascii="Arial" w:cs="Arial" w:eastAsia="Arial" w:hAnsi="Arial"/>
          <w:sz w:val="18"/>
          <w:szCs w:val="18"/>
          <w:b w:val="1"/>
          <w:bCs w:val="1"/>
          <w:color w:val="auto"/>
        </w:rPr>
      </w:pPr>
    </w:p>
    <w:p>
      <w:pPr>
        <w:ind w:left="1480" w:right="20" w:hanging="338"/>
        <w:spacing w:after="0" w:line="234"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Growth in expenses for Employee Salaries and Benefits due to (i) provisions for variable compensation, which rose alongside an improvement in results, and (ii) an increase in headcount.</w:t>
      </w:r>
    </w:p>
    <w:p>
      <w:pPr>
        <w:spacing w:after="0" w:line="1" w:lineRule="exact"/>
        <w:rPr>
          <w:rFonts w:ascii="Arial" w:cs="Arial" w:eastAsia="Arial" w:hAnsi="Arial"/>
          <w:sz w:val="18"/>
          <w:szCs w:val="18"/>
          <w:color w:val="auto"/>
        </w:rPr>
      </w:pPr>
    </w:p>
    <w:p>
      <w:pPr>
        <w:ind w:left="1480" w:hanging="338"/>
        <w:spacing w:after="0" w:line="234"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Expenses for marketing and advertising rose to capture deposits and drive sales of digital products.</w:t>
      </w:r>
    </w:p>
    <w:p>
      <w:pPr>
        <w:ind w:left="840" w:hanging="346"/>
        <w:spacing w:after="0" w:line="234" w:lineRule="auto"/>
        <w:tabs>
          <w:tab w:leader="none" w:pos="8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Technology Expenses (IT)</w:t>
      </w:r>
    </w:p>
    <w:p>
      <w:pPr>
        <w:ind w:left="1480" w:hanging="338"/>
        <w:spacing w:after="0" w:line="234"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More specialized personnel with digital capacities and higher average salaries were hired to execute strategic projects.</w:t>
      </w:r>
    </w:p>
    <w:p>
      <w:pPr>
        <w:jc w:val="both"/>
        <w:ind w:left="1480" w:hanging="338"/>
        <w:spacing w:after="0" w:line="242"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Higher expenses for the use of services to process data, in line with growth in the transaction volume via digital channels as our client base becomes more digitalized. Total monetary transactions and transactions through digital channels rose 64.8% and 77.2%, respectively.</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2" w:name="page43"/>
    <w:bookmarkEnd w:id="42"/>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384" w:lineRule="exact"/>
        <w:rPr>
          <w:sz w:val="20"/>
          <w:szCs w:val="20"/>
          <w:color w:val="auto"/>
        </w:rPr>
      </w:pPr>
    </w:p>
    <w:p>
      <w:pPr>
        <w:ind w:left="460"/>
        <w:spacing w:after="0"/>
        <w:rPr>
          <w:sz w:val="20"/>
          <w:szCs w:val="20"/>
          <w:color w:val="auto"/>
        </w:rPr>
      </w:pPr>
      <w:r>
        <w:rPr>
          <w:rFonts w:ascii="Arial" w:cs="Arial" w:eastAsia="Arial" w:hAnsi="Arial"/>
          <w:sz w:val="52"/>
          <w:szCs w:val="52"/>
          <w:b w:val="1"/>
          <w:bCs w:val="1"/>
          <w:color w:val="E93BAC"/>
        </w:rPr>
        <w:t xml:space="preserve">09 </w:t>
      </w:r>
      <w:r>
        <w:rPr>
          <w:rFonts w:ascii="Arial" w:cs="Arial" w:eastAsia="Arial" w:hAnsi="Arial"/>
          <w:sz w:val="32"/>
          <w:szCs w:val="32"/>
          <w:color w:val="E93BAC"/>
        </w:rPr>
        <w:t>Operating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151765</wp:posOffset>
            </wp:positionV>
            <wp:extent cx="6557645" cy="5054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57645" cy="505460"/>
                    </a:xfrm>
                    <a:prstGeom prst="rect">
                      <a:avLst/>
                    </a:prstGeom>
                    <a:noFill/>
                  </pic:spPr>
                </pic:pic>
              </a:graphicData>
            </a:graphic>
          </wp:anchor>
        </w:drawing>
      </w:r>
    </w:p>
    <w:p>
      <w:pPr>
        <w:spacing w:after="0" w:line="281" w:lineRule="exact"/>
        <w:rPr>
          <w:sz w:val="20"/>
          <w:szCs w:val="20"/>
          <w:color w:val="auto"/>
        </w:rPr>
      </w:pPr>
    </w:p>
    <w:p>
      <w:pPr>
        <w:jc w:val="both"/>
        <w:ind w:left="580" w:right="560"/>
        <w:spacing w:after="0" w:line="253" w:lineRule="auto"/>
        <w:rPr>
          <w:sz w:val="20"/>
          <w:szCs w:val="20"/>
          <w:color w:val="auto"/>
        </w:rPr>
      </w:pPr>
      <w:r>
        <w:rPr>
          <w:rFonts w:ascii="Arial" w:cs="Arial" w:eastAsia="Arial" w:hAnsi="Arial"/>
          <w:sz w:val="18"/>
          <w:szCs w:val="18"/>
          <w:color w:val="FFFFFF"/>
        </w:rPr>
        <w:t>YoY, the efficiency ratio deteriorated 291 bps given that expansion in operating expenses outstripped growth in operating income. This evolution reflects growth in expenses for disruptive initiatives at the Credicorp level and for core businesses at BCP Stand-alone.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Efficiency ratio </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reported by subsidiary</w:t>
      </w:r>
    </w:p>
    <w:p>
      <w:pPr>
        <w:spacing w:after="0" w:line="76" w:lineRule="exact"/>
        <w:rPr>
          <w:sz w:val="20"/>
          <w:szCs w:val="20"/>
          <w:color w:val="auto"/>
        </w:rPr>
      </w:pPr>
    </w:p>
    <w:tbl>
      <w:tblPr>
        <w:tblLayout w:type="fixed"/>
        <w:tblInd w:w="1150" w:type="dxa"/>
        <w:tblCellMar>
          <w:top w:w="0" w:type="dxa"/>
          <w:left w:w="0" w:type="dxa"/>
          <w:bottom w:w="0" w:type="dxa"/>
          <w:right w:w="0" w:type="dxa"/>
        </w:tblCellMar>
      </w:tblPr>
      <w:tr>
        <w:trPr>
          <w:trHeight w:val="247"/>
        </w:trPr>
        <w:tc>
          <w:tcPr>
            <w:tcW w:w="2260" w:type="dxa"/>
            <w:vAlign w:val="bottom"/>
            <w:tcBorders>
              <w:top w:val="single" w:sz="8" w:color="auto"/>
              <w:left w:val="single" w:sz="8" w:color="auto"/>
              <w:right w:val="single" w:sz="8" w:color="auto"/>
            </w:tcBorders>
            <w:shd w:val="clear" w:color="auto" w:fill="2AD2C8"/>
          </w:tcPr>
          <w:p>
            <w:pPr>
              <w:ind w:left="460"/>
              <w:spacing w:after="0"/>
              <w:rPr>
                <w:sz w:val="20"/>
                <w:szCs w:val="20"/>
                <w:color w:val="auto"/>
              </w:rPr>
            </w:pPr>
            <w:r>
              <w:rPr>
                <w:rFonts w:ascii="Arial" w:cs="Arial" w:eastAsia="Arial" w:hAnsi="Arial"/>
                <w:sz w:val="17"/>
                <w:szCs w:val="17"/>
                <w:b w:val="1"/>
                <w:bCs w:val="1"/>
                <w:color w:val="FFFFFF"/>
              </w:rPr>
              <w:t>Subsidiary</w:t>
            </w:r>
          </w:p>
        </w:tc>
        <w:tc>
          <w:tcPr>
            <w:tcW w:w="1300" w:type="dxa"/>
            <w:vAlign w:val="bottom"/>
            <w:tcBorders>
              <w:top w:val="single" w:sz="8" w:color="auto"/>
            </w:tcBorders>
            <w:shd w:val="clear" w:color="auto" w:fill="2AD2C8"/>
          </w:tcPr>
          <w:p>
            <w:pPr>
              <w:spacing w:after="0"/>
              <w:rPr>
                <w:sz w:val="21"/>
                <w:szCs w:val="21"/>
                <w:color w:val="auto"/>
              </w:rPr>
            </w:pPr>
          </w:p>
        </w:tc>
        <w:tc>
          <w:tcPr>
            <w:tcW w:w="1400" w:type="dxa"/>
            <w:vAlign w:val="bottom"/>
            <w:tcBorders>
              <w:top w:val="single" w:sz="8" w:color="auto"/>
            </w:tcBorders>
            <w:shd w:val="clear" w:color="auto" w:fill="2AD2C8"/>
          </w:tcPr>
          <w:p>
            <w:pPr>
              <w:ind w:left="380"/>
              <w:spacing w:after="0"/>
              <w:rPr>
                <w:sz w:val="20"/>
                <w:szCs w:val="20"/>
                <w:color w:val="auto"/>
              </w:rPr>
            </w:pPr>
            <w:r>
              <w:rPr>
                <w:rFonts w:ascii="Arial" w:cs="Arial" w:eastAsia="Arial" w:hAnsi="Arial"/>
                <w:sz w:val="17"/>
                <w:szCs w:val="17"/>
                <w:b w:val="1"/>
                <w:bCs w:val="1"/>
                <w:color w:val="FFFFFF"/>
              </w:rPr>
              <w:t>Quarter</w:t>
            </w:r>
          </w:p>
        </w:tc>
        <w:tc>
          <w:tcPr>
            <w:tcW w:w="1320" w:type="dxa"/>
            <w:vAlign w:val="bottom"/>
            <w:tcBorders>
              <w:top w:val="single" w:sz="8" w:color="auto"/>
              <w:right w:val="single" w:sz="8" w:color="auto"/>
            </w:tcBorders>
            <w:shd w:val="clear" w:color="auto" w:fill="2AD2C8"/>
          </w:tcPr>
          <w:p>
            <w:pPr>
              <w:spacing w:after="0"/>
              <w:rPr>
                <w:sz w:val="21"/>
                <w:szCs w:val="21"/>
                <w:color w:val="auto"/>
              </w:rPr>
            </w:pPr>
          </w:p>
        </w:tc>
        <w:tc>
          <w:tcPr>
            <w:tcW w:w="2700" w:type="dxa"/>
            <w:vAlign w:val="bottom"/>
            <w:tcBorders>
              <w:top w:val="single" w:sz="8" w:color="auto"/>
              <w:right w:val="single" w:sz="8" w:color="auto"/>
            </w:tcBorders>
            <w:gridSpan w:val="2"/>
            <w:shd w:val="clear" w:color="auto" w:fill="2AD2C8"/>
          </w:tcPr>
          <w:p>
            <w:pPr>
              <w:ind w:left="940"/>
              <w:spacing w:after="0"/>
              <w:rPr>
                <w:sz w:val="20"/>
                <w:szCs w:val="20"/>
                <w:color w:val="auto"/>
              </w:rPr>
            </w:pPr>
            <w:r>
              <w:rPr>
                <w:rFonts w:ascii="Arial" w:cs="Arial" w:eastAsia="Arial" w:hAnsi="Arial"/>
                <w:sz w:val="17"/>
                <w:szCs w:val="17"/>
                <w:b w:val="1"/>
                <w:bCs w:val="1"/>
                <w:color w:val="FFFFFF"/>
              </w:rPr>
              <w:t>% change</w:t>
            </w:r>
          </w:p>
        </w:tc>
      </w:tr>
      <w:tr>
        <w:trPr>
          <w:trHeight w:val="270"/>
        </w:trPr>
        <w:tc>
          <w:tcPr>
            <w:tcW w:w="2260" w:type="dxa"/>
            <w:vAlign w:val="bottom"/>
            <w:tcBorders>
              <w:left w:val="single" w:sz="8" w:color="auto"/>
              <w:bottom w:val="single" w:sz="8" w:color="auto"/>
              <w:right w:val="single" w:sz="8" w:color="auto"/>
            </w:tcBorders>
            <w:shd w:val="clear" w:color="auto" w:fill="2AD2C8"/>
          </w:tcPr>
          <w:p>
            <w:pPr>
              <w:spacing w:after="0"/>
              <w:rPr>
                <w:sz w:val="23"/>
                <w:szCs w:val="23"/>
                <w:color w:val="auto"/>
              </w:rPr>
            </w:pPr>
          </w:p>
        </w:tc>
        <w:tc>
          <w:tcPr>
            <w:tcW w:w="130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7"/>
                <w:szCs w:val="17"/>
                <w:b w:val="1"/>
                <w:bCs w:val="1"/>
                <w:color w:val="FFFFFF"/>
                <w:w w:val="96"/>
              </w:rPr>
              <w:t>1Q24</w:t>
            </w:r>
          </w:p>
        </w:tc>
        <w:tc>
          <w:tcPr>
            <w:tcW w:w="140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7"/>
                <w:szCs w:val="17"/>
                <w:b w:val="1"/>
                <w:bCs w:val="1"/>
                <w:color w:val="FFFFFF"/>
              </w:rPr>
              <w:t>4Q24</w:t>
            </w:r>
          </w:p>
        </w:tc>
        <w:tc>
          <w:tcPr>
            <w:tcW w:w="132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7"/>
                <w:szCs w:val="17"/>
                <w:b w:val="1"/>
                <w:bCs w:val="1"/>
                <w:color w:val="FFFFFF"/>
              </w:rPr>
              <w:t>1Q25</w:t>
            </w:r>
          </w:p>
        </w:tc>
        <w:tc>
          <w:tcPr>
            <w:tcW w:w="132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7"/>
                <w:szCs w:val="17"/>
                <w:b w:val="1"/>
                <w:bCs w:val="1"/>
                <w:color w:val="FFFFFF"/>
                <w:w w:val="97"/>
              </w:rPr>
              <w:t>QoQ</w:t>
            </w:r>
          </w:p>
        </w:tc>
        <w:tc>
          <w:tcPr>
            <w:tcW w:w="138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7"/>
                <w:szCs w:val="17"/>
                <w:b w:val="1"/>
                <w:bCs w:val="1"/>
                <w:color w:val="FFFFFF"/>
                <w:w w:val="96"/>
              </w:rPr>
              <w:t>YoY</w:t>
            </w:r>
          </w:p>
        </w:tc>
      </w:tr>
      <w:tr>
        <w:trPr>
          <w:trHeight w:val="160"/>
        </w:trPr>
        <w:tc>
          <w:tcPr>
            <w:tcW w:w="226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7"/>
                <w:szCs w:val="17"/>
                <w:color w:val="auto"/>
              </w:rPr>
              <w:t>BCP Stand-alone</w:t>
            </w:r>
          </w:p>
        </w:tc>
        <w:tc>
          <w:tcPr>
            <w:tcW w:w="1300" w:type="dxa"/>
            <w:vAlign w:val="bottom"/>
          </w:tcPr>
          <w:p>
            <w:pPr>
              <w:jc w:val="center"/>
              <w:spacing w:after="0" w:line="160" w:lineRule="exact"/>
              <w:rPr>
                <w:sz w:val="20"/>
                <w:szCs w:val="20"/>
                <w:color w:val="auto"/>
              </w:rPr>
            </w:pPr>
            <w:r>
              <w:rPr>
                <w:rFonts w:ascii="Arial" w:cs="Arial" w:eastAsia="Arial" w:hAnsi="Arial"/>
                <w:sz w:val="17"/>
                <w:szCs w:val="17"/>
                <w:color w:val="auto"/>
                <w:w w:val="99"/>
              </w:rPr>
              <w:t>35.1%</w:t>
            </w:r>
          </w:p>
        </w:tc>
        <w:tc>
          <w:tcPr>
            <w:tcW w:w="1400" w:type="dxa"/>
            <w:vAlign w:val="bottom"/>
          </w:tcPr>
          <w:p>
            <w:pPr>
              <w:jc w:val="center"/>
              <w:spacing w:after="0" w:line="160" w:lineRule="exact"/>
              <w:rPr>
                <w:sz w:val="20"/>
                <w:szCs w:val="20"/>
                <w:color w:val="auto"/>
              </w:rPr>
            </w:pPr>
            <w:r>
              <w:rPr>
                <w:rFonts w:ascii="Arial" w:cs="Arial" w:eastAsia="Arial" w:hAnsi="Arial"/>
                <w:sz w:val="17"/>
                <w:szCs w:val="17"/>
                <w:color w:val="auto"/>
              </w:rPr>
              <w:t>43.7%</w:t>
            </w:r>
          </w:p>
        </w:tc>
        <w:tc>
          <w:tcPr>
            <w:tcW w:w="13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37.7%</w:t>
            </w:r>
          </w:p>
        </w:tc>
        <w:tc>
          <w:tcPr>
            <w:tcW w:w="1320" w:type="dxa"/>
            <w:vAlign w:val="bottom"/>
          </w:tcPr>
          <w:p>
            <w:pPr>
              <w:jc w:val="center"/>
              <w:spacing w:after="0" w:line="160" w:lineRule="exact"/>
              <w:rPr>
                <w:sz w:val="20"/>
                <w:szCs w:val="20"/>
                <w:color w:val="auto"/>
              </w:rPr>
            </w:pPr>
            <w:r>
              <w:rPr>
                <w:rFonts w:ascii="Arial" w:cs="Arial" w:eastAsia="Arial" w:hAnsi="Arial"/>
                <w:sz w:val="17"/>
                <w:szCs w:val="17"/>
                <w:color w:val="auto"/>
              </w:rPr>
              <w:t>-600 bps</w:t>
            </w:r>
          </w:p>
        </w:tc>
        <w:tc>
          <w:tcPr>
            <w:tcW w:w="13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9"/>
              </w:rPr>
              <w:t>260 bps</w:t>
            </w:r>
          </w:p>
        </w:tc>
      </w:tr>
      <w:tr>
        <w:trPr>
          <w:trHeight w:val="189"/>
        </w:trPr>
        <w:tc>
          <w:tcPr>
            <w:tcW w:w="226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7"/>
                <w:szCs w:val="17"/>
                <w:color w:val="auto"/>
              </w:rPr>
              <w:t>BCP Bolivia</w:t>
            </w:r>
          </w:p>
        </w:tc>
        <w:tc>
          <w:tcPr>
            <w:tcW w:w="1300" w:type="dxa"/>
            <w:vAlign w:val="bottom"/>
          </w:tcPr>
          <w:p>
            <w:pPr>
              <w:jc w:val="center"/>
              <w:spacing w:after="0" w:line="189" w:lineRule="exact"/>
              <w:rPr>
                <w:sz w:val="20"/>
                <w:szCs w:val="20"/>
                <w:color w:val="auto"/>
              </w:rPr>
            </w:pPr>
            <w:r>
              <w:rPr>
                <w:rFonts w:ascii="Arial" w:cs="Arial" w:eastAsia="Arial" w:hAnsi="Arial"/>
                <w:sz w:val="17"/>
                <w:szCs w:val="17"/>
                <w:color w:val="auto"/>
                <w:w w:val="99"/>
              </w:rPr>
              <w:t>58.1%</w:t>
            </w:r>
          </w:p>
        </w:tc>
        <w:tc>
          <w:tcPr>
            <w:tcW w:w="1400" w:type="dxa"/>
            <w:vAlign w:val="bottom"/>
          </w:tcPr>
          <w:p>
            <w:pPr>
              <w:jc w:val="center"/>
              <w:spacing w:after="0" w:line="189" w:lineRule="exact"/>
              <w:rPr>
                <w:sz w:val="20"/>
                <w:szCs w:val="20"/>
                <w:color w:val="auto"/>
              </w:rPr>
            </w:pPr>
            <w:r>
              <w:rPr>
                <w:rFonts w:ascii="Arial" w:cs="Arial" w:eastAsia="Arial" w:hAnsi="Arial"/>
                <w:sz w:val="17"/>
                <w:szCs w:val="17"/>
                <w:color w:val="auto"/>
              </w:rPr>
              <w:t>63.0%</w:t>
            </w:r>
          </w:p>
        </w:tc>
        <w:tc>
          <w:tcPr>
            <w:tcW w:w="13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69.6%</w:t>
            </w:r>
          </w:p>
        </w:tc>
        <w:tc>
          <w:tcPr>
            <w:tcW w:w="1320" w:type="dxa"/>
            <w:vAlign w:val="bottom"/>
          </w:tcPr>
          <w:p>
            <w:pPr>
              <w:jc w:val="center"/>
              <w:spacing w:after="0" w:line="189" w:lineRule="exact"/>
              <w:rPr>
                <w:sz w:val="20"/>
                <w:szCs w:val="20"/>
                <w:color w:val="auto"/>
              </w:rPr>
            </w:pPr>
            <w:r>
              <w:rPr>
                <w:rFonts w:ascii="Arial" w:cs="Arial" w:eastAsia="Arial" w:hAnsi="Arial"/>
                <w:sz w:val="17"/>
                <w:szCs w:val="17"/>
                <w:color w:val="auto"/>
                <w:w w:val="99"/>
              </w:rPr>
              <w:t>670 bps</w:t>
            </w:r>
          </w:p>
        </w:tc>
        <w:tc>
          <w:tcPr>
            <w:tcW w:w="13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7"/>
              </w:rPr>
              <w:t>1160 bps</w:t>
            </w:r>
          </w:p>
        </w:tc>
      </w:tr>
      <w:tr>
        <w:trPr>
          <w:trHeight w:val="203"/>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Mibanco Peru</w:t>
            </w:r>
          </w:p>
        </w:tc>
        <w:tc>
          <w:tcPr>
            <w:tcW w:w="1300" w:type="dxa"/>
            <w:vAlign w:val="bottom"/>
          </w:tcPr>
          <w:p>
            <w:pPr>
              <w:jc w:val="center"/>
              <w:spacing w:after="0"/>
              <w:rPr>
                <w:sz w:val="20"/>
                <w:szCs w:val="20"/>
                <w:color w:val="auto"/>
              </w:rPr>
            </w:pPr>
            <w:r>
              <w:rPr>
                <w:rFonts w:ascii="Arial" w:cs="Arial" w:eastAsia="Arial" w:hAnsi="Arial"/>
                <w:sz w:val="17"/>
                <w:szCs w:val="17"/>
                <w:color w:val="auto"/>
                <w:w w:val="99"/>
              </w:rPr>
              <w:t>53.3%</w:t>
            </w:r>
          </w:p>
        </w:tc>
        <w:tc>
          <w:tcPr>
            <w:tcW w:w="1400" w:type="dxa"/>
            <w:vAlign w:val="bottom"/>
          </w:tcPr>
          <w:p>
            <w:pPr>
              <w:jc w:val="center"/>
              <w:spacing w:after="0"/>
              <w:rPr>
                <w:sz w:val="20"/>
                <w:szCs w:val="20"/>
                <w:color w:val="auto"/>
              </w:rPr>
            </w:pPr>
            <w:r>
              <w:rPr>
                <w:rFonts w:ascii="Arial" w:cs="Arial" w:eastAsia="Arial" w:hAnsi="Arial"/>
                <w:sz w:val="17"/>
                <w:szCs w:val="17"/>
                <w:color w:val="auto"/>
              </w:rPr>
              <w:t>52.2%</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52.9%</w:t>
            </w:r>
          </w:p>
        </w:tc>
        <w:tc>
          <w:tcPr>
            <w:tcW w:w="1320" w:type="dxa"/>
            <w:vAlign w:val="bottom"/>
          </w:tcPr>
          <w:p>
            <w:pPr>
              <w:jc w:val="center"/>
              <w:spacing w:after="0"/>
              <w:rPr>
                <w:sz w:val="20"/>
                <w:szCs w:val="20"/>
                <w:color w:val="auto"/>
              </w:rPr>
            </w:pPr>
            <w:r>
              <w:rPr>
                <w:rFonts w:ascii="Arial" w:cs="Arial" w:eastAsia="Arial" w:hAnsi="Arial"/>
                <w:sz w:val="17"/>
                <w:szCs w:val="17"/>
                <w:color w:val="auto"/>
              </w:rPr>
              <w:t>60 bps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-40 bps</w:t>
            </w:r>
          </w:p>
        </w:tc>
      </w:tr>
      <w:tr>
        <w:trPr>
          <w:trHeight w:val="203"/>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Mibanco Colombia</w:t>
            </w:r>
          </w:p>
        </w:tc>
        <w:tc>
          <w:tcPr>
            <w:tcW w:w="1300" w:type="dxa"/>
            <w:vAlign w:val="bottom"/>
          </w:tcPr>
          <w:p>
            <w:pPr>
              <w:jc w:val="center"/>
              <w:spacing w:after="0"/>
              <w:rPr>
                <w:sz w:val="20"/>
                <w:szCs w:val="20"/>
                <w:color w:val="auto"/>
              </w:rPr>
            </w:pPr>
            <w:r>
              <w:rPr>
                <w:rFonts w:ascii="Arial" w:cs="Arial" w:eastAsia="Arial" w:hAnsi="Arial"/>
                <w:sz w:val="17"/>
                <w:szCs w:val="17"/>
                <w:color w:val="auto"/>
                <w:w w:val="99"/>
              </w:rPr>
              <w:t>85.5%</w:t>
            </w:r>
          </w:p>
        </w:tc>
        <w:tc>
          <w:tcPr>
            <w:tcW w:w="1400" w:type="dxa"/>
            <w:vAlign w:val="bottom"/>
          </w:tcPr>
          <w:p>
            <w:pPr>
              <w:jc w:val="center"/>
              <w:spacing w:after="0"/>
              <w:rPr>
                <w:sz w:val="20"/>
                <w:szCs w:val="20"/>
                <w:color w:val="auto"/>
              </w:rPr>
            </w:pPr>
            <w:r>
              <w:rPr>
                <w:rFonts w:ascii="Arial" w:cs="Arial" w:eastAsia="Arial" w:hAnsi="Arial"/>
                <w:sz w:val="17"/>
                <w:szCs w:val="17"/>
                <w:color w:val="auto"/>
              </w:rPr>
              <w:t>69.5%</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70.6%</w:t>
            </w:r>
          </w:p>
        </w:tc>
        <w:tc>
          <w:tcPr>
            <w:tcW w:w="1320" w:type="dxa"/>
            <w:vAlign w:val="bottom"/>
          </w:tcPr>
          <w:p>
            <w:pPr>
              <w:jc w:val="center"/>
              <w:spacing w:after="0"/>
              <w:rPr>
                <w:sz w:val="20"/>
                <w:szCs w:val="20"/>
                <w:color w:val="auto"/>
              </w:rPr>
            </w:pPr>
            <w:r>
              <w:rPr>
                <w:rFonts w:ascii="Arial" w:cs="Arial" w:eastAsia="Arial" w:hAnsi="Arial"/>
                <w:sz w:val="17"/>
                <w:szCs w:val="17"/>
                <w:color w:val="auto"/>
                <w:w w:val="99"/>
              </w:rPr>
              <w:t>120 bps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-1490 bps</w:t>
            </w:r>
          </w:p>
        </w:tc>
      </w:tr>
      <w:tr>
        <w:trPr>
          <w:trHeight w:val="189"/>
        </w:trPr>
        <w:tc>
          <w:tcPr>
            <w:tcW w:w="226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7"/>
                <w:szCs w:val="17"/>
                <w:color w:val="auto"/>
              </w:rPr>
              <w:t>Pacifico</w:t>
            </w:r>
          </w:p>
        </w:tc>
        <w:tc>
          <w:tcPr>
            <w:tcW w:w="1300" w:type="dxa"/>
            <w:vAlign w:val="bottom"/>
          </w:tcPr>
          <w:p>
            <w:pPr>
              <w:jc w:val="center"/>
              <w:spacing w:after="0" w:line="189" w:lineRule="exact"/>
              <w:rPr>
                <w:sz w:val="20"/>
                <w:szCs w:val="20"/>
                <w:color w:val="auto"/>
              </w:rPr>
            </w:pPr>
            <w:r>
              <w:rPr>
                <w:rFonts w:ascii="Arial" w:cs="Arial" w:eastAsia="Arial" w:hAnsi="Arial"/>
                <w:sz w:val="17"/>
                <w:szCs w:val="17"/>
                <w:color w:val="auto"/>
                <w:w w:val="99"/>
              </w:rPr>
              <w:t>27.7%</w:t>
            </w:r>
          </w:p>
        </w:tc>
        <w:tc>
          <w:tcPr>
            <w:tcW w:w="1400" w:type="dxa"/>
            <w:vAlign w:val="bottom"/>
          </w:tcPr>
          <w:p>
            <w:pPr>
              <w:jc w:val="center"/>
              <w:spacing w:after="0" w:line="189" w:lineRule="exact"/>
              <w:rPr>
                <w:sz w:val="20"/>
                <w:szCs w:val="20"/>
                <w:color w:val="auto"/>
              </w:rPr>
            </w:pPr>
            <w:r>
              <w:rPr>
                <w:rFonts w:ascii="Arial" w:cs="Arial" w:eastAsia="Arial" w:hAnsi="Arial"/>
                <w:sz w:val="17"/>
                <w:szCs w:val="17"/>
                <w:color w:val="auto"/>
              </w:rPr>
              <w:t>29.6%</w:t>
            </w:r>
          </w:p>
        </w:tc>
        <w:tc>
          <w:tcPr>
            <w:tcW w:w="13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31.5%</w:t>
            </w:r>
          </w:p>
        </w:tc>
        <w:tc>
          <w:tcPr>
            <w:tcW w:w="1320" w:type="dxa"/>
            <w:vAlign w:val="bottom"/>
          </w:tcPr>
          <w:p>
            <w:pPr>
              <w:jc w:val="center"/>
              <w:spacing w:after="0" w:line="189" w:lineRule="exact"/>
              <w:rPr>
                <w:sz w:val="20"/>
                <w:szCs w:val="20"/>
                <w:color w:val="auto"/>
              </w:rPr>
            </w:pPr>
            <w:r>
              <w:rPr>
                <w:rFonts w:ascii="Arial" w:cs="Arial" w:eastAsia="Arial" w:hAnsi="Arial"/>
                <w:sz w:val="17"/>
                <w:szCs w:val="17"/>
                <w:color w:val="auto"/>
                <w:w w:val="99"/>
              </w:rPr>
              <w:t>190 bps</w:t>
            </w:r>
          </w:p>
        </w:tc>
        <w:tc>
          <w:tcPr>
            <w:tcW w:w="13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9"/>
              </w:rPr>
              <w:t>380 bps</w:t>
            </w:r>
          </w:p>
        </w:tc>
      </w:tr>
      <w:tr>
        <w:trPr>
          <w:trHeight w:val="211"/>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Prima AFP</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50.4%</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64.2%</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54.4%</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-980 bps</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400 bps</w:t>
            </w:r>
          </w:p>
        </w:tc>
      </w:tr>
      <w:tr>
        <w:trPr>
          <w:trHeight w:val="196"/>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Credicorp</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42.8%</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48.4%</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45.7%</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-270 bps</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291 bps</w:t>
            </w:r>
          </w:p>
        </w:tc>
      </w:tr>
    </w:tbl>
    <w:p>
      <w:pPr>
        <w:spacing w:after="0" w:line="171" w:lineRule="exact"/>
        <w:rPr>
          <w:sz w:val="20"/>
          <w:szCs w:val="20"/>
          <w:color w:val="auto"/>
        </w:rPr>
      </w:pPr>
    </w:p>
    <w:p>
      <w:pPr>
        <w:ind w:left="300" w:right="80" w:hanging="292"/>
        <w:spacing w:after="0" w:line="233" w:lineRule="auto"/>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Operating expenses / Operating income (under IFRS 1). Operating expenses = Salaries and employee benefits + Administrative expenses + Depreciation and amortization + Association in participation + Acquisition cost. Operating income = Net interest, similar income, and expenses + Fee income + Net gain on foreign exchange transactions + Net gain from associates +Net gain on derivatives held for trading + Net gain from exchange differences + Insurance Underwriting Results + Results for Medical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analysis will focus on year-over-year movements to eliminate the effects of seasonality between quarters.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efficiency ratio deteriorated 291 bps YoY, driven mainly by growth in operating expenses associated with (i) disruptive initiatives at the Credicorp level, and (ii) core businesses at BCP Stand-alone, in line with growth in expenses for employee salaries and benefits and administrative expenses. Growth in expenses was accompanied by expansion in core business income.</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1Q25, changes were made in how the accounting items included in the efficiency ratio are calculated. In Operating Income, expenses associated with credit card loyalty programs were netted in the Fee Income line instead of being included General and administrative expenses, as was the case before 1Q25.</w:t>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3" w:name="page44"/>
    <w:bookmarkEnd w:id="43"/>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384" w:lineRule="exact"/>
        <w:rPr>
          <w:sz w:val="20"/>
          <w:szCs w:val="20"/>
          <w:color w:val="auto"/>
        </w:rPr>
      </w:pPr>
    </w:p>
    <w:p>
      <w:pPr>
        <w:ind w:left="460"/>
        <w:spacing w:after="0"/>
        <w:rPr>
          <w:sz w:val="20"/>
          <w:szCs w:val="20"/>
          <w:color w:val="auto"/>
        </w:rPr>
      </w:pPr>
      <w:r>
        <w:rPr>
          <w:rFonts w:ascii="Arial" w:cs="Arial" w:eastAsia="Arial" w:hAnsi="Arial"/>
          <w:sz w:val="52"/>
          <w:szCs w:val="52"/>
          <w:b w:val="1"/>
          <w:bCs w:val="1"/>
          <w:color w:val="E93BAC"/>
        </w:rPr>
        <w:t xml:space="preserve">10 </w:t>
      </w:r>
      <w:r>
        <w:rPr>
          <w:rFonts w:ascii="Arial" w:cs="Arial" w:eastAsia="Arial" w:hAnsi="Arial"/>
          <w:sz w:val="32"/>
          <w:szCs w:val="32"/>
          <w:color w:val="E93BAC"/>
        </w:rPr>
        <w:t>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151765</wp:posOffset>
            </wp:positionV>
            <wp:extent cx="6557645" cy="12172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57645" cy="1217295"/>
                    </a:xfrm>
                    <a:prstGeom prst="rect">
                      <a:avLst/>
                    </a:prstGeom>
                    <a:noFill/>
                  </pic:spPr>
                </pic:pic>
              </a:graphicData>
            </a:graphic>
          </wp:anchor>
        </w:drawing>
      </w:r>
    </w:p>
    <w:p>
      <w:pPr>
        <w:spacing w:after="0" w:line="294" w:lineRule="exact"/>
        <w:rPr>
          <w:sz w:val="20"/>
          <w:szCs w:val="20"/>
          <w:color w:val="auto"/>
        </w:rPr>
      </w:pPr>
    </w:p>
    <w:p>
      <w:pPr>
        <w:ind w:left="580"/>
        <w:spacing w:after="0"/>
        <w:rPr>
          <w:sz w:val="20"/>
          <w:szCs w:val="20"/>
          <w:color w:val="auto"/>
        </w:rPr>
      </w:pPr>
      <w:r>
        <w:rPr>
          <w:rFonts w:ascii="Arial" w:cs="Arial" w:eastAsia="Arial" w:hAnsi="Arial"/>
          <w:sz w:val="18"/>
          <w:szCs w:val="18"/>
          <w:color w:val="FFFFFF"/>
        </w:rPr>
        <w:t>The Regulatory Capital Ratio at Credicorp was 138% higher than the regulatory minimum.</w:t>
      </w:r>
    </w:p>
    <w:p>
      <w:pPr>
        <w:spacing w:after="0" w:line="158" w:lineRule="exact"/>
        <w:rPr>
          <w:sz w:val="20"/>
          <w:szCs w:val="20"/>
          <w:color w:val="auto"/>
        </w:rPr>
      </w:pPr>
    </w:p>
    <w:p>
      <w:pPr>
        <w:jc w:val="both"/>
        <w:ind w:left="580" w:right="580"/>
        <w:spacing w:after="0" w:line="253" w:lineRule="auto"/>
        <w:rPr>
          <w:sz w:val="20"/>
          <w:szCs w:val="20"/>
          <w:color w:val="auto"/>
        </w:rPr>
      </w:pPr>
      <w:r>
        <w:rPr>
          <w:rFonts w:ascii="Arial" w:cs="Arial" w:eastAsia="Arial" w:hAnsi="Arial"/>
          <w:sz w:val="18"/>
          <w:szCs w:val="18"/>
          <w:color w:val="FFFFFF"/>
        </w:rPr>
        <w:t>BCP Stand-alone’s IFRS CET1 Ratio slightly declined 24 bps YoY, stand at 11.62%, aligned with our internal appetite of 11%. This evolution was fueled by higher RWAs levels driven by loan growth, which was partially offset by a growth in Retained Earnings, which was offset by the declaration of dividends.</w:t>
      </w:r>
    </w:p>
    <w:p>
      <w:pPr>
        <w:spacing w:after="0" w:line="101" w:lineRule="exact"/>
        <w:rPr>
          <w:sz w:val="20"/>
          <w:szCs w:val="20"/>
          <w:color w:val="auto"/>
        </w:rPr>
      </w:pPr>
    </w:p>
    <w:p>
      <w:pPr>
        <w:jc w:val="both"/>
        <w:ind w:left="580" w:right="580"/>
        <w:spacing w:after="0" w:line="253" w:lineRule="auto"/>
        <w:rPr>
          <w:sz w:val="20"/>
          <w:szCs w:val="20"/>
          <w:color w:val="auto"/>
        </w:rPr>
      </w:pPr>
      <w:r>
        <w:rPr>
          <w:rFonts w:ascii="Arial" w:cs="Arial" w:eastAsia="Arial" w:hAnsi="Arial"/>
          <w:sz w:val="18"/>
          <w:szCs w:val="18"/>
          <w:color w:val="FFFFFF"/>
        </w:rPr>
        <w:t>Mibanco’s IFRS CET1 Ratio slightly declined 18 bps YoY, stand at 15.89%, aligned with our internal appetite of 15%. This result was fueled primarily by a decrease in Retained Earnings, which was primarily associated with dividends declared, and partially offset by a drop in RWA levels, which fell due to loan contraction.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Regulatory Capital at Credicorp</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analysis of Financial Group.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60" w:type="dxa"/>
            <w:vAlign w:val="bottom"/>
          </w:tcPr>
          <w:p>
            <w:pPr>
              <w:spacing w:after="0"/>
              <w:rPr>
                <w:sz w:val="20"/>
                <w:szCs w:val="20"/>
                <w:color w:val="auto"/>
              </w:rPr>
            </w:pPr>
            <w:r>
              <w:rPr>
                <w:rFonts w:ascii="Arial" w:cs="Arial" w:eastAsia="Arial" w:hAnsi="Arial"/>
                <w:sz w:val="18"/>
                <w:szCs w:val="18"/>
                <w:color w:val="auto"/>
              </w:rPr>
              <w:t>At the end of 1Q25, Credicorp’s Regulatory Capital Ratio</w:t>
            </w:r>
          </w:p>
        </w:tc>
        <w:tc>
          <w:tcPr>
            <w:tcW w:w="3280" w:type="dxa"/>
            <w:vAlign w:val="bottom"/>
          </w:tcPr>
          <w:p>
            <w:pPr>
              <w:ind w:left="1100"/>
              <w:spacing w:after="0"/>
              <w:rPr>
                <w:sz w:val="20"/>
                <w:szCs w:val="20"/>
                <w:color w:val="auto"/>
              </w:rPr>
            </w:pPr>
            <w:r>
              <w:rPr>
                <w:rFonts w:ascii="Arial" w:cs="Arial" w:eastAsia="Arial" w:hAnsi="Arial"/>
                <w:sz w:val="19"/>
                <w:szCs w:val="19"/>
                <w:b w:val="1"/>
                <w:bCs w:val="1"/>
                <w:color w:val="auto"/>
                <w:w w:val="98"/>
              </w:rPr>
              <w:t>Capital Coverage Ratios</w:t>
            </w: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stood 138% above the regulatory minimum. This attests to</w:t>
            </w:r>
          </w:p>
        </w:tc>
        <w:tc>
          <w:tcPr>
            <w:tcW w:w="3280" w:type="dxa"/>
            <w:vAlign w:val="bottom"/>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the Group’s financial solidity and stability. The ratio rose 78</w:t>
            </w:r>
          </w:p>
        </w:tc>
        <w:tc>
          <w:tcPr>
            <w:tcW w:w="3280" w:type="dxa"/>
            <w:vAlign w:val="bottom"/>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 xml:space="preserve">bps </w:t>
            </w:r>
            <w:r>
              <w:rPr>
                <w:rFonts w:ascii="Arial" w:cs="Arial" w:eastAsia="Arial" w:hAnsi="Arial"/>
                <w:sz w:val="18"/>
                <w:szCs w:val="18"/>
                <w:b w:val="1"/>
                <w:bCs w:val="1"/>
                <w:color w:val="auto"/>
              </w:rPr>
              <w:t>QoQ</w:t>
            </w:r>
            <w:r>
              <w:rPr>
                <w:rFonts w:ascii="Arial" w:cs="Arial" w:eastAsia="Arial" w:hAnsi="Arial"/>
                <w:sz w:val="18"/>
                <w:szCs w:val="18"/>
                <w:color w:val="auto"/>
              </w:rPr>
              <w:t>, fueled primarily by an increase in discretionary</w:t>
            </w:r>
          </w:p>
        </w:tc>
        <w:tc>
          <w:tcPr>
            <w:tcW w:w="3280" w:type="dxa"/>
            <w:vAlign w:val="bottom"/>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reserves in response to dividends declare for 2024. Growth</w:t>
            </w:r>
          </w:p>
        </w:tc>
        <w:tc>
          <w:tcPr>
            <w:tcW w:w="3280" w:type="dxa"/>
            <w:vAlign w:val="bottom"/>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was partially offset by a drop in Retained Earnings, which</w:t>
            </w:r>
          </w:p>
        </w:tc>
        <w:tc>
          <w:tcPr>
            <w:tcW w:w="3280" w:type="dxa"/>
            <w:vAlign w:val="bottom"/>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 xml:space="preserve">reflected declarations of dividend payments at </w:t>
            </w:r>
            <w:r>
              <w:rPr>
                <w:rFonts w:ascii="Arial" w:cs="Arial" w:eastAsia="Arial" w:hAnsi="Arial"/>
                <w:sz w:val="18"/>
                <w:szCs w:val="18"/>
                <w:b w:val="1"/>
                <w:bCs w:val="1"/>
                <w:color w:val="auto"/>
              </w:rPr>
              <w:t>BCP Stand-</w:t>
            </w:r>
          </w:p>
        </w:tc>
        <w:tc>
          <w:tcPr>
            <w:tcW w:w="3280" w:type="dxa"/>
            <w:vAlign w:val="bottom"/>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alone </w:t>
            </w:r>
            <w:r>
              <w:rPr>
                <w:rFonts w:ascii="Arial" w:cs="Arial" w:eastAsia="Arial" w:hAnsi="Arial"/>
                <w:sz w:val="18"/>
                <w:szCs w:val="18"/>
                <w:color w:val="auto"/>
              </w:rPr>
              <w:t>and an increase in the balance of Goodwill associated</w:t>
            </w:r>
          </w:p>
        </w:tc>
        <w:tc>
          <w:tcPr>
            <w:tcW w:w="3280" w:type="dxa"/>
            <w:vAlign w:val="bottom"/>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with the acquisition of the remaining 50% stake in the joint</w:t>
            </w:r>
          </w:p>
        </w:tc>
        <w:tc>
          <w:tcPr>
            <w:tcW w:w="3280" w:type="dxa"/>
            <w:vAlign w:val="bottom"/>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venture with Empresas Banmedica</w:t>
            </w:r>
            <w:r>
              <w:rPr>
                <w:rFonts w:ascii="Arial" w:cs="Arial" w:eastAsia="Arial" w:hAnsi="Arial"/>
                <w:sz w:val="18"/>
                <w:szCs w:val="18"/>
                <w:b w:val="1"/>
                <w:bCs w:val="1"/>
                <w:color w:val="auto"/>
              </w:rPr>
              <w:t>. YoY</w:t>
            </w:r>
            <w:r>
              <w:rPr>
                <w:rFonts w:ascii="Arial" w:cs="Arial" w:eastAsia="Arial" w:hAnsi="Arial"/>
                <w:sz w:val="18"/>
                <w:szCs w:val="18"/>
                <w:color w:val="auto"/>
              </w:rPr>
              <w:t>, the ratio rose 1065</w:t>
            </w:r>
          </w:p>
        </w:tc>
        <w:tc>
          <w:tcPr>
            <w:tcW w:w="3280" w:type="dxa"/>
            <w:vAlign w:val="bottom"/>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bps driven by the same dynamics seen QoQ and a higher</w:t>
            </w:r>
          </w:p>
        </w:tc>
        <w:tc>
          <w:tcPr>
            <w:tcW w:w="3280" w:type="dxa"/>
            <w:vAlign w:val="bottom"/>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balance of Subordinated Debt associated with the issuance</w:t>
            </w:r>
          </w:p>
        </w:tc>
        <w:tc>
          <w:tcPr>
            <w:tcW w:w="3280" w:type="dxa"/>
            <w:vAlign w:val="bottom"/>
          </w:tcPr>
          <w:p>
            <w:pPr>
              <w:spacing w:after="0"/>
              <w:rPr>
                <w:sz w:val="17"/>
                <w:szCs w:val="17"/>
                <w:color w:val="auto"/>
              </w:rPr>
            </w:pPr>
          </w:p>
        </w:tc>
      </w:tr>
      <w:tr>
        <w:trPr>
          <w:trHeight w:val="239"/>
        </w:trPr>
        <w:tc>
          <w:tcPr>
            <w:tcW w:w="5960" w:type="dxa"/>
            <w:vAlign w:val="bottom"/>
          </w:tcPr>
          <w:p>
            <w:pPr>
              <w:spacing w:after="0"/>
              <w:rPr>
                <w:sz w:val="20"/>
                <w:szCs w:val="20"/>
                <w:color w:val="auto"/>
              </w:rPr>
            </w:pPr>
            <w:r>
              <w:rPr>
                <w:rFonts w:ascii="Arial" w:cs="Arial" w:eastAsia="Arial" w:hAnsi="Arial"/>
                <w:sz w:val="18"/>
                <w:szCs w:val="18"/>
                <w:color w:val="auto"/>
              </w:rPr>
              <w:t>of subsidiaries.</w:t>
            </w:r>
          </w:p>
        </w:tc>
        <w:tc>
          <w:tcPr>
            <w:tcW w:w="3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-1407795</wp:posOffset>
            </wp:positionV>
            <wp:extent cx="3274695" cy="1543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74695" cy="1543050"/>
                    </a:xfrm>
                    <a:prstGeom prst="rect">
                      <a:avLst/>
                    </a:prstGeom>
                    <a:noFill/>
                  </pic:spPr>
                </pic:pic>
              </a:graphicData>
            </a:graphic>
          </wp:anchor>
        </w:drawing>
      </w:r>
    </w:p>
    <w:p>
      <w:pPr>
        <w:spacing w:after="0" w:line="3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Regulatory Tier 1 Ratio stood at 171% (+323 bps QoQ, +958 bps YoY), while the CET1 ratio situated at 207% (+470 bps QoQ, +1012 bps YoY), both above the regulatory minimum. Growth in both ratios QoQ was driven by the same dynamics that fueled the QoQ increase in the Regulatory Capital Ratio. YoY, drivers of the increase in all three ratios were the same, with the exception of Subordinated Debt, which had no impact on either the Regulatory Tier 1 or CET1 ratios.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Analysis of Capital at BCP Stand-alone</w:t>
      </w:r>
    </w:p>
    <w:p>
      <w:pPr>
        <w:spacing w:after="0" w:line="239" w:lineRule="exact"/>
        <w:rPr>
          <w:sz w:val="20"/>
          <w:szCs w:val="20"/>
          <w:color w:val="auto"/>
        </w:rPr>
      </w:pPr>
    </w:p>
    <w:p>
      <w:pPr>
        <w:jc w:val="both"/>
        <w:ind w:left="5080"/>
        <w:spacing w:after="0" w:line="239" w:lineRule="auto"/>
        <w:rPr>
          <w:sz w:val="20"/>
          <w:szCs w:val="20"/>
          <w:color w:val="auto"/>
        </w:rPr>
      </w:pPr>
      <w:r>
        <w:rPr>
          <w:rFonts w:ascii="Arial" w:cs="Arial" w:eastAsia="Arial" w:hAnsi="Arial"/>
          <w:sz w:val="18"/>
          <w:szCs w:val="18"/>
          <w:b w:val="1"/>
          <w:bCs w:val="1"/>
          <w:color w:val="auto"/>
        </w:rPr>
        <w:t xml:space="preserve">BCP Stand-alone’s IFRS CET1 Ratio </w:t>
      </w:r>
      <w:r>
        <w:rPr>
          <w:rFonts w:ascii="Arial" w:cs="Arial" w:eastAsia="Arial" w:hAnsi="Arial"/>
          <w:sz w:val="18"/>
          <w:szCs w:val="18"/>
          <w:color w:val="auto"/>
        </w:rPr>
        <w:t>dropped 170 bps</w:t>
      </w:r>
      <w:r>
        <w:rPr>
          <w:rFonts w:ascii="Arial" w:cs="Arial" w:eastAsia="Arial" w:hAnsi="Arial"/>
          <w:sz w:val="18"/>
          <w:szCs w:val="18"/>
          <w:b w:val="1"/>
          <w:bCs w:val="1"/>
          <w:color w:val="auto"/>
        </w:rPr>
        <w:t xml:space="preserve"> QoQ </w:t>
      </w:r>
      <w:r>
        <w:rPr>
          <w:rFonts w:ascii="Arial" w:cs="Arial" w:eastAsia="Arial" w:hAnsi="Arial"/>
          <w:sz w:val="18"/>
          <w:szCs w:val="18"/>
          <w:color w:val="auto"/>
        </w:rPr>
        <w:t>to close 1Q25</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 11.62%, which is above our internal appetite of 11.%. This decline was associated with a drop in the balance for Retained Earnings, which fell on the back of dividend payments. The drop in RWAs, which was driven by a contraction in Wholesale Loans, partially offset the decline in the aforementioned balance. </w:t>
      </w:r>
      <w:r>
        <w:rPr>
          <w:rFonts w:ascii="Arial" w:cs="Arial" w:eastAsia="Arial" w:hAnsi="Arial"/>
          <w:sz w:val="18"/>
          <w:szCs w:val="18"/>
          <w:b w:val="1"/>
          <w:bCs w:val="1"/>
          <w:color w:val="auto"/>
        </w:rPr>
        <w:t>YoY</w:t>
      </w:r>
      <w:r>
        <w:rPr>
          <w:rFonts w:ascii="Arial" w:cs="Arial" w:eastAsia="Arial" w:hAnsi="Arial"/>
          <w:sz w:val="18"/>
          <w:szCs w:val="18"/>
          <w:color w:val="auto"/>
        </w:rPr>
        <w:t>, The IFRS CET 1 ratio decreased 24 bps, due primarily to an increase in credit RWAs, which as associated with loan growth, and in operating RWAs, which accompanied growth in the Bank’s margin. The ratio fell in year-over-year was a partially offset by an increase in Retained Earnings, which rose on the back of business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-935990</wp:posOffset>
            </wp:positionV>
            <wp:extent cx="2580005" cy="19291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80005" cy="1929130"/>
                    </a:xfrm>
                    <a:prstGeom prst="rect">
                      <a:avLst/>
                    </a:prstGeom>
                    <a:noFill/>
                  </pic:spPr>
                </pic:pic>
              </a:graphicData>
            </a:graphic>
          </wp:anchor>
        </w:drawing>
      </w:r>
    </w:p>
    <w:p>
      <w:pPr>
        <w:spacing w:after="0" w:line="133" w:lineRule="exact"/>
        <w:rPr>
          <w:sz w:val="20"/>
          <w:szCs w:val="20"/>
          <w:color w:val="auto"/>
        </w:rPr>
      </w:pPr>
    </w:p>
    <w:p>
      <w:pPr>
        <w:jc w:val="both"/>
        <w:ind w:left="5080"/>
        <w:spacing w:after="0" w:line="239" w:lineRule="auto"/>
        <w:rPr>
          <w:sz w:val="20"/>
          <w:szCs w:val="20"/>
          <w:color w:val="auto"/>
        </w:rPr>
      </w:pPr>
      <w:r>
        <w:rPr>
          <w:rFonts w:ascii="Arial" w:cs="Arial" w:eastAsia="Arial" w:hAnsi="Arial"/>
          <w:sz w:val="18"/>
          <w:szCs w:val="18"/>
          <w:color w:val="auto"/>
        </w:rPr>
        <w:t xml:space="preserve">Finally, under the parameters of current regulation, the local CET1 Ratio stood at 11.34%, which compares favorably with the minimum requirement of 7.53% at the end of March 2025, and its variations were driven by the same dynamics that drove the evolution of IFRS CET 1. The Regulatory Global Capital Ratio stood at 16.87% (-184 bps </w:t>
      </w:r>
      <w:r>
        <w:rPr>
          <w:rFonts w:ascii="Arial" w:cs="Arial" w:eastAsia="Arial" w:hAnsi="Arial"/>
          <w:sz w:val="18"/>
          <w:szCs w:val="18"/>
          <w:b w:val="1"/>
          <w:bCs w:val="1"/>
          <w:color w:val="auto"/>
        </w:rPr>
        <w:t>QoQ</w:t>
      </w:r>
      <w:r>
        <w:rPr>
          <w:rFonts w:ascii="Arial" w:cs="Arial" w:eastAsia="Arial" w:hAnsi="Arial"/>
          <w:sz w:val="18"/>
          <w:szCs w:val="18"/>
          <w:color w:val="auto"/>
        </w:rPr>
        <w:t xml:space="preserve">). This ratio is above the regulatory minimum of 13.89% at the end of March 2025. </w:t>
      </w:r>
      <w:r>
        <w:rPr>
          <w:rFonts w:ascii="Arial" w:cs="Arial" w:eastAsia="Arial" w:hAnsi="Arial"/>
          <w:sz w:val="18"/>
          <w:szCs w:val="18"/>
          <w:b w:val="1"/>
          <w:bCs w:val="1"/>
          <w:color w:val="auto"/>
        </w:rPr>
        <w:t>QoQ</w:t>
      </w:r>
      <w:r>
        <w:rPr>
          <w:rFonts w:ascii="Arial" w:cs="Arial" w:eastAsia="Arial" w:hAnsi="Arial"/>
          <w:sz w:val="18"/>
          <w:szCs w:val="18"/>
          <w:color w:val="auto"/>
        </w:rPr>
        <w:t xml:space="preserve">, the decline was fueled by the same dynamics as those seen for IFRS CET1; and </w:t>
      </w:r>
      <w:r>
        <w:rPr>
          <w:rFonts w:ascii="Arial" w:cs="Arial" w:eastAsia="Arial" w:hAnsi="Arial"/>
          <w:sz w:val="18"/>
          <w:szCs w:val="18"/>
          <w:b w:val="1"/>
          <w:bCs w:val="1"/>
          <w:color w:val="auto"/>
        </w:rPr>
        <w:t>YoY</w:t>
      </w:r>
      <w:r>
        <w:rPr>
          <w:rFonts w:ascii="Arial" w:cs="Arial" w:eastAsia="Arial" w:hAnsi="Arial"/>
          <w:sz w:val="18"/>
          <w:szCs w:val="18"/>
          <w:color w:val="auto"/>
        </w:rPr>
        <w:t>, the rise of 74 bps was attributable to an increase in the balance for Subordinated Debt, which was driven by an issuance in September, and to growth in Retained Earnings, which was offset by an increase in RWAs.</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4" w:name="page45"/>
    <w:bookmarkEnd w:id="44"/>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10. Capital Regulatorio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Capital Analysis at Mibanco</w:t>
      </w:r>
    </w:p>
    <w:p>
      <w:pPr>
        <w:spacing w:after="0" w:line="185" w:lineRule="exact"/>
        <w:rPr>
          <w:sz w:val="20"/>
          <w:szCs w:val="20"/>
          <w:color w:val="auto"/>
        </w:rPr>
      </w:pPr>
    </w:p>
    <w:p>
      <w:pPr>
        <w:jc w:val="both"/>
        <w:ind w:left="5080"/>
        <w:spacing w:after="0" w:line="239" w:lineRule="auto"/>
        <w:rPr>
          <w:sz w:val="20"/>
          <w:szCs w:val="20"/>
          <w:color w:val="auto"/>
        </w:rPr>
      </w:pPr>
      <w:r>
        <w:rPr>
          <w:rFonts w:ascii="Arial" w:cs="Arial" w:eastAsia="Arial" w:hAnsi="Arial"/>
          <w:sz w:val="18"/>
          <w:szCs w:val="18"/>
          <w:color w:val="auto"/>
        </w:rPr>
        <w:t xml:space="preserve">At the end of 1Q25, </w:t>
      </w:r>
      <w:r>
        <w:rPr>
          <w:rFonts w:ascii="Arial" w:cs="Arial" w:eastAsia="Arial" w:hAnsi="Arial"/>
          <w:sz w:val="18"/>
          <w:szCs w:val="18"/>
          <w:b w:val="1"/>
          <w:bCs w:val="1"/>
          <w:color w:val="auto"/>
        </w:rPr>
        <w:t>Mibanco’s</w:t>
      </w:r>
      <w:r>
        <w:rPr>
          <w:rFonts w:ascii="Arial" w:cs="Arial" w:eastAsia="Arial" w:hAnsi="Arial"/>
          <w:sz w:val="18"/>
          <w:szCs w:val="18"/>
          <w:color w:val="auto"/>
        </w:rPr>
        <w:t xml:space="preserve"> IFRS CET1 Ratio stood at 15.89% (-164 bps QoQ), which exceeded our internal appetite of 15%. </w:t>
      </w:r>
      <w:r>
        <w:rPr>
          <w:rFonts w:ascii="Arial" w:cs="Arial" w:eastAsia="Arial" w:hAnsi="Arial"/>
          <w:sz w:val="18"/>
          <w:szCs w:val="18"/>
          <w:b w:val="1"/>
          <w:bCs w:val="1"/>
          <w:color w:val="auto"/>
        </w:rPr>
        <w:t>QoQ</w:t>
      </w:r>
      <w:r>
        <w:rPr>
          <w:rFonts w:ascii="Arial" w:cs="Arial" w:eastAsia="Arial" w:hAnsi="Arial"/>
          <w:sz w:val="18"/>
          <w:szCs w:val="18"/>
          <w:color w:val="auto"/>
        </w:rPr>
        <w:t xml:space="preserve">, this decline was driven by growth in RWAS, which rose alongside loan growth. A drop in Retained Earnings, which fell due to dividend declarations also impacted the IFRS CET1 result. </w:t>
      </w:r>
      <w:r>
        <w:rPr>
          <w:rFonts w:ascii="Arial" w:cs="Arial" w:eastAsia="Arial" w:hAnsi="Arial"/>
          <w:sz w:val="18"/>
          <w:szCs w:val="18"/>
          <w:b w:val="1"/>
          <w:bCs w:val="1"/>
          <w:color w:val="auto"/>
        </w:rPr>
        <w:t>YoY</w:t>
      </w:r>
      <w:r>
        <w:rPr>
          <w:rFonts w:ascii="Arial" w:cs="Arial" w:eastAsia="Arial" w:hAnsi="Arial"/>
          <w:sz w:val="18"/>
          <w:szCs w:val="18"/>
          <w:color w:val="auto"/>
        </w:rPr>
        <w:t xml:space="preserve">, this ratio dropped 18 bps due to a reduction in Retained Earnings, which was fueled by the same dynamics as those seen </w:t>
      </w:r>
      <w:r>
        <w:rPr>
          <w:rFonts w:ascii="Arial" w:cs="Arial" w:eastAsia="Arial" w:hAnsi="Arial"/>
          <w:sz w:val="18"/>
          <w:szCs w:val="18"/>
          <w:b w:val="1"/>
          <w:bCs w:val="1"/>
          <w:color w:val="auto"/>
        </w:rPr>
        <w:t>QoQ</w:t>
      </w:r>
      <w:r>
        <w:rPr>
          <w:rFonts w:ascii="Arial" w:cs="Arial" w:eastAsia="Arial" w:hAnsi="Arial"/>
          <w:sz w:val="18"/>
          <w:szCs w:val="18"/>
          <w:color w:val="auto"/>
        </w:rPr>
        <w:t>. The decrease in the IFRS CET1 Ratio was partially offset by a</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in RWA levels due to loan contraction, which reflected the implementation of stricter lending guidelines over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-745490</wp:posOffset>
            </wp:positionV>
            <wp:extent cx="2520315" cy="19799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20315" cy="1979930"/>
                    </a:xfrm>
                    <a:prstGeom prst="rect">
                      <a:avLst/>
                    </a:prstGeom>
                    <a:noFill/>
                  </pic:spPr>
                </pic:pic>
              </a:graphicData>
            </a:graphic>
          </wp:anchor>
        </w:drawing>
      </w:r>
    </w:p>
    <w:p>
      <w:pPr>
        <w:spacing w:after="0" w:line="136" w:lineRule="exact"/>
        <w:rPr>
          <w:sz w:val="20"/>
          <w:szCs w:val="20"/>
          <w:color w:val="auto"/>
        </w:rPr>
      </w:pPr>
    </w:p>
    <w:p>
      <w:pPr>
        <w:jc w:val="both"/>
        <w:ind w:left="5080"/>
        <w:spacing w:after="0" w:line="238" w:lineRule="auto"/>
        <w:rPr>
          <w:sz w:val="20"/>
          <w:szCs w:val="20"/>
          <w:color w:val="auto"/>
        </w:rPr>
      </w:pPr>
      <w:r>
        <w:rPr>
          <w:rFonts w:ascii="Arial" w:cs="Arial" w:eastAsia="Arial" w:hAnsi="Arial"/>
          <w:sz w:val="18"/>
          <w:szCs w:val="18"/>
          <w:color w:val="auto"/>
        </w:rPr>
        <w:t xml:space="preserve">Under the parameters of current regulation, local CET1 stood at 15.48%, which compares favorably with the minimum requirement of 7.75% at the end of March 2025. The variations in this result were driven by the same dynamics as those observed for IFRS CET1. The Regulatory Global Capital Ratio stood at 18.53% (-89 bps </w:t>
      </w:r>
      <w:r>
        <w:rPr>
          <w:rFonts w:ascii="Arial" w:cs="Arial" w:eastAsia="Arial" w:hAnsi="Arial"/>
          <w:sz w:val="18"/>
          <w:szCs w:val="18"/>
          <w:b w:val="1"/>
          <w:bCs w:val="1"/>
          <w:color w:val="auto"/>
        </w:rPr>
        <w:t>QoQ</w:t>
      </w:r>
      <w:r>
        <w:rPr>
          <w:rFonts w:ascii="Arial" w:cs="Arial" w:eastAsia="Arial" w:hAnsi="Arial"/>
          <w:sz w:val="18"/>
          <w:szCs w:val="18"/>
          <w:color w:val="auto"/>
        </w:rPr>
        <w:t xml:space="preserve">), which is significantly above the regulatory minimum of 14.55% This variation was fueled by the same dynamics that drove the evolution of IFRS CET1. </w:t>
      </w:r>
      <w:r>
        <w:rPr>
          <w:rFonts w:ascii="Arial" w:cs="Arial" w:eastAsia="Arial" w:hAnsi="Arial"/>
          <w:sz w:val="18"/>
          <w:szCs w:val="18"/>
          <w:b w:val="1"/>
          <w:bCs w:val="1"/>
          <w:color w:val="auto"/>
        </w:rPr>
        <w:t>YoY,</w:t>
      </w:r>
      <w:r>
        <w:rPr>
          <w:rFonts w:ascii="Arial" w:cs="Arial" w:eastAsia="Arial" w:hAnsi="Arial"/>
          <w:sz w:val="18"/>
          <w:szCs w:val="18"/>
          <w:color w:val="auto"/>
        </w:rPr>
        <w:t xml:space="preserve"> the ratio rose 50 bps, fueled mainly by a decrease in the RWA balance, which was driven primarily by loan contraction and secondarily by a Subordinated Debt Issuance and growth in the Reserves balance. The aforementioned rise in the IFRS in year-over-year terms was offset by a drop in Retained Earnings due to dividend declaration.</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5" w:name="page46"/>
    <w:bookmarkEnd w:id="45"/>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384" w:lineRule="exact"/>
        <w:rPr>
          <w:sz w:val="20"/>
          <w:szCs w:val="20"/>
          <w:color w:val="auto"/>
        </w:rPr>
      </w:pPr>
    </w:p>
    <w:p>
      <w:pPr>
        <w:ind w:left="460"/>
        <w:spacing w:after="0"/>
        <w:rPr>
          <w:sz w:val="20"/>
          <w:szCs w:val="20"/>
          <w:color w:val="auto"/>
        </w:rPr>
      </w:pPr>
      <w:r>
        <w:rPr>
          <w:rFonts w:ascii="Arial" w:cs="Arial" w:eastAsia="Arial" w:hAnsi="Arial"/>
          <w:sz w:val="52"/>
          <w:szCs w:val="52"/>
          <w:b w:val="1"/>
          <w:bCs w:val="1"/>
          <w:color w:val="E93BAC"/>
        </w:rPr>
        <w:t xml:space="preserve">11 </w:t>
      </w:r>
      <w:r>
        <w:rPr>
          <w:rFonts w:ascii="Arial" w:cs="Arial" w:eastAsia="Arial" w:hAnsi="Arial"/>
          <w:sz w:val="32"/>
          <w:szCs w:val="32"/>
          <w:color w:val="E93BAC"/>
        </w:rPr>
        <w:t>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151765</wp:posOffset>
            </wp:positionV>
            <wp:extent cx="6557645" cy="13970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57645" cy="1397000"/>
                    </a:xfrm>
                    <a:prstGeom prst="rect">
                      <a:avLst/>
                    </a:prstGeom>
                    <a:noFill/>
                  </pic:spPr>
                </pic:pic>
              </a:graphicData>
            </a:graphic>
          </wp:anchor>
        </w:drawing>
      </w:r>
    </w:p>
    <w:p>
      <w:pPr>
        <w:spacing w:after="0" w:line="294" w:lineRule="exact"/>
        <w:rPr>
          <w:sz w:val="20"/>
          <w:szCs w:val="20"/>
          <w:color w:val="auto"/>
        </w:rPr>
      </w:pPr>
    </w:p>
    <w:p>
      <w:pPr>
        <w:jc w:val="both"/>
        <w:ind w:left="580" w:right="560"/>
        <w:spacing w:after="0" w:line="271" w:lineRule="auto"/>
        <w:rPr>
          <w:sz w:val="20"/>
          <w:szCs w:val="20"/>
          <w:color w:val="auto"/>
        </w:rPr>
      </w:pPr>
      <w:r>
        <w:rPr>
          <w:rFonts w:ascii="Arial" w:cs="Arial" w:eastAsia="Arial" w:hAnsi="Arial"/>
          <w:sz w:val="18"/>
          <w:szCs w:val="18"/>
          <w:color w:val="FFFFFF"/>
        </w:rPr>
        <w:t>In 1Q25, the Peruvian economy grew 3.9% YoY, the third consecutive quarter at a pace around 4%, favored by non-primary sectors, whose growth was driven by the recovery of formal employment and real wages.</w:t>
      </w:r>
    </w:p>
    <w:p>
      <w:pPr>
        <w:spacing w:after="0" w:line="154" w:lineRule="exact"/>
        <w:rPr>
          <w:sz w:val="20"/>
          <w:szCs w:val="20"/>
          <w:color w:val="auto"/>
        </w:rPr>
      </w:pPr>
    </w:p>
    <w:p>
      <w:pPr>
        <w:jc w:val="both"/>
        <w:ind w:left="580" w:right="560"/>
        <w:spacing w:after="0" w:line="253" w:lineRule="auto"/>
        <w:rPr>
          <w:sz w:val="20"/>
          <w:szCs w:val="20"/>
          <w:color w:val="auto"/>
        </w:rPr>
      </w:pPr>
      <w:r>
        <w:rPr>
          <w:rFonts w:ascii="Arial" w:cs="Arial" w:eastAsia="Arial" w:hAnsi="Arial"/>
          <w:sz w:val="18"/>
          <w:szCs w:val="18"/>
          <w:color w:val="FFFFFF"/>
        </w:rPr>
        <w:t>The annual inflation rate slowed marginally and closed the quarter at 1.3% YoY (2.0% YoY in the fourth quarter of 2024), approaching the lower limit of the target range of 1-3%. In its May 2025 monetary policy meeting, the BCRP lowered its policy rate 25 basis points to 4.50%, marking its second rate cut of the year after the first rate cut in January 2025.</w:t>
      </w:r>
    </w:p>
    <w:p>
      <w:pPr>
        <w:spacing w:after="0" w:line="169" w:lineRule="exact"/>
        <w:rPr>
          <w:sz w:val="20"/>
          <w:szCs w:val="20"/>
          <w:color w:val="auto"/>
        </w:rPr>
      </w:pPr>
    </w:p>
    <w:p>
      <w:pPr>
        <w:jc w:val="both"/>
        <w:ind w:left="580" w:right="560"/>
        <w:spacing w:after="0" w:line="253" w:lineRule="auto"/>
        <w:rPr>
          <w:sz w:val="20"/>
          <w:szCs w:val="20"/>
          <w:color w:val="auto"/>
        </w:rPr>
      </w:pPr>
      <w:r>
        <w:rPr>
          <w:rFonts w:ascii="Arial" w:cs="Arial" w:eastAsia="Arial" w:hAnsi="Arial"/>
          <w:sz w:val="18"/>
          <w:szCs w:val="18"/>
          <w:color w:val="FFFFFF"/>
        </w:rPr>
        <w:t>According to the BCRP, the exchange rate closed at USDPEN 3.67 in the first quarter of 2025, an appreciation of 2.6% compared to the close of the fourth quarter of 2024, making it one of the best-performing currencies among emerging countries.</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Peru: Economic Forecast</w:t>
      </w:r>
    </w:p>
    <w:p>
      <w:pPr>
        <w:spacing w:after="0" w:line="32" w:lineRule="exact"/>
        <w:rPr>
          <w:sz w:val="20"/>
          <w:szCs w:val="20"/>
          <w:color w:val="auto"/>
        </w:rPr>
      </w:pPr>
    </w:p>
    <w:tbl>
      <w:tblPr>
        <w:tblLayout w:type="fixed"/>
        <w:tblInd w:w="340" w:type="dxa"/>
        <w:tblCellMar>
          <w:top w:w="0" w:type="dxa"/>
          <w:left w:w="0" w:type="dxa"/>
          <w:bottom w:w="0" w:type="dxa"/>
          <w:right w:w="0" w:type="dxa"/>
        </w:tblCellMar>
      </w:tblPr>
      <w:tr>
        <w:trPr>
          <w:trHeight w:val="347"/>
        </w:trPr>
        <w:tc>
          <w:tcPr>
            <w:tcW w:w="4380" w:type="dxa"/>
            <w:vAlign w:val="bottom"/>
            <w:tcBorders>
              <w:bottom w:val="single" w:sz="8" w:color="2AD2C8"/>
            </w:tcBorders>
            <w:shd w:val="clear" w:color="auto" w:fill="2AD2C8"/>
          </w:tcPr>
          <w:p>
            <w:pPr>
              <w:ind w:left="1980"/>
              <w:spacing w:after="0"/>
              <w:rPr>
                <w:sz w:val="20"/>
                <w:szCs w:val="20"/>
                <w:color w:val="auto"/>
              </w:rPr>
            </w:pPr>
            <w:r>
              <w:rPr>
                <w:rFonts w:ascii="Arial" w:cs="Arial" w:eastAsia="Arial" w:hAnsi="Arial"/>
                <w:sz w:val="18"/>
                <w:szCs w:val="18"/>
                <w:b w:val="1"/>
                <w:bCs w:val="1"/>
                <w:color w:val="FFFFFF"/>
              </w:rPr>
              <w:t>Peru</w:t>
            </w:r>
          </w:p>
        </w:tc>
        <w:tc>
          <w:tcPr>
            <w:tcW w:w="860" w:type="dxa"/>
            <w:vAlign w:val="bottom"/>
            <w:tcBorders>
              <w:bottom w:val="single" w:sz="8" w:color="2AD2C8"/>
            </w:tcBorders>
            <w:shd w:val="clear" w:color="auto" w:fill="2AD2C8"/>
          </w:tcPr>
          <w:p>
            <w:pPr>
              <w:jc w:val="center"/>
              <w:spacing w:after="0"/>
              <w:rPr>
                <w:sz w:val="20"/>
                <w:szCs w:val="20"/>
                <w:color w:val="auto"/>
              </w:rPr>
            </w:pPr>
            <w:r>
              <w:rPr>
                <w:rFonts w:ascii="Arial" w:cs="Arial" w:eastAsia="Arial" w:hAnsi="Arial"/>
                <w:sz w:val="18"/>
                <w:szCs w:val="18"/>
                <w:b w:val="1"/>
                <w:bCs w:val="1"/>
                <w:color w:val="FFFFFF"/>
                <w:w w:val="99"/>
              </w:rPr>
              <w:t>2019</w:t>
            </w:r>
          </w:p>
        </w:tc>
        <w:tc>
          <w:tcPr>
            <w:tcW w:w="860" w:type="dxa"/>
            <w:vAlign w:val="bottom"/>
            <w:tcBorders>
              <w:bottom w:val="single" w:sz="8" w:color="2AD2C8"/>
            </w:tcBorders>
            <w:shd w:val="clear" w:color="auto" w:fill="2AD2C8"/>
          </w:tcPr>
          <w:p>
            <w:pPr>
              <w:jc w:val="center"/>
              <w:spacing w:after="0"/>
              <w:rPr>
                <w:sz w:val="20"/>
                <w:szCs w:val="20"/>
                <w:color w:val="auto"/>
              </w:rPr>
            </w:pPr>
            <w:r>
              <w:rPr>
                <w:rFonts w:ascii="Arial" w:cs="Arial" w:eastAsia="Arial" w:hAnsi="Arial"/>
                <w:sz w:val="18"/>
                <w:szCs w:val="18"/>
                <w:b w:val="1"/>
                <w:bCs w:val="1"/>
                <w:color w:val="FFFFFF"/>
                <w:w w:val="99"/>
              </w:rPr>
              <w:t>2020</w:t>
            </w:r>
          </w:p>
        </w:tc>
        <w:tc>
          <w:tcPr>
            <w:tcW w:w="880" w:type="dxa"/>
            <w:vAlign w:val="bottom"/>
            <w:tcBorders>
              <w:bottom w:val="single" w:sz="8" w:color="2AD2C8"/>
            </w:tcBorders>
            <w:shd w:val="clear" w:color="auto" w:fill="2AD2C8"/>
          </w:tcPr>
          <w:p>
            <w:pPr>
              <w:jc w:val="center"/>
              <w:spacing w:after="0"/>
              <w:rPr>
                <w:sz w:val="20"/>
                <w:szCs w:val="20"/>
                <w:color w:val="auto"/>
              </w:rPr>
            </w:pPr>
            <w:r>
              <w:rPr>
                <w:rFonts w:ascii="Arial" w:cs="Arial" w:eastAsia="Arial" w:hAnsi="Arial"/>
                <w:sz w:val="18"/>
                <w:szCs w:val="18"/>
                <w:b w:val="1"/>
                <w:bCs w:val="1"/>
                <w:color w:val="FFFFFF"/>
                <w:w w:val="99"/>
              </w:rPr>
              <w:t>2021</w:t>
            </w:r>
          </w:p>
        </w:tc>
        <w:tc>
          <w:tcPr>
            <w:tcW w:w="900" w:type="dxa"/>
            <w:vAlign w:val="bottom"/>
            <w:shd w:val="clear" w:color="auto" w:fill="2AD2C8"/>
          </w:tcPr>
          <w:p>
            <w:pPr>
              <w:jc w:val="center"/>
              <w:spacing w:after="0"/>
              <w:rPr>
                <w:sz w:val="20"/>
                <w:szCs w:val="20"/>
                <w:color w:val="auto"/>
              </w:rPr>
            </w:pPr>
            <w:r>
              <w:rPr>
                <w:rFonts w:ascii="Arial" w:cs="Arial" w:eastAsia="Arial" w:hAnsi="Arial"/>
                <w:sz w:val="18"/>
                <w:szCs w:val="18"/>
                <w:b w:val="1"/>
                <w:bCs w:val="1"/>
                <w:color w:val="FFFFFF"/>
                <w:w w:val="99"/>
              </w:rPr>
              <w:t>2022</w:t>
            </w:r>
          </w:p>
        </w:tc>
        <w:tc>
          <w:tcPr>
            <w:tcW w:w="880" w:type="dxa"/>
            <w:vAlign w:val="bottom"/>
            <w:tcBorders>
              <w:bottom w:val="single" w:sz="8" w:color="2AD2C8"/>
            </w:tcBorders>
            <w:shd w:val="clear" w:color="auto" w:fill="2AD2C8"/>
          </w:tcPr>
          <w:p>
            <w:pPr>
              <w:jc w:val="center"/>
              <w:spacing w:after="0"/>
              <w:rPr>
                <w:sz w:val="20"/>
                <w:szCs w:val="20"/>
                <w:color w:val="auto"/>
              </w:rPr>
            </w:pPr>
            <w:r>
              <w:rPr>
                <w:rFonts w:ascii="Arial" w:cs="Arial" w:eastAsia="Arial" w:hAnsi="Arial"/>
                <w:sz w:val="18"/>
                <w:szCs w:val="18"/>
                <w:b w:val="1"/>
                <w:bCs w:val="1"/>
                <w:color w:val="FFFFFF"/>
                <w:w w:val="99"/>
              </w:rPr>
              <w:t>2023</w:t>
            </w:r>
          </w:p>
        </w:tc>
        <w:tc>
          <w:tcPr>
            <w:tcW w:w="900" w:type="dxa"/>
            <w:vAlign w:val="bottom"/>
            <w:shd w:val="clear" w:color="auto" w:fill="2AD2C8"/>
          </w:tcPr>
          <w:p>
            <w:pPr>
              <w:jc w:val="center"/>
              <w:spacing w:after="0"/>
              <w:rPr>
                <w:sz w:val="20"/>
                <w:szCs w:val="20"/>
                <w:color w:val="auto"/>
              </w:rPr>
            </w:pPr>
            <w:r>
              <w:rPr>
                <w:rFonts w:ascii="Arial" w:cs="Arial" w:eastAsia="Arial" w:hAnsi="Arial"/>
                <w:sz w:val="18"/>
                <w:szCs w:val="18"/>
                <w:b w:val="1"/>
                <w:bCs w:val="1"/>
                <w:color w:val="FFFFFF"/>
                <w:w w:val="99"/>
              </w:rPr>
              <w:t>2024</w:t>
            </w:r>
          </w:p>
        </w:tc>
        <w:tc>
          <w:tcPr>
            <w:tcW w:w="900" w:type="dxa"/>
            <w:vAlign w:val="bottom"/>
            <w:tcBorders>
              <w:bottom w:val="single" w:sz="8" w:color="F1F1F1"/>
            </w:tcBorders>
            <w:shd w:val="clear" w:color="auto" w:fill="2AD2C8"/>
          </w:tcPr>
          <w:p>
            <w:pPr>
              <w:jc w:val="center"/>
              <w:spacing w:after="0"/>
              <w:rPr>
                <w:sz w:val="20"/>
                <w:szCs w:val="20"/>
                <w:color w:val="auto"/>
              </w:rPr>
            </w:pPr>
            <w:r>
              <w:rPr>
                <w:rFonts w:ascii="Arial" w:cs="Arial" w:eastAsia="Arial" w:hAnsi="Arial"/>
                <w:sz w:val="18"/>
                <w:szCs w:val="18"/>
                <w:b w:val="1"/>
                <w:bCs w:val="1"/>
                <w:color w:val="FFFFFF"/>
                <w:w w:val="90"/>
              </w:rPr>
              <w:t xml:space="preserve">2025 </w:t>
            </w:r>
            <w:r>
              <w:rPr>
                <w:rFonts w:ascii="Arial" w:cs="Arial" w:eastAsia="Arial" w:hAnsi="Arial"/>
                <w:sz w:val="29"/>
                <w:szCs w:val="29"/>
                <w:b w:val="1"/>
                <w:bCs w:val="1"/>
                <w:color w:val="FFFFFF"/>
                <w:w w:val="90"/>
                <w:vertAlign w:val="superscript"/>
              </w:rPr>
              <w:t>(4)</w:t>
            </w:r>
          </w:p>
        </w:tc>
      </w:tr>
      <w:tr>
        <w:trPr>
          <w:trHeight w:val="177"/>
        </w:trPr>
        <w:tc>
          <w:tcPr>
            <w:tcW w:w="4380" w:type="dxa"/>
            <w:vAlign w:val="bottom"/>
          </w:tcPr>
          <w:p>
            <w:pPr>
              <w:ind w:left="100"/>
              <w:spacing w:after="0" w:line="177" w:lineRule="exact"/>
              <w:rPr>
                <w:sz w:val="20"/>
                <w:szCs w:val="20"/>
                <w:color w:val="auto"/>
              </w:rPr>
            </w:pPr>
            <w:r>
              <w:rPr>
                <w:rFonts w:ascii="Arial" w:cs="Arial" w:eastAsia="Arial" w:hAnsi="Arial"/>
                <w:sz w:val="18"/>
                <w:szCs w:val="18"/>
                <w:color w:val="auto"/>
              </w:rPr>
              <w:t>GDP (US$ Millions)</w:t>
            </w:r>
          </w:p>
        </w:tc>
        <w:tc>
          <w:tcPr>
            <w:tcW w:w="860" w:type="dxa"/>
            <w:vAlign w:val="bottom"/>
          </w:tcPr>
          <w:p>
            <w:pPr>
              <w:jc w:val="center"/>
              <w:spacing w:after="0" w:line="177" w:lineRule="exact"/>
              <w:rPr>
                <w:sz w:val="20"/>
                <w:szCs w:val="20"/>
                <w:color w:val="auto"/>
              </w:rPr>
            </w:pPr>
            <w:r>
              <w:rPr>
                <w:rFonts w:ascii="Arial" w:cs="Arial" w:eastAsia="Arial" w:hAnsi="Arial"/>
                <w:sz w:val="18"/>
                <w:szCs w:val="18"/>
                <w:color w:val="auto"/>
              </w:rPr>
              <w:t>236,517</w:t>
            </w:r>
          </w:p>
        </w:tc>
        <w:tc>
          <w:tcPr>
            <w:tcW w:w="860" w:type="dxa"/>
            <w:vAlign w:val="bottom"/>
          </w:tcPr>
          <w:p>
            <w:pPr>
              <w:jc w:val="center"/>
              <w:spacing w:after="0" w:line="177" w:lineRule="exact"/>
              <w:rPr>
                <w:sz w:val="20"/>
                <w:szCs w:val="20"/>
                <w:color w:val="auto"/>
              </w:rPr>
            </w:pPr>
            <w:r>
              <w:rPr>
                <w:rFonts w:ascii="Arial" w:cs="Arial" w:eastAsia="Arial" w:hAnsi="Arial"/>
                <w:sz w:val="18"/>
                <w:szCs w:val="18"/>
                <w:color w:val="auto"/>
              </w:rPr>
              <w:t>209,723</w:t>
            </w:r>
          </w:p>
        </w:tc>
        <w:tc>
          <w:tcPr>
            <w:tcW w:w="880" w:type="dxa"/>
            <w:vAlign w:val="bottom"/>
          </w:tcPr>
          <w:p>
            <w:pPr>
              <w:jc w:val="center"/>
              <w:spacing w:after="0" w:line="177" w:lineRule="exact"/>
              <w:rPr>
                <w:sz w:val="20"/>
                <w:szCs w:val="20"/>
                <w:color w:val="auto"/>
              </w:rPr>
            </w:pPr>
            <w:r>
              <w:rPr>
                <w:rFonts w:ascii="Arial" w:cs="Arial" w:eastAsia="Arial" w:hAnsi="Arial"/>
                <w:sz w:val="18"/>
                <w:szCs w:val="18"/>
                <w:color w:val="auto"/>
                <w:w w:val="98"/>
              </w:rPr>
              <w:t>229,791</w:t>
            </w:r>
          </w:p>
        </w:tc>
        <w:tc>
          <w:tcPr>
            <w:tcW w:w="900" w:type="dxa"/>
            <w:vAlign w:val="bottom"/>
          </w:tcPr>
          <w:p>
            <w:pPr>
              <w:jc w:val="center"/>
              <w:spacing w:after="0" w:line="177" w:lineRule="exact"/>
              <w:rPr>
                <w:sz w:val="20"/>
                <w:szCs w:val="20"/>
                <w:color w:val="auto"/>
              </w:rPr>
            </w:pPr>
            <w:r>
              <w:rPr>
                <w:rFonts w:ascii="Arial" w:cs="Arial" w:eastAsia="Arial" w:hAnsi="Arial"/>
                <w:sz w:val="18"/>
                <w:szCs w:val="18"/>
                <w:color w:val="auto"/>
              </w:rPr>
              <w:t>248,403</w:t>
            </w:r>
          </w:p>
        </w:tc>
        <w:tc>
          <w:tcPr>
            <w:tcW w:w="880" w:type="dxa"/>
            <w:vAlign w:val="bottom"/>
          </w:tcPr>
          <w:p>
            <w:pPr>
              <w:jc w:val="center"/>
              <w:spacing w:after="0" w:line="177" w:lineRule="exact"/>
              <w:rPr>
                <w:sz w:val="20"/>
                <w:szCs w:val="20"/>
                <w:color w:val="auto"/>
              </w:rPr>
            </w:pPr>
            <w:r>
              <w:rPr>
                <w:rFonts w:ascii="Arial" w:cs="Arial" w:eastAsia="Arial" w:hAnsi="Arial"/>
                <w:sz w:val="18"/>
                <w:szCs w:val="18"/>
                <w:color w:val="auto"/>
                <w:w w:val="98"/>
              </w:rPr>
              <w:t>272,221</w:t>
            </w:r>
          </w:p>
        </w:tc>
        <w:tc>
          <w:tcPr>
            <w:tcW w:w="900" w:type="dxa"/>
            <w:vAlign w:val="bottom"/>
          </w:tcPr>
          <w:p>
            <w:pPr>
              <w:jc w:val="center"/>
              <w:spacing w:after="0" w:line="177" w:lineRule="exact"/>
              <w:rPr>
                <w:sz w:val="20"/>
                <w:szCs w:val="20"/>
                <w:color w:val="auto"/>
              </w:rPr>
            </w:pPr>
            <w:r>
              <w:rPr>
                <w:rFonts w:ascii="Arial" w:cs="Arial" w:eastAsia="Arial" w:hAnsi="Arial"/>
                <w:sz w:val="18"/>
                <w:szCs w:val="18"/>
                <w:color w:val="auto"/>
              </w:rPr>
              <w:t>295,160</w:t>
            </w:r>
          </w:p>
        </w:tc>
        <w:tc>
          <w:tcPr>
            <w:tcW w:w="900" w:type="dxa"/>
            <w:vAlign w:val="bottom"/>
            <w:shd w:val="clear" w:color="auto" w:fill="F1F1F1"/>
          </w:tcPr>
          <w:p>
            <w:pPr>
              <w:jc w:val="center"/>
              <w:spacing w:after="0" w:line="177" w:lineRule="exact"/>
              <w:rPr>
                <w:sz w:val="20"/>
                <w:szCs w:val="20"/>
                <w:color w:val="auto"/>
              </w:rPr>
            </w:pPr>
            <w:r>
              <w:rPr>
                <w:rFonts w:ascii="Arial" w:cs="Arial" w:eastAsia="Arial" w:hAnsi="Arial"/>
                <w:sz w:val="18"/>
                <w:szCs w:val="18"/>
                <w:color w:val="auto"/>
              </w:rPr>
              <w:t>306,026</w:t>
            </w: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Real GDP (% change)</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rPr>
              <w:t>2.2</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7"/>
              </w:rPr>
              <w:t>-10.9</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13.4</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2.8</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-0.4</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3.3</w:t>
            </w:r>
          </w:p>
        </w:tc>
        <w:tc>
          <w:tcPr>
            <w:tcW w:w="900" w:type="dxa"/>
            <w:vAlign w:val="bottom"/>
            <w:shd w:val="clear" w:color="auto" w:fill="F1F1F1"/>
          </w:tcPr>
          <w:p>
            <w:pPr>
              <w:jc w:val="center"/>
              <w:spacing w:after="0" w:line="202" w:lineRule="exact"/>
              <w:rPr>
                <w:sz w:val="20"/>
                <w:szCs w:val="20"/>
                <w:color w:val="auto"/>
              </w:rPr>
            </w:pPr>
            <w:r>
              <w:rPr>
                <w:rFonts w:ascii="Arial" w:cs="Arial" w:eastAsia="Arial" w:hAnsi="Arial"/>
                <w:sz w:val="18"/>
                <w:szCs w:val="18"/>
                <w:color w:val="auto"/>
              </w:rPr>
              <w:t>3.2</w:t>
            </w: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GDP per capita (US$)</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rPr>
              <w:t>7,361</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rPr>
              <w:t>6,428</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7"/>
              </w:rPr>
              <w:t>6,956</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7,438</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7"/>
              </w:rPr>
              <w:t>8,072</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8,671</w:t>
            </w:r>
          </w:p>
        </w:tc>
        <w:tc>
          <w:tcPr>
            <w:tcW w:w="900" w:type="dxa"/>
            <w:vAlign w:val="bottom"/>
            <w:shd w:val="clear" w:color="auto" w:fill="F1F1F1"/>
          </w:tcPr>
          <w:p>
            <w:pPr>
              <w:jc w:val="center"/>
              <w:spacing w:after="0" w:line="202" w:lineRule="exact"/>
              <w:rPr>
                <w:sz w:val="20"/>
                <w:szCs w:val="20"/>
                <w:color w:val="auto"/>
              </w:rPr>
            </w:pPr>
            <w:r>
              <w:rPr>
                <w:rFonts w:ascii="Arial" w:cs="Arial" w:eastAsia="Arial" w:hAnsi="Arial"/>
                <w:sz w:val="18"/>
                <w:szCs w:val="18"/>
                <w:color w:val="auto"/>
              </w:rPr>
              <w:t>8,893</w:t>
            </w: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Domestic demand (% change)</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rPr>
              <w:t>2.9</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rPr>
              <w:t>-9.3</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13.9</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2.4</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-1.1</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4.0</w:t>
            </w:r>
          </w:p>
        </w:tc>
        <w:tc>
          <w:tcPr>
            <w:tcW w:w="900" w:type="dxa"/>
            <w:vAlign w:val="bottom"/>
            <w:shd w:val="clear" w:color="auto" w:fill="F1F1F1"/>
          </w:tcPr>
          <w:p>
            <w:pPr>
              <w:jc w:val="center"/>
              <w:spacing w:after="0" w:line="202" w:lineRule="exact"/>
              <w:rPr>
                <w:sz w:val="20"/>
                <w:szCs w:val="20"/>
                <w:color w:val="auto"/>
              </w:rPr>
            </w:pPr>
            <w:r>
              <w:rPr>
                <w:rFonts w:ascii="Arial" w:cs="Arial" w:eastAsia="Arial" w:hAnsi="Arial"/>
                <w:sz w:val="18"/>
                <w:szCs w:val="18"/>
                <w:color w:val="auto"/>
              </w:rPr>
              <w:t>3.7</w:t>
            </w: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Gross fixed investment (as % GDP)</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9"/>
              </w:rPr>
              <w:t>22</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9"/>
              </w:rPr>
              <w:t>21</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25</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25</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23</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23</w:t>
            </w:r>
          </w:p>
        </w:tc>
        <w:tc>
          <w:tcPr>
            <w:tcW w:w="900" w:type="dxa"/>
            <w:vAlign w:val="bottom"/>
            <w:shd w:val="clear" w:color="auto" w:fill="F1F1F1"/>
          </w:tcPr>
          <w:p>
            <w:pPr>
              <w:jc w:val="center"/>
              <w:spacing w:after="0" w:line="202" w:lineRule="exact"/>
              <w:rPr>
                <w:sz w:val="20"/>
                <w:szCs w:val="20"/>
                <w:color w:val="auto"/>
              </w:rPr>
            </w:pPr>
            <w:r>
              <w:rPr>
                <w:rFonts w:ascii="Arial" w:cs="Arial" w:eastAsia="Arial" w:hAnsi="Arial"/>
                <w:sz w:val="18"/>
                <w:szCs w:val="18"/>
                <w:color w:val="auto"/>
                <w:w w:val="99"/>
              </w:rPr>
              <w:t>23</w:t>
            </w:r>
          </w:p>
        </w:tc>
      </w:tr>
      <w:tr>
        <w:trPr>
          <w:trHeight w:val="193"/>
        </w:trPr>
        <w:tc>
          <w:tcPr>
            <w:tcW w:w="4380" w:type="dxa"/>
            <w:vAlign w:val="bottom"/>
          </w:tcPr>
          <w:p>
            <w:pPr>
              <w:ind w:left="100"/>
              <w:spacing w:after="0" w:line="193" w:lineRule="exact"/>
              <w:rPr>
                <w:sz w:val="20"/>
                <w:szCs w:val="20"/>
                <w:color w:val="auto"/>
              </w:rPr>
            </w:pPr>
            <w:r>
              <w:rPr>
                <w:rFonts w:ascii="Arial" w:cs="Arial" w:eastAsia="Arial" w:hAnsi="Arial"/>
                <w:sz w:val="18"/>
                <w:szCs w:val="18"/>
                <w:color w:val="auto"/>
              </w:rPr>
              <w:t>Financial system loan without Reactiva (% change)</w:t>
            </w:r>
          </w:p>
        </w:tc>
        <w:tc>
          <w:tcPr>
            <w:tcW w:w="860" w:type="dxa"/>
            <w:vAlign w:val="bottom"/>
          </w:tcPr>
          <w:p>
            <w:pPr>
              <w:jc w:val="center"/>
              <w:spacing w:after="0" w:line="193" w:lineRule="exact"/>
              <w:rPr>
                <w:sz w:val="20"/>
                <w:szCs w:val="20"/>
                <w:color w:val="auto"/>
              </w:rPr>
            </w:pPr>
            <w:r>
              <w:rPr>
                <w:rFonts w:ascii="Arial" w:cs="Arial" w:eastAsia="Arial" w:hAnsi="Arial"/>
                <w:sz w:val="18"/>
                <w:szCs w:val="18"/>
                <w:color w:val="auto"/>
              </w:rPr>
              <w:t>6.4</w:t>
            </w:r>
          </w:p>
        </w:tc>
        <w:tc>
          <w:tcPr>
            <w:tcW w:w="860" w:type="dxa"/>
            <w:vAlign w:val="bottom"/>
          </w:tcPr>
          <w:p>
            <w:pPr>
              <w:jc w:val="center"/>
              <w:spacing w:after="0" w:line="193" w:lineRule="exact"/>
              <w:rPr>
                <w:sz w:val="20"/>
                <w:szCs w:val="20"/>
                <w:color w:val="auto"/>
              </w:rPr>
            </w:pPr>
            <w:r>
              <w:rPr>
                <w:rFonts w:ascii="Arial" w:cs="Arial" w:eastAsia="Arial" w:hAnsi="Arial"/>
                <w:sz w:val="18"/>
                <w:szCs w:val="18"/>
                <w:color w:val="auto"/>
              </w:rPr>
              <w:t>-4.3</w:t>
            </w:r>
          </w:p>
        </w:tc>
        <w:tc>
          <w:tcPr>
            <w:tcW w:w="880" w:type="dxa"/>
            <w:vAlign w:val="bottom"/>
          </w:tcPr>
          <w:p>
            <w:pPr>
              <w:jc w:val="center"/>
              <w:spacing w:after="0" w:line="193" w:lineRule="exact"/>
              <w:rPr>
                <w:sz w:val="20"/>
                <w:szCs w:val="20"/>
                <w:color w:val="auto"/>
              </w:rPr>
            </w:pPr>
            <w:r>
              <w:rPr>
                <w:rFonts w:ascii="Arial" w:cs="Arial" w:eastAsia="Arial" w:hAnsi="Arial"/>
                <w:sz w:val="18"/>
                <w:szCs w:val="18"/>
                <w:color w:val="auto"/>
              </w:rPr>
              <w:t>12.6</w:t>
            </w:r>
          </w:p>
        </w:tc>
        <w:tc>
          <w:tcPr>
            <w:tcW w:w="900" w:type="dxa"/>
            <w:vAlign w:val="bottom"/>
          </w:tcPr>
          <w:p>
            <w:pPr>
              <w:jc w:val="center"/>
              <w:spacing w:after="0" w:line="193" w:lineRule="exact"/>
              <w:rPr>
                <w:sz w:val="20"/>
                <w:szCs w:val="20"/>
                <w:color w:val="auto"/>
              </w:rPr>
            </w:pPr>
            <w:r>
              <w:rPr>
                <w:rFonts w:ascii="Arial" w:cs="Arial" w:eastAsia="Arial" w:hAnsi="Arial"/>
                <w:sz w:val="18"/>
                <w:szCs w:val="18"/>
                <w:color w:val="auto"/>
              </w:rPr>
              <w:t>9.7</w:t>
            </w:r>
          </w:p>
        </w:tc>
        <w:tc>
          <w:tcPr>
            <w:tcW w:w="880" w:type="dxa"/>
            <w:vAlign w:val="bottom"/>
          </w:tcPr>
          <w:p>
            <w:pPr>
              <w:jc w:val="center"/>
              <w:spacing w:after="0" w:line="193" w:lineRule="exact"/>
              <w:rPr>
                <w:sz w:val="20"/>
                <w:szCs w:val="20"/>
                <w:color w:val="auto"/>
              </w:rPr>
            </w:pPr>
            <w:r>
              <w:rPr>
                <w:rFonts w:ascii="Arial" w:cs="Arial" w:eastAsia="Arial" w:hAnsi="Arial"/>
                <w:sz w:val="18"/>
                <w:szCs w:val="18"/>
                <w:color w:val="auto"/>
                <w:w w:val="95"/>
              </w:rPr>
              <w:t>2.8</w:t>
            </w:r>
          </w:p>
        </w:tc>
        <w:tc>
          <w:tcPr>
            <w:tcW w:w="900" w:type="dxa"/>
            <w:vAlign w:val="bottom"/>
          </w:tcPr>
          <w:p>
            <w:pPr>
              <w:jc w:val="center"/>
              <w:spacing w:after="0" w:line="193" w:lineRule="exact"/>
              <w:rPr>
                <w:sz w:val="20"/>
                <w:szCs w:val="20"/>
                <w:color w:val="auto"/>
              </w:rPr>
            </w:pPr>
            <w:r>
              <w:rPr>
                <w:rFonts w:ascii="Arial" w:cs="Arial" w:eastAsia="Arial" w:hAnsi="Arial"/>
                <w:sz w:val="18"/>
                <w:szCs w:val="18"/>
                <w:color w:val="auto"/>
              </w:rPr>
              <w:t>1.3</w:t>
            </w:r>
          </w:p>
        </w:tc>
        <w:tc>
          <w:tcPr>
            <w:tcW w:w="900" w:type="dxa"/>
            <w:vAlign w:val="bottom"/>
            <w:shd w:val="clear" w:color="auto" w:fill="F1F1F1"/>
          </w:tcPr>
          <w:p>
            <w:pPr>
              <w:jc w:val="center"/>
              <w:spacing w:after="0" w:line="193" w:lineRule="exact"/>
              <w:rPr>
                <w:sz w:val="20"/>
                <w:szCs w:val="20"/>
                <w:color w:val="auto"/>
              </w:rPr>
            </w:pPr>
            <w:r>
              <w:rPr>
                <w:rFonts w:ascii="Arial" w:cs="Arial" w:eastAsia="Arial" w:hAnsi="Arial"/>
                <w:sz w:val="18"/>
                <w:szCs w:val="18"/>
                <w:color w:val="auto"/>
              </w:rPr>
              <w:t>6.0</w:t>
            </w:r>
          </w:p>
        </w:tc>
      </w:tr>
      <w:tr>
        <w:trPr>
          <w:trHeight w:val="197"/>
        </w:trPr>
        <w:tc>
          <w:tcPr>
            <w:tcW w:w="4380" w:type="dxa"/>
            <w:vAlign w:val="bottom"/>
            <w:tcBorders>
              <w:bottom w:val="single" w:sz="8" w:color="2AD2C8"/>
            </w:tcBorders>
          </w:tcPr>
          <w:p>
            <w:pPr>
              <w:ind w:left="100"/>
              <w:spacing w:after="0"/>
              <w:rPr>
                <w:sz w:val="20"/>
                <w:szCs w:val="20"/>
                <w:color w:val="auto"/>
              </w:rPr>
            </w:pPr>
            <w:r>
              <w:rPr>
                <w:rFonts w:ascii="Arial" w:cs="Arial" w:eastAsia="Arial" w:hAnsi="Arial"/>
                <w:sz w:val="15"/>
                <w:szCs w:val="15"/>
                <w:color w:val="auto"/>
              </w:rPr>
              <w:t>(1)</w:t>
            </w:r>
          </w:p>
        </w:tc>
        <w:tc>
          <w:tcPr>
            <w:tcW w:w="860" w:type="dxa"/>
            <w:vAlign w:val="bottom"/>
            <w:tcBorders>
              <w:bottom w:val="single" w:sz="8" w:color="2AD2C8"/>
            </w:tcBorders>
          </w:tcPr>
          <w:p>
            <w:pPr>
              <w:spacing w:after="0"/>
              <w:rPr>
                <w:sz w:val="17"/>
                <w:szCs w:val="17"/>
                <w:color w:val="auto"/>
              </w:rPr>
            </w:pPr>
          </w:p>
        </w:tc>
        <w:tc>
          <w:tcPr>
            <w:tcW w:w="860" w:type="dxa"/>
            <w:vAlign w:val="bottom"/>
            <w:tcBorders>
              <w:bottom w:val="single" w:sz="8" w:color="2AD2C8"/>
            </w:tcBorders>
          </w:tcPr>
          <w:p>
            <w:pPr>
              <w:spacing w:after="0"/>
              <w:rPr>
                <w:sz w:val="17"/>
                <w:szCs w:val="17"/>
                <w:color w:val="auto"/>
              </w:rPr>
            </w:pPr>
          </w:p>
        </w:tc>
        <w:tc>
          <w:tcPr>
            <w:tcW w:w="880" w:type="dxa"/>
            <w:vAlign w:val="bottom"/>
            <w:tcBorders>
              <w:bottom w:val="single" w:sz="8" w:color="2AD2C8"/>
            </w:tcBorders>
          </w:tcPr>
          <w:p>
            <w:pPr>
              <w:spacing w:after="0"/>
              <w:rPr>
                <w:sz w:val="17"/>
                <w:szCs w:val="17"/>
                <w:color w:val="auto"/>
              </w:rPr>
            </w:pPr>
          </w:p>
        </w:tc>
        <w:tc>
          <w:tcPr>
            <w:tcW w:w="900" w:type="dxa"/>
            <w:vAlign w:val="bottom"/>
            <w:tcBorders>
              <w:bottom w:val="single" w:sz="8" w:color="2AD2C8"/>
            </w:tcBorders>
          </w:tcPr>
          <w:p>
            <w:pPr>
              <w:spacing w:after="0"/>
              <w:rPr>
                <w:sz w:val="17"/>
                <w:szCs w:val="17"/>
                <w:color w:val="auto"/>
              </w:rPr>
            </w:pPr>
          </w:p>
        </w:tc>
        <w:tc>
          <w:tcPr>
            <w:tcW w:w="880" w:type="dxa"/>
            <w:vAlign w:val="bottom"/>
            <w:tcBorders>
              <w:bottom w:val="single" w:sz="8" w:color="2AD2C8"/>
            </w:tcBorders>
          </w:tcPr>
          <w:p>
            <w:pPr>
              <w:spacing w:after="0"/>
              <w:rPr>
                <w:sz w:val="17"/>
                <w:szCs w:val="17"/>
                <w:color w:val="auto"/>
              </w:rPr>
            </w:pPr>
          </w:p>
        </w:tc>
        <w:tc>
          <w:tcPr>
            <w:tcW w:w="900" w:type="dxa"/>
            <w:vAlign w:val="bottom"/>
            <w:tcBorders>
              <w:bottom w:val="single" w:sz="8" w:color="2AD2C8"/>
            </w:tcBorders>
          </w:tcPr>
          <w:p>
            <w:pPr>
              <w:spacing w:after="0"/>
              <w:rPr>
                <w:sz w:val="17"/>
                <w:szCs w:val="17"/>
                <w:color w:val="auto"/>
              </w:rPr>
            </w:pPr>
          </w:p>
        </w:tc>
        <w:tc>
          <w:tcPr>
            <w:tcW w:w="900" w:type="dxa"/>
            <w:vAlign w:val="bottom"/>
            <w:tcBorders>
              <w:bottom w:val="single" w:sz="8" w:color="2AD2C8"/>
            </w:tcBorders>
            <w:shd w:val="clear" w:color="auto" w:fill="F1F1F1"/>
          </w:tcPr>
          <w:p>
            <w:pPr>
              <w:spacing w:after="0"/>
              <w:rPr>
                <w:sz w:val="17"/>
                <w:szCs w:val="17"/>
                <w:color w:val="auto"/>
              </w:rPr>
            </w:pPr>
          </w:p>
        </w:tc>
      </w:tr>
      <w:tr>
        <w:trPr>
          <w:trHeight w:val="250"/>
        </w:trPr>
        <w:tc>
          <w:tcPr>
            <w:tcW w:w="4380" w:type="dxa"/>
            <w:vAlign w:val="bottom"/>
            <w:tcBorders>
              <w:bottom w:val="single" w:sz="8" w:color="2AD2C8"/>
            </w:tcBorders>
          </w:tcPr>
          <w:p>
            <w:pPr>
              <w:ind w:left="100"/>
              <w:spacing w:after="0" w:line="243" w:lineRule="exact"/>
              <w:rPr>
                <w:sz w:val="20"/>
                <w:szCs w:val="20"/>
                <w:color w:val="auto"/>
              </w:rPr>
            </w:pPr>
            <w:r>
              <w:rPr>
                <w:rFonts w:ascii="Arial" w:cs="Arial" w:eastAsia="Arial" w:hAnsi="Arial"/>
                <w:sz w:val="17"/>
                <w:szCs w:val="17"/>
                <w:color w:val="auto"/>
              </w:rPr>
              <w:t>Inflation, end of period</w:t>
            </w:r>
            <w:r>
              <w:rPr>
                <w:rFonts w:ascii="Arial" w:cs="Arial" w:eastAsia="Arial" w:hAnsi="Arial"/>
                <w:sz w:val="28"/>
                <w:szCs w:val="28"/>
                <w:color w:val="auto"/>
                <w:vertAlign w:val="superscript"/>
              </w:rPr>
              <w:t>(2)</w:t>
            </w:r>
          </w:p>
        </w:tc>
        <w:tc>
          <w:tcPr>
            <w:tcW w:w="86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rPr>
              <w:t>1.9</w:t>
            </w:r>
          </w:p>
        </w:tc>
        <w:tc>
          <w:tcPr>
            <w:tcW w:w="86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rPr>
              <w:t>2.0</w:t>
            </w:r>
          </w:p>
        </w:tc>
        <w:tc>
          <w:tcPr>
            <w:tcW w:w="88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5"/>
              </w:rPr>
              <w:t>6.4</w:t>
            </w:r>
          </w:p>
        </w:tc>
        <w:tc>
          <w:tcPr>
            <w:tcW w:w="90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rPr>
              <w:t>8.5</w:t>
            </w:r>
          </w:p>
        </w:tc>
        <w:tc>
          <w:tcPr>
            <w:tcW w:w="88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5"/>
              </w:rPr>
              <w:t>3.2</w:t>
            </w:r>
          </w:p>
        </w:tc>
        <w:tc>
          <w:tcPr>
            <w:tcW w:w="90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rPr>
              <w:t>2.0</w:t>
            </w:r>
          </w:p>
        </w:tc>
        <w:tc>
          <w:tcPr>
            <w:tcW w:w="900" w:type="dxa"/>
            <w:vAlign w:val="bottom"/>
            <w:tcBorders>
              <w:bottom w:val="single" w:sz="8" w:color="2AD2C8"/>
            </w:tcBorders>
            <w:shd w:val="clear" w:color="auto" w:fill="F1F1F1"/>
          </w:tcPr>
          <w:p>
            <w:pPr>
              <w:jc w:val="center"/>
              <w:spacing w:after="0"/>
              <w:rPr>
                <w:sz w:val="20"/>
                <w:szCs w:val="20"/>
                <w:color w:val="auto"/>
              </w:rPr>
            </w:pPr>
            <w:r>
              <w:rPr>
                <w:rFonts w:ascii="Arial" w:cs="Arial" w:eastAsia="Arial" w:hAnsi="Arial"/>
                <w:sz w:val="18"/>
                <w:szCs w:val="18"/>
                <w:color w:val="auto"/>
              </w:rPr>
              <w:t>2.3</w:t>
            </w:r>
          </w:p>
        </w:tc>
      </w:tr>
      <w:tr>
        <w:trPr>
          <w:trHeight w:val="223"/>
        </w:trPr>
        <w:tc>
          <w:tcPr>
            <w:tcW w:w="4380" w:type="dxa"/>
            <w:vAlign w:val="bottom"/>
            <w:tcBorders>
              <w:bottom w:val="single" w:sz="8" w:color="2AD2C8"/>
            </w:tcBorders>
          </w:tcPr>
          <w:p>
            <w:pPr>
              <w:ind w:left="100"/>
              <w:spacing w:after="0"/>
              <w:rPr>
                <w:sz w:val="20"/>
                <w:szCs w:val="20"/>
                <w:color w:val="auto"/>
              </w:rPr>
            </w:pPr>
            <w:r>
              <w:rPr>
                <w:rFonts w:ascii="Arial" w:cs="Arial" w:eastAsia="Arial" w:hAnsi="Arial"/>
                <w:sz w:val="18"/>
                <w:szCs w:val="18"/>
                <w:color w:val="auto"/>
              </w:rPr>
              <w:t>Reference Rate, end of period</w:t>
            </w:r>
          </w:p>
        </w:tc>
        <w:tc>
          <w:tcPr>
            <w:tcW w:w="86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6"/>
              </w:rPr>
              <w:t>2.25</w:t>
            </w:r>
          </w:p>
        </w:tc>
        <w:tc>
          <w:tcPr>
            <w:tcW w:w="86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6"/>
              </w:rPr>
              <w:t>0.25</w:t>
            </w:r>
          </w:p>
        </w:tc>
        <w:tc>
          <w:tcPr>
            <w:tcW w:w="88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rPr>
              <w:t>2.50</w:t>
            </w:r>
          </w:p>
        </w:tc>
        <w:tc>
          <w:tcPr>
            <w:tcW w:w="90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6"/>
              </w:rPr>
              <w:t>7.50</w:t>
            </w:r>
          </w:p>
        </w:tc>
        <w:tc>
          <w:tcPr>
            <w:tcW w:w="88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rPr>
              <w:t>6.75</w:t>
            </w:r>
          </w:p>
        </w:tc>
        <w:tc>
          <w:tcPr>
            <w:tcW w:w="90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6"/>
              </w:rPr>
              <w:t>5.00</w:t>
            </w:r>
          </w:p>
        </w:tc>
        <w:tc>
          <w:tcPr>
            <w:tcW w:w="900" w:type="dxa"/>
            <w:vAlign w:val="bottom"/>
            <w:tcBorders>
              <w:bottom w:val="single" w:sz="8" w:color="2AD2C8"/>
            </w:tcBorders>
            <w:shd w:val="clear" w:color="auto" w:fill="F1F1F1"/>
          </w:tcPr>
          <w:p>
            <w:pPr>
              <w:jc w:val="center"/>
              <w:spacing w:after="0"/>
              <w:rPr>
                <w:sz w:val="20"/>
                <w:szCs w:val="20"/>
                <w:color w:val="auto"/>
              </w:rPr>
            </w:pPr>
            <w:r>
              <w:rPr>
                <w:rFonts w:ascii="Arial" w:cs="Arial" w:eastAsia="Arial" w:hAnsi="Arial"/>
                <w:sz w:val="18"/>
                <w:szCs w:val="18"/>
                <w:color w:val="auto"/>
                <w:w w:val="96"/>
              </w:rPr>
              <w:t>4.25</w:t>
            </w:r>
          </w:p>
        </w:tc>
      </w:tr>
      <w:tr>
        <w:trPr>
          <w:trHeight w:val="188"/>
        </w:trPr>
        <w:tc>
          <w:tcPr>
            <w:tcW w:w="4380" w:type="dxa"/>
            <w:vAlign w:val="bottom"/>
          </w:tcPr>
          <w:p>
            <w:pPr>
              <w:ind w:left="100"/>
              <w:spacing w:after="0" w:line="188" w:lineRule="exact"/>
              <w:rPr>
                <w:sz w:val="20"/>
                <w:szCs w:val="20"/>
                <w:color w:val="auto"/>
              </w:rPr>
            </w:pPr>
            <w:r>
              <w:rPr>
                <w:rFonts w:ascii="Arial" w:cs="Arial" w:eastAsia="Arial" w:hAnsi="Arial"/>
                <w:sz w:val="18"/>
                <w:szCs w:val="18"/>
                <w:color w:val="auto"/>
              </w:rPr>
              <w:t>Exchange rate, end of period</w:t>
            </w:r>
          </w:p>
        </w:tc>
        <w:tc>
          <w:tcPr>
            <w:tcW w:w="860" w:type="dxa"/>
            <w:vAlign w:val="bottom"/>
          </w:tcPr>
          <w:p>
            <w:pPr>
              <w:jc w:val="center"/>
              <w:spacing w:after="0" w:line="188" w:lineRule="exact"/>
              <w:rPr>
                <w:sz w:val="20"/>
                <w:szCs w:val="20"/>
                <w:color w:val="auto"/>
              </w:rPr>
            </w:pPr>
            <w:r>
              <w:rPr>
                <w:rFonts w:ascii="Arial" w:cs="Arial" w:eastAsia="Arial" w:hAnsi="Arial"/>
                <w:sz w:val="18"/>
                <w:szCs w:val="18"/>
                <w:color w:val="auto"/>
                <w:w w:val="96"/>
              </w:rPr>
              <w:t>3.31</w:t>
            </w:r>
          </w:p>
        </w:tc>
        <w:tc>
          <w:tcPr>
            <w:tcW w:w="860" w:type="dxa"/>
            <w:vAlign w:val="bottom"/>
          </w:tcPr>
          <w:p>
            <w:pPr>
              <w:jc w:val="center"/>
              <w:spacing w:after="0" w:line="188" w:lineRule="exact"/>
              <w:rPr>
                <w:sz w:val="20"/>
                <w:szCs w:val="20"/>
                <w:color w:val="auto"/>
              </w:rPr>
            </w:pPr>
            <w:r>
              <w:rPr>
                <w:rFonts w:ascii="Arial" w:cs="Arial" w:eastAsia="Arial" w:hAnsi="Arial"/>
                <w:sz w:val="18"/>
                <w:szCs w:val="18"/>
                <w:color w:val="auto"/>
                <w:w w:val="96"/>
              </w:rPr>
              <w:t>3.62</w:t>
            </w:r>
          </w:p>
        </w:tc>
        <w:tc>
          <w:tcPr>
            <w:tcW w:w="880" w:type="dxa"/>
            <w:vAlign w:val="bottom"/>
          </w:tcPr>
          <w:p>
            <w:pPr>
              <w:jc w:val="center"/>
              <w:spacing w:after="0" w:line="188" w:lineRule="exact"/>
              <w:rPr>
                <w:sz w:val="20"/>
                <w:szCs w:val="20"/>
                <w:color w:val="auto"/>
              </w:rPr>
            </w:pPr>
            <w:r>
              <w:rPr>
                <w:rFonts w:ascii="Arial" w:cs="Arial" w:eastAsia="Arial" w:hAnsi="Arial"/>
                <w:sz w:val="18"/>
                <w:szCs w:val="18"/>
                <w:color w:val="auto"/>
              </w:rPr>
              <w:t>3.99</w:t>
            </w:r>
          </w:p>
        </w:tc>
        <w:tc>
          <w:tcPr>
            <w:tcW w:w="900" w:type="dxa"/>
            <w:vAlign w:val="bottom"/>
          </w:tcPr>
          <w:p>
            <w:pPr>
              <w:jc w:val="center"/>
              <w:spacing w:after="0" w:line="188" w:lineRule="exact"/>
              <w:rPr>
                <w:sz w:val="20"/>
                <w:szCs w:val="20"/>
                <w:color w:val="auto"/>
              </w:rPr>
            </w:pPr>
            <w:r>
              <w:rPr>
                <w:rFonts w:ascii="Arial" w:cs="Arial" w:eastAsia="Arial" w:hAnsi="Arial"/>
                <w:sz w:val="18"/>
                <w:szCs w:val="18"/>
                <w:color w:val="auto"/>
                <w:w w:val="96"/>
              </w:rPr>
              <w:t>3.81</w:t>
            </w:r>
          </w:p>
        </w:tc>
        <w:tc>
          <w:tcPr>
            <w:tcW w:w="880" w:type="dxa"/>
            <w:vAlign w:val="bottom"/>
          </w:tcPr>
          <w:p>
            <w:pPr>
              <w:jc w:val="center"/>
              <w:spacing w:after="0" w:line="188" w:lineRule="exact"/>
              <w:rPr>
                <w:sz w:val="20"/>
                <w:szCs w:val="20"/>
                <w:color w:val="auto"/>
              </w:rPr>
            </w:pPr>
            <w:r>
              <w:rPr>
                <w:rFonts w:ascii="Arial" w:cs="Arial" w:eastAsia="Arial" w:hAnsi="Arial"/>
                <w:sz w:val="18"/>
                <w:szCs w:val="18"/>
                <w:color w:val="auto"/>
              </w:rPr>
              <w:t>3.71</w:t>
            </w:r>
          </w:p>
        </w:tc>
        <w:tc>
          <w:tcPr>
            <w:tcW w:w="900" w:type="dxa"/>
            <w:vAlign w:val="bottom"/>
          </w:tcPr>
          <w:p>
            <w:pPr>
              <w:jc w:val="center"/>
              <w:spacing w:after="0" w:line="188" w:lineRule="exact"/>
              <w:rPr>
                <w:sz w:val="20"/>
                <w:szCs w:val="20"/>
                <w:color w:val="auto"/>
              </w:rPr>
            </w:pPr>
            <w:r>
              <w:rPr>
                <w:rFonts w:ascii="Arial" w:cs="Arial" w:eastAsia="Arial" w:hAnsi="Arial"/>
                <w:sz w:val="18"/>
                <w:szCs w:val="18"/>
                <w:color w:val="auto"/>
                <w:w w:val="96"/>
              </w:rPr>
              <w:t>3.76</w:t>
            </w:r>
          </w:p>
        </w:tc>
        <w:tc>
          <w:tcPr>
            <w:tcW w:w="900" w:type="dxa"/>
            <w:vAlign w:val="bottom"/>
            <w:shd w:val="clear" w:color="auto" w:fill="F1F1F1"/>
          </w:tcPr>
          <w:p>
            <w:pPr>
              <w:jc w:val="center"/>
              <w:spacing w:after="0" w:line="188" w:lineRule="exact"/>
              <w:rPr>
                <w:sz w:val="20"/>
                <w:szCs w:val="20"/>
                <w:color w:val="auto"/>
              </w:rPr>
            </w:pPr>
            <w:r>
              <w:rPr>
                <w:rFonts w:ascii="Arial" w:cs="Arial" w:eastAsia="Arial" w:hAnsi="Arial"/>
                <w:sz w:val="18"/>
                <w:szCs w:val="18"/>
                <w:color w:val="auto"/>
                <w:w w:val="96"/>
              </w:rPr>
              <w:t>3.75</w:t>
            </w:r>
          </w:p>
        </w:tc>
      </w:tr>
      <w:tr>
        <w:trPr>
          <w:trHeight w:val="238"/>
        </w:trPr>
        <w:tc>
          <w:tcPr>
            <w:tcW w:w="4380" w:type="dxa"/>
            <w:vAlign w:val="bottom"/>
            <w:tcBorders>
              <w:bottom w:val="single" w:sz="8" w:color="2AD2C8"/>
            </w:tcBorders>
          </w:tcPr>
          <w:p>
            <w:pPr>
              <w:ind w:left="100"/>
              <w:spacing w:after="0" w:line="231" w:lineRule="exact"/>
              <w:rPr>
                <w:sz w:val="20"/>
                <w:szCs w:val="20"/>
                <w:color w:val="auto"/>
              </w:rPr>
            </w:pPr>
            <w:r>
              <w:rPr>
                <w:rFonts w:ascii="Arial" w:cs="Arial" w:eastAsia="Arial" w:hAnsi="Arial"/>
                <w:sz w:val="16"/>
                <w:szCs w:val="16"/>
                <w:color w:val="auto"/>
              </w:rPr>
              <w:t xml:space="preserve">Exchange rate, (% change) </w:t>
            </w:r>
            <w:r>
              <w:rPr>
                <w:rFonts w:ascii="Arial" w:cs="Arial" w:eastAsia="Arial" w:hAnsi="Arial"/>
                <w:sz w:val="26"/>
                <w:szCs w:val="26"/>
                <w:color w:val="auto"/>
                <w:vertAlign w:val="superscript"/>
              </w:rPr>
              <w:t>(3)</w:t>
            </w:r>
          </w:p>
        </w:tc>
        <w:tc>
          <w:tcPr>
            <w:tcW w:w="86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rPr>
              <w:t>1.8%</w:t>
            </w:r>
          </w:p>
        </w:tc>
        <w:tc>
          <w:tcPr>
            <w:tcW w:w="86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rPr>
              <w:t>-9.3%</w:t>
            </w:r>
          </w:p>
        </w:tc>
        <w:tc>
          <w:tcPr>
            <w:tcW w:w="88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8"/>
              </w:rPr>
              <w:t>-10.3%</w:t>
            </w:r>
          </w:p>
        </w:tc>
        <w:tc>
          <w:tcPr>
            <w:tcW w:w="90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rPr>
              <w:t>4.5%</w:t>
            </w:r>
          </w:p>
        </w:tc>
        <w:tc>
          <w:tcPr>
            <w:tcW w:w="88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7"/>
              </w:rPr>
              <w:t>2.7%</w:t>
            </w:r>
          </w:p>
        </w:tc>
        <w:tc>
          <w:tcPr>
            <w:tcW w:w="90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7"/>
              </w:rPr>
              <w:t>-1.3%</w:t>
            </w:r>
          </w:p>
        </w:tc>
        <w:tc>
          <w:tcPr>
            <w:tcW w:w="900" w:type="dxa"/>
            <w:vAlign w:val="bottom"/>
            <w:tcBorders>
              <w:bottom w:val="single" w:sz="8" w:color="2AD2C8"/>
            </w:tcBorders>
            <w:shd w:val="clear" w:color="auto" w:fill="F1F1F1"/>
          </w:tcPr>
          <w:p>
            <w:pPr>
              <w:jc w:val="center"/>
              <w:spacing w:after="0"/>
              <w:rPr>
                <w:sz w:val="20"/>
                <w:szCs w:val="20"/>
                <w:color w:val="auto"/>
              </w:rPr>
            </w:pPr>
            <w:r>
              <w:rPr>
                <w:rFonts w:ascii="Arial" w:cs="Arial" w:eastAsia="Arial" w:hAnsi="Arial"/>
                <w:sz w:val="18"/>
                <w:szCs w:val="18"/>
                <w:color w:val="auto"/>
              </w:rPr>
              <w:t>0.2%</w:t>
            </w:r>
          </w:p>
        </w:tc>
      </w:tr>
      <w:tr>
        <w:trPr>
          <w:trHeight w:val="197"/>
        </w:trPr>
        <w:tc>
          <w:tcPr>
            <w:tcW w:w="4380" w:type="dxa"/>
            <w:vAlign w:val="bottom"/>
          </w:tcPr>
          <w:p>
            <w:pPr>
              <w:ind w:left="100"/>
              <w:spacing w:after="0" w:line="197" w:lineRule="exact"/>
              <w:rPr>
                <w:sz w:val="20"/>
                <w:szCs w:val="20"/>
                <w:color w:val="auto"/>
              </w:rPr>
            </w:pPr>
            <w:r>
              <w:rPr>
                <w:rFonts w:ascii="Arial" w:cs="Arial" w:eastAsia="Arial" w:hAnsi="Arial"/>
                <w:sz w:val="18"/>
                <w:szCs w:val="18"/>
                <w:color w:val="auto"/>
              </w:rPr>
              <w:t>Fiscal balance (% GDP)</w:t>
            </w:r>
          </w:p>
        </w:tc>
        <w:tc>
          <w:tcPr>
            <w:tcW w:w="860" w:type="dxa"/>
            <w:vAlign w:val="bottom"/>
          </w:tcPr>
          <w:p>
            <w:pPr>
              <w:jc w:val="center"/>
              <w:spacing w:after="0" w:line="197" w:lineRule="exact"/>
              <w:rPr>
                <w:sz w:val="20"/>
                <w:szCs w:val="20"/>
                <w:color w:val="auto"/>
              </w:rPr>
            </w:pPr>
            <w:r>
              <w:rPr>
                <w:rFonts w:ascii="Arial" w:cs="Arial" w:eastAsia="Arial" w:hAnsi="Arial"/>
                <w:sz w:val="18"/>
                <w:szCs w:val="18"/>
                <w:color w:val="auto"/>
                <w:w w:val="96"/>
              </w:rPr>
              <w:t>-1.6</w:t>
            </w:r>
          </w:p>
        </w:tc>
        <w:tc>
          <w:tcPr>
            <w:tcW w:w="860" w:type="dxa"/>
            <w:vAlign w:val="bottom"/>
          </w:tcPr>
          <w:p>
            <w:pPr>
              <w:jc w:val="center"/>
              <w:spacing w:after="0" w:line="197" w:lineRule="exact"/>
              <w:rPr>
                <w:sz w:val="20"/>
                <w:szCs w:val="20"/>
                <w:color w:val="auto"/>
              </w:rPr>
            </w:pPr>
            <w:r>
              <w:rPr>
                <w:rFonts w:ascii="Arial" w:cs="Arial" w:eastAsia="Arial" w:hAnsi="Arial"/>
                <w:sz w:val="18"/>
                <w:szCs w:val="18"/>
                <w:color w:val="auto"/>
              </w:rPr>
              <w:t>-8.7</w:t>
            </w:r>
          </w:p>
        </w:tc>
        <w:tc>
          <w:tcPr>
            <w:tcW w:w="880" w:type="dxa"/>
            <w:vAlign w:val="bottom"/>
          </w:tcPr>
          <w:p>
            <w:pPr>
              <w:jc w:val="center"/>
              <w:spacing w:after="0" w:line="197" w:lineRule="exact"/>
              <w:rPr>
                <w:sz w:val="20"/>
                <w:szCs w:val="20"/>
                <w:color w:val="auto"/>
              </w:rPr>
            </w:pPr>
            <w:r>
              <w:rPr>
                <w:rFonts w:ascii="Arial" w:cs="Arial" w:eastAsia="Arial" w:hAnsi="Arial"/>
                <w:sz w:val="18"/>
                <w:szCs w:val="18"/>
                <w:color w:val="auto"/>
              </w:rPr>
              <w:t>-2.5</w:t>
            </w:r>
          </w:p>
        </w:tc>
        <w:tc>
          <w:tcPr>
            <w:tcW w:w="900" w:type="dxa"/>
            <w:vAlign w:val="bottom"/>
          </w:tcPr>
          <w:p>
            <w:pPr>
              <w:jc w:val="center"/>
              <w:spacing w:after="0" w:line="197" w:lineRule="exact"/>
              <w:rPr>
                <w:sz w:val="20"/>
                <w:szCs w:val="20"/>
                <w:color w:val="auto"/>
              </w:rPr>
            </w:pPr>
            <w:r>
              <w:rPr>
                <w:rFonts w:ascii="Arial" w:cs="Arial" w:eastAsia="Arial" w:hAnsi="Arial"/>
                <w:sz w:val="18"/>
                <w:szCs w:val="18"/>
                <w:color w:val="auto"/>
                <w:w w:val="96"/>
              </w:rPr>
              <w:t>-1.7</w:t>
            </w:r>
          </w:p>
        </w:tc>
        <w:tc>
          <w:tcPr>
            <w:tcW w:w="880" w:type="dxa"/>
            <w:vAlign w:val="bottom"/>
          </w:tcPr>
          <w:p>
            <w:pPr>
              <w:jc w:val="center"/>
              <w:spacing w:after="0" w:line="197" w:lineRule="exact"/>
              <w:rPr>
                <w:sz w:val="20"/>
                <w:szCs w:val="20"/>
                <w:color w:val="auto"/>
              </w:rPr>
            </w:pPr>
            <w:r>
              <w:rPr>
                <w:rFonts w:ascii="Arial" w:cs="Arial" w:eastAsia="Arial" w:hAnsi="Arial"/>
                <w:sz w:val="18"/>
                <w:szCs w:val="18"/>
                <w:color w:val="auto"/>
              </w:rPr>
              <w:t>-2.7</w:t>
            </w:r>
          </w:p>
        </w:tc>
        <w:tc>
          <w:tcPr>
            <w:tcW w:w="900" w:type="dxa"/>
            <w:vAlign w:val="bottom"/>
          </w:tcPr>
          <w:p>
            <w:pPr>
              <w:jc w:val="center"/>
              <w:spacing w:after="0" w:line="197" w:lineRule="exact"/>
              <w:rPr>
                <w:sz w:val="20"/>
                <w:szCs w:val="20"/>
                <w:color w:val="auto"/>
              </w:rPr>
            </w:pPr>
            <w:r>
              <w:rPr>
                <w:rFonts w:ascii="Arial" w:cs="Arial" w:eastAsia="Arial" w:hAnsi="Arial"/>
                <w:sz w:val="18"/>
                <w:szCs w:val="18"/>
                <w:color w:val="auto"/>
                <w:w w:val="96"/>
              </w:rPr>
              <w:t>-3.5</w:t>
            </w:r>
          </w:p>
        </w:tc>
        <w:tc>
          <w:tcPr>
            <w:tcW w:w="900" w:type="dxa"/>
            <w:vAlign w:val="bottom"/>
            <w:shd w:val="clear" w:color="auto" w:fill="F1F1F1"/>
          </w:tcPr>
          <w:p>
            <w:pPr>
              <w:jc w:val="center"/>
              <w:spacing w:after="0" w:line="197" w:lineRule="exact"/>
              <w:rPr>
                <w:sz w:val="20"/>
                <w:szCs w:val="20"/>
                <w:color w:val="auto"/>
              </w:rPr>
            </w:pPr>
            <w:r>
              <w:rPr>
                <w:rFonts w:ascii="Arial" w:cs="Arial" w:eastAsia="Arial" w:hAnsi="Arial"/>
                <w:sz w:val="18"/>
                <w:szCs w:val="18"/>
                <w:color w:val="auto"/>
                <w:w w:val="96"/>
              </w:rPr>
              <w:t>-2.7</w:t>
            </w:r>
          </w:p>
        </w:tc>
      </w:tr>
      <w:tr>
        <w:trPr>
          <w:trHeight w:val="228"/>
        </w:trPr>
        <w:tc>
          <w:tcPr>
            <w:tcW w:w="4380" w:type="dxa"/>
            <w:vAlign w:val="bottom"/>
            <w:tcBorders>
              <w:bottom w:val="single" w:sz="8" w:color="2AD2C8"/>
            </w:tcBorders>
          </w:tcPr>
          <w:p>
            <w:pPr>
              <w:ind w:left="100"/>
              <w:spacing w:after="0"/>
              <w:rPr>
                <w:sz w:val="20"/>
                <w:szCs w:val="20"/>
                <w:color w:val="auto"/>
              </w:rPr>
            </w:pPr>
            <w:r>
              <w:rPr>
                <w:rFonts w:ascii="Arial" w:cs="Arial" w:eastAsia="Arial" w:hAnsi="Arial"/>
                <w:sz w:val="18"/>
                <w:szCs w:val="18"/>
                <w:color w:val="auto"/>
              </w:rPr>
              <w:t>Public Debt (as % GDP)</w:t>
            </w:r>
          </w:p>
        </w:tc>
        <w:tc>
          <w:tcPr>
            <w:tcW w:w="86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9"/>
              </w:rPr>
              <w:t>26</w:t>
            </w:r>
          </w:p>
        </w:tc>
        <w:tc>
          <w:tcPr>
            <w:tcW w:w="86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9"/>
              </w:rPr>
              <w:t>34</w:t>
            </w:r>
          </w:p>
        </w:tc>
        <w:tc>
          <w:tcPr>
            <w:tcW w:w="88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9"/>
              </w:rPr>
              <w:t>35</w:t>
            </w:r>
          </w:p>
        </w:tc>
        <w:tc>
          <w:tcPr>
            <w:tcW w:w="90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9"/>
              </w:rPr>
              <w:t>33</w:t>
            </w:r>
          </w:p>
        </w:tc>
        <w:tc>
          <w:tcPr>
            <w:tcW w:w="88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9"/>
              </w:rPr>
              <w:t>32</w:t>
            </w:r>
          </w:p>
        </w:tc>
        <w:tc>
          <w:tcPr>
            <w:tcW w:w="90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9"/>
              </w:rPr>
              <w:t>32</w:t>
            </w:r>
          </w:p>
        </w:tc>
        <w:tc>
          <w:tcPr>
            <w:tcW w:w="900" w:type="dxa"/>
            <w:vAlign w:val="bottom"/>
            <w:tcBorders>
              <w:bottom w:val="single" w:sz="8" w:color="2AD2C8"/>
            </w:tcBorders>
            <w:shd w:val="clear" w:color="auto" w:fill="F1F1F1"/>
          </w:tcPr>
          <w:p>
            <w:pPr>
              <w:jc w:val="center"/>
              <w:spacing w:after="0"/>
              <w:rPr>
                <w:sz w:val="20"/>
                <w:szCs w:val="20"/>
                <w:color w:val="auto"/>
              </w:rPr>
            </w:pPr>
            <w:r>
              <w:rPr>
                <w:rFonts w:ascii="Arial" w:cs="Arial" w:eastAsia="Arial" w:hAnsi="Arial"/>
                <w:sz w:val="18"/>
                <w:szCs w:val="18"/>
                <w:color w:val="auto"/>
                <w:w w:val="99"/>
              </w:rPr>
              <w:t>34</w:t>
            </w:r>
          </w:p>
        </w:tc>
      </w:tr>
      <w:tr>
        <w:trPr>
          <w:trHeight w:val="197"/>
        </w:trPr>
        <w:tc>
          <w:tcPr>
            <w:tcW w:w="4380" w:type="dxa"/>
            <w:vAlign w:val="bottom"/>
          </w:tcPr>
          <w:p>
            <w:pPr>
              <w:ind w:left="100"/>
              <w:spacing w:after="0" w:line="197" w:lineRule="exact"/>
              <w:rPr>
                <w:sz w:val="20"/>
                <w:szCs w:val="20"/>
                <w:color w:val="auto"/>
              </w:rPr>
            </w:pPr>
            <w:r>
              <w:rPr>
                <w:rFonts w:ascii="Arial" w:cs="Arial" w:eastAsia="Arial" w:hAnsi="Arial"/>
                <w:sz w:val="18"/>
                <w:szCs w:val="18"/>
                <w:color w:val="auto"/>
              </w:rPr>
              <w:t>Trade balance (US$ Millions)</w:t>
            </w:r>
          </w:p>
        </w:tc>
        <w:tc>
          <w:tcPr>
            <w:tcW w:w="860" w:type="dxa"/>
            <w:vAlign w:val="bottom"/>
          </w:tcPr>
          <w:p>
            <w:pPr>
              <w:jc w:val="center"/>
              <w:spacing w:after="0" w:line="197" w:lineRule="exact"/>
              <w:rPr>
                <w:sz w:val="20"/>
                <w:szCs w:val="20"/>
                <w:color w:val="auto"/>
              </w:rPr>
            </w:pPr>
            <w:r>
              <w:rPr>
                <w:rFonts w:ascii="Arial" w:cs="Arial" w:eastAsia="Arial" w:hAnsi="Arial"/>
                <w:sz w:val="18"/>
                <w:szCs w:val="18"/>
                <w:color w:val="auto"/>
              </w:rPr>
              <w:t>6,893</w:t>
            </w:r>
          </w:p>
        </w:tc>
        <w:tc>
          <w:tcPr>
            <w:tcW w:w="860" w:type="dxa"/>
            <w:vAlign w:val="bottom"/>
          </w:tcPr>
          <w:p>
            <w:pPr>
              <w:jc w:val="center"/>
              <w:spacing w:after="0" w:line="197" w:lineRule="exact"/>
              <w:rPr>
                <w:sz w:val="20"/>
                <w:szCs w:val="20"/>
                <w:color w:val="auto"/>
              </w:rPr>
            </w:pPr>
            <w:r>
              <w:rPr>
                <w:rFonts w:ascii="Arial" w:cs="Arial" w:eastAsia="Arial" w:hAnsi="Arial"/>
                <w:sz w:val="18"/>
                <w:szCs w:val="18"/>
                <w:color w:val="auto"/>
              </w:rPr>
              <w:t>8,098</w:t>
            </w:r>
          </w:p>
        </w:tc>
        <w:tc>
          <w:tcPr>
            <w:tcW w:w="880" w:type="dxa"/>
            <w:vAlign w:val="bottom"/>
          </w:tcPr>
          <w:p>
            <w:pPr>
              <w:jc w:val="center"/>
              <w:spacing w:after="0" w:line="197" w:lineRule="exact"/>
              <w:rPr>
                <w:sz w:val="20"/>
                <w:szCs w:val="20"/>
                <w:color w:val="auto"/>
              </w:rPr>
            </w:pPr>
            <w:r>
              <w:rPr>
                <w:rFonts w:ascii="Arial" w:cs="Arial" w:eastAsia="Arial" w:hAnsi="Arial"/>
                <w:sz w:val="18"/>
                <w:szCs w:val="18"/>
                <w:color w:val="auto"/>
                <w:w w:val="94"/>
              </w:rPr>
              <w:t>15,115</w:t>
            </w:r>
          </w:p>
        </w:tc>
        <w:tc>
          <w:tcPr>
            <w:tcW w:w="900" w:type="dxa"/>
            <w:vAlign w:val="bottom"/>
          </w:tcPr>
          <w:p>
            <w:pPr>
              <w:jc w:val="center"/>
              <w:spacing w:after="0" w:line="197" w:lineRule="exact"/>
              <w:rPr>
                <w:sz w:val="20"/>
                <w:szCs w:val="20"/>
                <w:color w:val="auto"/>
              </w:rPr>
            </w:pPr>
            <w:r>
              <w:rPr>
                <w:rFonts w:ascii="Arial" w:cs="Arial" w:eastAsia="Arial" w:hAnsi="Arial"/>
                <w:sz w:val="18"/>
                <w:szCs w:val="18"/>
                <w:color w:val="auto"/>
                <w:w w:val="98"/>
              </w:rPr>
              <w:t>10,331</w:t>
            </w:r>
          </w:p>
        </w:tc>
        <w:tc>
          <w:tcPr>
            <w:tcW w:w="880" w:type="dxa"/>
            <w:vAlign w:val="bottom"/>
          </w:tcPr>
          <w:p>
            <w:pPr>
              <w:jc w:val="center"/>
              <w:spacing w:after="0" w:line="197" w:lineRule="exact"/>
              <w:rPr>
                <w:sz w:val="20"/>
                <w:szCs w:val="20"/>
                <w:color w:val="auto"/>
              </w:rPr>
            </w:pPr>
            <w:r>
              <w:rPr>
                <w:rFonts w:ascii="Arial" w:cs="Arial" w:eastAsia="Arial" w:hAnsi="Arial"/>
                <w:sz w:val="18"/>
                <w:szCs w:val="18"/>
                <w:color w:val="auto"/>
              </w:rPr>
              <w:t>17,150</w:t>
            </w:r>
          </w:p>
        </w:tc>
        <w:tc>
          <w:tcPr>
            <w:tcW w:w="900" w:type="dxa"/>
            <w:vAlign w:val="bottom"/>
          </w:tcPr>
          <w:p>
            <w:pPr>
              <w:jc w:val="center"/>
              <w:spacing w:after="0" w:line="197" w:lineRule="exact"/>
              <w:rPr>
                <w:sz w:val="20"/>
                <w:szCs w:val="20"/>
                <w:color w:val="auto"/>
              </w:rPr>
            </w:pPr>
            <w:r>
              <w:rPr>
                <w:rFonts w:ascii="Arial" w:cs="Arial" w:eastAsia="Arial" w:hAnsi="Arial"/>
                <w:sz w:val="18"/>
                <w:szCs w:val="18"/>
                <w:color w:val="auto"/>
                <w:w w:val="98"/>
              </w:rPr>
              <w:t>24,081</w:t>
            </w:r>
          </w:p>
        </w:tc>
        <w:tc>
          <w:tcPr>
            <w:tcW w:w="900" w:type="dxa"/>
            <w:vAlign w:val="bottom"/>
            <w:shd w:val="clear" w:color="auto" w:fill="F1F1F1"/>
          </w:tcPr>
          <w:p>
            <w:pPr>
              <w:jc w:val="center"/>
              <w:spacing w:after="0" w:line="197" w:lineRule="exact"/>
              <w:rPr>
                <w:sz w:val="20"/>
                <w:szCs w:val="20"/>
                <w:color w:val="auto"/>
              </w:rPr>
            </w:pPr>
            <w:r>
              <w:rPr>
                <w:rFonts w:ascii="Arial" w:cs="Arial" w:eastAsia="Arial" w:hAnsi="Arial"/>
                <w:sz w:val="18"/>
                <w:szCs w:val="18"/>
                <w:color w:val="auto"/>
                <w:w w:val="98"/>
              </w:rPr>
              <w:t>27,000</w:t>
            </w: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(As % GDP)</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rPr>
              <w:t>2.9%</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7"/>
              </w:rPr>
              <w:t>3.9%</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7"/>
              </w:rPr>
              <w:t>6.6%</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4.2%</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7"/>
              </w:rPr>
              <w:t>6.3%</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8.2%</w:t>
            </w:r>
          </w:p>
        </w:tc>
        <w:tc>
          <w:tcPr>
            <w:tcW w:w="900" w:type="dxa"/>
            <w:vAlign w:val="bottom"/>
            <w:shd w:val="clear" w:color="auto" w:fill="F1F1F1"/>
          </w:tcPr>
          <w:p>
            <w:pPr>
              <w:jc w:val="center"/>
              <w:spacing w:after="0" w:line="202" w:lineRule="exact"/>
              <w:rPr>
                <w:sz w:val="20"/>
                <w:szCs w:val="20"/>
                <w:color w:val="auto"/>
              </w:rPr>
            </w:pPr>
            <w:r>
              <w:rPr>
                <w:rFonts w:ascii="Arial" w:cs="Arial" w:eastAsia="Arial" w:hAnsi="Arial"/>
                <w:sz w:val="18"/>
                <w:szCs w:val="18"/>
                <w:color w:val="auto"/>
              </w:rPr>
              <w:t>8.8%</w:t>
            </w: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Exports</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8"/>
              </w:rPr>
              <w:t>47,995</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8"/>
              </w:rPr>
              <w:t>42,822</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4"/>
              </w:rPr>
              <w:t>63,114</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8"/>
              </w:rPr>
              <w:t>66,339</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67,108</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8"/>
              </w:rPr>
              <w:t>76,172</w:t>
            </w:r>
          </w:p>
        </w:tc>
        <w:tc>
          <w:tcPr>
            <w:tcW w:w="900" w:type="dxa"/>
            <w:vAlign w:val="bottom"/>
            <w:shd w:val="clear" w:color="auto" w:fill="F1F1F1"/>
          </w:tcPr>
          <w:p>
            <w:pPr>
              <w:jc w:val="center"/>
              <w:spacing w:after="0" w:line="202" w:lineRule="exact"/>
              <w:rPr>
                <w:sz w:val="20"/>
                <w:szCs w:val="20"/>
                <w:color w:val="auto"/>
              </w:rPr>
            </w:pPr>
            <w:r>
              <w:rPr>
                <w:rFonts w:ascii="Arial" w:cs="Arial" w:eastAsia="Arial" w:hAnsi="Arial"/>
                <w:sz w:val="18"/>
                <w:szCs w:val="18"/>
                <w:color w:val="auto"/>
                <w:w w:val="98"/>
              </w:rPr>
              <w:t>81,500</w:t>
            </w: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Imports</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8"/>
              </w:rPr>
              <w:t>41,102</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8"/>
              </w:rPr>
              <w:t>34,724</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47,999</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8"/>
              </w:rPr>
              <w:t>56,009</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49,958</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8"/>
              </w:rPr>
              <w:t>52,091</w:t>
            </w:r>
          </w:p>
        </w:tc>
        <w:tc>
          <w:tcPr>
            <w:tcW w:w="900" w:type="dxa"/>
            <w:vAlign w:val="bottom"/>
            <w:shd w:val="clear" w:color="auto" w:fill="F1F1F1"/>
          </w:tcPr>
          <w:p>
            <w:pPr>
              <w:jc w:val="center"/>
              <w:spacing w:after="0" w:line="202" w:lineRule="exact"/>
              <w:rPr>
                <w:sz w:val="20"/>
                <w:szCs w:val="20"/>
                <w:color w:val="auto"/>
              </w:rPr>
            </w:pPr>
            <w:r>
              <w:rPr>
                <w:rFonts w:ascii="Arial" w:cs="Arial" w:eastAsia="Arial" w:hAnsi="Arial"/>
                <w:sz w:val="18"/>
                <w:szCs w:val="18"/>
                <w:color w:val="auto"/>
                <w:w w:val="98"/>
              </w:rPr>
              <w:t>54,500</w:t>
            </w: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Current account balance (As % GDP)</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7"/>
              </w:rPr>
              <w:t>-0.7%</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7"/>
              </w:rPr>
              <w:t>0.8%</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-2.2%</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-4.0%</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7"/>
              </w:rPr>
              <w:t>0.3%</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2.2%</w:t>
            </w:r>
          </w:p>
        </w:tc>
        <w:tc>
          <w:tcPr>
            <w:tcW w:w="900" w:type="dxa"/>
            <w:vAlign w:val="bottom"/>
            <w:shd w:val="clear" w:color="auto" w:fill="F1F1F1"/>
          </w:tcPr>
          <w:p>
            <w:pPr>
              <w:jc w:val="center"/>
              <w:spacing w:after="0" w:line="202" w:lineRule="exact"/>
              <w:rPr>
                <w:sz w:val="20"/>
                <w:szCs w:val="20"/>
                <w:color w:val="auto"/>
              </w:rPr>
            </w:pPr>
            <w:r>
              <w:rPr>
                <w:rFonts w:ascii="Arial" w:cs="Arial" w:eastAsia="Arial" w:hAnsi="Arial"/>
                <w:sz w:val="18"/>
                <w:szCs w:val="18"/>
                <w:color w:val="auto"/>
              </w:rPr>
              <w:t>1.5%</w:t>
            </w: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Net international reserves (US$ Millions)</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8"/>
              </w:rPr>
              <w:t>68,316</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8"/>
              </w:rPr>
              <w:t>74,707</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78,495</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8"/>
              </w:rPr>
              <w:t>71,883</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71,033</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8"/>
              </w:rPr>
              <w:t>78,987</w:t>
            </w:r>
          </w:p>
        </w:tc>
        <w:tc>
          <w:tcPr>
            <w:tcW w:w="900" w:type="dxa"/>
            <w:vAlign w:val="bottom"/>
            <w:shd w:val="clear" w:color="auto" w:fill="F1F1F1"/>
          </w:tcPr>
          <w:p>
            <w:pPr>
              <w:jc w:val="center"/>
              <w:spacing w:after="0" w:line="202" w:lineRule="exact"/>
              <w:rPr>
                <w:sz w:val="20"/>
                <w:szCs w:val="20"/>
                <w:color w:val="auto"/>
              </w:rPr>
            </w:pPr>
            <w:r>
              <w:rPr>
                <w:rFonts w:ascii="Arial" w:cs="Arial" w:eastAsia="Arial" w:hAnsi="Arial"/>
                <w:sz w:val="18"/>
                <w:szCs w:val="18"/>
                <w:color w:val="auto"/>
                <w:w w:val="98"/>
              </w:rPr>
              <w:t>83,000</w:t>
            </w: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(As % GDP)</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7"/>
              </w:rPr>
              <w:t>28.9%</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rPr>
              <w:t>35.6%</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34.2%</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28.9%</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26.1%</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26.8%</w:t>
            </w:r>
          </w:p>
        </w:tc>
        <w:tc>
          <w:tcPr>
            <w:tcW w:w="900" w:type="dxa"/>
            <w:vAlign w:val="bottom"/>
            <w:shd w:val="clear" w:color="auto" w:fill="F1F1F1"/>
          </w:tcPr>
          <w:p>
            <w:pPr>
              <w:jc w:val="center"/>
              <w:spacing w:after="0" w:line="202" w:lineRule="exact"/>
              <w:rPr>
                <w:sz w:val="20"/>
                <w:szCs w:val="20"/>
                <w:color w:val="auto"/>
              </w:rPr>
            </w:pPr>
            <w:r>
              <w:rPr>
                <w:rFonts w:ascii="Arial" w:cs="Arial" w:eastAsia="Arial" w:hAnsi="Arial"/>
                <w:sz w:val="18"/>
                <w:szCs w:val="18"/>
                <w:color w:val="auto"/>
                <w:w w:val="97"/>
              </w:rPr>
              <w:t>27.1%</w:t>
            </w:r>
          </w:p>
        </w:tc>
      </w:tr>
      <w:tr>
        <w:trPr>
          <w:trHeight w:val="228"/>
        </w:trPr>
        <w:tc>
          <w:tcPr>
            <w:tcW w:w="4380" w:type="dxa"/>
            <w:vAlign w:val="bottom"/>
            <w:tcBorders>
              <w:bottom w:val="single" w:sz="8" w:color="2AD2C8"/>
            </w:tcBorders>
          </w:tcPr>
          <w:p>
            <w:pPr>
              <w:ind w:left="100"/>
              <w:spacing w:after="0"/>
              <w:rPr>
                <w:sz w:val="20"/>
                <w:szCs w:val="20"/>
                <w:color w:val="auto"/>
              </w:rPr>
            </w:pPr>
            <w:r>
              <w:rPr>
                <w:rFonts w:ascii="Arial" w:cs="Arial" w:eastAsia="Arial" w:hAnsi="Arial"/>
                <w:sz w:val="18"/>
                <w:szCs w:val="18"/>
                <w:color w:val="auto"/>
              </w:rPr>
              <w:t>(As months of imports)</w:t>
            </w:r>
          </w:p>
        </w:tc>
        <w:tc>
          <w:tcPr>
            <w:tcW w:w="86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9"/>
              </w:rPr>
              <w:t>20</w:t>
            </w:r>
          </w:p>
        </w:tc>
        <w:tc>
          <w:tcPr>
            <w:tcW w:w="86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9"/>
              </w:rPr>
              <w:t>26</w:t>
            </w:r>
          </w:p>
        </w:tc>
        <w:tc>
          <w:tcPr>
            <w:tcW w:w="88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9"/>
              </w:rPr>
              <w:t>20</w:t>
            </w:r>
          </w:p>
        </w:tc>
        <w:tc>
          <w:tcPr>
            <w:tcW w:w="90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9"/>
              </w:rPr>
              <w:t>15</w:t>
            </w:r>
          </w:p>
        </w:tc>
        <w:tc>
          <w:tcPr>
            <w:tcW w:w="88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9"/>
              </w:rPr>
              <w:t>17</w:t>
            </w:r>
          </w:p>
        </w:tc>
        <w:tc>
          <w:tcPr>
            <w:tcW w:w="900" w:type="dxa"/>
            <w:vAlign w:val="bottom"/>
            <w:tcBorders>
              <w:bottom w:val="single" w:sz="8" w:color="2AD2C8"/>
            </w:tcBorders>
          </w:tcPr>
          <w:p>
            <w:pPr>
              <w:jc w:val="center"/>
              <w:spacing w:after="0"/>
              <w:rPr>
                <w:sz w:val="20"/>
                <w:szCs w:val="20"/>
                <w:color w:val="auto"/>
              </w:rPr>
            </w:pPr>
            <w:r>
              <w:rPr>
                <w:rFonts w:ascii="Arial" w:cs="Arial" w:eastAsia="Arial" w:hAnsi="Arial"/>
                <w:sz w:val="18"/>
                <w:szCs w:val="18"/>
                <w:color w:val="auto"/>
                <w:w w:val="99"/>
              </w:rPr>
              <w:t>18</w:t>
            </w:r>
          </w:p>
        </w:tc>
        <w:tc>
          <w:tcPr>
            <w:tcW w:w="900" w:type="dxa"/>
            <w:vAlign w:val="bottom"/>
            <w:tcBorders>
              <w:bottom w:val="single" w:sz="8" w:color="2AD2C8"/>
            </w:tcBorders>
            <w:shd w:val="clear" w:color="auto" w:fill="F1F1F1"/>
          </w:tcPr>
          <w:p>
            <w:pPr>
              <w:jc w:val="center"/>
              <w:spacing w:after="0"/>
              <w:rPr>
                <w:sz w:val="20"/>
                <w:szCs w:val="20"/>
                <w:color w:val="auto"/>
              </w:rPr>
            </w:pPr>
            <w:r>
              <w:rPr>
                <w:rFonts w:ascii="Arial" w:cs="Arial" w:eastAsia="Arial" w:hAnsi="Arial"/>
                <w:sz w:val="18"/>
                <w:szCs w:val="18"/>
                <w:color w:val="auto"/>
                <w:w w:val="99"/>
              </w:rPr>
              <w:t>18</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Source: INEI, BCRP y SBS.</w:t>
      </w:r>
    </w:p>
    <w:p>
      <w:pPr>
        <w:spacing w:after="0" w:line="10" w:lineRule="exact"/>
        <w:rPr>
          <w:sz w:val="20"/>
          <w:szCs w:val="20"/>
          <w:color w:val="auto"/>
        </w:rPr>
      </w:pPr>
    </w:p>
    <w:p>
      <w:pPr>
        <w:ind w:left="200" w:hanging="192"/>
        <w:spacing w:after="0"/>
        <w:tabs>
          <w:tab w:leader="none" w:pos="2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Financial System, Current Exchange Rate</w:t>
      </w:r>
    </w:p>
    <w:p>
      <w:pPr>
        <w:ind w:left="200" w:hanging="192"/>
        <w:spacing w:after="0"/>
        <w:tabs>
          <w:tab w:leader="none" w:pos="2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Inflation Target: 1%-3%</w:t>
      </w:r>
    </w:p>
    <w:p>
      <w:pPr>
        <w:ind w:left="200" w:hanging="192"/>
        <w:spacing w:after="0"/>
        <w:tabs>
          <w:tab w:leader="none" w:pos="2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Negative % change indicates depreciation.</w:t>
      </w:r>
    </w:p>
    <w:p>
      <w:pPr>
        <w:ind w:left="200" w:hanging="192"/>
        <w:spacing w:after="0"/>
        <w:tabs>
          <w:tab w:leader="none" w:pos="2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Grey area indicates estimates by BCP – Economic Research as of January 2025.</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6" w:name="page47"/>
    <w:bookmarkEnd w:id="46"/>
    <w:p>
      <w:pPr>
        <w:ind w:left="2540"/>
        <w:spacing w:after="0"/>
        <w:tabs>
          <w:tab w:leader="none" w:pos="2780" w:val="left"/>
          <w:tab w:leader="none" w:pos="744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11. 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-141605</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247"/>
        </w:trPr>
        <w:tc>
          <w:tcPr>
            <w:tcW w:w="4580" w:type="dxa"/>
            <w:vAlign w:val="bottom"/>
          </w:tcPr>
          <w:p>
            <w:pPr>
              <w:spacing w:after="0"/>
              <w:rPr>
                <w:sz w:val="20"/>
                <w:szCs w:val="20"/>
                <w:color w:val="auto"/>
              </w:rPr>
            </w:pPr>
            <w:r>
              <w:rPr>
                <w:rFonts w:ascii="Arial" w:cs="Arial" w:eastAsia="Arial" w:hAnsi="Arial"/>
                <w:sz w:val="18"/>
                <w:szCs w:val="18"/>
                <w:b w:val="1"/>
                <w:bCs w:val="1"/>
                <w:color w:val="auto"/>
              </w:rPr>
              <w:t>Main Macroeconomic Variables</w:t>
            </w:r>
          </w:p>
        </w:tc>
        <w:tc>
          <w:tcPr>
            <w:tcW w:w="6320" w:type="dxa"/>
            <w:vAlign w:val="bottom"/>
          </w:tcPr>
          <w:p>
            <w:pPr>
              <w:spacing w:after="0"/>
              <w:rPr>
                <w:sz w:val="21"/>
                <w:szCs w:val="21"/>
                <w:color w:val="auto"/>
              </w:rPr>
            </w:pPr>
          </w:p>
        </w:tc>
      </w:tr>
      <w:tr>
        <w:trPr>
          <w:trHeight w:val="347"/>
        </w:trPr>
        <w:tc>
          <w:tcPr>
            <w:tcW w:w="4580" w:type="dxa"/>
            <w:vAlign w:val="bottom"/>
          </w:tcPr>
          <w:p>
            <w:pPr>
              <w:jc w:val="center"/>
              <w:ind w:left="50"/>
              <w:spacing w:after="0"/>
              <w:rPr>
                <w:sz w:val="20"/>
                <w:szCs w:val="20"/>
                <w:color w:val="auto"/>
              </w:rPr>
            </w:pPr>
            <w:r>
              <w:rPr>
                <w:rFonts w:ascii="Arial" w:cs="Arial" w:eastAsia="Arial" w:hAnsi="Arial"/>
                <w:sz w:val="18"/>
                <w:szCs w:val="18"/>
                <w:b w:val="1"/>
                <w:bCs w:val="1"/>
                <w:color w:val="auto"/>
              </w:rPr>
              <w:t>Gross Domestic Product</w:t>
            </w:r>
          </w:p>
        </w:tc>
        <w:tc>
          <w:tcPr>
            <w:tcW w:w="6320" w:type="dxa"/>
            <w:vAlign w:val="bottom"/>
          </w:tcPr>
          <w:p>
            <w:pPr>
              <w:ind w:left="920"/>
              <w:spacing w:after="0"/>
              <w:rPr>
                <w:sz w:val="20"/>
                <w:szCs w:val="20"/>
                <w:color w:val="auto"/>
              </w:rPr>
            </w:pPr>
            <w:r>
              <w:rPr>
                <w:rFonts w:ascii="Arial" w:cs="Arial" w:eastAsia="Arial" w:hAnsi="Arial"/>
                <w:sz w:val="18"/>
                <w:szCs w:val="18"/>
                <w:color w:val="auto"/>
              </w:rPr>
              <w:t>In  1Q25,  GDP  grew  by  approximately  3.9%  YoY,  the  third</w:t>
            </w:r>
          </w:p>
        </w:tc>
      </w:tr>
      <w:tr>
        <w:trPr>
          <w:trHeight w:val="203"/>
        </w:trPr>
        <w:tc>
          <w:tcPr>
            <w:tcW w:w="458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8"/>
              </w:rPr>
              <w:t>(Annual Real Variations, % YoY)</w:t>
            </w:r>
          </w:p>
        </w:tc>
        <w:tc>
          <w:tcPr>
            <w:tcW w:w="6320" w:type="dxa"/>
            <w:vAlign w:val="bottom"/>
          </w:tcPr>
          <w:p>
            <w:pPr>
              <w:ind w:left="920"/>
              <w:spacing w:after="0" w:line="202" w:lineRule="exact"/>
              <w:rPr>
                <w:sz w:val="20"/>
                <w:szCs w:val="20"/>
                <w:color w:val="auto"/>
              </w:rPr>
            </w:pPr>
            <w:r>
              <w:rPr>
                <w:rFonts w:ascii="Arial" w:cs="Arial" w:eastAsia="Arial" w:hAnsi="Arial"/>
                <w:sz w:val="18"/>
                <w:szCs w:val="18"/>
                <w:color w:val="auto"/>
              </w:rPr>
              <w:t>consecutive quarter at a pace of around 4%, favored by the</w:t>
            </w:r>
          </w:p>
        </w:tc>
      </w:tr>
      <w:tr>
        <w:trPr>
          <w:trHeight w:val="203"/>
        </w:trPr>
        <w:tc>
          <w:tcPr>
            <w:tcW w:w="4580" w:type="dxa"/>
            <w:vAlign w:val="bottom"/>
          </w:tcPr>
          <w:p>
            <w:pPr>
              <w:spacing w:after="0"/>
              <w:rPr>
                <w:sz w:val="17"/>
                <w:szCs w:val="17"/>
                <w:color w:val="auto"/>
              </w:rPr>
            </w:pPr>
          </w:p>
        </w:tc>
        <w:tc>
          <w:tcPr>
            <w:tcW w:w="6320" w:type="dxa"/>
            <w:vAlign w:val="bottom"/>
          </w:tcPr>
          <w:p>
            <w:pPr>
              <w:ind w:left="920"/>
              <w:spacing w:after="0" w:line="202" w:lineRule="exact"/>
              <w:rPr>
                <w:sz w:val="20"/>
                <w:szCs w:val="20"/>
                <w:color w:val="auto"/>
              </w:rPr>
            </w:pPr>
            <w:r>
              <w:rPr>
                <w:rFonts w:ascii="Arial" w:cs="Arial" w:eastAsia="Arial" w:hAnsi="Arial"/>
                <w:sz w:val="18"/>
                <w:szCs w:val="18"/>
                <w:color w:val="auto"/>
              </w:rPr>
              <w:t>transition to the mid-phase of the economic cycle. The sectors that</w:t>
            </w:r>
          </w:p>
        </w:tc>
      </w:tr>
      <w:tr>
        <w:trPr>
          <w:trHeight w:val="203"/>
        </w:trPr>
        <w:tc>
          <w:tcPr>
            <w:tcW w:w="4580" w:type="dxa"/>
            <w:vAlign w:val="bottom"/>
          </w:tcPr>
          <w:p>
            <w:pPr>
              <w:spacing w:after="0"/>
              <w:rPr>
                <w:sz w:val="17"/>
                <w:szCs w:val="17"/>
                <w:color w:val="auto"/>
              </w:rPr>
            </w:pPr>
          </w:p>
        </w:tc>
        <w:tc>
          <w:tcPr>
            <w:tcW w:w="6320" w:type="dxa"/>
            <w:vAlign w:val="bottom"/>
          </w:tcPr>
          <w:p>
            <w:pPr>
              <w:ind w:left="920"/>
              <w:spacing w:after="0" w:line="202" w:lineRule="exact"/>
              <w:rPr>
                <w:sz w:val="20"/>
                <w:szCs w:val="20"/>
                <w:color w:val="auto"/>
              </w:rPr>
            </w:pPr>
            <w:r>
              <w:rPr>
                <w:rFonts w:ascii="Arial" w:cs="Arial" w:eastAsia="Arial" w:hAnsi="Arial"/>
                <w:sz w:val="18"/>
                <w:szCs w:val="18"/>
                <w:color w:val="auto"/>
              </w:rPr>
              <w:t>contributed the most to growth during the quarter were services,</w:t>
            </w:r>
          </w:p>
        </w:tc>
      </w:tr>
      <w:tr>
        <w:trPr>
          <w:trHeight w:val="203"/>
        </w:trPr>
        <w:tc>
          <w:tcPr>
            <w:tcW w:w="4580" w:type="dxa"/>
            <w:vAlign w:val="bottom"/>
          </w:tcPr>
          <w:p>
            <w:pPr>
              <w:spacing w:after="0"/>
              <w:rPr>
                <w:sz w:val="17"/>
                <w:szCs w:val="17"/>
                <w:color w:val="auto"/>
              </w:rPr>
            </w:pPr>
          </w:p>
        </w:tc>
        <w:tc>
          <w:tcPr>
            <w:tcW w:w="6320" w:type="dxa"/>
            <w:vAlign w:val="bottom"/>
          </w:tcPr>
          <w:p>
            <w:pPr>
              <w:ind w:left="920"/>
              <w:spacing w:after="0" w:line="202" w:lineRule="exact"/>
              <w:rPr>
                <w:sz w:val="20"/>
                <w:szCs w:val="20"/>
                <w:color w:val="auto"/>
              </w:rPr>
            </w:pPr>
            <w:r>
              <w:rPr>
                <w:rFonts w:ascii="Arial" w:cs="Arial" w:eastAsia="Arial" w:hAnsi="Arial"/>
                <w:sz w:val="18"/>
                <w:szCs w:val="18"/>
                <w:color w:val="auto"/>
              </w:rPr>
              <w:t>commerce,  non-primary  manufacturing,  and  construction.  The</w:t>
            </w:r>
          </w:p>
        </w:tc>
      </w:tr>
      <w:tr>
        <w:trPr>
          <w:trHeight w:val="203"/>
        </w:trPr>
        <w:tc>
          <w:tcPr>
            <w:tcW w:w="4580" w:type="dxa"/>
            <w:vAlign w:val="bottom"/>
          </w:tcPr>
          <w:p>
            <w:pPr>
              <w:spacing w:after="0"/>
              <w:rPr>
                <w:sz w:val="17"/>
                <w:szCs w:val="17"/>
                <w:color w:val="auto"/>
              </w:rPr>
            </w:pPr>
          </w:p>
        </w:tc>
        <w:tc>
          <w:tcPr>
            <w:tcW w:w="6320" w:type="dxa"/>
            <w:vAlign w:val="bottom"/>
          </w:tcPr>
          <w:p>
            <w:pPr>
              <w:ind w:left="920"/>
              <w:spacing w:after="0" w:line="202" w:lineRule="exact"/>
              <w:rPr>
                <w:sz w:val="20"/>
                <w:szCs w:val="20"/>
                <w:color w:val="auto"/>
              </w:rPr>
            </w:pPr>
            <w:r>
              <w:rPr>
                <w:rFonts w:ascii="Arial" w:cs="Arial" w:eastAsia="Arial" w:hAnsi="Arial"/>
                <w:sz w:val="18"/>
                <w:szCs w:val="18"/>
                <w:color w:val="auto"/>
              </w:rPr>
              <w:t>growth  of  non-  primary  sectors  was  driven  by  the  continued</w:t>
            </w:r>
          </w:p>
        </w:tc>
      </w:tr>
      <w:tr>
        <w:trPr>
          <w:trHeight w:val="203"/>
        </w:trPr>
        <w:tc>
          <w:tcPr>
            <w:tcW w:w="4580" w:type="dxa"/>
            <w:vAlign w:val="bottom"/>
          </w:tcPr>
          <w:p>
            <w:pPr>
              <w:spacing w:after="0"/>
              <w:rPr>
                <w:sz w:val="17"/>
                <w:szCs w:val="17"/>
                <w:color w:val="auto"/>
              </w:rPr>
            </w:pPr>
          </w:p>
        </w:tc>
        <w:tc>
          <w:tcPr>
            <w:tcW w:w="6320" w:type="dxa"/>
            <w:vAlign w:val="bottom"/>
          </w:tcPr>
          <w:p>
            <w:pPr>
              <w:ind w:left="920"/>
              <w:spacing w:after="0" w:line="202" w:lineRule="exact"/>
              <w:rPr>
                <w:sz w:val="20"/>
                <w:szCs w:val="20"/>
                <w:color w:val="auto"/>
              </w:rPr>
            </w:pPr>
            <w:r>
              <w:rPr>
                <w:rFonts w:ascii="Arial" w:cs="Arial" w:eastAsia="Arial" w:hAnsi="Arial"/>
                <w:sz w:val="18"/>
                <w:szCs w:val="18"/>
                <w:color w:val="auto"/>
              </w:rPr>
              <w:t>recovery of formal employment and real wages, amidst inflation</w:t>
            </w:r>
          </w:p>
        </w:tc>
      </w:tr>
      <w:tr>
        <w:trPr>
          <w:trHeight w:val="239"/>
        </w:trPr>
        <w:tc>
          <w:tcPr>
            <w:tcW w:w="4580" w:type="dxa"/>
            <w:vAlign w:val="bottom"/>
          </w:tcPr>
          <w:p>
            <w:pPr>
              <w:spacing w:after="0"/>
              <w:rPr>
                <w:sz w:val="20"/>
                <w:szCs w:val="20"/>
                <w:color w:val="auto"/>
              </w:rPr>
            </w:pPr>
          </w:p>
        </w:tc>
        <w:tc>
          <w:tcPr>
            <w:tcW w:w="6320" w:type="dxa"/>
            <w:vAlign w:val="bottom"/>
          </w:tcPr>
          <w:p>
            <w:pPr>
              <w:ind w:left="920"/>
              <w:spacing w:after="0"/>
              <w:rPr>
                <w:sz w:val="20"/>
                <w:szCs w:val="20"/>
                <w:color w:val="auto"/>
              </w:rPr>
            </w:pPr>
            <w:r>
              <w:rPr>
                <w:rFonts w:ascii="Arial" w:cs="Arial" w:eastAsia="Arial" w:hAnsi="Arial"/>
                <w:sz w:val="18"/>
                <w:szCs w:val="18"/>
                <w:color w:val="auto"/>
              </w:rPr>
              <w:t>comfortably within the target range of the Central Bank (BCRP).</w:t>
            </w:r>
          </w:p>
        </w:tc>
      </w:tr>
      <w:tr>
        <w:trPr>
          <w:trHeight w:val="369"/>
        </w:trPr>
        <w:tc>
          <w:tcPr>
            <w:tcW w:w="4580" w:type="dxa"/>
            <w:vAlign w:val="bottom"/>
          </w:tcPr>
          <w:p>
            <w:pPr>
              <w:spacing w:after="0"/>
              <w:rPr>
                <w:sz w:val="24"/>
                <w:szCs w:val="24"/>
                <w:color w:val="auto"/>
              </w:rPr>
            </w:pPr>
          </w:p>
        </w:tc>
        <w:tc>
          <w:tcPr>
            <w:tcW w:w="6320" w:type="dxa"/>
            <w:vAlign w:val="bottom"/>
          </w:tcPr>
          <w:p>
            <w:pPr>
              <w:ind w:left="920"/>
              <w:spacing w:after="0"/>
              <w:rPr>
                <w:sz w:val="20"/>
                <w:szCs w:val="20"/>
                <w:color w:val="auto"/>
              </w:rPr>
            </w:pPr>
            <w:r>
              <w:rPr>
                <w:rFonts w:ascii="Arial" w:cs="Arial" w:eastAsia="Arial" w:hAnsi="Arial"/>
                <w:sz w:val="18"/>
                <w:szCs w:val="18"/>
                <w:color w:val="auto"/>
              </w:rPr>
              <w:t>It is worth noting the double-digit growth of indicators such as car</w:t>
            </w:r>
          </w:p>
        </w:tc>
      </w:tr>
      <w:tr>
        <w:trPr>
          <w:trHeight w:val="203"/>
        </w:trPr>
        <w:tc>
          <w:tcPr>
            <w:tcW w:w="4580" w:type="dxa"/>
            <w:vAlign w:val="bottom"/>
          </w:tcPr>
          <w:p>
            <w:pPr>
              <w:spacing w:after="0"/>
              <w:rPr>
                <w:sz w:val="17"/>
                <w:szCs w:val="17"/>
                <w:color w:val="auto"/>
              </w:rPr>
            </w:pPr>
          </w:p>
        </w:tc>
        <w:tc>
          <w:tcPr>
            <w:tcW w:w="6320" w:type="dxa"/>
            <w:vAlign w:val="bottom"/>
          </w:tcPr>
          <w:p>
            <w:pPr>
              <w:ind w:left="920"/>
              <w:spacing w:after="0" w:line="202" w:lineRule="exact"/>
              <w:rPr>
                <w:sz w:val="20"/>
                <w:szCs w:val="20"/>
                <w:color w:val="auto"/>
              </w:rPr>
            </w:pPr>
            <w:r>
              <w:rPr>
                <w:rFonts w:ascii="Arial" w:cs="Arial" w:eastAsia="Arial" w:hAnsi="Arial"/>
                <w:sz w:val="18"/>
                <w:szCs w:val="18"/>
                <w:color w:val="auto"/>
              </w:rPr>
              <w:t>sales and imports of capital goods and industrial inputs, as well as</w:t>
            </w:r>
          </w:p>
        </w:tc>
      </w:tr>
      <w:tr>
        <w:trPr>
          <w:trHeight w:val="202"/>
        </w:trPr>
        <w:tc>
          <w:tcPr>
            <w:tcW w:w="4580" w:type="dxa"/>
            <w:vAlign w:val="bottom"/>
          </w:tcPr>
          <w:p>
            <w:pPr>
              <w:spacing w:after="0"/>
              <w:rPr>
                <w:sz w:val="17"/>
                <w:szCs w:val="17"/>
                <w:color w:val="auto"/>
              </w:rPr>
            </w:pPr>
          </w:p>
        </w:tc>
        <w:tc>
          <w:tcPr>
            <w:tcW w:w="6320" w:type="dxa"/>
            <w:vAlign w:val="bottom"/>
          </w:tcPr>
          <w:p>
            <w:pPr>
              <w:ind w:left="920"/>
              <w:spacing w:after="0" w:line="202" w:lineRule="exact"/>
              <w:rPr>
                <w:sz w:val="20"/>
                <w:szCs w:val="20"/>
                <w:color w:val="auto"/>
              </w:rPr>
            </w:pPr>
            <w:r>
              <w:rPr>
                <w:rFonts w:ascii="Arial" w:cs="Arial" w:eastAsia="Arial" w:hAnsi="Arial"/>
                <w:sz w:val="18"/>
                <w:szCs w:val="18"/>
                <w:color w:val="auto"/>
              </w:rPr>
              <w:t>the improvement in business investment expectations, which in</w:t>
            </w:r>
          </w:p>
        </w:tc>
      </w:tr>
      <w:tr>
        <w:trPr>
          <w:trHeight w:val="203"/>
        </w:trPr>
        <w:tc>
          <w:tcPr>
            <w:tcW w:w="4580" w:type="dxa"/>
            <w:vAlign w:val="bottom"/>
          </w:tcPr>
          <w:p>
            <w:pPr>
              <w:spacing w:after="0"/>
              <w:rPr>
                <w:sz w:val="17"/>
                <w:szCs w:val="17"/>
                <w:color w:val="auto"/>
              </w:rPr>
            </w:pPr>
          </w:p>
        </w:tc>
        <w:tc>
          <w:tcPr>
            <w:tcW w:w="6320" w:type="dxa"/>
            <w:vAlign w:val="bottom"/>
          </w:tcPr>
          <w:p>
            <w:pPr>
              <w:ind w:left="920"/>
              <w:spacing w:after="0" w:line="202" w:lineRule="exact"/>
              <w:rPr>
                <w:sz w:val="20"/>
                <w:szCs w:val="20"/>
                <w:color w:val="auto"/>
              </w:rPr>
            </w:pPr>
            <w:r>
              <w:rPr>
                <w:rFonts w:ascii="Arial" w:cs="Arial" w:eastAsia="Arial" w:hAnsi="Arial"/>
                <w:sz w:val="18"/>
                <w:szCs w:val="18"/>
                <w:color w:val="auto"/>
              </w:rPr>
              <w:t>March 2025 reached their highest level in 12 years, according to</w:t>
            </w:r>
          </w:p>
        </w:tc>
      </w:tr>
      <w:tr>
        <w:trPr>
          <w:trHeight w:val="203"/>
        </w:trPr>
        <w:tc>
          <w:tcPr>
            <w:tcW w:w="4580" w:type="dxa"/>
            <w:vAlign w:val="bottom"/>
          </w:tcPr>
          <w:p>
            <w:pPr>
              <w:spacing w:after="0"/>
              <w:rPr>
                <w:sz w:val="17"/>
                <w:szCs w:val="17"/>
                <w:color w:val="auto"/>
              </w:rPr>
            </w:pPr>
          </w:p>
        </w:tc>
        <w:tc>
          <w:tcPr>
            <w:tcW w:w="6320" w:type="dxa"/>
            <w:vAlign w:val="bottom"/>
          </w:tcPr>
          <w:p>
            <w:pPr>
              <w:ind w:left="920"/>
              <w:spacing w:after="0" w:line="202" w:lineRule="exact"/>
              <w:rPr>
                <w:sz w:val="20"/>
                <w:szCs w:val="20"/>
                <w:color w:val="auto"/>
              </w:rPr>
            </w:pPr>
            <w:r>
              <w:rPr>
                <w:rFonts w:ascii="Arial" w:cs="Arial" w:eastAsia="Arial" w:hAnsi="Arial"/>
                <w:sz w:val="18"/>
                <w:szCs w:val="18"/>
                <w:color w:val="auto"/>
              </w:rPr>
              <w:t>the BCRP survey. The Ministry of Production authorized the start of</w:t>
            </w:r>
          </w:p>
        </w:tc>
      </w:tr>
      <w:tr>
        <w:trPr>
          <w:trHeight w:val="203"/>
        </w:trPr>
        <w:tc>
          <w:tcPr>
            <w:tcW w:w="4580" w:type="dxa"/>
            <w:vAlign w:val="bottom"/>
          </w:tcPr>
          <w:p>
            <w:pPr>
              <w:spacing w:after="0"/>
              <w:rPr>
                <w:sz w:val="17"/>
                <w:szCs w:val="17"/>
                <w:color w:val="auto"/>
              </w:rPr>
            </w:pPr>
          </w:p>
        </w:tc>
        <w:tc>
          <w:tcPr>
            <w:tcW w:w="6320" w:type="dxa"/>
            <w:vAlign w:val="bottom"/>
          </w:tcPr>
          <w:p>
            <w:pPr>
              <w:ind w:left="920"/>
              <w:spacing w:after="0" w:line="202" w:lineRule="exact"/>
              <w:rPr>
                <w:sz w:val="20"/>
                <w:szCs w:val="20"/>
                <w:color w:val="auto"/>
              </w:rPr>
            </w:pPr>
            <w:r>
              <w:rPr>
                <w:rFonts w:ascii="Arial" w:cs="Arial" w:eastAsia="Arial" w:hAnsi="Arial"/>
                <w:sz w:val="18"/>
                <w:szCs w:val="18"/>
                <w:color w:val="auto"/>
              </w:rPr>
              <w:t>the first anchovy fishing season in the North-Central zone of the</w:t>
            </w:r>
          </w:p>
        </w:tc>
      </w:tr>
      <w:tr>
        <w:trPr>
          <w:trHeight w:val="203"/>
        </w:trPr>
        <w:tc>
          <w:tcPr>
            <w:tcW w:w="4580" w:type="dxa"/>
            <w:vAlign w:val="bottom"/>
          </w:tcPr>
          <w:p>
            <w:pPr>
              <w:spacing w:after="0"/>
              <w:rPr>
                <w:sz w:val="17"/>
                <w:szCs w:val="17"/>
                <w:color w:val="auto"/>
              </w:rPr>
            </w:pPr>
          </w:p>
        </w:tc>
        <w:tc>
          <w:tcPr>
            <w:tcW w:w="6320" w:type="dxa"/>
            <w:vAlign w:val="bottom"/>
          </w:tcPr>
          <w:p>
            <w:pPr>
              <w:ind w:left="920"/>
              <w:spacing w:after="0" w:line="202" w:lineRule="exact"/>
              <w:rPr>
                <w:sz w:val="20"/>
                <w:szCs w:val="20"/>
                <w:color w:val="auto"/>
              </w:rPr>
            </w:pPr>
            <w:r>
              <w:rPr>
                <w:rFonts w:ascii="Arial" w:cs="Arial" w:eastAsia="Arial" w:hAnsi="Arial"/>
                <w:sz w:val="18"/>
                <w:szCs w:val="18"/>
                <w:color w:val="auto"/>
              </w:rPr>
              <w:t>country with a quota of 3.0 million tons, 20.0% higher than in 2024</w:t>
            </w:r>
          </w:p>
        </w:tc>
      </w:tr>
      <w:tr>
        <w:trPr>
          <w:trHeight w:val="239"/>
        </w:trPr>
        <w:tc>
          <w:tcPr>
            <w:tcW w:w="4580" w:type="dxa"/>
            <w:vAlign w:val="bottom"/>
          </w:tcPr>
          <w:p>
            <w:pPr>
              <w:spacing w:after="0"/>
              <w:rPr>
                <w:sz w:val="20"/>
                <w:szCs w:val="20"/>
                <w:color w:val="auto"/>
              </w:rPr>
            </w:pPr>
          </w:p>
        </w:tc>
        <w:tc>
          <w:tcPr>
            <w:tcW w:w="6320" w:type="dxa"/>
            <w:vAlign w:val="bottom"/>
          </w:tcPr>
          <w:p>
            <w:pPr>
              <w:ind w:left="920"/>
              <w:spacing w:after="0"/>
              <w:rPr>
                <w:sz w:val="20"/>
                <w:szCs w:val="20"/>
                <w:color w:val="auto"/>
              </w:rPr>
            </w:pPr>
            <w:r>
              <w:rPr>
                <w:rFonts w:ascii="Arial" w:cs="Arial" w:eastAsia="Arial" w:hAnsi="Arial"/>
                <w:sz w:val="18"/>
                <w:szCs w:val="18"/>
                <w:color w:val="auto"/>
              </w:rPr>
              <w:t>and the highest level in 7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-1811020</wp:posOffset>
            </wp:positionV>
            <wp:extent cx="3385820" cy="2057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8582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4760" w:type="dxa"/>
            <w:vAlign w:val="bottom"/>
          </w:tcPr>
          <w:p>
            <w:pPr>
              <w:jc w:val="center"/>
              <w:ind w:right="430"/>
              <w:spacing w:after="0"/>
              <w:rPr>
                <w:sz w:val="20"/>
                <w:szCs w:val="20"/>
                <w:color w:val="auto"/>
              </w:rPr>
            </w:pPr>
            <w:r>
              <w:rPr>
                <w:rFonts w:ascii="Arial" w:cs="Arial" w:eastAsia="Arial" w:hAnsi="Arial"/>
                <w:sz w:val="18"/>
                <w:szCs w:val="18"/>
                <w:b w:val="1"/>
                <w:bCs w:val="1"/>
                <w:color w:val="auto"/>
                <w:w w:val="99"/>
              </w:rPr>
              <w:t>Annual Inflation and Central Bank Reference Rate</w:t>
            </w:r>
          </w:p>
        </w:tc>
        <w:tc>
          <w:tcPr>
            <w:tcW w:w="5900" w:type="dxa"/>
            <w:vAlign w:val="bottom"/>
          </w:tcPr>
          <w:p>
            <w:pPr>
              <w:ind w:left="500"/>
              <w:spacing w:after="0"/>
              <w:rPr>
                <w:sz w:val="20"/>
                <w:szCs w:val="20"/>
                <w:color w:val="auto"/>
              </w:rPr>
            </w:pPr>
            <w:r>
              <w:rPr>
                <w:rFonts w:ascii="Arial" w:cs="Arial" w:eastAsia="Arial" w:hAnsi="Arial"/>
                <w:sz w:val="18"/>
                <w:szCs w:val="18"/>
                <w:color w:val="auto"/>
              </w:rPr>
              <w:t>Inflation, measured with the Consumer Price Index of Metropolitan</w:t>
            </w:r>
          </w:p>
        </w:tc>
      </w:tr>
      <w:tr>
        <w:trPr>
          <w:trHeight w:val="203"/>
        </w:trPr>
        <w:tc>
          <w:tcPr>
            <w:tcW w:w="4760" w:type="dxa"/>
            <w:vAlign w:val="bottom"/>
          </w:tcPr>
          <w:p>
            <w:pPr>
              <w:jc w:val="right"/>
              <w:ind w:right="2410"/>
              <w:spacing w:after="0" w:line="202" w:lineRule="exact"/>
              <w:rPr>
                <w:sz w:val="20"/>
                <w:szCs w:val="20"/>
                <w:color w:val="auto"/>
              </w:rPr>
            </w:pPr>
            <w:r>
              <w:rPr>
                <w:rFonts w:ascii="Arial" w:cs="Arial" w:eastAsia="Arial" w:hAnsi="Arial"/>
                <w:sz w:val="18"/>
                <w:szCs w:val="18"/>
                <w:color w:val="auto"/>
              </w:rPr>
              <w:t>(%)</w:t>
            </w:r>
          </w:p>
        </w:tc>
        <w:tc>
          <w:tcPr>
            <w:tcW w:w="5900" w:type="dxa"/>
            <w:vAlign w:val="bottom"/>
          </w:tcPr>
          <w:p>
            <w:pPr>
              <w:ind w:left="500"/>
              <w:spacing w:after="0" w:line="202" w:lineRule="exact"/>
              <w:rPr>
                <w:sz w:val="20"/>
                <w:szCs w:val="20"/>
                <w:color w:val="auto"/>
              </w:rPr>
            </w:pPr>
            <w:r>
              <w:rPr>
                <w:rFonts w:ascii="Arial" w:cs="Arial" w:eastAsia="Arial" w:hAnsi="Arial"/>
                <w:sz w:val="18"/>
                <w:szCs w:val="18"/>
                <w:color w:val="auto"/>
              </w:rPr>
              <w:t>Lima, slowed from 2.0% at the end of 4Q24 to 1.3% at the end of</w:t>
            </w:r>
          </w:p>
        </w:tc>
      </w:tr>
      <w:tr>
        <w:trPr>
          <w:trHeight w:val="203"/>
        </w:trPr>
        <w:tc>
          <w:tcPr>
            <w:tcW w:w="4760" w:type="dxa"/>
            <w:vAlign w:val="bottom"/>
          </w:tcPr>
          <w:p>
            <w:pPr>
              <w:spacing w:after="0"/>
              <w:rPr>
                <w:sz w:val="17"/>
                <w:szCs w:val="17"/>
                <w:color w:val="auto"/>
              </w:rPr>
            </w:pPr>
          </w:p>
        </w:tc>
        <w:tc>
          <w:tcPr>
            <w:tcW w:w="5900" w:type="dxa"/>
            <w:vAlign w:val="bottom"/>
          </w:tcPr>
          <w:p>
            <w:pPr>
              <w:ind w:left="500"/>
              <w:spacing w:after="0" w:line="202" w:lineRule="exact"/>
              <w:rPr>
                <w:sz w:val="20"/>
                <w:szCs w:val="20"/>
                <w:color w:val="auto"/>
              </w:rPr>
            </w:pPr>
            <w:r>
              <w:rPr>
                <w:rFonts w:ascii="Arial" w:cs="Arial" w:eastAsia="Arial" w:hAnsi="Arial"/>
                <w:sz w:val="18"/>
                <w:szCs w:val="18"/>
                <w:color w:val="auto"/>
                <w:w w:val="99"/>
              </w:rPr>
              <w:t>1Q25, the lowest print since late 2018 and close to the lower limit of</w:t>
            </w:r>
          </w:p>
        </w:tc>
      </w:tr>
      <w:tr>
        <w:trPr>
          <w:trHeight w:val="203"/>
        </w:trPr>
        <w:tc>
          <w:tcPr>
            <w:tcW w:w="4760" w:type="dxa"/>
            <w:vAlign w:val="bottom"/>
          </w:tcPr>
          <w:p>
            <w:pPr>
              <w:spacing w:after="0"/>
              <w:rPr>
                <w:sz w:val="17"/>
                <w:szCs w:val="17"/>
                <w:color w:val="auto"/>
              </w:rPr>
            </w:pPr>
          </w:p>
        </w:tc>
        <w:tc>
          <w:tcPr>
            <w:tcW w:w="5900" w:type="dxa"/>
            <w:vAlign w:val="bottom"/>
          </w:tcPr>
          <w:p>
            <w:pPr>
              <w:ind w:left="500"/>
              <w:spacing w:after="0" w:line="202" w:lineRule="exact"/>
              <w:rPr>
                <w:sz w:val="20"/>
                <w:szCs w:val="20"/>
                <w:color w:val="auto"/>
              </w:rPr>
            </w:pPr>
            <w:r>
              <w:rPr>
                <w:rFonts w:ascii="Arial" w:cs="Arial" w:eastAsia="Arial" w:hAnsi="Arial"/>
                <w:sz w:val="18"/>
                <w:szCs w:val="18"/>
                <w:color w:val="auto"/>
              </w:rPr>
              <w:t>the BCRP’s target range of 1% - 3%. Core inflation, which excludes</w:t>
            </w:r>
          </w:p>
        </w:tc>
      </w:tr>
      <w:tr>
        <w:trPr>
          <w:trHeight w:val="203"/>
        </w:trPr>
        <w:tc>
          <w:tcPr>
            <w:tcW w:w="4760" w:type="dxa"/>
            <w:vAlign w:val="bottom"/>
          </w:tcPr>
          <w:p>
            <w:pPr>
              <w:spacing w:after="0"/>
              <w:rPr>
                <w:sz w:val="17"/>
                <w:szCs w:val="17"/>
                <w:color w:val="auto"/>
              </w:rPr>
            </w:pPr>
          </w:p>
        </w:tc>
        <w:tc>
          <w:tcPr>
            <w:tcW w:w="5900" w:type="dxa"/>
            <w:vAlign w:val="bottom"/>
          </w:tcPr>
          <w:p>
            <w:pPr>
              <w:ind w:left="500"/>
              <w:spacing w:after="0" w:line="202" w:lineRule="exact"/>
              <w:rPr>
                <w:sz w:val="20"/>
                <w:szCs w:val="20"/>
                <w:color w:val="auto"/>
              </w:rPr>
            </w:pPr>
            <w:r>
              <w:rPr>
                <w:rFonts w:ascii="Arial" w:cs="Arial" w:eastAsia="Arial" w:hAnsi="Arial"/>
                <w:sz w:val="18"/>
                <w:szCs w:val="18"/>
                <w:color w:val="auto"/>
              </w:rPr>
              <w:t>food and energy, moderated from 2.6% to 1.9% during the same</w:t>
            </w:r>
          </w:p>
        </w:tc>
      </w:tr>
      <w:tr>
        <w:trPr>
          <w:trHeight w:val="203"/>
        </w:trPr>
        <w:tc>
          <w:tcPr>
            <w:tcW w:w="4760" w:type="dxa"/>
            <w:vAlign w:val="bottom"/>
          </w:tcPr>
          <w:p>
            <w:pPr>
              <w:spacing w:after="0"/>
              <w:rPr>
                <w:sz w:val="17"/>
                <w:szCs w:val="17"/>
                <w:color w:val="auto"/>
              </w:rPr>
            </w:pPr>
          </w:p>
        </w:tc>
        <w:tc>
          <w:tcPr>
            <w:tcW w:w="5900" w:type="dxa"/>
            <w:vAlign w:val="bottom"/>
          </w:tcPr>
          <w:p>
            <w:pPr>
              <w:ind w:left="500"/>
              <w:spacing w:after="0" w:line="202" w:lineRule="exact"/>
              <w:rPr>
                <w:sz w:val="20"/>
                <w:szCs w:val="20"/>
                <w:color w:val="auto"/>
              </w:rPr>
            </w:pPr>
            <w:r>
              <w:rPr>
                <w:rFonts w:ascii="Arial" w:cs="Arial" w:eastAsia="Arial" w:hAnsi="Arial"/>
                <w:sz w:val="18"/>
                <w:szCs w:val="18"/>
                <w:color w:val="auto"/>
              </w:rPr>
              <w:t>period,  reaching  its  lowest  level  since  mid-2021  and  settling,</w:t>
            </w:r>
          </w:p>
        </w:tc>
      </w:tr>
      <w:tr>
        <w:trPr>
          <w:trHeight w:val="203"/>
        </w:trPr>
        <w:tc>
          <w:tcPr>
            <w:tcW w:w="4760" w:type="dxa"/>
            <w:vAlign w:val="bottom"/>
          </w:tcPr>
          <w:p>
            <w:pPr>
              <w:spacing w:after="0"/>
              <w:rPr>
                <w:sz w:val="17"/>
                <w:szCs w:val="17"/>
                <w:color w:val="auto"/>
              </w:rPr>
            </w:pPr>
          </w:p>
        </w:tc>
        <w:tc>
          <w:tcPr>
            <w:tcW w:w="5900" w:type="dxa"/>
            <w:vAlign w:val="bottom"/>
          </w:tcPr>
          <w:p>
            <w:pPr>
              <w:ind w:left="500"/>
              <w:spacing w:after="0" w:line="202" w:lineRule="exact"/>
              <w:rPr>
                <w:sz w:val="20"/>
                <w:szCs w:val="20"/>
                <w:color w:val="auto"/>
              </w:rPr>
            </w:pPr>
            <w:r>
              <w:rPr>
                <w:rFonts w:ascii="Arial" w:cs="Arial" w:eastAsia="Arial" w:hAnsi="Arial"/>
                <w:sz w:val="18"/>
                <w:szCs w:val="18"/>
                <w:color w:val="auto"/>
              </w:rPr>
              <w:t>around the midpoint of the target range for the second consecutive</w:t>
            </w:r>
          </w:p>
        </w:tc>
      </w:tr>
      <w:tr>
        <w:trPr>
          <w:trHeight w:val="239"/>
        </w:trPr>
        <w:tc>
          <w:tcPr>
            <w:tcW w:w="4760" w:type="dxa"/>
            <w:vAlign w:val="bottom"/>
          </w:tcPr>
          <w:p>
            <w:pPr>
              <w:spacing w:after="0"/>
              <w:rPr>
                <w:sz w:val="20"/>
                <w:szCs w:val="20"/>
                <w:color w:val="auto"/>
              </w:rPr>
            </w:pPr>
          </w:p>
        </w:tc>
        <w:tc>
          <w:tcPr>
            <w:tcW w:w="5900" w:type="dxa"/>
            <w:vAlign w:val="bottom"/>
          </w:tcPr>
          <w:p>
            <w:pPr>
              <w:ind w:left="500"/>
              <w:spacing w:after="0"/>
              <w:rPr>
                <w:sz w:val="20"/>
                <w:szCs w:val="20"/>
                <w:color w:val="auto"/>
              </w:rPr>
            </w:pPr>
            <w:r>
              <w:rPr>
                <w:rFonts w:ascii="Arial" w:cs="Arial" w:eastAsia="Arial" w:hAnsi="Arial"/>
                <w:sz w:val="18"/>
                <w:szCs w:val="18"/>
                <w:color w:val="auto"/>
              </w:rPr>
              <w:t>month.</w:t>
            </w:r>
          </w:p>
        </w:tc>
      </w:tr>
      <w:tr>
        <w:trPr>
          <w:trHeight w:val="382"/>
        </w:trPr>
        <w:tc>
          <w:tcPr>
            <w:tcW w:w="4760" w:type="dxa"/>
            <w:vAlign w:val="bottom"/>
          </w:tcPr>
          <w:p>
            <w:pPr>
              <w:spacing w:after="0"/>
              <w:rPr>
                <w:sz w:val="24"/>
                <w:szCs w:val="24"/>
                <w:color w:val="auto"/>
              </w:rPr>
            </w:pPr>
          </w:p>
        </w:tc>
        <w:tc>
          <w:tcPr>
            <w:tcW w:w="5900" w:type="dxa"/>
            <w:vAlign w:val="bottom"/>
          </w:tcPr>
          <w:p>
            <w:pPr>
              <w:ind w:left="500"/>
              <w:spacing w:after="0"/>
              <w:rPr>
                <w:sz w:val="20"/>
                <w:szCs w:val="20"/>
                <w:color w:val="auto"/>
              </w:rPr>
            </w:pPr>
            <w:r>
              <w:rPr>
                <w:rFonts w:ascii="Arial" w:cs="Arial" w:eastAsia="Arial" w:hAnsi="Arial"/>
                <w:sz w:val="18"/>
                <w:szCs w:val="18"/>
                <w:color w:val="auto"/>
              </w:rPr>
              <w:t>In its May 2025 monetary policy meeting, the BCRP lowered its</w:t>
            </w:r>
          </w:p>
        </w:tc>
      </w:tr>
      <w:tr>
        <w:trPr>
          <w:trHeight w:val="203"/>
        </w:trPr>
        <w:tc>
          <w:tcPr>
            <w:tcW w:w="4760" w:type="dxa"/>
            <w:vAlign w:val="bottom"/>
          </w:tcPr>
          <w:p>
            <w:pPr>
              <w:spacing w:after="0"/>
              <w:rPr>
                <w:sz w:val="17"/>
                <w:szCs w:val="17"/>
                <w:color w:val="auto"/>
              </w:rPr>
            </w:pPr>
          </w:p>
        </w:tc>
        <w:tc>
          <w:tcPr>
            <w:tcW w:w="5900" w:type="dxa"/>
            <w:vAlign w:val="bottom"/>
          </w:tcPr>
          <w:p>
            <w:pPr>
              <w:ind w:left="500"/>
              <w:spacing w:after="0" w:line="202" w:lineRule="exact"/>
              <w:rPr>
                <w:sz w:val="20"/>
                <w:szCs w:val="20"/>
                <w:color w:val="auto"/>
              </w:rPr>
            </w:pPr>
            <w:r>
              <w:rPr>
                <w:rFonts w:ascii="Arial" w:cs="Arial" w:eastAsia="Arial" w:hAnsi="Arial"/>
                <w:sz w:val="18"/>
                <w:szCs w:val="18"/>
                <w:color w:val="auto"/>
              </w:rPr>
              <w:t>policy rate 25 basis points to 4.50%. The last cut was made in</w:t>
            </w:r>
          </w:p>
        </w:tc>
      </w:tr>
      <w:tr>
        <w:trPr>
          <w:trHeight w:val="203"/>
        </w:trPr>
        <w:tc>
          <w:tcPr>
            <w:tcW w:w="4760" w:type="dxa"/>
            <w:vAlign w:val="bottom"/>
          </w:tcPr>
          <w:p>
            <w:pPr>
              <w:spacing w:after="0"/>
              <w:rPr>
                <w:sz w:val="17"/>
                <w:szCs w:val="17"/>
                <w:color w:val="auto"/>
              </w:rPr>
            </w:pPr>
          </w:p>
        </w:tc>
        <w:tc>
          <w:tcPr>
            <w:tcW w:w="5900" w:type="dxa"/>
            <w:vAlign w:val="bottom"/>
          </w:tcPr>
          <w:p>
            <w:pPr>
              <w:ind w:left="500"/>
              <w:spacing w:after="0" w:line="202" w:lineRule="exact"/>
              <w:rPr>
                <w:sz w:val="20"/>
                <w:szCs w:val="20"/>
                <w:color w:val="auto"/>
              </w:rPr>
            </w:pPr>
            <w:r>
              <w:rPr>
                <w:rFonts w:ascii="Arial" w:cs="Arial" w:eastAsia="Arial" w:hAnsi="Arial"/>
                <w:sz w:val="18"/>
                <w:szCs w:val="18"/>
                <w:color w:val="auto"/>
              </w:rPr>
              <w:t>January 2025 when the rate was lowered by 25 basis points, and</w:t>
            </w:r>
          </w:p>
        </w:tc>
      </w:tr>
      <w:tr>
        <w:trPr>
          <w:trHeight w:val="203"/>
        </w:trPr>
        <w:tc>
          <w:tcPr>
            <w:tcW w:w="4760" w:type="dxa"/>
            <w:vAlign w:val="bottom"/>
          </w:tcPr>
          <w:p>
            <w:pPr>
              <w:spacing w:after="0"/>
              <w:rPr>
                <w:sz w:val="17"/>
                <w:szCs w:val="17"/>
                <w:color w:val="auto"/>
              </w:rPr>
            </w:pPr>
          </w:p>
        </w:tc>
        <w:tc>
          <w:tcPr>
            <w:tcW w:w="5900" w:type="dxa"/>
            <w:vAlign w:val="bottom"/>
          </w:tcPr>
          <w:p>
            <w:pPr>
              <w:ind w:left="500"/>
              <w:spacing w:after="0" w:line="202" w:lineRule="exact"/>
              <w:rPr>
                <w:sz w:val="20"/>
                <w:szCs w:val="20"/>
                <w:color w:val="auto"/>
              </w:rPr>
            </w:pPr>
            <w:r>
              <w:rPr>
                <w:rFonts w:ascii="Arial" w:cs="Arial" w:eastAsia="Arial" w:hAnsi="Arial"/>
                <w:sz w:val="18"/>
                <w:szCs w:val="18"/>
                <w:color w:val="auto"/>
              </w:rPr>
              <w:t>since  September  2023,  when  the  rate  cut  cycle  began,  it</w:t>
            </w:r>
          </w:p>
        </w:tc>
      </w:tr>
      <w:tr>
        <w:trPr>
          <w:trHeight w:val="239"/>
        </w:trPr>
        <w:tc>
          <w:tcPr>
            <w:tcW w:w="4760" w:type="dxa"/>
            <w:vAlign w:val="bottom"/>
          </w:tcPr>
          <w:p>
            <w:pPr>
              <w:spacing w:after="0"/>
              <w:rPr>
                <w:sz w:val="20"/>
                <w:szCs w:val="20"/>
                <w:color w:val="auto"/>
              </w:rPr>
            </w:pPr>
          </w:p>
        </w:tc>
        <w:tc>
          <w:tcPr>
            <w:tcW w:w="5900" w:type="dxa"/>
            <w:vAlign w:val="bottom"/>
          </w:tcPr>
          <w:p>
            <w:pPr>
              <w:ind w:left="500"/>
              <w:spacing w:after="0"/>
              <w:rPr>
                <w:sz w:val="20"/>
                <w:szCs w:val="20"/>
                <w:color w:val="auto"/>
              </w:rPr>
            </w:pPr>
            <w:r>
              <w:rPr>
                <w:rFonts w:ascii="Arial" w:cs="Arial" w:eastAsia="Arial" w:hAnsi="Arial"/>
                <w:sz w:val="18"/>
                <w:szCs w:val="18"/>
                <w:color w:val="auto"/>
              </w:rPr>
              <w:t>accumulates a reduction of 325 basis points in the reference 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-1433830</wp:posOffset>
            </wp:positionV>
            <wp:extent cx="3463290" cy="22542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6329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314" w:right="339" w:bottom="1440" w:gutter="0" w:footer="0" w:header="0"/>
        </w:sectPr>
      </w:pPr>
    </w:p>
    <w:bookmarkStart w:id="47" w:name="page48"/>
    <w:bookmarkEnd w:id="47"/>
    <w:p>
      <w:pPr>
        <w:jc w:val="both"/>
        <w:ind w:left="2720"/>
        <w:spacing w:after="0"/>
        <w:tabs>
          <w:tab w:leader="none" w:pos="2960" w:val="left"/>
        </w:tabs>
        <w:rPr>
          <w:sz w:val="20"/>
          <w:szCs w:val="20"/>
          <w:color w:val="auto"/>
        </w:rPr>
      </w:pPr>
      <w:r>
        <w:rPr>
          <w:rFonts w:ascii="Arial" w:cs="Arial" w:eastAsia="Arial" w:hAnsi="Arial"/>
          <w:sz w:val="16"/>
          <w:szCs w:val="16"/>
          <w:color w:val="A6A6A6"/>
        </w:rPr>
        <w:t>|</w:t>
      </w:r>
      <w:r>
        <w:rPr>
          <w:rFonts w:ascii="Arial" w:cs="Arial" w:eastAsia="Arial" w:hAnsi="Arial"/>
          <w:sz w:val="16"/>
          <w:szCs w:val="16"/>
          <w:color w:val="FFFFFF"/>
        </w:rPr>
        <w:tab/>
        <w:t>Earnings Release 1Q / 2025</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11. Economic Outlook</w:t>
      </w:r>
    </w:p>
    <w:p>
      <w:pPr>
        <w:spacing w:after="0" w:line="24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Fiscal Balance and Current Account Balance</w:t>
      </w:r>
    </w:p>
    <w:p>
      <w:pPr>
        <w:spacing w:after="0" w:line="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126365</wp:posOffset>
            </wp:positionV>
            <wp:extent cx="3231515" cy="19716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31515" cy="1971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0"/>
        <w:spacing w:after="0"/>
        <w:rPr>
          <w:sz w:val="20"/>
          <w:szCs w:val="20"/>
          <w:color w:val="auto"/>
        </w:rPr>
      </w:pPr>
      <w:r>
        <w:rPr>
          <w:rFonts w:ascii="Arial" w:cs="Arial" w:eastAsia="Arial" w:hAnsi="Arial"/>
          <w:sz w:val="16"/>
          <w:szCs w:val="16"/>
          <w:color w:val="ED3FA8"/>
        </w:rPr>
        <w:t>Analysis of 1Q25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-227330</wp:posOffset>
            </wp:positionV>
            <wp:extent cx="7132320" cy="5397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annualized fiscal deficit as of March 2025 stood at 3.4% of GDP, around the levels of December 2024 (3.5% of GDP), which was the highest year-end level in 32 years, excluding the pandemic and remains above the fiscal rule limit for 2025 (2.2% of GDP). In 1Q25, tax revenues grew 14.5% YoY, driven by growth in income tax collections, mainly due to the income tax clearance campaign in March, and an increase in general sales tax collected on imports. Meanwhile, non-financial public spending grew 9.9% YoY due to a 14.9% YoY increase in gross capital formation (mainly public investment) and a 7.6% YoY increase in current spending.</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1Q25, there were no changes from credit rating agencies. The three main rating agencies provide different evaluations of Peru’s sovereign debt. Moody’s assigns a rating of Baa1 (3 notches above investment grade), Fitch assigns BBB (2 notches above investment grade) and S&amp;P assigns BB- (minimal level for investment grade). The three agencies hold a stable outlook for Peru’s credit rating.</w:t>
      </w:r>
    </w:p>
    <w:p>
      <w:pPr>
        <w:spacing w:after="0" w:line="200" w:lineRule="exact"/>
        <w:rPr>
          <w:sz w:val="20"/>
          <w:szCs w:val="20"/>
          <w:color w:val="auto"/>
        </w:rPr>
      </w:pPr>
    </w:p>
    <w:p>
      <w:pPr>
        <w:sectPr>
          <w:pgSz w:w="11900" w:h="16838" w:orient="portrait"/>
          <w:cols w:equalWidth="0" w:num="2">
            <w:col w:w="5120" w:space="720"/>
            <w:col w:w="5400"/>
          </w:cols>
          <w:pgMar w:left="320" w:top="314" w:right="339" w:bottom="1440" w:gutter="0" w:footer="0" w:header="0"/>
        </w:sectPr>
      </w:pPr>
    </w:p>
    <w:p>
      <w:pPr>
        <w:spacing w:after="0" w:line="3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Regarding external accounts, the current account surplus closed 4Q24 at 2.2% of GDP (accumulated over the last four quarters), an increase from the 0.7% of GDP surplus at the end of 2023. This is the best result since 2006 and the highest among the group of countries that includes Mexico, Brazil, Chile, and Colombia.</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12-month accumulated trade balance surplus as of February 2025 stood at US$ 24.7 billion, a historic record and higher than the US$ 23.8 billion recorded in December 2024. Imports grew 6.8% YoY to US$ 53.5 billion, driven by a 9.6% increase in capital goods and a 7.6% increase in consumer goods. Exports grew 14.3% YoY to US$ 78.2 billion thanks to higher volumes of non-traditional products and an increase in prices for traditional products.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February 2025, the terms of trade grew 14.5% YoY and reached a new historical high, driven by a 15.5% YoY increase in export prices (mainly due to higher copper and gold prices). Specifically, the price of gold reached historical highs during 1Q25 and approached US$ 3,500 per ounce in April 2025. Import prices, on the other hand, rose only 0.9% YoY due to lower input prices such as oil, which fell 7.0% YoY (monthly average).</w:t>
      </w:r>
    </w:p>
    <w:p>
      <w:pPr>
        <w:sectPr>
          <w:pgSz w:w="11900" w:h="16838" w:orient="portrait"/>
          <w:cols w:equalWidth="0" w:num="1">
            <w:col w:w="11240"/>
          </w:cols>
          <w:pgMar w:left="320" w:top="314" w:right="339" w:bottom="1440" w:gutter="0" w:footer="0" w:header="0"/>
          <w:type w:val="continuous"/>
        </w:sectPr>
      </w:pP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7"/>
          <w:szCs w:val="17"/>
          <w:b w:val="1"/>
          <w:bCs w:val="1"/>
          <w:color w:val="auto"/>
        </w:rPr>
        <w:t>Exchange Rate</w:t>
      </w:r>
    </w:p>
    <w:p>
      <w:pPr>
        <w:spacing w:after="0" w:line="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(PEN per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126365</wp:posOffset>
            </wp:positionV>
            <wp:extent cx="3197225" cy="20231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197225" cy="2023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According to the BCRP, the exchange rate closed 1Q25 at USDPEN 3.67, an appreciation of 2.6% compared to the end of 4Q24 (USDPEN 3.77). The global dollar index depreciated by about 4.0% in 1Q25 compared to the end of 2024 due to uncertainty caused by the policies of Donald Trump’s government in the U.S., particularly trade policy. As a result, Latam currencies appreciated (Brazilian real 7.6%, Chilean peso 5.0%, Colombian peso 4.6%, and Mexican peso 1.7%).</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1Q25, the BCRP did not intervene in the spot foreign exchange market. In 2024, it accumulated sales of US$ 318 million for the year (2022: US$ 1.2 billion and 2023: US$ 81 million).</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Net International Reserves (NIR) closed 1Q25 at US$ 81.0 billion, above the US$ 79.0 billion at the end of 4Q24 and the US$ 73.8</w:t>
      </w:r>
    </w:p>
    <w:p>
      <w:pPr>
        <w:spacing w:after="0" w:line="200" w:lineRule="exact"/>
        <w:rPr>
          <w:sz w:val="20"/>
          <w:szCs w:val="20"/>
          <w:color w:val="auto"/>
        </w:rPr>
      </w:pPr>
    </w:p>
    <w:p>
      <w:pPr>
        <w:sectPr>
          <w:pgSz w:w="11900" w:h="16838" w:orient="portrait"/>
          <w:cols w:equalWidth="0" w:num="2">
            <w:col w:w="5120" w:space="720"/>
            <w:col w:w="5400"/>
          </w:cols>
          <w:pgMar w:left="320" w:top="3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48" w:name="page49"/>
    <w:bookmarkEnd w:id="48"/>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11. 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billion in 1Q24. Meanwhile, the BCRP’s foreign exchange position closed 1Q25 at US$ 55.1 billion, an increase of US$ 1.5 billion compared to the end of 4Q24 and US$ 3.2 billion compared to 1Q24.</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9" w:name="page50"/>
    <w:bookmarkEnd w:id="49"/>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Safe Harbor for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material includes “forward-looking statements” within the meaning of Section 27A of the U.S. Securities Act of 1933 and Section 21E of the U.S. Securities Exchange Act of 1934. All statements other than statements of historical fact are forward-looking and may contain information about financial results, economic conditions, trends and known uncertainties. Forward-looking statements are not assurances of future performance. Instead, they are based only on our management’s current views, beliefs, expectations and assumptions regarding the future of our business, future plans and strategies, projections, anticipated events and trends, the economy and other future conditions.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spacing w:after="0" w:line="142"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occurrence of natural disasters or political or social instability in Peru;</w:t>
      </w:r>
    </w:p>
    <w:p>
      <w:pPr>
        <w:spacing w:after="0" w:line="13" w:lineRule="exact"/>
        <w:rPr>
          <w:rFonts w:ascii="Arial" w:cs="Arial" w:eastAsia="Arial" w:hAnsi="Arial"/>
          <w:sz w:val="18"/>
          <w:szCs w:val="18"/>
          <w:color w:val="auto"/>
        </w:rPr>
      </w:pPr>
    </w:p>
    <w:p>
      <w:pPr>
        <w:ind w:left="300" w:right="240" w:hanging="292"/>
        <w:spacing w:after="0" w:line="234"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adequacy of the dividends that our subsidiaries are able to pay to us, which may affect our ability to pay dividends to shareholders and corporate expenses;</w:t>
      </w:r>
    </w:p>
    <w:p>
      <w:pPr>
        <w:spacing w:after="0" w:line="1" w:lineRule="exact"/>
        <w:rPr>
          <w:rFonts w:ascii="Arial" w:cs="Arial" w:eastAsia="Arial" w:hAnsi="Arial"/>
          <w:sz w:val="18"/>
          <w:szCs w:val="18"/>
          <w:color w:val="auto"/>
        </w:rPr>
      </w:pPr>
    </w:p>
    <w:p>
      <w:pPr>
        <w:ind w:left="300" w:hanging="292"/>
        <w:spacing w:after="0" w:line="234"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Performance of, and volatility in, financial markets, including Latin-American and other markets;</w:t>
      </w:r>
    </w:p>
    <w:p>
      <w:pPr>
        <w:ind w:left="300" w:hanging="292"/>
        <w:spacing w:after="0" w:line="234"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frequency, severity and types of insured loss events;</w:t>
      </w:r>
    </w:p>
    <w:p>
      <w:pPr>
        <w:ind w:left="300" w:hanging="292"/>
        <w:spacing w:after="0" w:line="234"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Fluctuations in interest rate levels;</w:t>
      </w:r>
    </w:p>
    <w:p>
      <w:pPr>
        <w:ind w:left="300" w:hanging="292"/>
        <w:spacing w:after="0" w:line="234"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Foreign currency exchange rates, including the Sol/US Dollar exchange rate;</w:t>
      </w:r>
    </w:p>
    <w:p>
      <w:pPr>
        <w:ind w:left="300" w:hanging="292"/>
        <w:spacing w:after="0" w:line="234"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Deterioration in the quality of our loan portfolio;</w:t>
      </w:r>
    </w:p>
    <w:p>
      <w:pPr>
        <w:ind w:left="300" w:hanging="292"/>
        <w:spacing w:after="0" w:line="234"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Increasing levels of competition in Peru and other markets in which we operate;</w:t>
      </w:r>
    </w:p>
    <w:p>
      <w:pPr>
        <w:ind w:left="300" w:hanging="292"/>
        <w:spacing w:after="0" w:line="234"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Developments and changes in laws and regulations affecting the financial sector and adoption of new international guidelines;</w:t>
      </w:r>
    </w:p>
    <w:p>
      <w:pPr>
        <w:ind w:left="300" w:hanging="292"/>
        <w:spacing w:after="0" w:line="234"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policies of central banks and/or foreign governments;</w:t>
      </w:r>
    </w:p>
    <w:p>
      <w:pPr>
        <w:ind w:left="300" w:hanging="292"/>
        <w:spacing w:after="0" w:line="234"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Effectiveness of our risk management policies and of our operational and security systems;</w:t>
      </w:r>
    </w:p>
    <w:p>
      <w:pPr>
        <w:ind w:left="300" w:hanging="292"/>
        <w:spacing w:after="0" w:line="234"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Losses associated with counterparty exposures;</w:t>
      </w:r>
    </w:p>
    <w:p>
      <w:pPr>
        <w:ind w:left="300" w:right="380" w:hanging="292"/>
        <w:spacing w:after="0" w:line="234"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scope of the coronavirus (“COVID-19”) outbreak, actions taken to contain the COVID-19 and related economic effects from such actions and our ability to maintain adequate staffing; and</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Bermuda laws and regulations applicable to so-called non-resident entities.</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See “Item 3. Key Information—3. D Risk Factors” and “Item 5. Operating and Financial Review and Prospects” in our most recent Annual Report on Form 20-F filed with the U.S. Securities and Exchange Commission for additional information and other such factors. You are cautioned not to place undue reliance on these forward-looking statements, which speak only as of the date hereof and are based only on information currently available to us. Therefore, you should not rely on any of these forward-looking statements.</w:t>
      </w:r>
    </w:p>
    <w:p>
      <w:pPr>
        <w:jc w:val="both"/>
        <w:spacing w:after="0" w:line="242" w:lineRule="auto"/>
        <w:rPr>
          <w:sz w:val="20"/>
          <w:szCs w:val="20"/>
          <w:color w:val="auto"/>
        </w:rPr>
      </w:pPr>
      <w:r>
        <w:rPr>
          <w:rFonts w:ascii="Arial" w:cs="Arial" w:eastAsia="Arial" w:hAnsi="Arial"/>
          <w:sz w:val="18"/>
          <w:szCs w:val="18"/>
          <w:color w:val="auto"/>
        </w:rPr>
        <w:t>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403"/>
        </w:trPr>
        <w:tc>
          <w:tcPr>
            <w:tcW w:w="960" w:type="dxa"/>
            <w:vAlign w:val="bottom"/>
            <w:shd w:val="clear" w:color="auto" w:fill="000000"/>
          </w:tcPr>
          <w:p>
            <w:pPr>
              <w:spacing w:after="0"/>
              <w:rPr>
                <w:sz w:val="24"/>
                <w:szCs w:val="24"/>
                <w:color w:val="auto"/>
              </w:rPr>
            </w:pPr>
          </w:p>
        </w:tc>
        <w:tc>
          <w:tcPr>
            <w:tcW w:w="5640" w:type="dxa"/>
            <w:vAlign w:val="bottom"/>
            <w:shd w:val="clear" w:color="auto" w:fill="000000"/>
          </w:tcPr>
          <w:p>
            <w:pPr>
              <w:ind w:left="1760"/>
              <w:spacing w:after="0"/>
              <w:rPr>
                <w:sz w:val="20"/>
                <w:szCs w:val="20"/>
                <w:color w:val="auto"/>
              </w:rPr>
            </w:pPr>
            <w:r>
              <w:rPr>
                <w:rFonts w:ascii="Arial" w:cs="Arial" w:eastAsia="Arial" w:hAnsi="Arial"/>
                <w:sz w:val="16"/>
                <w:szCs w:val="16"/>
                <w:color w:val="A6A6A6"/>
              </w:rPr>
              <w:t xml:space="preserve">|   </w:t>
            </w:r>
            <w:r>
              <w:rPr>
                <w:rFonts w:ascii="Arial" w:cs="Arial" w:eastAsia="Arial" w:hAnsi="Arial"/>
                <w:sz w:val="16"/>
                <w:szCs w:val="16"/>
                <w:color w:val="FFFFFF"/>
              </w:rPr>
              <w:t>Earnings Release 1Q / 2025</w:t>
            </w:r>
          </w:p>
        </w:tc>
        <w:tc>
          <w:tcPr>
            <w:tcW w:w="4640" w:type="dxa"/>
            <w:vAlign w:val="bottom"/>
            <w:shd w:val="clear" w:color="auto" w:fill="000000"/>
          </w:tcPr>
          <w:p>
            <w:pPr>
              <w:jc w:val="right"/>
              <w:ind w:right="702"/>
              <w:spacing w:after="0"/>
              <w:rPr>
                <w:sz w:val="20"/>
                <w:szCs w:val="20"/>
                <w:color w:val="auto"/>
              </w:rPr>
            </w:pPr>
            <w:r>
              <w:rPr>
                <w:rFonts w:ascii="Arial" w:cs="Arial" w:eastAsia="Arial" w:hAnsi="Arial"/>
                <w:sz w:val="16"/>
                <w:szCs w:val="16"/>
                <w:color w:val="ED3FA8"/>
              </w:rPr>
              <w:t>Analysis of 1Q25 Consolidated Results</w:t>
            </w:r>
          </w:p>
        </w:tc>
      </w:tr>
      <w:tr>
        <w:trPr>
          <w:trHeight w:val="204"/>
        </w:trPr>
        <w:tc>
          <w:tcPr>
            <w:tcW w:w="6600" w:type="dxa"/>
            <w:vAlign w:val="bottom"/>
            <w:gridSpan w:val="2"/>
            <w:shd w:val="clear" w:color="auto" w:fill="000000"/>
          </w:tcPr>
          <w:p>
            <w:pPr>
              <w:spacing w:after="0"/>
              <w:rPr>
                <w:sz w:val="17"/>
                <w:szCs w:val="17"/>
                <w:color w:val="auto"/>
              </w:rPr>
            </w:pPr>
          </w:p>
        </w:tc>
        <w:tc>
          <w:tcPr>
            <w:tcW w:w="4640" w:type="dxa"/>
            <w:vAlign w:val="bottom"/>
            <w:shd w:val="clear" w:color="auto" w:fill="000000"/>
          </w:tcPr>
          <w:p>
            <w:pPr>
              <w:spacing w:after="0"/>
              <w:rPr>
                <w:sz w:val="17"/>
                <w:szCs w:val="17"/>
                <w:color w:val="auto"/>
              </w:rPr>
            </w:pPr>
          </w:p>
        </w:tc>
      </w:tr>
      <w:tr>
        <w:trPr>
          <w:trHeight w:val="856"/>
        </w:trPr>
        <w:tc>
          <w:tcPr>
            <w:tcW w:w="6600" w:type="dxa"/>
            <w:vAlign w:val="bottom"/>
            <w:gridSpan w:val="2"/>
          </w:tcPr>
          <w:p>
            <w:pPr>
              <w:ind w:left="460"/>
              <w:spacing w:after="0"/>
              <w:rPr>
                <w:sz w:val="20"/>
                <w:szCs w:val="20"/>
                <w:color w:val="auto"/>
              </w:rPr>
            </w:pPr>
            <w:r>
              <w:rPr>
                <w:rFonts w:ascii="Arial" w:cs="Arial" w:eastAsia="Arial" w:hAnsi="Arial"/>
                <w:sz w:val="52"/>
                <w:szCs w:val="52"/>
                <w:b w:val="1"/>
                <w:bCs w:val="1"/>
                <w:color w:val="E93BAC"/>
              </w:rPr>
              <w:t xml:space="preserve">12 </w:t>
            </w:r>
            <w:r>
              <w:rPr>
                <w:rFonts w:ascii="Arial" w:cs="Arial" w:eastAsia="Arial" w:hAnsi="Arial"/>
                <w:sz w:val="32"/>
                <w:szCs w:val="32"/>
                <w:color w:val="E93BAB"/>
              </w:rPr>
              <w:t>Appendix</w:t>
            </w:r>
          </w:p>
        </w:tc>
        <w:tc>
          <w:tcPr>
            <w:tcW w:w="4640" w:type="dxa"/>
            <w:vAlign w:val="bottom"/>
          </w:tcPr>
          <w:p>
            <w:pPr>
              <w:spacing w:after="0"/>
              <w:rPr>
                <w:sz w:val="24"/>
                <w:szCs w:val="24"/>
                <w:color w:val="auto"/>
              </w:rPr>
            </w:pPr>
          </w:p>
        </w:tc>
      </w:tr>
      <w:tr>
        <w:trPr>
          <w:trHeight w:val="366"/>
        </w:trPr>
        <w:tc>
          <w:tcPr>
            <w:tcW w:w="960" w:type="dxa"/>
            <w:vAlign w:val="bottom"/>
          </w:tcPr>
          <w:p>
            <w:pPr>
              <w:ind w:left="460"/>
              <w:spacing w:after="0"/>
              <w:rPr>
                <w:sz w:val="20"/>
                <w:szCs w:val="20"/>
                <w:color w:val="auto"/>
              </w:rPr>
            </w:pPr>
            <w:r>
              <w:rPr>
                <w:rFonts w:ascii="Arial" w:cs="Arial" w:eastAsia="Arial" w:hAnsi="Arial"/>
                <w:sz w:val="20"/>
                <w:szCs w:val="20"/>
                <w:b w:val="1"/>
                <w:bCs w:val="1"/>
                <w:color w:val="auto"/>
              </w:rPr>
              <w:t>12.1.</w:t>
            </w:r>
          </w:p>
        </w:tc>
        <w:tc>
          <w:tcPr>
            <w:tcW w:w="5640" w:type="dxa"/>
            <w:vAlign w:val="bottom"/>
          </w:tcPr>
          <w:p>
            <w:pPr>
              <w:ind w:left="60"/>
              <w:spacing w:after="0"/>
              <w:rPr>
                <w:sz w:val="20"/>
                <w:szCs w:val="20"/>
                <w:color w:val="auto"/>
              </w:rPr>
            </w:pPr>
            <w:r>
              <w:rPr>
                <w:rFonts w:ascii="Arial" w:cs="Arial" w:eastAsia="Arial" w:hAnsi="Arial"/>
                <w:sz w:val="20"/>
                <w:szCs w:val="20"/>
                <w:b w:val="1"/>
                <w:bCs w:val="1"/>
                <w:color w:val="auto"/>
              </w:rPr>
              <w:t>Physical Point of Contact</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50</w:t>
            </w:r>
          </w:p>
        </w:tc>
      </w:tr>
      <w:tr>
        <w:trPr>
          <w:trHeight w:val="432"/>
        </w:trPr>
        <w:tc>
          <w:tcPr>
            <w:tcW w:w="960" w:type="dxa"/>
            <w:vAlign w:val="bottom"/>
          </w:tcPr>
          <w:p>
            <w:pPr>
              <w:ind w:left="460"/>
              <w:spacing w:after="0"/>
              <w:rPr>
                <w:sz w:val="20"/>
                <w:szCs w:val="20"/>
                <w:color w:val="auto"/>
              </w:rPr>
            </w:pPr>
            <w:r>
              <w:rPr>
                <w:rFonts w:ascii="Arial" w:cs="Arial" w:eastAsia="Arial" w:hAnsi="Arial"/>
                <w:sz w:val="20"/>
                <w:szCs w:val="20"/>
                <w:b w:val="1"/>
                <w:bCs w:val="1"/>
                <w:color w:val="auto"/>
              </w:rPr>
              <w:t>12.2.</w:t>
            </w:r>
          </w:p>
        </w:tc>
        <w:tc>
          <w:tcPr>
            <w:tcW w:w="5640" w:type="dxa"/>
            <w:vAlign w:val="bottom"/>
          </w:tcPr>
          <w:p>
            <w:pPr>
              <w:ind w:left="60"/>
              <w:spacing w:after="0"/>
              <w:rPr>
                <w:sz w:val="20"/>
                <w:szCs w:val="20"/>
                <w:color w:val="auto"/>
              </w:rPr>
            </w:pPr>
            <w:r>
              <w:rPr>
                <w:rFonts w:ascii="Arial" w:cs="Arial" w:eastAsia="Arial" w:hAnsi="Arial"/>
                <w:sz w:val="20"/>
                <w:szCs w:val="20"/>
                <w:b w:val="1"/>
                <w:bCs w:val="1"/>
                <w:color w:val="auto"/>
              </w:rPr>
              <w:t>Loan Portfolio Quality</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50</w:t>
            </w:r>
          </w:p>
        </w:tc>
      </w:tr>
      <w:tr>
        <w:trPr>
          <w:trHeight w:val="432"/>
        </w:trPr>
        <w:tc>
          <w:tcPr>
            <w:tcW w:w="960" w:type="dxa"/>
            <w:vAlign w:val="bottom"/>
          </w:tcPr>
          <w:p>
            <w:pPr>
              <w:ind w:left="460"/>
              <w:spacing w:after="0"/>
              <w:rPr>
                <w:sz w:val="20"/>
                <w:szCs w:val="20"/>
                <w:color w:val="auto"/>
              </w:rPr>
            </w:pPr>
            <w:r>
              <w:rPr>
                <w:rFonts w:ascii="Arial" w:cs="Arial" w:eastAsia="Arial" w:hAnsi="Arial"/>
                <w:sz w:val="20"/>
                <w:szCs w:val="20"/>
                <w:b w:val="1"/>
                <w:bCs w:val="1"/>
                <w:color w:val="auto"/>
              </w:rPr>
              <w:t>12.3.</w:t>
            </w:r>
          </w:p>
        </w:tc>
        <w:tc>
          <w:tcPr>
            <w:tcW w:w="5640" w:type="dxa"/>
            <w:vAlign w:val="bottom"/>
          </w:tcPr>
          <w:p>
            <w:pPr>
              <w:ind w:left="60"/>
              <w:spacing w:after="0"/>
              <w:rPr>
                <w:sz w:val="20"/>
                <w:szCs w:val="20"/>
                <w:color w:val="auto"/>
              </w:rPr>
            </w:pPr>
            <w:r>
              <w:rPr>
                <w:rFonts w:ascii="Arial" w:cs="Arial" w:eastAsia="Arial" w:hAnsi="Arial"/>
                <w:sz w:val="20"/>
                <w:szCs w:val="20"/>
                <w:b w:val="1"/>
                <w:bCs w:val="1"/>
                <w:color w:val="auto"/>
              </w:rPr>
              <w:t>Net Interest Income (NII)</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54</w:t>
            </w:r>
          </w:p>
        </w:tc>
      </w:tr>
      <w:tr>
        <w:trPr>
          <w:trHeight w:val="432"/>
        </w:trPr>
        <w:tc>
          <w:tcPr>
            <w:tcW w:w="960" w:type="dxa"/>
            <w:vAlign w:val="bottom"/>
          </w:tcPr>
          <w:p>
            <w:pPr>
              <w:ind w:left="460"/>
              <w:spacing w:after="0"/>
              <w:rPr>
                <w:sz w:val="20"/>
                <w:szCs w:val="20"/>
                <w:color w:val="auto"/>
              </w:rPr>
            </w:pPr>
            <w:r>
              <w:rPr>
                <w:rFonts w:ascii="Arial" w:cs="Arial" w:eastAsia="Arial" w:hAnsi="Arial"/>
                <w:sz w:val="20"/>
                <w:szCs w:val="20"/>
                <w:b w:val="1"/>
                <w:bCs w:val="1"/>
                <w:color w:val="auto"/>
              </w:rPr>
              <w:t>12.4.</w:t>
            </w:r>
          </w:p>
        </w:tc>
        <w:tc>
          <w:tcPr>
            <w:tcW w:w="5640" w:type="dxa"/>
            <w:vAlign w:val="bottom"/>
          </w:tcPr>
          <w:p>
            <w:pPr>
              <w:ind w:left="60"/>
              <w:spacing w:after="0"/>
              <w:rPr>
                <w:sz w:val="20"/>
                <w:szCs w:val="20"/>
                <w:color w:val="auto"/>
              </w:rPr>
            </w:pPr>
            <w:r>
              <w:rPr>
                <w:rFonts w:ascii="Arial" w:cs="Arial" w:eastAsia="Arial" w:hAnsi="Arial"/>
                <w:sz w:val="20"/>
                <w:szCs w:val="20"/>
                <w:b w:val="1"/>
                <w:bCs w:val="1"/>
                <w:color w:val="auto"/>
              </w:rPr>
              <w:t>Net Interest Margin (NIM) and Risk Adjusted NIM</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54</w:t>
            </w:r>
          </w:p>
        </w:tc>
      </w:tr>
      <w:tr>
        <w:trPr>
          <w:trHeight w:val="432"/>
        </w:trPr>
        <w:tc>
          <w:tcPr>
            <w:tcW w:w="960" w:type="dxa"/>
            <w:vAlign w:val="bottom"/>
          </w:tcPr>
          <w:p>
            <w:pPr>
              <w:ind w:left="460"/>
              <w:spacing w:after="0"/>
              <w:rPr>
                <w:sz w:val="20"/>
                <w:szCs w:val="20"/>
                <w:color w:val="auto"/>
              </w:rPr>
            </w:pPr>
            <w:r>
              <w:rPr>
                <w:rFonts w:ascii="Arial" w:cs="Arial" w:eastAsia="Arial" w:hAnsi="Arial"/>
                <w:sz w:val="20"/>
                <w:szCs w:val="20"/>
                <w:b w:val="1"/>
                <w:bCs w:val="1"/>
                <w:color w:val="auto"/>
              </w:rPr>
              <w:t>12.5.</w:t>
            </w:r>
          </w:p>
        </w:tc>
        <w:tc>
          <w:tcPr>
            <w:tcW w:w="5640" w:type="dxa"/>
            <w:vAlign w:val="bottom"/>
          </w:tcPr>
          <w:p>
            <w:pPr>
              <w:ind w:left="60"/>
              <w:spacing w:after="0"/>
              <w:rPr>
                <w:sz w:val="20"/>
                <w:szCs w:val="20"/>
                <w:color w:val="auto"/>
              </w:rPr>
            </w:pPr>
            <w:r>
              <w:rPr>
                <w:rFonts w:ascii="Arial" w:cs="Arial" w:eastAsia="Arial" w:hAnsi="Arial"/>
                <w:sz w:val="20"/>
                <w:szCs w:val="20"/>
                <w:b w:val="1"/>
                <w:bCs w:val="1"/>
                <w:color w:val="auto"/>
              </w:rPr>
              <w:t>Regulatory Capital</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55</w:t>
            </w:r>
          </w:p>
        </w:tc>
      </w:tr>
      <w:tr>
        <w:trPr>
          <w:trHeight w:val="432"/>
        </w:trPr>
        <w:tc>
          <w:tcPr>
            <w:tcW w:w="960" w:type="dxa"/>
            <w:vAlign w:val="bottom"/>
          </w:tcPr>
          <w:p>
            <w:pPr>
              <w:ind w:left="460"/>
              <w:spacing w:after="0"/>
              <w:rPr>
                <w:sz w:val="20"/>
                <w:szCs w:val="20"/>
                <w:color w:val="auto"/>
              </w:rPr>
            </w:pPr>
            <w:r>
              <w:rPr>
                <w:rFonts w:ascii="Arial" w:cs="Arial" w:eastAsia="Arial" w:hAnsi="Arial"/>
                <w:sz w:val="20"/>
                <w:szCs w:val="20"/>
                <w:b w:val="1"/>
                <w:bCs w:val="1"/>
                <w:color w:val="auto"/>
              </w:rPr>
              <w:t>12.6.</w:t>
            </w:r>
          </w:p>
        </w:tc>
        <w:tc>
          <w:tcPr>
            <w:tcW w:w="5640" w:type="dxa"/>
            <w:vAlign w:val="bottom"/>
          </w:tcPr>
          <w:p>
            <w:pPr>
              <w:ind w:left="60"/>
              <w:spacing w:after="0"/>
              <w:rPr>
                <w:sz w:val="20"/>
                <w:szCs w:val="20"/>
                <w:color w:val="auto"/>
              </w:rPr>
            </w:pPr>
            <w:r>
              <w:rPr>
                <w:rFonts w:ascii="Arial" w:cs="Arial" w:eastAsia="Arial" w:hAnsi="Arial"/>
                <w:sz w:val="20"/>
                <w:szCs w:val="20"/>
                <w:b w:val="1"/>
                <w:bCs w:val="1"/>
                <w:color w:val="auto"/>
              </w:rPr>
              <w:t>Financial Statements and Ratios by Business</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59</w:t>
            </w:r>
          </w:p>
        </w:tc>
      </w:tr>
      <w:tr>
        <w:trPr>
          <w:trHeight w:val="432"/>
        </w:trPr>
        <w:tc>
          <w:tcPr>
            <w:tcW w:w="6600" w:type="dxa"/>
            <w:vAlign w:val="bottom"/>
            <w:gridSpan w:val="2"/>
          </w:tcPr>
          <w:p>
            <w:pPr>
              <w:ind w:left="620"/>
              <w:spacing w:after="0"/>
              <w:rPr>
                <w:sz w:val="20"/>
                <w:szCs w:val="20"/>
                <w:color w:val="auto"/>
              </w:rPr>
            </w:pPr>
            <w:r>
              <w:rPr>
                <w:rFonts w:ascii="Arial" w:cs="Arial" w:eastAsia="Arial" w:hAnsi="Arial"/>
                <w:sz w:val="20"/>
                <w:szCs w:val="20"/>
                <w:b w:val="1"/>
                <w:bCs w:val="1"/>
                <w:color w:val="auto"/>
              </w:rPr>
              <w:t>12.6.1. Credicorp Consolidated</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59</w:t>
            </w:r>
          </w:p>
        </w:tc>
      </w:tr>
      <w:tr>
        <w:trPr>
          <w:trHeight w:val="432"/>
        </w:trPr>
        <w:tc>
          <w:tcPr>
            <w:tcW w:w="6600" w:type="dxa"/>
            <w:vAlign w:val="bottom"/>
            <w:gridSpan w:val="2"/>
          </w:tcPr>
          <w:p>
            <w:pPr>
              <w:ind w:left="620"/>
              <w:spacing w:after="0"/>
              <w:rPr>
                <w:sz w:val="20"/>
                <w:szCs w:val="20"/>
                <w:color w:val="auto"/>
              </w:rPr>
            </w:pPr>
            <w:r>
              <w:rPr>
                <w:rFonts w:ascii="Arial" w:cs="Arial" w:eastAsia="Arial" w:hAnsi="Arial"/>
                <w:sz w:val="20"/>
                <w:szCs w:val="20"/>
                <w:b w:val="1"/>
                <w:bCs w:val="1"/>
                <w:color w:val="auto"/>
              </w:rPr>
              <w:t>12.6.2. Credicorp Stand-alone</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61</w:t>
            </w:r>
          </w:p>
        </w:tc>
      </w:tr>
      <w:tr>
        <w:trPr>
          <w:trHeight w:val="432"/>
        </w:trPr>
        <w:tc>
          <w:tcPr>
            <w:tcW w:w="6600" w:type="dxa"/>
            <w:vAlign w:val="bottom"/>
            <w:gridSpan w:val="2"/>
          </w:tcPr>
          <w:p>
            <w:pPr>
              <w:ind w:left="620"/>
              <w:spacing w:after="0"/>
              <w:rPr>
                <w:sz w:val="20"/>
                <w:szCs w:val="20"/>
                <w:color w:val="auto"/>
              </w:rPr>
            </w:pPr>
            <w:r>
              <w:rPr>
                <w:rFonts w:ascii="Arial" w:cs="Arial" w:eastAsia="Arial" w:hAnsi="Arial"/>
                <w:sz w:val="20"/>
                <w:szCs w:val="20"/>
                <w:b w:val="1"/>
                <w:bCs w:val="1"/>
                <w:color w:val="auto"/>
              </w:rPr>
              <w:t>12.6.3. BCP Consolidated</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62</w:t>
            </w:r>
          </w:p>
        </w:tc>
      </w:tr>
      <w:tr>
        <w:trPr>
          <w:trHeight w:val="432"/>
        </w:trPr>
        <w:tc>
          <w:tcPr>
            <w:tcW w:w="6600" w:type="dxa"/>
            <w:vAlign w:val="bottom"/>
            <w:gridSpan w:val="2"/>
          </w:tcPr>
          <w:p>
            <w:pPr>
              <w:ind w:left="620"/>
              <w:spacing w:after="0"/>
              <w:rPr>
                <w:sz w:val="20"/>
                <w:szCs w:val="20"/>
                <w:color w:val="auto"/>
              </w:rPr>
            </w:pPr>
            <w:r>
              <w:rPr>
                <w:rFonts w:ascii="Arial" w:cs="Arial" w:eastAsia="Arial" w:hAnsi="Arial"/>
                <w:sz w:val="20"/>
                <w:szCs w:val="20"/>
                <w:b w:val="1"/>
                <w:bCs w:val="1"/>
                <w:color w:val="auto"/>
              </w:rPr>
              <w:t>12.6.4. BCP Stand-alone</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64</w:t>
            </w:r>
          </w:p>
        </w:tc>
      </w:tr>
      <w:tr>
        <w:trPr>
          <w:trHeight w:val="432"/>
        </w:trPr>
        <w:tc>
          <w:tcPr>
            <w:tcW w:w="6600" w:type="dxa"/>
            <w:vAlign w:val="bottom"/>
            <w:gridSpan w:val="2"/>
          </w:tcPr>
          <w:p>
            <w:pPr>
              <w:ind w:left="620"/>
              <w:spacing w:after="0"/>
              <w:rPr>
                <w:sz w:val="20"/>
                <w:szCs w:val="20"/>
                <w:color w:val="auto"/>
              </w:rPr>
            </w:pPr>
            <w:r>
              <w:rPr>
                <w:rFonts w:ascii="Arial" w:cs="Arial" w:eastAsia="Arial" w:hAnsi="Arial"/>
                <w:sz w:val="20"/>
                <w:szCs w:val="20"/>
                <w:b w:val="1"/>
                <w:bCs w:val="1"/>
                <w:color w:val="auto"/>
              </w:rPr>
              <w:t>12.6.5. BCP Bolivia</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66</w:t>
            </w:r>
          </w:p>
        </w:tc>
      </w:tr>
      <w:tr>
        <w:trPr>
          <w:trHeight w:val="432"/>
        </w:trPr>
        <w:tc>
          <w:tcPr>
            <w:tcW w:w="6600" w:type="dxa"/>
            <w:vAlign w:val="bottom"/>
            <w:gridSpan w:val="2"/>
          </w:tcPr>
          <w:p>
            <w:pPr>
              <w:ind w:left="620"/>
              <w:spacing w:after="0"/>
              <w:rPr>
                <w:sz w:val="20"/>
                <w:szCs w:val="20"/>
                <w:color w:val="auto"/>
              </w:rPr>
            </w:pPr>
            <w:r>
              <w:rPr>
                <w:rFonts w:ascii="Arial" w:cs="Arial" w:eastAsia="Arial" w:hAnsi="Arial"/>
                <w:sz w:val="20"/>
                <w:szCs w:val="20"/>
                <w:b w:val="1"/>
                <w:bCs w:val="1"/>
                <w:color w:val="auto"/>
              </w:rPr>
              <w:t>12.6.6. Mibanco</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67</w:t>
            </w:r>
          </w:p>
        </w:tc>
      </w:tr>
      <w:tr>
        <w:trPr>
          <w:trHeight w:val="432"/>
        </w:trPr>
        <w:tc>
          <w:tcPr>
            <w:tcW w:w="6600" w:type="dxa"/>
            <w:vAlign w:val="bottom"/>
            <w:gridSpan w:val="2"/>
          </w:tcPr>
          <w:p>
            <w:pPr>
              <w:ind w:left="620"/>
              <w:spacing w:after="0"/>
              <w:rPr>
                <w:sz w:val="20"/>
                <w:szCs w:val="20"/>
                <w:color w:val="auto"/>
              </w:rPr>
            </w:pPr>
            <w:r>
              <w:rPr>
                <w:rFonts w:ascii="Arial" w:cs="Arial" w:eastAsia="Arial" w:hAnsi="Arial"/>
                <w:sz w:val="20"/>
                <w:szCs w:val="20"/>
                <w:b w:val="1"/>
                <w:bCs w:val="1"/>
                <w:color w:val="auto"/>
              </w:rPr>
              <w:t>12.6.7. Prima AFP</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68</w:t>
            </w:r>
          </w:p>
        </w:tc>
      </w:tr>
      <w:tr>
        <w:trPr>
          <w:trHeight w:val="432"/>
        </w:trPr>
        <w:tc>
          <w:tcPr>
            <w:tcW w:w="6600" w:type="dxa"/>
            <w:vAlign w:val="bottom"/>
            <w:gridSpan w:val="2"/>
          </w:tcPr>
          <w:p>
            <w:pPr>
              <w:ind w:left="620"/>
              <w:spacing w:after="0"/>
              <w:rPr>
                <w:sz w:val="20"/>
                <w:szCs w:val="20"/>
                <w:color w:val="auto"/>
              </w:rPr>
            </w:pPr>
            <w:r>
              <w:rPr>
                <w:rFonts w:ascii="Arial" w:cs="Arial" w:eastAsia="Arial" w:hAnsi="Arial"/>
                <w:sz w:val="20"/>
                <w:szCs w:val="20"/>
                <w:b w:val="1"/>
                <w:bCs w:val="1"/>
                <w:color w:val="auto"/>
              </w:rPr>
              <w:t>12.6.8. Grupo Pacifico</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69</w:t>
            </w:r>
          </w:p>
        </w:tc>
      </w:tr>
      <w:tr>
        <w:trPr>
          <w:trHeight w:val="432"/>
        </w:trPr>
        <w:tc>
          <w:tcPr>
            <w:tcW w:w="6600" w:type="dxa"/>
            <w:vAlign w:val="bottom"/>
            <w:gridSpan w:val="2"/>
          </w:tcPr>
          <w:p>
            <w:pPr>
              <w:ind w:left="620"/>
              <w:spacing w:after="0"/>
              <w:rPr>
                <w:sz w:val="20"/>
                <w:szCs w:val="20"/>
                <w:color w:val="auto"/>
              </w:rPr>
            </w:pPr>
            <w:r>
              <w:rPr>
                <w:rFonts w:ascii="Arial" w:cs="Arial" w:eastAsia="Arial" w:hAnsi="Arial"/>
                <w:sz w:val="20"/>
                <w:szCs w:val="20"/>
                <w:b w:val="1"/>
                <w:bCs w:val="1"/>
                <w:color w:val="auto"/>
              </w:rPr>
              <w:t>12.6.9. Investment Management and Advisory</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70</w:t>
            </w:r>
          </w:p>
        </w:tc>
      </w:tr>
      <w:tr>
        <w:trPr>
          <w:trHeight w:val="432"/>
        </w:trPr>
        <w:tc>
          <w:tcPr>
            <w:tcW w:w="960" w:type="dxa"/>
            <w:vAlign w:val="bottom"/>
          </w:tcPr>
          <w:p>
            <w:pPr>
              <w:ind w:left="460"/>
              <w:spacing w:after="0"/>
              <w:rPr>
                <w:sz w:val="20"/>
                <w:szCs w:val="20"/>
                <w:color w:val="auto"/>
              </w:rPr>
            </w:pPr>
            <w:r>
              <w:rPr>
                <w:rFonts w:ascii="Arial" w:cs="Arial" w:eastAsia="Arial" w:hAnsi="Arial"/>
                <w:sz w:val="20"/>
                <w:szCs w:val="20"/>
                <w:b w:val="1"/>
                <w:bCs w:val="1"/>
                <w:color w:val="auto"/>
              </w:rPr>
              <w:t>12.7.</w:t>
            </w:r>
          </w:p>
        </w:tc>
        <w:tc>
          <w:tcPr>
            <w:tcW w:w="5640" w:type="dxa"/>
            <w:vAlign w:val="bottom"/>
          </w:tcPr>
          <w:p>
            <w:pPr>
              <w:ind w:left="60"/>
              <w:spacing w:after="0"/>
              <w:rPr>
                <w:sz w:val="20"/>
                <w:szCs w:val="20"/>
                <w:color w:val="auto"/>
              </w:rPr>
            </w:pPr>
            <w:r>
              <w:rPr>
                <w:rFonts w:ascii="Arial" w:cs="Arial" w:eastAsia="Arial" w:hAnsi="Arial"/>
                <w:sz w:val="20"/>
                <w:szCs w:val="20"/>
                <w:b w:val="1"/>
                <w:bCs w:val="1"/>
                <w:color w:val="auto"/>
              </w:rPr>
              <w:t>Table of Calculations</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71</w:t>
            </w:r>
          </w:p>
        </w:tc>
      </w:tr>
      <w:tr>
        <w:trPr>
          <w:trHeight w:val="432"/>
        </w:trPr>
        <w:tc>
          <w:tcPr>
            <w:tcW w:w="960" w:type="dxa"/>
            <w:vAlign w:val="bottom"/>
          </w:tcPr>
          <w:p>
            <w:pPr>
              <w:ind w:left="460"/>
              <w:spacing w:after="0"/>
              <w:rPr>
                <w:sz w:val="20"/>
                <w:szCs w:val="20"/>
                <w:color w:val="auto"/>
              </w:rPr>
            </w:pPr>
            <w:r>
              <w:rPr>
                <w:rFonts w:ascii="Arial" w:cs="Arial" w:eastAsia="Arial" w:hAnsi="Arial"/>
                <w:sz w:val="20"/>
                <w:szCs w:val="20"/>
                <w:b w:val="1"/>
                <w:bCs w:val="1"/>
                <w:color w:val="auto"/>
              </w:rPr>
              <w:t>12.8.</w:t>
            </w:r>
          </w:p>
        </w:tc>
        <w:tc>
          <w:tcPr>
            <w:tcW w:w="5640" w:type="dxa"/>
            <w:vAlign w:val="bottom"/>
          </w:tcPr>
          <w:p>
            <w:pPr>
              <w:ind w:left="60"/>
              <w:spacing w:after="0"/>
              <w:rPr>
                <w:sz w:val="20"/>
                <w:szCs w:val="20"/>
                <w:color w:val="auto"/>
              </w:rPr>
            </w:pPr>
            <w:r>
              <w:rPr>
                <w:rFonts w:ascii="Arial" w:cs="Arial" w:eastAsia="Arial" w:hAnsi="Arial"/>
                <w:sz w:val="20"/>
                <w:szCs w:val="20"/>
                <w:b w:val="1"/>
                <w:bCs w:val="1"/>
                <w:color w:val="auto"/>
              </w:rPr>
              <w:t>Glossary of terms</w:t>
            </w:r>
          </w:p>
        </w:tc>
        <w:tc>
          <w:tcPr>
            <w:tcW w:w="4640" w:type="dxa"/>
            <w:vAlign w:val="bottom"/>
          </w:tcPr>
          <w:p>
            <w:pPr>
              <w:jc w:val="right"/>
              <w:ind w:right="122"/>
              <w:spacing w:after="0"/>
              <w:rPr>
                <w:sz w:val="20"/>
                <w:szCs w:val="20"/>
                <w:color w:val="auto"/>
              </w:rPr>
            </w:pPr>
            <w:r>
              <w:rPr>
                <w:rFonts w:ascii="Arial" w:cs="Arial" w:eastAsia="Arial" w:hAnsi="Arial"/>
                <w:sz w:val="20"/>
                <w:szCs w:val="20"/>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-5429885</wp:posOffset>
            </wp:positionV>
            <wp:extent cx="1045845"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45845" cy="146050"/>
                    </a:xfrm>
                    <a:prstGeom prst="rect">
                      <a:avLst/>
                    </a:prstGeom>
                    <a:noFill/>
                  </pic:spPr>
                </pic:pic>
              </a:graphicData>
            </a:graphic>
          </wp:anchor>
        </w:drawing>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54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385445"/>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12.1.Physical Point of contact</w:t>
      </w:r>
    </w:p>
    <w:p>
      <w:pPr>
        <w:spacing w:after="0" w:line="183" w:lineRule="exact"/>
        <w:rPr>
          <w:sz w:val="20"/>
          <w:szCs w:val="20"/>
          <w:color w:val="auto"/>
        </w:rPr>
      </w:pPr>
    </w:p>
    <w:tbl>
      <w:tblPr>
        <w:tblLayout w:type="fixed"/>
        <w:tblInd w:w="1150" w:type="dxa"/>
        <w:tblCellMar>
          <w:top w:w="0" w:type="dxa"/>
          <w:left w:w="0" w:type="dxa"/>
          <w:bottom w:w="0" w:type="dxa"/>
          <w:right w:w="0" w:type="dxa"/>
        </w:tblCellMar>
      </w:tblPr>
      <w:tr>
        <w:trPr>
          <w:trHeight w:val="183"/>
        </w:trPr>
        <w:tc>
          <w:tcPr>
            <w:tcW w:w="2260" w:type="dxa"/>
            <w:vAlign w:val="bottom"/>
            <w:tcBorders>
              <w:top w:val="single" w:sz="8" w:color="auto"/>
              <w:left w:val="single" w:sz="8" w:color="auto"/>
              <w:right w:val="single" w:sz="8" w:color="auto"/>
            </w:tcBorders>
            <w:shd w:val="clear" w:color="auto" w:fill="2AD2C8"/>
          </w:tcPr>
          <w:p>
            <w:pPr>
              <w:ind w:left="40"/>
              <w:spacing w:after="0" w:line="183" w:lineRule="exact"/>
              <w:rPr>
                <w:sz w:val="20"/>
                <w:szCs w:val="20"/>
                <w:color w:val="auto"/>
              </w:rPr>
            </w:pPr>
            <w:r>
              <w:rPr>
                <w:rFonts w:ascii="Arial" w:cs="Arial" w:eastAsia="Arial" w:hAnsi="Arial"/>
                <w:sz w:val="13"/>
                <w:szCs w:val="13"/>
                <w:b w:val="1"/>
                <w:bCs w:val="1"/>
                <w:color w:val="FFFFFF"/>
              </w:rPr>
              <w:t xml:space="preserve">Physical Point of Contact </w:t>
            </w:r>
            <w:r>
              <w:rPr>
                <w:rFonts w:ascii="Arial" w:cs="Arial" w:eastAsia="Arial" w:hAnsi="Arial"/>
                <w:sz w:val="21"/>
                <w:szCs w:val="21"/>
                <w:b w:val="1"/>
                <w:bCs w:val="1"/>
                <w:color w:val="FFFFFF"/>
                <w:vertAlign w:val="superscript"/>
              </w:rPr>
              <w:t>(1)</w:t>
            </w:r>
          </w:p>
        </w:tc>
        <w:tc>
          <w:tcPr>
            <w:tcW w:w="1320" w:type="dxa"/>
            <w:vAlign w:val="bottom"/>
            <w:tcBorders>
              <w:top w:val="single" w:sz="8" w:color="auto"/>
            </w:tcBorders>
            <w:shd w:val="clear" w:color="auto" w:fill="2AD2C8"/>
          </w:tcPr>
          <w:p>
            <w:pPr>
              <w:spacing w:after="0"/>
              <w:rPr>
                <w:sz w:val="15"/>
                <w:szCs w:val="15"/>
                <w:color w:val="auto"/>
              </w:rPr>
            </w:pPr>
          </w:p>
        </w:tc>
        <w:tc>
          <w:tcPr>
            <w:tcW w:w="1340" w:type="dxa"/>
            <w:vAlign w:val="bottom"/>
            <w:tcBorders>
              <w:top w:val="single" w:sz="8" w:color="auto"/>
            </w:tcBorders>
            <w:shd w:val="clear" w:color="auto" w:fill="2AD2C8"/>
          </w:tcPr>
          <w:p>
            <w:pPr>
              <w:jc w:val="center"/>
              <w:spacing w:after="0"/>
              <w:rPr>
                <w:sz w:val="20"/>
                <w:szCs w:val="20"/>
                <w:color w:val="auto"/>
              </w:rPr>
            </w:pPr>
            <w:r>
              <w:rPr>
                <w:rFonts w:ascii="Arial" w:cs="Arial" w:eastAsia="Arial" w:hAnsi="Arial"/>
                <w:sz w:val="15"/>
                <w:szCs w:val="15"/>
                <w:b w:val="1"/>
                <w:bCs w:val="1"/>
                <w:color w:val="FFFFFF"/>
              </w:rPr>
              <w:t>As of</w:t>
            </w:r>
          </w:p>
        </w:tc>
        <w:tc>
          <w:tcPr>
            <w:tcW w:w="1360" w:type="dxa"/>
            <w:vAlign w:val="bottom"/>
            <w:tcBorders>
              <w:top w:val="single" w:sz="8" w:color="auto"/>
              <w:right w:val="single" w:sz="8" w:color="auto"/>
            </w:tcBorders>
            <w:shd w:val="clear" w:color="auto" w:fill="2AD2C8"/>
          </w:tcPr>
          <w:p>
            <w:pPr>
              <w:spacing w:after="0"/>
              <w:rPr>
                <w:sz w:val="15"/>
                <w:szCs w:val="15"/>
                <w:color w:val="auto"/>
              </w:rPr>
            </w:pPr>
          </w:p>
        </w:tc>
        <w:tc>
          <w:tcPr>
            <w:tcW w:w="1880" w:type="dxa"/>
            <w:vAlign w:val="bottom"/>
            <w:tcBorders>
              <w:top w:val="single" w:sz="8" w:color="auto"/>
            </w:tcBorders>
            <w:shd w:val="clear" w:color="auto" w:fill="2AD2C8"/>
          </w:tcPr>
          <w:p>
            <w:pPr>
              <w:jc w:val="right"/>
              <w:spacing w:after="0"/>
              <w:rPr>
                <w:sz w:val="20"/>
                <w:szCs w:val="20"/>
                <w:color w:val="auto"/>
              </w:rPr>
            </w:pPr>
            <w:r>
              <w:rPr>
                <w:rFonts w:ascii="Arial" w:cs="Arial" w:eastAsia="Arial" w:hAnsi="Arial"/>
                <w:sz w:val="15"/>
                <w:szCs w:val="15"/>
                <w:b w:val="1"/>
                <w:bCs w:val="1"/>
                <w:color w:val="FFFFFF"/>
              </w:rPr>
              <w:t>change (units)</w:t>
            </w:r>
          </w:p>
        </w:tc>
        <w:tc>
          <w:tcPr>
            <w:tcW w:w="820" w:type="dxa"/>
            <w:vAlign w:val="bottom"/>
            <w:tcBorders>
              <w:top w:val="single" w:sz="8" w:color="auto"/>
              <w:right w:val="single" w:sz="8" w:color="auto"/>
            </w:tcBorders>
            <w:shd w:val="clear" w:color="auto" w:fill="2AD2C8"/>
          </w:tcPr>
          <w:p>
            <w:pPr>
              <w:spacing w:after="0"/>
              <w:rPr>
                <w:sz w:val="15"/>
                <w:szCs w:val="15"/>
                <w:color w:val="auto"/>
              </w:rPr>
            </w:pPr>
          </w:p>
        </w:tc>
      </w:tr>
      <w:tr>
        <w:trPr>
          <w:trHeight w:val="240"/>
        </w:trPr>
        <w:tc>
          <w:tcPr>
            <w:tcW w:w="2260" w:type="dxa"/>
            <w:vAlign w:val="bottom"/>
            <w:tcBorders>
              <w:left w:val="single" w:sz="8" w:color="auto"/>
              <w:bottom w:val="single" w:sz="8" w:color="2AD2C8"/>
              <w:right w:val="single" w:sz="8" w:color="auto"/>
            </w:tcBorders>
            <w:shd w:val="clear" w:color="auto" w:fill="2AD2C8"/>
          </w:tcPr>
          <w:p>
            <w:pPr>
              <w:ind w:left="40"/>
              <w:spacing w:after="0"/>
              <w:rPr>
                <w:sz w:val="20"/>
                <w:szCs w:val="20"/>
                <w:color w:val="auto"/>
              </w:rPr>
            </w:pPr>
            <w:r>
              <w:rPr>
                <w:rFonts w:ascii="Arial" w:cs="Arial" w:eastAsia="Arial" w:hAnsi="Arial"/>
                <w:sz w:val="15"/>
                <w:szCs w:val="15"/>
                <w:b w:val="1"/>
                <w:bCs w:val="1"/>
                <w:color w:val="FFFFFF"/>
              </w:rPr>
              <w:t>(Units)</w:t>
            </w:r>
          </w:p>
        </w:tc>
        <w:tc>
          <w:tcPr>
            <w:tcW w:w="1320" w:type="dxa"/>
            <w:vAlign w:val="bottom"/>
            <w:tcBorders>
              <w:bottom w:val="single" w:sz="8" w:color="2AD2C8"/>
            </w:tcBorders>
            <w:shd w:val="clear" w:color="auto" w:fill="2AD2C8"/>
          </w:tcPr>
          <w:p>
            <w:pPr>
              <w:ind w:left="400"/>
              <w:spacing w:after="0"/>
              <w:rPr>
                <w:sz w:val="20"/>
                <w:szCs w:val="20"/>
                <w:color w:val="auto"/>
              </w:rPr>
            </w:pPr>
            <w:r>
              <w:rPr>
                <w:rFonts w:ascii="Arial" w:cs="Arial" w:eastAsia="Arial" w:hAnsi="Arial"/>
                <w:sz w:val="15"/>
                <w:szCs w:val="15"/>
                <w:b w:val="1"/>
                <w:bCs w:val="1"/>
                <w:color w:val="FFFFFF"/>
              </w:rPr>
              <w:t>Mar 24</w:t>
            </w:r>
          </w:p>
        </w:tc>
        <w:tc>
          <w:tcPr>
            <w:tcW w:w="1340" w:type="dxa"/>
            <w:vAlign w:val="bottom"/>
            <w:tcBorders>
              <w:bottom w:val="single" w:sz="8" w:color="2AD2C8"/>
            </w:tcBorders>
            <w:shd w:val="clear" w:color="auto" w:fill="2AD2C8"/>
          </w:tcPr>
          <w:p>
            <w:pPr>
              <w:jc w:val="center"/>
              <w:spacing w:after="0"/>
              <w:rPr>
                <w:sz w:val="20"/>
                <w:szCs w:val="20"/>
                <w:color w:val="auto"/>
              </w:rPr>
            </w:pPr>
            <w:r>
              <w:rPr>
                <w:rFonts w:ascii="Arial" w:cs="Arial" w:eastAsia="Arial" w:hAnsi="Arial"/>
                <w:sz w:val="15"/>
                <w:szCs w:val="15"/>
                <w:b w:val="1"/>
                <w:bCs w:val="1"/>
                <w:color w:val="FFFFFF"/>
                <w:w w:val="99"/>
              </w:rPr>
              <w:t>Dec 24</w:t>
            </w:r>
          </w:p>
        </w:tc>
        <w:tc>
          <w:tcPr>
            <w:tcW w:w="1360" w:type="dxa"/>
            <w:vAlign w:val="bottom"/>
            <w:tcBorders>
              <w:bottom w:val="single" w:sz="8" w:color="2AD2C8"/>
              <w:right w:val="single" w:sz="8" w:color="auto"/>
            </w:tcBorders>
            <w:shd w:val="clear" w:color="auto" w:fill="2AD2C8"/>
          </w:tcPr>
          <w:p>
            <w:pPr>
              <w:ind w:left="440"/>
              <w:spacing w:after="0"/>
              <w:rPr>
                <w:sz w:val="20"/>
                <w:szCs w:val="20"/>
                <w:color w:val="auto"/>
              </w:rPr>
            </w:pPr>
            <w:r>
              <w:rPr>
                <w:rFonts w:ascii="Arial" w:cs="Arial" w:eastAsia="Arial" w:hAnsi="Arial"/>
                <w:sz w:val="15"/>
                <w:szCs w:val="15"/>
                <w:b w:val="1"/>
                <w:bCs w:val="1"/>
                <w:color w:val="FFFFFF"/>
              </w:rPr>
              <w:t>Mar 25</w:t>
            </w:r>
          </w:p>
        </w:tc>
        <w:tc>
          <w:tcPr>
            <w:tcW w:w="1880" w:type="dxa"/>
            <w:vAlign w:val="bottom"/>
            <w:tcBorders>
              <w:bottom w:val="single" w:sz="8" w:color="2AD2C8"/>
            </w:tcBorders>
            <w:shd w:val="clear" w:color="auto" w:fill="2AD2C8"/>
          </w:tcPr>
          <w:p>
            <w:pPr>
              <w:jc w:val="right"/>
              <w:ind w:right="964"/>
              <w:spacing w:after="0"/>
              <w:rPr>
                <w:sz w:val="20"/>
                <w:szCs w:val="20"/>
                <w:color w:val="auto"/>
              </w:rPr>
            </w:pPr>
            <w:r>
              <w:rPr>
                <w:rFonts w:ascii="Arial" w:cs="Arial" w:eastAsia="Arial" w:hAnsi="Arial"/>
                <w:sz w:val="15"/>
                <w:szCs w:val="15"/>
                <w:b w:val="1"/>
                <w:bCs w:val="1"/>
                <w:color w:val="FFFFFF"/>
              </w:rPr>
              <w:t>QoQ</w:t>
            </w:r>
          </w:p>
        </w:tc>
        <w:tc>
          <w:tcPr>
            <w:tcW w:w="820" w:type="dxa"/>
            <w:vAlign w:val="bottom"/>
            <w:tcBorders>
              <w:bottom w:val="single" w:sz="8" w:color="2AD2C8"/>
              <w:right w:val="single" w:sz="8" w:color="auto"/>
            </w:tcBorders>
            <w:shd w:val="clear" w:color="auto" w:fill="2AD2C8"/>
          </w:tcPr>
          <w:p>
            <w:pPr>
              <w:jc w:val="right"/>
              <w:ind w:right="464"/>
              <w:spacing w:after="0"/>
              <w:rPr>
                <w:sz w:val="20"/>
                <w:szCs w:val="20"/>
                <w:color w:val="auto"/>
              </w:rPr>
            </w:pPr>
            <w:r>
              <w:rPr>
                <w:rFonts w:ascii="Arial" w:cs="Arial" w:eastAsia="Arial" w:hAnsi="Arial"/>
                <w:sz w:val="15"/>
                <w:szCs w:val="15"/>
                <w:b w:val="1"/>
                <w:bCs w:val="1"/>
                <w:color w:val="FFFFFF"/>
                <w:w w:val="88"/>
              </w:rPr>
              <w:t>YoY</w:t>
            </w:r>
          </w:p>
        </w:tc>
      </w:tr>
      <w:tr>
        <w:trPr>
          <w:trHeight w:val="179"/>
        </w:trPr>
        <w:tc>
          <w:tcPr>
            <w:tcW w:w="2260" w:type="dxa"/>
            <w:vAlign w:val="bottom"/>
            <w:tcBorders>
              <w:top w:val="single" w:sz="8" w:color="auto"/>
              <w:left w:val="single" w:sz="8" w:color="auto"/>
              <w:right w:val="single" w:sz="8" w:color="auto"/>
            </w:tcBorders>
          </w:tcPr>
          <w:p>
            <w:pPr>
              <w:ind w:left="40"/>
              <w:spacing w:after="0" w:line="179" w:lineRule="exact"/>
              <w:rPr>
                <w:sz w:val="20"/>
                <w:szCs w:val="20"/>
                <w:color w:val="auto"/>
              </w:rPr>
            </w:pPr>
            <w:r>
              <w:rPr>
                <w:rFonts w:ascii="Arial" w:cs="Arial" w:eastAsia="Arial" w:hAnsi="Arial"/>
                <w:sz w:val="13"/>
                <w:szCs w:val="13"/>
                <w:color w:val="auto"/>
              </w:rPr>
              <w:t xml:space="preserve">Branches </w:t>
            </w:r>
            <w:r>
              <w:rPr>
                <w:rFonts w:ascii="Arial" w:cs="Arial" w:eastAsia="Arial" w:hAnsi="Arial"/>
                <w:sz w:val="20"/>
                <w:szCs w:val="20"/>
                <w:color w:val="auto"/>
                <w:vertAlign w:val="superscript"/>
              </w:rPr>
              <w:t>(2)</w:t>
            </w: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655</w:t>
            </w: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648</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648</w:t>
            </w:r>
          </w:p>
        </w:tc>
        <w:tc>
          <w:tcPr>
            <w:tcW w:w="1880" w:type="dxa"/>
            <w:vAlign w:val="bottom"/>
            <w:tcBorders>
              <w:top w:val="single" w:sz="8" w:color="auto"/>
            </w:tcBorders>
          </w:tcPr>
          <w:p>
            <w:pPr>
              <w:jc w:val="center"/>
              <w:ind w:right="484"/>
              <w:spacing w:after="0"/>
              <w:rPr>
                <w:sz w:val="20"/>
                <w:szCs w:val="20"/>
                <w:color w:val="auto"/>
              </w:rPr>
            </w:pPr>
            <w:r>
              <w:rPr>
                <w:rFonts w:ascii="Arial" w:cs="Arial" w:eastAsia="Arial" w:hAnsi="Arial"/>
                <w:sz w:val="15"/>
                <w:szCs w:val="15"/>
                <w:color w:val="auto"/>
                <w:w w:val="79"/>
              </w:rPr>
              <w:t>-</w:t>
            </w:r>
          </w:p>
        </w:tc>
        <w:tc>
          <w:tcPr>
            <w:tcW w:w="820" w:type="dxa"/>
            <w:vAlign w:val="bottom"/>
            <w:tcBorders>
              <w:top w:val="single" w:sz="8" w:color="auto"/>
              <w:right w:val="single" w:sz="8" w:color="auto"/>
            </w:tcBorders>
          </w:tcPr>
          <w:p>
            <w:pPr>
              <w:jc w:val="right"/>
              <w:ind w:right="504"/>
              <w:spacing w:after="0"/>
              <w:rPr>
                <w:sz w:val="20"/>
                <w:szCs w:val="20"/>
                <w:color w:val="auto"/>
              </w:rPr>
            </w:pPr>
            <w:r>
              <w:rPr>
                <w:rFonts w:ascii="Arial" w:cs="Arial" w:eastAsia="Arial" w:hAnsi="Arial"/>
                <w:sz w:val="15"/>
                <w:szCs w:val="15"/>
                <w:color w:val="auto"/>
              </w:rPr>
              <w:t>-7</w:t>
            </w:r>
          </w:p>
        </w:tc>
      </w:tr>
      <w:tr>
        <w:trPr>
          <w:trHeight w:val="203"/>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ATMs</w:t>
            </w:r>
          </w:p>
        </w:tc>
        <w:tc>
          <w:tcPr>
            <w:tcW w:w="1320" w:type="dxa"/>
            <w:vAlign w:val="bottom"/>
          </w:tcPr>
          <w:p>
            <w:pPr>
              <w:jc w:val="center"/>
              <w:spacing w:after="0"/>
              <w:rPr>
                <w:sz w:val="20"/>
                <w:szCs w:val="20"/>
                <w:color w:val="auto"/>
              </w:rPr>
            </w:pPr>
            <w:r>
              <w:rPr>
                <w:rFonts w:ascii="Arial" w:cs="Arial" w:eastAsia="Arial" w:hAnsi="Arial"/>
                <w:sz w:val="15"/>
                <w:szCs w:val="15"/>
                <w:color w:val="auto"/>
              </w:rPr>
              <w:t>2,737</w:t>
            </w:r>
          </w:p>
        </w:tc>
        <w:tc>
          <w:tcPr>
            <w:tcW w:w="1340" w:type="dxa"/>
            <w:vAlign w:val="bottom"/>
          </w:tcPr>
          <w:p>
            <w:pPr>
              <w:jc w:val="center"/>
              <w:spacing w:after="0"/>
              <w:rPr>
                <w:sz w:val="20"/>
                <w:szCs w:val="20"/>
                <w:color w:val="auto"/>
              </w:rPr>
            </w:pPr>
            <w:r>
              <w:rPr>
                <w:rFonts w:ascii="Arial" w:cs="Arial" w:eastAsia="Arial" w:hAnsi="Arial"/>
                <w:sz w:val="15"/>
                <w:szCs w:val="15"/>
                <w:color w:val="auto"/>
              </w:rPr>
              <w:t>2,787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2,768</w:t>
            </w:r>
          </w:p>
        </w:tc>
        <w:tc>
          <w:tcPr>
            <w:tcW w:w="1880" w:type="dxa"/>
            <w:vAlign w:val="bottom"/>
          </w:tcPr>
          <w:p>
            <w:pPr>
              <w:jc w:val="right"/>
              <w:ind w:right="1064"/>
              <w:spacing w:after="0"/>
              <w:rPr>
                <w:sz w:val="20"/>
                <w:szCs w:val="20"/>
                <w:color w:val="auto"/>
              </w:rPr>
            </w:pPr>
            <w:r>
              <w:rPr>
                <w:rFonts w:ascii="Arial" w:cs="Arial" w:eastAsia="Arial" w:hAnsi="Arial"/>
                <w:sz w:val="15"/>
                <w:szCs w:val="15"/>
                <w:color w:val="auto"/>
              </w:rPr>
              <w:t>(19)</w:t>
            </w:r>
          </w:p>
        </w:tc>
        <w:tc>
          <w:tcPr>
            <w:tcW w:w="820" w:type="dxa"/>
            <w:vAlign w:val="bottom"/>
            <w:tcBorders>
              <w:right w:val="single" w:sz="8" w:color="auto"/>
            </w:tcBorders>
          </w:tcPr>
          <w:p>
            <w:pPr>
              <w:jc w:val="center"/>
              <w:ind w:right="444"/>
              <w:spacing w:after="0"/>
              <w:rPr>
                <w:sz w:val="20"/>
                <w:szCs w:val="20"/>
                <w:color w:val="auto"/>
              </w:rPr>
            </w:pPr>
            <w:r>
              <w:rPr>
                <w:rFonts w:ascii="Arial" w:cs="Arial" w:eastAsia="Arial" w:hAnsi="Arial"/>
                <w:sz w:val="15"/>
                <w:szCs w:val="15"/>
                <w:color w:val="auto"/>
              </w:rPr>
              <w:t>31</w:t>
            </w:r>
          </w:p>
        </w:tc>
      </w:tr>
      <w:tr>
        <w:trPr>
          <w:trHeight w:val="193"/>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Agents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11,328</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12,434</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11,683</w:t>
            </w:r>
          </w:p>
        </w:tc>
        <w:tc>
          <w:tcPr>
            <w:tcW w:w="1880" w:type="dxa"/>
            <w:vAlign w:val="bottom"/>
            <w:tcBorders>
              <w:bottom w:val="single" w:sz="8" w:color="auto"/>
            </w:tcBorders>
          </w:tcPr>
          <w:p>
            <w:pPr>
              <w:jc w:val="center"/>
              <w:ind w:right="484"/>
              <w:spacing w:after="0"/>
              <w:rPr>
                <w:sz w:val="20"/>
                <w:szCs w:val="20"/>
                <w:color w:val="auto"/>
              </w:rPr>
            </w:pPr>
            <w:r>
              <w:rPr>
                <w:rFonts w:ascii="Arial" w:cs="Arial" w:eastAsia="Arial" w:hAnsi="Arial"/>
                <w:sz w:val="15"/>
                <w:szCs w:val="15"/>
                <w:color w:val="auto"/>
              </w:rPr>
              <w:t>(751)</w:t>
            </w:r>
          </w:p>
        </w:tc>
        <w:tc>
          <w:tcPr>
            <w:tcW w:w="820" w:type="dxa"/>
            <w:vAlign w:val="bottom"/>
            <w:tcBorders>
              <w:bottom w:val="single" w:sz="8" w:color="auto"/>
              <w:right w:val="single" w:sz="8" w:color="auto"/>
            </w:tcBorders>
          </w:tcPr>
          <w:p>
            <w:pPr>
              <w:jc w:val="center"/>
              <w:ind w:right="444"/>
              <w:spacing w:after="0"/>
              <w:rPr>
                <w:sz w:val="20"/>
                <w:szCs w:val="20"/>
                <w:color w:val="auto"/>
              </w:rPr>
            </w:pPr>
            <w:r>
              <w:rPr>
                <w:rFonts w:ascii="Arial" w:cs="Arial" w:eastAsia="Arial" w:hAnsi="Arial"/>
                <w:sz w:val="15"/>
                <w:szCs w:val="15"/>
                <w:color w:val="auto"/>
              </w:rPr>
              <w:t>355</w:t>
            </w:r>
          </w:p>
        </w:tc>
      </w:tr>
      <w:tr>
        <w:trPr>
          <w:trHeight w:val="182"/>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Total</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14,720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15,869</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15,099</w:t>
            </w:r>
          </w:p>
        </w:tc>
        <w:tc>
          <w:tcPr>
            <w:tcW w:w="1880" w:type="dxa"/>
            <w:vAlign w:val="bottom"/>
            <w:tcBorders>
              <w:bottom w:val="single" w:sz="8" w:color="auto"/>
            </w:tcBorders>
          </w:tcPr>
          <w:p>
            <w:pPr>
              <w:jc w:val="center"/>
              <w:ind w:right="484"/>
              <w:spacing w:after="0"/>
              <w:rPr>
                <w:sz w:val="20"/>
                <w:szCs w:val="20"/>
                <w:color w:val="auto"/>
              </w:rPr>
            </w:pPr>
            <w:r>
              <w:rPr>
                <w:rFonts w:ascii="Arial" w:cs="Arial" w:eastAsia="Arial" w:hAnsi="Arial"/>
                <w:sz w:val="15"/>
                <w:szCs w:val="15"/>
                <w:b w:val="1"/>
                <w:bCs w:val="1"/>
                <w:color w:val="auto"/>
              </w:rPr>
              <w:t>(770)</w:t>
            </w:r>
          </w:p>
        </w:tc>
        <w:tc>
          <w:tcPr>
            <w:tcW w:w="820" w:type="dxa"/>
            <w:vAlign w:val="bottom"/>
            <w:tcBorders>
              <w:bottom w:val="single" w:sz="8" w:color="auto"/>
              <w:right w:val="single" w:sz="8" w:color="auto"/>
            </w:tcBorders>
          </w:tcPr>
          <w:p>
            <w:pPr>
              <w:jc w:val="center"/>
              <w:ind w:right="444"/>
              <w:spacing w:after="0"/>
              <w:rPr>
                <w:sz w:val="20"/>
                <w:szCs w:val="20"/>
                <w:color w:val="auto"/>
              </w:rPr>
            </w:pPr>
            <w:r>
              <w:rPr>
                <w:rFonts w:ascii="Arial" w:cs="Arial" w:eastAsia="Arial" w:hAnsi="Arial"/>
                <w:sz w:val="15"/>
                <w:szCs w:val="15"/>
                <w:b w:val="1"/>
                <w:bCs w:val="1"/>
                <w:color w:val="auto"/>
              </w:rPr>
              <w:t>379</w:t>
            </w:r>
          </w:p>
        </w:tc>
      </w:tr>
    </w:tbl>
    <w:p>
      <w:pPr>
        <w:spacing w:after="0" w:line="181" w:lineRule="exact"/>
        <w:rPr>
          <w:sz w:val="20"/>
          <w:szCs w:val="20"/>
          <w:color w:val="auto"/>
        </w:rPr>
      </w:pPr>
    </w:p>
    <w:p>
      <w:pPr>
        <w:ind w:left="2020" w:hanging="230"/>
        <w:spacing w:after="0"/>
        <w:tabs>
          <w:tab w:leader="none" w:pos="20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Includes Physical Point of Contact of BCP Stand-Alone, Mibanco and BCP Bolivia</w:t>
      </w:r>
    </w:p>
    <w:p>
      <w:pPr>
        <w:spacing w:after="0" w:line="51" w:lineRule="exact"/>
        <w:rPr>
          <w:rFonts w:ascii="Arial" w:cs="Arial" w:eastAsia="Arial" w:hAnsi="Arial"/>
          <w:sz w:val="12"/>
          <w:szCs w:val="12"/>
          <w:color w:val="auto"/>
        </w:rPr>
      </w:pPr>
    </w:p>
    <w:p>
      <w:pPr>
        <w:ind w:left="2020" w:hanging="230"/>
        <w:spacing w:after="0"/>
        <w:tabs>
          <w:tab w:leader="none" w:pos="20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Includes Banco de la Nacion branches, which in March 24 were 36, in December 24 were 36 and in March 25 were 36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12.2.Loan Portfolio Quality</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 this section, segmentation criteria within BCP Stand-Alone have been updated and historical information restated to ensure comparability and better alignment with managerial reporting standards.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Quality Ratios by Segment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121920</wp:posOffset>
            </wp:positionV>
            <wp:extent cx="6137910" cy="21259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3791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132080</wp:posOffset>
            </wp:positionV>
            <wp:extent cx="6052185" cy="21088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5218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52" w:name="page53"/>
    <w:bookmarkEnd w:id="52"/>
    <w:p>
      <w:pPr>
        <w:ind w:left="2540"/>
        <w:spacing w:after="0"/>
        <w:tabs>
          <w:tab w:leader="none" w:pos="2780" w:val="left"/>
          <w:tab w:leader="none" w:pos="744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-141605</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3"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132080</wp:posOffset>
            </wp:positionV>
            <wp:extent cx="6180455" cy="22802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8045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132080</wp:posOffset>
            </wp:positionV>
            <wp:extent cx="6163310" cy="2211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6331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40640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314" w:right="339" w:bottom="1440" w:gutter="0" w:footer="0" w:header="0"/>
        </w:sectPr>
      </w:pPr>
    </w:p>
    <w:bookmarkStart w:id="53" w:name="page54"/>
    <w:bookmarkEnd w:id="53"/>
    <w:p>
      <w:pPr>
        <w:ind w:left="2540"/>
        <w:spacing w:after="0"/>
        <w:tabs>
          <w:tab w:leader="none" w:pos="2780" w:val="left"/>
          <w:tab w:leader="none" w:pos="744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-141605</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3"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132080</wp:posOffset>
            </wp:positionV>
            <wp:extent cx="6275070" cy="23317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7507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Credit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132080</wp:posOffset>
            </wp:positionV>
            <wp:extent cx="6189345" cy="26574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8934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40640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314" w:right="339" w:bottom="1440" w:gutter="0" w:footer="0" w:header="0"/>
        </w:sectPr>
      </w:pPr>
    </w:p>
    <w:bookmarkStart w:id="54" w:name="page55"/>
    <w:bookmarkEnd w:id="54"/>
    <w:p>
      <w:pPr>
        <w:ind w:left="2540"/>
        <w:spacing w:after="0"/>
        <w:tabs>
          <w:tab w:leader="none" w:pos="2780" w:val="left"/>
          <w:tab w:leader="none" w:pos="744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-141605</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3"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12065</wp:posOffset>
            </wp:positionV>
            <wp:extent cx="6197600" cy="24942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9760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132080</wp:posOffset>
            </wp:positionV>
            <wp:extent cx="6094730" cy="25717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9473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40640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314" w:right="339" w:bottom="1440" w:gutter="0" w:footer="0" w:header="0"/>
        </w:sectPr>
      </w:pPr>
    </w:p>
    <w:bookmarkStart w:id="55" w:name="page56"/>
    <w:bookmarkEnd w:id="55"/>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12.3.Net Interest Income (NII)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NII Summary</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100" w:type="dxa"/>
            <w:vAlign w:val="bottom"/>
            <w:tcBorders>
              <w:top w:val="single" w:sz="8" w:color="auto"/>
              <w:left w:val="single" w:sz="8" w:color="auto"/>
              <w:right w:val="single" w:sz="8" w:color="auto"/>
            </w:tcBorders>
            <w:shd w:val="clear" w:color="auto" w:fill="33CCCC"/>
          </w:tcPr>
          <w:p>
            <w:pPr>
              <w:ind w:left="20"/>
              <w:spacing w:after="0" w:line="156" w:lineRule="exact"/>
              <w:rPr>
                <w:sz w:val="20"/>
                <w:szCs w:val="20"/>
                <w:color w:val="auto"/>
              </w:rPr>
            </w:pPr>
            <w:r>
              <w:rPr>
                <w:rFonts w:ascii="Arial" w:cs="Arial" w:eastAsia="Arial" w:hAnsi="Arial"/>
                <w:sz w:val="15"/>
                <w:szCs w:val="15"/>
                <w:b w:val="1"/>
                <w:bCs w:val="1"/>
                <w:color w:val="FFFFFF"/>
              </w:rPr>
              <w:t>Net interest income</w:t>
            </w:r>
          </w:p>
        </w:tc>
        <w:tc>
          <w:tcPr>
            <w:tcW w:w="1360" w:type="dxa"/>
            <w:vAlign w:val="bottom"/>
            <w:tcBorders>
              <w:top w:val="single" w:sz="8" w:color="auto"/>
            </w:tcBorders>
            <w:shd w:val="clear" w:color="auto" w:fill="33CCCC"/>
          </w:tcPr>
          <w:p>
            <w:pPr>
              <w:spacing w:after="0"/>
              <w:rPr>
                <w:sz w:val="13"/>
                <w:szCs w:val="13"/>
                <w:color w:val="auto"/>
              </w:rPr>
            </w:pPr>
          </w:p>
        </w:tc>
        <w:tc>
          <w:tcPr>
            <w:tcW w:w="1300" w:type="dxa"/>
            <w:vAlign w:val="bottom"/>
            <w:tcBorders>
              <w:top w:val="single" w:sz="8" w:color="auto"/>
            </w:tcBorders>
            <w:shd w:val="clear" w:color="auto" w:fill="33CCCC"/>
          </w:tcPr>
          <w:p>
            <w:pPr>
              <w:ind w:left="380"/>
              <w:spacing w:after="0" w:line="156" w:lineRule="exact"/>
              <w:rPr>
                <w:sz w:val="20"/>
                <w:szCs w:val="20"/>
                <w:color w:val="auto"/>
              </w:rPr>
            </w:pPr>
            <w:r>
              <w:rPr>
                <w:rFonts w:ascii="Arial" w:cs="Arial" w:eastAsia="Arial" w:hAnsi="Arial"/>
                <w:sz w:val="15"/>
                <w:szCs w:val="15"/>
                <w:b w:val="1"/>
                <w:bCs w:val="1"/>
                <w:color w:val="FFFFFF"/>
              </w:rPr>
              <w:t>Quarter</w:t>
            </w:r>
          </w:p>
        </w:tc>
        <w:tc>
          <w:tcPr>
            <w:tcW w:w="1300" w:type="dxa"/>
            <w:vAlign w:val="bottom"/>
            <w:tcBorders>
              <w:top w:val="single" w:sz="8" w:color="auto"/>
              <w:right w:val="single" w:sz="8" w:color="auto"/>
            </w:tcBorders>
            <w:shd w:val="clear" w:color="auto" w:fill="33CCCC"/>
          </w:tcPr>
          <w:p>
            <w:pPr>
              <w:spacing w:after="0"/>
              <w:rPr>
                <w:sz w:val="13"/>
                <w:szCs w:val="13"/>
                <w:color w:val="auto"/>
              </w:rPr>
            </w:pPr>
          </w:p>
        </w:tc>
        <w:tc>
          <w:tcPr>
            <w:tcW w:w="860" w:type="dxa"/>
            <w:vAlign w:val="bottom"/>
            <w:tcBorders>
              <w:top w:val="single" w:sz="8" w:color="auto"/>
            </w:tcBorders>
            <w:shd w:val="clear" w:color="auto" w:fill="33CCCC"/>
          </w:tcPr>
          <w:p>
            <w:pPr>
              <w:jc w:val="right"/>
              <w:spacing w:after="0" w:line="156" w:lineRule="exact"/>
              <w:rPr>
                <w:sz w:val="20"/>
                <w:szCs w:val="20"/>
                <w:color w:val="auto"/>
              </w:rPr>
            </w:pPr>
            <w:r>
              <w:rPr>
                <w:rFonts w:ascii="Arial" w:cs="Arial" w:eastAsia="Arial" w:hAnsi="Arial"/>
                <w:sz w:val="15"/>
                <w:szCs w:val="15"/>
                <w:b w:val="1"/>
                <w:bCs w:val="1"/>
                <w:color w:val="FFFFFF"/>
              </w:rPr>
              <w:t>%</w:t>
            </w:r>
          </w:p>
        </w:tc>
        <w:tc>
          <w:tcPr>
            <w:tcW w:w="1320" w:type="dxa"/>
            <w:vAlign w:val="bottom"/>
            <w:tcBorders>
              <w:top w:val="single" w:sz="8" w:color="auto"/>
              <w:right w:val="single" w:sz="8" w:color="auto"/>
            </w:tcBorders>
            <w:shd w:val="clear" w:color="auto" w:fill="33CCCC"/>
          </w:tcPr>
          <w:p>
            <w:pPr>
              <w:ind w:left="40"/>
              <w:spacing w:after="0" w:line="156" w:lineRule="exact"/>
              <w:rPr>
                <w:sz w:val="20"/>
                <w:szCs w:val="20"/>
                <w:color w:val="auto"/>
              </w:rPr>
            </w:pPr>
            <w:r>
              <w:rPr>
                <w:rFonts w:ascii="Arial" w:cs="Arial" w:eastAsia="Arial" w:hAnsi="Arial"/>
                <w:sz w:val="15"/>
                <w:szCs w:val="15"/>
                <w:b w:val="1"/>
                <w:bCs w:val="1"/>
                <w:color w:val="FFFFFF"/>
                <w:shd w:val="clear" w:color="auto" w:fill="33CCCC"/>
              </w:rPr>
              <w:t>change</w:t>
            </w:r>
          </w:p>
        </w:tc>
      </w:tr>
      <w:tr>
        <w:trPr>
          <w:trHeight w:val="181"/>
        </w:trPr>
        <w:tc>
          <w:tcPr>
            <w:tcW w:w="510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5"/>
                <w:szCs w:val="15"/>
                <w:b w:val="1"/>
                <w:bCs w:val="1"/>
                <w:color w:val="FFFFFF"/>
              </w:rPr>
              <w:t>S/000</w:t>
            </w:r>
          </w:p>
        </w:tc>
        <w:tc>
          <w:tcPr>
            <w:tcW w:w="13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5"/>
                <w:szCs w:val="15"/>
                <w:b w:val="1"/>
                <w:bCs w:val="1"/>
                <w:color w:val="FFFFFF"/>
              </w:rPr>
              <w:t>1Q24</w:t>
            </w:r>
          </w:p>
        </w:tc>
        <w:tc>
          <w:tcPr>
            <w:tcW w:w="13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5"/>
                <w:szCs w:val="15"/>
                <w:b w:val="1"/>
                <w:bCs w:val="1"/>
                <w:color w:val="FFFFFF"/>
                <w:w w:val="97"/>
              </w:rPr>
              <w:t>4Q24</w:t>
            </w:r>
          </w:p>
        </w:tc>
        <w:tc>
          <w:tcPr>
            <w:tcW w:w="13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5"/>
                <w:szCs w:val="15"/>
                <w:b w:val="1"/>
                <w:bCs w:val="1"/>
                <w:color w:val="FFFFFF"/>
                <w:w w:val="97"/>
              </w:rPr>
              <w:t>1Q25</w:t>
            </w:r>
          </w:p>
        </w:tc>
        <w:tc>
          <w:tcPr>
            <w:tcW w:w="860" w:type="dxa"/>
            <w:vAlign w:val="bottom"/>
            <w:tcBorders>
              <w:bottom w:val="single" w:sz="8" w:color="auto"/>
            </w:tcBorders>
            <w:shd w:val="clear" w:color="auto" w:fill="33CCCC"/>
          </w:tcPr>
          <w:p>
            <w:pPr>
              <w:jc w:val="center"/>
              <w:ind w:left="124"/>
              <w:spacing w:after="0"/>
              <w:rPr>
                <w:sz w:val="20"/>
                <w:szCs w:val="20"/>
                <w:color w:val="auto"/>
              </w:rPr>
            </w:pPr>
            <w:r>
              <w:rPr>
                <w:rFonts w:ascii="Arial" w:cs="Arial" w:eastAsia="Arial" w:hAnsi="Arial"/>
                <w:sz w:val="15"/>
                <w:szCs w:val="15"/>
                <w:b w:val="1"/>
                <w:bCs w:val="1"/>
                <w:color w:val="FFFFFF"/>
              </w:rPr>
              <w:t>QoQ</w:t>
            </w:r>
          </w:p>
        </w:tc>
        <w:tc>
          <w:tcPr>
            <w:tcW w:w="1320" w:type="dxa"/>
            <w:vAlign w:val="bottom"/>
            <w:tcBorders>
              <w:bottom w:val="single" w:sz="8" w:color="auto"/>
              <w:right w:val="single" w:sz="8" w:color="auto"/>
            </w:tcBorders>
            <w:shd w:val="clear" w:color="auto" w:fill="33CCCC"/>
          </w:tcPr>
          <w:p>
            <w:pPr>
              <w:jc w:val="center"/>
              <w:ind w:left="124"/>
              <w:spacing w:after="0"/>
              <w:rPr>
                <w:sz w:val="20"/>
                <w:szCs w:val="20"/>
                <w:color w:val="auto"/>
              </w:rPr>
            </w:pPr>
            <w:r>
              <w:rPr>
                <w:rFonts w:ascii="Arial" w:cs="Arial" w:eastAsia="Arial" w:hAnsi="Arial"/>
                <w:sz w:val="15"/>
                <w:szCs w:val="15"/>
                <w:b w:val="1"/>
                <w:bCs w:val="1"/>
                <w:color w:val="FFFFFF"/>
                <w:w w:val="95"/>
              </w:rPr>
              <w:t>YoY</w:t>
            </w:r>
          </w:p>
        </w:tc>
      </w:tr>
      <w:tr>
        <w:trPr>
          <w:trHeight w:val="138"/>
        </w:trPr>
        <w:tc>
          <w:tcPr>
            <w:tcW w:w="510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jc w:val="center"/>
              <w:spacing w:after="0" w:line="138" w:lineRule="exact"/>
              <w:rPr>
                <w:sz w:val="20"/>
                <w:szCs w:val="20"/>
                <w:color w:val="auto"/>
              </w:rPr>
            </w:pPr>
            <w:r>
              <w:rPr>
                <w:rFonts w:ascii="Arial" w:cs="Arial" w:eastAsia="Arial" w:hAnsi="Arial"/>
                <w:sz w:val="15"/>
                <w:szCs w:val="15"/>
                <w:b w:val="1"/>
                <w:bCs w:val="1"/>
                <w:color w:val="auto"/>
              </w:rPr>
              <w:t>4,925,926</w:t>
            </w:r>
          </w:p>
        </w:tc>
        <w:tc>
          <w:tcPr>
            <w:tcW w:w="1300" w:type="dxa"/>
            <w:vAlign w:val="bottom"/>
          </w:tcPr>
          <w:p>
            <w:pPr>
              <w:jc w:val="center"/>
              <w:spacing w:after="0" w:line="138" w:lineRule="exact"/>
              <w:rPr>
                <w:sz w:val="20"/>
                <w:szCs w:val="20"/>
                <w:color w:val="auto"/>
              </w:rPr>
            </w:pPr>
            <w:r>
              <w:rPr>
                <w:rFonts w:ascii="Arial" w:cs="Arial" w:eastAsia="Arial" w:hAnsi="Arial"/>
                <w:sz w:val="15"/>
                <w:szCs w:val="15"/>
                <w:b w:val="1"/>
                <w:bCs w:val="1"/>
                <w:color w:val="auto"/>
              </w:rPr>
              <w:t>5,012,121</w:t>
            </w:r>
          </w:p>
        </w:tc>
        <w:tc>
          <w:tcPr>
            <w:tcW w:w="13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5"/>
                <w:szCs w:val="15"/>
                <w:b w:val="1"/>
                <w:bCs w:val="1"/>
                <w:color w:val="auto"/>
              </w:rPr>
              <w:t>4,894,790</w:t>
            </w:r>
          </w:p>
        </w:tc>
        <w:tc>
          <w:tcPr>
            <w:tcW w:w="860" w:type="dxa"/>
            <w:vAlign w:val="bottom"/>
          </w:tcPr>
          <w:p>
            <w:pPr>
              <w:jc w:val="center"/>
              <w:ind w:left="144"/>
              <w:spacing w:after="0" w:line="138" w:lineRule="exact"/>
              <w:rPr>
                <w:sz w:val="20"/>
                <w:szCs w:val="20"/>
                <w:color w:val="auto"/>
              </w:rPr>
            </w:pPr>
            <w:r>
              <w:rPr>
                <w:rFonts w:ascii="Arial" w:cs="Arial" w:eastAsia="Arial" w:hAnsi="Arial"/>
                <w:sz w:val="15"/>
                <w:szCs w:val="15"/>
                <w:b w:val="1"/>
                <w:bCs w:val="1"/>
                <w:color w:val="auto"/>
              </w:rPr>
              <w:t>-2.3%</w:t>
            </w:r>
          </w:p>
        </w:tc>
        <w:tc>
          <w:tcPr>
            <w:tcW w:w="1320" w:type="dxa"/>
            <w:vAlign w:val="bottom"/>
            <w:tcBorders>
              <w:right w:val="single" w:sz="8" w:color="auto"/>
            </w:tcBorders>
          </w:tcPr>
          <w:p>
            <w:pPr>
              <w:jc w:val="center"/>
              <w:ind w:left="124"/>
              <w:spacing w:after="0" w:line="138" w:lineRule="exact"/>
              <w:rPr>
                <w:sz w:val="20"/>
                <w:szCs w:val="20"/>
                <w:color w:val="auto"/>
              </w:rPr>
            </w:pPr>
            <w:r>
              <w:rPr>
                <w:rFonts w:ascii="Arial" w:cs="Arial" w:eastAsia="Arial" w:hAnsi="Arial"/>
                <w:sz w:val="15"/>
                <w:szCs w:val="15"/>
                <w:b w:val="1"/>
                <w:bCs w:val="1"/>
                <w:color w:val="auto"/>
              </w:rPr>
              <w:t>-0.6%</w:t>
            </w:r>
          </w:p>
        </w:tc>
      </w:tr>
      <w:tr>
        <w:trPr>
          <w:trHeight w:val="162"/>
        </w:trPr>
        <w:tc>
          <w:tcPr>
            <w:tcW w:w="5100" w:type="dxa"/>
            <w:vAlign w:val="bottom"/>
            <w:tcBorders>
              <w:left w:val="single" w:sz="8" w:color="auto"/>
              <w:right w:val="single" w:sz="8" w:color="auto"/>
            </w:tcBorders>
          </w:tcPr>
          <w:p>
            <w:pPr>
              <w:ind w:left="180"/>
              <w:spacing w:after="0" w:line="162" w:lineRule="exact"/>
              <w:rPr>
                <w:sz w:val="20"/>
                <w:szCs w:val="20"/>
                <w:color w:val="auto"/>
              </w:rPr>
            </w:pPr>
            <w:r>
              <w:rPr>
                <w:rFonts w:ascii="Arial" w:cs="Arial" w:eastAsia="Arial" w:hAnsi="Arial"/>
                <w:sz w:val="15"/>
                <w:szCs w:val="15"/>
                <w:color w:val="auto"/>
              </w:rPr>
              <w:t>Interest on loans</w:t>
            </w:r>
          </w:p>
        </w:tc>
        <w:tc>
          <w:tcPr>
            <w:tcW w:w="1360" w:type="dxa"/>
            <w:vAlign w:val="bottom"/>
          </w:tcPr>
          <w:p>
            <w:pPr>
              <w:jc w:val="center"/>
              <w:spacing w:after="0" w:line="162" w:lineRule="exact"/>
              <w:rPr>
                <w:sz w:val="20"/>
                <w:szCs w:val="20"/>
                <w:color w:val="auto"/>
              </w:rPr>
            </w:pPr>
            <w:r>
              <w:rPr>
                <w:rFonts w:ascii="Arial" w:cs="Arial" w:eastAsia="Arial" w:hAnsi="Arial"/>
                <w:sz w:val="15"/>
                <w:szCs w:val="15"/>
                <w:color w:val="auto"/>
              </w:rPr>
              <w:t>3,868,792</w:t>
            </w:r>
          </w:p>
        </w:tc>
        <w:tc>
          <w:tcPr>
            <w:tcW w:w="1300" w:type="dxa"/>
            <w:vAlign w:val="bottom"/>
          </w:tcPr>
          <w:p>
            <w:pPr>
              <w:jc w:val="center"/>
              <w:spacing w:after="0" w:line="162" w:lineRule="exact"/>
              <w:rPr>
                <w:sz w:val="20"/>
                <w:szCs w:val="20"/>
                <w:color w:val="auto"/>
              </w:rPr>
            </w:pPr>
            <w:r>
              <w:rPr>
                <w:rFonts w:ascii="Arial" w:cs="Arial" w:eastAsia="Arial" w:hAnsi="Arial"/>
                <w:sz w:val="15"/>
                <w:szCs w:val="15"/>
                <w:color w:val="auto"/>
              </w:rPr>
              <w:t>3,940,002</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3,847,640</w:t>
            </w:r>
          </w:p>
        </w:tc>
        <w:tc>
          <w:tcPr>
            <w:tcW w:w="860" w:type="dxa"/>
            <w:vAlign w:val="bottom"/>
          </w:tcPr>
          <w:p>
            <w:pPr>
              <w:jc w:val="center"/>
              <w:ind w:left="144"/>
              <w:spacing w:after="0" w:line="162" w:lineRule="exact"/>
              <w:rPr>
                <w:sz w:val="20"/>
                <w:szCs w:val="20"/>
                <w:color w:val="auto"/>
              </w:rPr>
            </w:pPr>
            <w:r>
              <w:rPr>
                <w:rFonts w:ascii="Arial" w:cs="Arial" w:eastAsia="Arial" w:hAnsi="Arial"/>
                <w:sz w:val="15"/>
                <w:szCs w:val="15"/>
                <w:color w:val="auto"/>
              </w:rPr>
              <w:t>-2.3%</w:t>
            </w:r>
          </w:p>
        </w:tc>
        <w:tc>
          <w:tcPr>
            <w:tcW w:w="1320" w:type="dxa"/>
            <w:vAlign w:val="bottom"/>
            <w:tcBorders>
              <w:right w:val="single" w:sz="8" w:color="auto"/>
            </w:tcBorders>
          </w:tcPr>
          <w:p>
            <w:pPr>
              <w:jc w:val="center"/>
              <w:ind w:left="124"/>
              <w:spacing w:after="0" w:line="162" w:lineRule="exact"/>
              <w:rPr>
                <w:sz w:val="20"/>
                <w:szCs w:val="20"/>
                <w:color w:val="auto"/>
              </w:rPr>
            </w:pPr>
            <w:r>
              <w:rPr>
                <w:rFonts w:ascii="Arial" w:cs="Arial" w:eastAsia="Arial" w:hAnsi="Arial"/>
                <w:sz w:val="15"/>
                <w:szCs w:val="15"/>
                <w:color w:val="auto"/>
              </w:rPr>
              <w:t>-0.5%</w:t>
            </w:r>
          </w:p>
        </w:tc>
      </w:tr>
      <w:tr>
        <w:trPr>
          <w:trHeight w:val="162"/>
        </w:trPr>
        <w:tc>
          <w:tcPr>
            <w:tcW w:w="5100" w:type="dxa"/>
            <w:vAlign w:val="bottom"/>
            <w:tcBorders>
              <w:left w:val="single" w:sz="8" w:color="auto"/>
              <w:right w:val="single" w:sz="8" w:color="auto"/>
            </w:tcBorders>
          </w:tcPr>
          <w:p>
            <w:pPr>
              <w:ind w:left="180"/>
              <w:spacing w:after="0" w:line="162" w:lineRule="exact"/>
              <w:rPr>
                <w:sz w:val="20"/>
                <w:szCs w:val="20"/>
                <w:color w:val="auto"/>
              </w:rPr>
            </w:pPr>
            <w:r>
              <w:rPr>
                <w:rFonts w:ascii="Arial" w:cs="Arial" w:eastAsia="Arial" w:hAnsi="Arial"/>
                <w:sz w:val="15"/>
                <w:szCs w:val="15"/>
                <w:color w:val="auto"/>
              </w:rPr>
              <w:t>Dividends on investments</w:t>
            </w:r>
          </w:p>
        </w:tc>
        <w:tc>
          <w:tcPr>
            <w:tcW w:w="1360" w:type="dxa"/>
            <w:vAlign w:val="bottom"/>
          </w:tcPr>
          <w:p>
            <w:pPr>
              <w:jc w:val="center"/>
              <w:spacing w:after="0" w:line="162" w:lineRule="exact"/>
              <w:rPr>
                <w:sz w:val="20"/>
                <w:szCs w:val="20"/>
                <w:color w:val="auto"/>
              </w:rPr>
            </w:pPr>
            <w:r>
              <w:rPr>
                <w:rFonts w:ascii="Arial" w:cs="Arial" w:eastAsia="Arial" w:hAnsi="Arial"/>
                <w:sz w:val="15"/>
                <w:szCs w:val="15"/>
                <w:color w:val="auto"/>
              </w:rPr>
              <w:t>10,861</w:t>
            </w:r>
          </w:p>
        </w:tc>
        <w:tc>
          <w:tcPr>
            <w:tcW w:w="1300" w:type="dxa"/>
            <w:vAlign w:val="bottom"/>
          </w:tcPr>
          <w:p>
            <w:pPr>
              <w:jc w:val="center"/>
              <w:spacing w:after="0" w:line="162" w:lineRule="exact"/>
              <w:rPr>
                <w:sz w:val="20"/>
                <w:szCs w:val="20"/>
                <w:color w:val="auto"/>
              </w:rPr>
            </w:pPr>
            <w:r>
              <w:rPr>
                <w:rFonts w:ascii="Arial" w:cs="Arial" w:eastAsia="Arial" w:hAnsi="Arial"/>
                <w:sz w:val="15"/>
                <w:szCs w:val="15"/>
                <w:color w:val="auto"/>
              </w:rPr>
              <w:t>15,285</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25,109</w:t>
            </w:r>
          </w:p>
        </w:tc>
        <w:tc>
          <w:tcPr>
            <w:tcW w:w="860" w:type="dxa"/>
            <w:vAlign w:val="bottom"/>
          </w:tcPr>
          <w:p>
            <w:pPr>
              <w:jc w:val="center"/>
              <w:ind w:left="124"/>
              <w:spacing w:after="0" w:line="162" w:lineRule="exact"/>
              <w:rPr>
                <w:sz w:val="20"/>
                <w:szCs w:val="20"/>
                <w:color w:val="auto"/>
              </w:rPr>
            </w:pPr>
            <w:r>
              <w:rPr>
                <w:rFonts w:ascii="Arial" w:cs="Arial" w:eastAsia="Arial" w:hAnsi="Arial"/>
                <w:sz w:val="15"/>
                <w:szCs w:val="15"/>
                <w:color w:val="auto"/>
                <w:w w:val="98"/>
              </w:rPr>
              <w:t>64.3%</w:t>
            </w:r>
          </w:p>
        </w:tc>
        <w:tc>
          <w:tcPr>
            <w:tcW w:w="1320" w:type="dxa"/>
            <w:vAlign w:val="bottom"/>
            <w:tcBorders>
              <w:right w:val="single" w:sz="8" w:color="auto"/>
            </w:tcBorders>
          </w:tcPr>
          <w:p>
            <w:pPr>
              <w:jc w:val="center"/>
              <w:ind w:left="124"/>
              <w:spacing w:after="0" w:line="162" w:lineRule="exact"/>
              <w:rPr>
                <w:sz w:val="20"/>
                <w:szCs w:val="20"/>
                <w:color w:val="auto"/>
              </w:rPr>
            </w:pPr>
            <w:r>
              <w:rPr>
                <w:rFonts w:ascii="Arial" w:cs="Arial" w:eastAsia="Arial" w:hAnsi="Arial"/>
                <w:sz w:val="15"/>
                <w:szCs w:val="15"/>
                <w:color w:val="auto"/>
              </w:rPr>
              <w:t>131.2%</w:t>
            </w:r>
          </w:p>
        </w:tc>
      </w:tr>
      <w:tr>
        <w:trPr>
          <w:trHeight w:val="162"/>
        </w:trPr>
        <w:tc>
          <w:tcPr>
            <w:tcW w:w="5100" w:type="dxa"/>
            <w:vAlign w:val="bottom"/>
            <w:tcBorders>
              <w:left w:val="single" w:sz="8" w:color="auto"/>
              <w:right w:val="single" w:sz="8" w:color="auto"/>
            </w:tcBorders>
          </w:tcPr>
          <w:p>
            <w:pPr>
              <w:ind w:left="180"/>
              <w:spacing w:after="0" w:line="162" w:lineRule="exact"/>
              <w:rPr>
                <w:sz w:val="20"/>
                <w:szCs w:val="20"/>
                <w:color w:val="auto"/>
              </w:rPr>
            </w:pPr>
            <w:r>
              <w:rPr>
                <w:rFonts w:ascii="Arial" w:cs="Arial" w:eastAsia="Arial" w:hAnsi="Arial"/>
                <w:sz w:val="15"/>
                <w:szCs w:val="15"/>
                <w:color w:val="auto"/>
              </w:rPr>
              <w:t>Interest on deposits with banks</w:t>
            </w:r>
          </w:p>
        </w:tc>
        <w:tc>
          <w:tcPr>
            <w:tcW w:w="1360" w:type="dxa"/>
            <w:vAlign w:val="bottom"/>
          </w:tcPr>
          <w:p>
            <w:pPr>
              <w:jc w:val="center"/>
              <w:spacing w:after="0" w:line="162" w:lineRule="exact"/>
              <w:rPr>
                <w:sz w:val="20"/>
                <w:szCs w:val="20"/>
                <w:color w:val="auto"/>
              </w:rPr>
            </w:pPr>
            <w:r>
              <w:rPr>
                <w:rFonts w:ascii="Arial" w:cs="Arial" w:eastAsia="Arial" w:hAnsi="Arial"/>
                <w:sz w:val="15"/>
                <w:szCs w:val="15"/>
                <w:color w:val="auto"/>
                <w:w w:val="99"/>
              </w:rPr>
              <w:t>334,459</w:t>
            </w:r>
          </w:p>
        </w:tc>
        <w:tc>
          <w:tcPr>
            <w:tcW w:w="1300" w:type="dxa"/>
            <w:vAlign w:val="bottom"/>
          </w:tcPr>
          <w:p>
            <w:pPr>
              <w:jc w:val="center"/>
              <w:spacing w:after="0" w:line="162" w:lineRule="exact"/>
              <w:rPr>
                <w:sz w:val="20"/>
                <w:szCs w:val="20"/>
                <w:color w:val="auto"/>
              </w:rPr>
            </w:pPr>
            <w:r>
              <w:rPr>
                <w:rFonts w:ascii="Arial" w:cs="Arial" w:eastAsia="Arial" w:hAnsi="Arial"/>
                <w:sz w:val="15"/>
                <w:szCs w:val="15"/>
                <w:color w:val="auto"/>
              </w:rPr>
              <w:t>386,205</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344,622</w:t>
            </w:r>
          </w:p>
        </w:tc>
        <w:tc>
          <w:tcPr>
            <w:tcW w:w="860" w:type="dxa"/>
            <w:vAlign w:val="bottom"/>
          </w:tcPr>
          <w:p>
            <w:pPr>
              <w:jc w:val="center"/>
              <w:ind w:left="144"/>
              <w:spacing w:after="0" w:line="162" w:lineRule="exact"/>
              <w:rPr>
                <w:sz w:val="20"/>
                <w:szCs w:val="20"/>
                <w:color w:val="auto"/>
              </w:rPr>
            </w:pPr>
            <w:r>
              <w:rPr>
                <w:rFonts w:ascii="Arial" w:cs="Arial" w:eastAsia="Arial" w:hAnsi="Arial"/>
                <w:sz w:val="15"/>
                <w:szCs w:val="15"/>
                <w:color w:val="auto"/>
              </w:rPr>
              <w:t>-10.8%</w:t>
            </w:r>
          </w:p>
        </w:tc>
        <w:tc>
          <w:tcPr>
            <w:tcW w:w="1320" w:type="dxa"/>
            <w:vAlign w:val="bottom"/>
            <w:tcBorders>
              <w:right w:val="single" w:sz="8" w:color="auto"/>
            </w:tcBorders>
          </w:tcPr>
          <w:p>
            <w:pPr>
              <w:jc w:val="center"/>
              <w:ind w:left="124"/>
              <w:spacing w:after="0" w:line="162" w:lineRule="exact"/>
              <w:rPr>
                <w:sz w:val="20"/>
                <w:szCs w:val="20"/>
                <w:color w:val="auto"/>
              </w:rPr>
            </w:pPr>
            <w:r>
              <w:rPr>
                <w:rFonts w:ascii="Arial" w:cs="Arial" w:eastAsia="Arial" w:hAnsi="Arial"/>
                <w:sz w:val="15"/>
                <w:szCs w:val="15"/>
                <w:color w:val="auto"/>
              </w:rPr>
              <w:t>3.0%</w:t>
            </w:r>
          </w:p>
        </w:tc>
      </w:tr>
      <w:tr>
        <w:trPr>
          <w:trHeight w:val="162"/>
        </w:trPr>
        <w:tc>
          <w:tcPr>
            <w:tcW w:w="5100" w:type="dxa"/>
            <w:vAlign w:val="bottom"/>
            <w:tcBorders>
              <w:left w:val="single" w:sz="8" w:color="auto"/>
              <w:right w:val="single" w:sz="8" w:color="auto"/>
            </w:tcBorders>
          </w:tcPr>
          <w:p>
            <w:pPr>
              <w:ind w:left="180"/>
              <w:spacing w:after="0" w:line="162" w:lineRule="exact"/>
              <w:rPr>
                <w:sz w:val="20"/>
                <w:szCs w:val="20"/>
                <w:color w:val="auto"/>
              </w:rPr>
            </w:pPr>
            <w:r>
              <w:rPr>
                <w:rFonts w:ascii="Arial" w:cs="Arial" w:eastAsia="Arial" w:hAnsi="Arial"/>
                <w:sz w:val="15"/>
                <w:szCs w:val="15"/>
                <w:color w:val="auto"/>
              </w:rPr>
              <w:t>Interest on securities</w:t>
            </w:r>
          </w:p>
        </w:tc>
        <w:tc>
          <w:tcPr>
            <w:tcW w:w="1360" w:type="dxa"/>
            <w:vAlign w:val="bottom"/>
          </w:tcPr>
          <w:p>
            <w:pPr>
              <w:jc w:val="center"/>
              <w:spacing w:after="0" w:line="162" w:lineRule="exact"/>
              <w:rPr>
                <w:sz w:val="20"/>
                <w:szCs w:val="20"/>
                <w:color w:val="auto"/>
              </w:rPr>
            </w:pPr>
            <w:r>
              <w:rPr>
                <w:rFonts w:ascii="Arial" w:cs="Arial" w:eastAsia="Arial" w:hAnsi="Arial"/>
                <w:sz w:val="15"/>
                <w:szCs w:val="15"/>
                <w:color w:val="auto"/>
                <w:w w:val="99"/>
              </w:rPr>
              <w:t>683,075</w:t>
            </w:r>
          </w:p>
        </w:tc>
        <w:tc>
          <w:tcPr>
            <w:tcW w:w="1300" w:type="dxa"/>
            <w:vAlign w:val="bottom"/>
          </w:tcPr>
          <w:p>
            <w:pPr>
              <w:jc w:val="center"/>
              <w:spacing w:after="0" w:line="162" w:lineRule="exact"/>
              <w:rPr>
                <w:sz w:val="20"/>
                <w:szCs w:val="20"/>
                <w:color w:val="auto"/>
              </w:rPr>
            </w:pPr>
            <w:r>
              <w:rPr>
                <w:rFonts w:ascii="Arial" w:cs="Arial" w:eastAsia="Arial" w:hAnsi="Arial"/>
                <w:sz w:val="15"/>
                <w:szCs w:val="15"/>
                <w:color w:val="auto"/>
              </w:rPr>
              <w:t>652,155</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657,872</w:t>
            </w:r>
          </w:p>
        </w:tc>
        <w:tc>
          <w:tcPr>
            <w:tcW w:w="860" w:type="dxa"/>
            <w:vAlign w:val="bottom"/>
          </w:tcPr>
          <w:p>
            <w:pPr>
              <w:jc w:val="center"/>
              <w:ind w:left="124"/>
              <w:spacing w:after="0" w:line="162" w:lineRule="exact"/>
              <w:rPr>
                <w:sz w:val="20"/>
                <w:szCs w:val="20"/>
                <w:color w:val="auto"/>
              </w:rPr>
            </w:pPr>
            <w:r>
              <w:rPr>
                <w:rFonts w:ascii="Arial" w:cs="Arial" w:eastAsia="Arial" w:hAnsi="Arial"/>
                <w:sz w:val="15"/>
                <w:szCs w:val="15"/>
                <w:color w:val="auto"/>
                <w:w w:val="99"/>
              </w:rPr>
              <w:t>0.9%</w:t>
            </w:r>
          </w:p>
        </w:tc>
        <w:tc>
          <w:tcPr>
            <w:tcW w:w="1320" w:type="dxa"/>
            <w:vAlign w:val="bottom"/>
            <w:tcBorders>
              <w:right w:val="single" w:sz="8" w:color="auto"/>
            </w:tcBorders>
          </w:tcPr>
          <w:p>
            <w:pPr>
              <w:jc w:val="center"/>
              <w:ind w:left="124"/>
              <w:spacing w:after="0" w:line="162" w:lineRule="exact"/>
              <w:rPr>
                <w:sz w:val="20"/>
                <w:szCs w:val="20"/>
                <w:color w:val="auto"/>
              </w:rPr>
            </w:pPr>
            <w:r>
              <w:rPr>
                <w:rFonts w:ascii="Arial" w:cs="Arial" w:eastAsia="Arial" w:hAnsi="Arial"/>
                <w:sz w:val="15"/>
                <w:szCs w:val="15"/>
                <w:color w:val="auto"/>
              </w:rPr>
              <w:t>-3.7%</w:t>
            </w:r>
          </w:p>
        </w:tc>
      </w:tr>
      <w:tr>
        <w:trPr>
          <w:trHeight w:val="160"/>
        </w:trPr>
        <w:tc>
          <w:tcPr>
            <w:tcW w:w="5100" w:type="dxa"/>
            <w:vAlign w:val="bottom"/>
            <w:tcBorders>
              <w:left w:val="single" w:sz="8" w:color="auto"/>
              <w:right w:val="single" w:sz="8" w:color="auto"/>
            </w:tcBorders>
          </w:tcPr>
          <w:p>
            <w:pPr>
              <w:ind w:left="180"/>
              <w:spacing w:after="0" w:line="160" w:lineRule="exact"/>
              <w:rPr>
                <w:sz w:val="20"/>
                <w:szCs w:val="20"/>
                <w:color w:val="auto"/>
              </w:rPr>
            </w:pPr>
            <w:r>
              <w:rPr>
                <w:rFonts w:ascii="Arial" w:cs="Arial" w:eastAsia="Arial" w:hAnsi="Arial"/>
                <w:sz w:val="15"/>
                <w:szCs w:val="15"/>
                <w:color w:val="auto"/>
              </w:rPr>
              <w:t>Other interest income</w:t>
            </w:r>
          </w:p>
        </w:tc>
        <w:tc>
          <w:tcPr>
            <w:tcW w:w="1360" w:type="dxa"/>
            <w:vAlign w:val="bottom"/>
          </w:tcPr>
          <w:p>
            <w:pPr>
              <w:jc w:val="center"/>
              <w:spacing w:after="0" w:line="160" w:lineRule="exact"/>
              <w:rPr>
                <w:sz w:val="20"/>
                <w:szCs w:val="20"/>
                <w:color w:val="auto"/>
              </w:rPr>
            </w:pPr>
            <w:r>
              <w:rPr>
                <w:rFonts w:ascii="Arial" w:cs="Arial" w:eastAsia="Arial" w:hAnsi="Arial"/>
                <w:sz w:val="15"/>
                <w:szCs w:val="15"/>
                <w:color w:val="auto"/>
              </w:rPr>
              <w:t>28,739</w:t>
            </w:r>
          </w:p>
        </w:tc>
        <w:tc>
          <w:tcPr>
            <w:tcW w:w="1300" w:type="dxa"/>
            <w:vAlign w:val="bottom"/>
          </w:tcPr>
          <w:p>
            <w:pPr>
              <w:jc w:val="center"/>
              <w:spacing w:after="0" w:line="160" w:lineRule="exact"/>
              <w:rPr>
                <w:sz w:val="20"/>
                <w:szCs w:val="20"/>
                <w:color w:val="auto"/>
              </w:rPr>
            </w:pPr>
            <w:r>
              <w:rPr>
                <w:rFonts w:ascii="Arial" w:cs="Arial" w:eastAsia="Arial" w:hAnsi="Arial"/>
                <w:sz w:val="15"/>
                <w:szCs w:val="15"/>
                <w:color w:val="auto"/>
              </w:rPr>
              <w:t>18,474</w:t>
            </w:r>
          </w:p>
        </w:tc>
        <w:tc>
          <w:tcPr>
            <w:tcW w:w="13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5"/>
                <w:szCs w:val="15"/>
                <w:color w:val="auto"/>
              </w:rPr>
              <w:t>19,547</w:t>
            </w:r>
          </w:p>
        </w:tc>
        <w:tc>
          <w:tcPr>
            <w:tcW w:w="860" w:type="dxa"/>
            <w:vAlign w:val="bottom"/>
          </w:tcPr>
          <w:p>
            <w:pPr>
              <w:jc w:val="center"/>
              <w:ind w:left="124"/>
              <w:spacing w:after="0" w:line="160" w:lineRule="exact"/>
              <w:rPr>
                <w:sz w:val="20"/>
                <w:szCs w:val="20"/>
                <w:color w:val="auto"/>
              </w:rPr>
            </w:pPr>
            <w:r>
              <w:rPr>
                <w:rFonts w:ascii="Arial" w:cs="Arial" w:eastAsia="Arial" w:hAnsi="Arial"/>
                <w:sz w:val="15"/>
                <w:szCs w:val="15"/>
                <w:color w:val="auto"/>
                <w:w w:val="99"/>
              </w:rPr>
              <w:t>5.8%</w:t>
            </w:r>
          </w:p>
        </w:tc>
        <w:tc>
          <w:tcPr>
            <w:tcW w:w="1320" w:type="dxa"/>
            <w:vAlign w:val="bottom"/>
            <w:tcBorders>
              <w:right w:val="single" w:sz="8" w:color="auto"/>
            </w:tcBorders>
          </w:tcPr>
          <w:p>
            <w:pPr>
              <w:jc w:val="center"/>
              <w:ind w:left="124"/>
              <w:spacing w:after="0" w:line="160" w:lineRule="exact"/>
              <w:rPr>
                <w:sz w:val="20"/>
                <w:szCs w:val="20"/>
                <w:color w:val="auto"/>
              </w:rPr>
            </w:pPr>
            <w:r>
              <w:rPr>
                <w:rFonts w:ascii="Arial" w:cs="Arial" w:eastAsia="Arial" w:hAnsi="Arial"/>
                <w:sz w:val="15"/>
                <w:szCs w:val="15"/>
                <w:color w:val="auto"/>
              </w:rPr>
              <w:t>-32.0%</w:t>
            </w:r>
          </w:p>
        </w:tc>
      </w:tr>
      <w:tr>
        <w:trPr>
          <w:trHeight w:val="162"/>
        </w:trPr>
        <w:tc>
          <w:tcPr>
            <w:tcW w:w="510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5"/>
                <w:szCs w:val="15"/>
                <w:b w:val="1"/>
                <w:bCs w:val="1"/>
                <w:color w:val="auto"/>
              </w:rPr>
              <w:t>Interest expense</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1,499,803</w:t>
            </w:r>
          </w:p>
        </w:tc>
        <w:tc>
          <w:tcPr>
            <w:tcW w:w="13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1,382,327</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rPr>
              <w:t>1,322,778</w:t>
            </w:r>
          </w:p>
        </w:tc>
        <w:tc>
          <w:tcPr>
            <w:tcW w:w="860" w:type="dxa"/>
            <w:vAlign w:val="bottom"/>
          </w:tcPr>
          <w:p>
            <w:pPr>
              <w:jc w:val="center"/>
              <w:ind w:left="144"/>
              <w:spacing w:after="0" w:line="162" w:lineRule="exact"/>
              <w:rPr>
                <w:sz w:val="20"/>
                <w:szCs w:val="20"/>
                <w:color w:val="auto"/>
              </w:rPr>
            </w:pPr>
            <w:r>
              <w:rPr>
                <w:rFonts w:ascii="Arial" w:cs="Arial" w:eastAsia="Arial" w:hAnsi="Arial"/>
                <w:sz w:val="15"/>
                <w:szCs w:val="15"/>
                <w:b w:val="1"/>
                <w:bCs w:val="1"/>
                <w:color w:val="auto"/>
              </w:rPr>
              <w:t>-4.3%</w:t>
            </w:r>
          </w:p>
        </w:tc>
        <w:tc>
          <w:tcPr>
            <w:tcW w:w="1320" w:type="dxa"/>
            <w:vAlign w:val="bottom"/>
            <w:tcBorders>
              <w:right w:val="single" w:sz="8" w:color="auto"/>
            </w:tcBorders>
          </w:tcPr>
          <w:p>
            <w:pPr>
              <w:jc w:val="center"/>
              <w:ind w:left="124"/>
              <w:spacing w:after="0" w:line="162" w:lineRule="exact"/>
              <w:rPr>
                <w:sz w:val="20"/>
                <w:szCs w:val="20"/>
                <w:color w:val="auto"/>
              </w:rPr>
            </w:pPr>
            <w:r>
              <w:rPr>
                <w:rFonts w:ascii="Arial" w:cs="Arial" w:eastAsia="Arial" w:hAnsi="Arial"/>
                <w:sz w:val="15"/>
                <w:szCs w:val="15"/>
                <w:b w:val="1"/>
                <w:bCs w:val="1"/>
                <w:color w:val="auto"/>
              </w:rPr>
              <w:t>-11.8%</w:t>
            </w:r>
          </w:p>
        </w:tc>
      </w:tr>
      <w:tr>
        <w:trPr>
          <w:trHeight w:val="164"/>
        </w:trPr>
        <w:tc>
          <w:tcPr>
            <w:tcW w:w="510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5"/>
                <w:szCs w:val="15"/>
                <w:b w:val="1"/>
                <w:bCs w:val="1"/>
                <w:color w:val="auto"/>
              </w:rPr>
              <w:t>Interest expense (excluding Net Insurance Financial Expenses)</w:t>
            </w:r>
          </w:p>
        </w:tc>
        <w:tc>
          <w:tcPr>
            <w:tcW w:w="1360" w:type="dxa"/>
            <w:vAlign w:val="bottom"/>
          </w:tcPr>
          <w:p>
            <w:pPr>
              <w:jc w:val="center"/>
              <w:spacing w:after="0" w:line="164" w:lineRule="exact"/>
              <w:rPr>
                <w:sz w:val="20"/>
                <w:szCs w:val="20"/>
                <w:color w:val="auto"/>
              </w:rPr>
            </w:pPr>
            <w:r>
              <w:rPr>
                <w:rFonts w:ascii="Arial" w:cs="Arial" w:eastAsia="Arial" w:hAnsi="Arial"/>
                <w:sz w:val="15"/>
                <w:szCs w:val="15"/>
                <w:b w:val="1"/>
                <w:bCs w:val="1"/>
                <w:color w:val="auto"/>
              </w:rPr>
              <w:t>1,377,799</w:t>
            </w:r>
          </w:p>
        </w:tc>
        <w:tc>
          <w:tcPr>
            <w:tcW w:w="1300" w:type="dxa"/>
            <w:vAlign w:val="bottom"/>
          </w:tcPr>
          <w:p>
            <w:pPr>
              <w:jc w:val="center"/>
              <w:spacing w:after="0" w:line="164" w:lineRule="exact"/>
              <w:rPr>
                <w:sz w:val="20"/>
                <w:szCs w:val="20"/>
                <w:color w:val="auto"/>
              </w:rPr>
            </w:pPr>
            <w:r>
              <w:rPr>
                <w:rFonts w:ascii="Arial" w:cs="Arial" w:eastAsia="Arial" w:hAnsi="Arial"/>
                <w:sz w:val="15"/>
                <w:szCs w:val="15"/>
                <w:b w:val="1"/>
                <w:bCs w:val="1"/>
                <w:color w:val="auto"/>
              </w:rPr>
              <w:t>1,250,239</w:t>
            </w:r>
          </w:p>
        </w:tc>
        <w:tc>
          <w:tcPr>
            <w:tcW w:w="13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b w:val="1"/>
                <w:bCs w:val="1"/>
                <w:color w:val="auto"/>
              </w:rPr>
              <w:t>1,187,156</w:t>
            </w:r>
          </w:p>
        </w:tc>
        <w:tc>
          <w:tcPr>
            <w:tcW w:w="860" w:type="dxa"/>
            <w:vAlign w:val="bottom"/>
          </w:tcPr>
          <w:p>
            <w:pPr>
              <w:jc w:val="center"/>
              <w:ind w:left="144"/>
              <w:spacing w:after="0" w:line="164" w:lineRule="exact"/>
              <w:rPr>
                <w:sz w:val="20"/>
                <w:szCs w:val="20"/>
                <w:color w:val="auto"/>
              </w:rPr>
            </w:pPr>
            <w:r>
              <w:rPr>
                <w:rFonts w:ascii="Arial" w:cs="Arial" w:eastAsia="Arial" w:hAnsi="Arial"/>
                <w:sz w:val="15"/>
                <w:szCs w:val="15"/>
                <w:b w:val="1"/>
                <w:bCs w:val="1"/>
                <w:color w:val="auto"/>
              </w:rPr>
              <w:t>-5.0%</w:t>
            </w:r>
          </w:p>
        </w:tc>
        <w:tc>
          <w:tcPr>
            <w:tcW w:w="1320" w:type="dxa"/>
            <w:vAlign w:val="bottom"/>
            <w:tcBorders>
              <w:right w:val="single" w:sz="8" w:color="auto"/>
            </w:tcBorders>
          </w:tcPr>
          <w:p>
            <w:pPr>
              <w:jc w:val="center"/>
              <w:ind w:left="124"/>
              <w:spacing w:after="0" w:line="164" w:lineRule="exact"/>
              <w:rPr>
                <w:sz w:val="20"/>
                <w:szCs w:val="20"/>
                <w:color w:val="auto"/>
              </w:rPr>
            </w:pPr>
            <w:r>
              <w:rPr>
                <w:rFonts w:ascii="Arial" w:cs="Arial" w:eastAsia="Arial" w:hAnsi="Arial"/>
                <w:sz w:val="15"/>
                <w:szCs w:val="15"/>
                <w:b w:val="1"/>
                <w:bCs w:val="1"/>
                <w:color w:val="auto"/>
              </w:rPr>
              <w:t>-13.8%</w:t>
            </w:r>
          </w:p>
        </w:tc>
      </w:tr>
      <w:tr>
        <w:trPr>
          <w:trHeight w:val="162"/>
        </w:trPr>
        <w:tc>
          <w:tcPr>
            <w:tcW w:w="5100" w:type="dxa"/>
            <w:vAlign w:val="bottom"/>
            <w:tcBorders>
              <w:left w:val="single" w:sz="8" w:color="auto"/>
              <w:right w:val="single" w:sz="8" w:color="auto"/>
            </w:tcBorders>
          </w:tcPr>
          <w:p>
            <w:pPr>
              <w:ind w:left="180"/>
              <w:spacing w:after="0" w:line="162" w:lineRule="exact"/>
              <w:rPr>
                <w:sz w:val="20"/>
                <w:szCs w:val="20"/>
                <w:color w:val="auto"/>
              </w:rPr>
            </w:pPr>
            <w:r>
              <w:rPr>
                <w:rFonts w:ascii="Arial" w:cs="Arial" w:eastAsia="Arial" w:hAnsi="Arial"/>
                <w:sz w:val="15"/>
                <w:szCs w:val="15"/>
                <w:color w:val="auto"/>
              </w:rPr>
              <w:t>Interest on deposits</w:t>
            </w:r>
          </w:p>
        </w:tc>
        <w:tc>
          <w:tcPr>
            <w:tcW w:w="1360" w:type="dxa"/>
            <w:vAlign w:val="bottom"/>
          </w:tcPr>
          <w:p>
            <w:pPr>
              <w:jc w:val="center"/>
              <w:spacing w:after="0" w:line="162" w:lineRule="exact"/>
              <w:rPr>
                <w:sz w:val="20"/>
                <w:szCs w:val="20"/>
                <w:color w:val="auto"/>
              </w:rPr>
            </w:pPr>
            <w:r>
              <w:rPr>
                <w:rFonts w:ascii="Arial" w:cs="Arial" w:eastAsia="Arial" w:hAnsi="Arial"/>
                <w:sz w:val="15"/>
                <w:szCs w:val="15"/>
                <w:color w:val="auto"/>
                <w:w w:val="99"/>
              </w:rPr>
              <w:t>779,526</w:t>
            </w:r>
          </w:p>
        </w:tc>
        <w:tc>
          <w:tcPr>
            <w:tcW w:w="1300" w:type="dxa"/>
            <w:vAlign w:val="bottom"/>
          </w:tcPr>
          <w:p>
            <w:pPr>
              <w:jc w:val="center"/>
              <w:spacing w:after="0" w:line="162" w:lineRule="exact"/>
              <w:rPr>
                <w:sz w:val="20"/>
                <w:szCs w:val="20"/>
                <w:color w:val="auto"/>
              </w:rPr>
            </w:pPr>
            <w:r>
              <w:rPr>
                <w:rFonts w:ascii="Arial" w:cs="Arial" w:eastAsia="Arial" w:hAnsi="Arial"/>
                <w:sz w:val="15"/>
                <w:szCs w:val="15"/>
                <w:color w:val="auto"/>
              </w:rPr>
              <w:t>655,429</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619,613</w:t>
            </w:r>
          </w:p>
        </w:tc>
        <w:tc>
          <w:tcPr>
            <w:tcW w:w="860" w:type="dxa"/>
            <w:vAlign w:val="bottom"/>
          </w:tcPr>
          <w:p>
            <w:pPr>
              <w:jc w:val="center"/>
              <w:ind w:left="144"/>
              <w:spacing w:after="0" w:line="162" w:lineRule="exact"/>
              <w:rPr>
                <w:sz w:val="20"/>
                <w:szCs w:val="20"/>
                <w:color w:val="auto"/>
              </w:rPr>
            </w:pPr>
            <w:r>
              <w:rPr>
                <w:rFonts w:ascii="Arial" w:cs="Arial" w:eastAsia="Arial" w:hAnsi="Arial"/>
                <w:sz w:val="15"/>
                <w:szCs w:val="15"/>
                <w:color w:val="auto"/>
              </w:rPr>
              <w:t>-5.5%</w:t>
            </w:r>
          </w:p>
        </w:tc>
        <w:tc>
          <w:tcPr>
            <w:tcW w:w="1320" w:type="dxa"/>
            <w:vAlign w:val="bottom"/>
            <w:tcBorders>
              <w:right w:val="single" w:sz="8" w:color="auto"/>
            </w:tcBorders>
          </w:tcPr>
          <w:p>
            <w:pPr>
              <w:jc w:val="center"/>
              <w:ind w:left="124"/>
              <w:spacing w:after="0" w:line="162" w:lineRule="exact"/>
              <w:rPr>
                <w:sz w:val="20"/>
                <w:szCs w:val="20"/>
                <w:color w:val="auto"/>
              </w:rPr>
            </w:pPr>
            <w:r>
              <w:rPr>
                <w:rFonts w:ascii="Arial" w:cs="Arial" w:eastAsia="Arial" w:hAnsi="Arial"/>
                <w:sz w:val="15"/>
                <w:szCs w:val="15"/>
                <w:color w:val="auto"/>
              </w:rPr>
              <w:t>-20.5%</w:t>
            </w:r>
          </w:p>
        </w:tc>
      </w:tr>
      <w:tr>
        <w:trPr>
          <w:trHeight w:val="162"/>
        </w:trPr>
        <w:tc>
          <w:tcPr>
            <w:tcW w:w="5100" w:type="dxa"/>
            <w:vAlign w:val="bottom"/>
            <w:tcBorders>
              <w:left w:val="single" w:sz="8" w:color="auto"/>
              <w:right w:val="single" w:sz="8" w:color="auto"/>
            </w:tcBorders>
          </w:tcPr>
          <w:p>
            <w:pPr>
              <w:ind w:left="180"/>
              <w:spacing w:after="0" w:line="162" w:lineRule="exact"/>
              <w:rPr>
                <w:sz w:val="20"/>
                <w:szCs w:val="20"/>
                <w:color w:val="auto"/>
              </w:rPr>
            </w:pPr>
            <w:r>
              <w:rPr>
                <w:rFonts w:ascii="Arial" w:cs="Arial" w:eastAsia="Arial" w:hAnsi="Arial"/>
                <w:sz w:val="15"/>
                <w:szCs w:val="15"/>
                <w:color w:val="auto"/>
              </w:rPr>
              <w:t>Interest on borrowed funds</w:t>
            </w:r>
          </w:p>
        </w:tc>
        <w:tc>
          <w:tcPr>
            <w:tcW w:w="1360" w:type="dxa"/>
            <w:vAlign w:val="bottom"/>
          </w:tcPr>
          <w:p>
            <w:pPr>
              <w:jc w:val="center"/>
              <w:spacing w:after="0" w:line="162" w:lineRule="exact"/>
              <w:rPr>
                <w:sz w:val="20"/>
                <w:szCs w:val="20"/>
                <w:color w:val="auto"/>
              </w:rPr>
            </w:pPr>
            <w:r>
              <w:rPr>
                <w:rFonts w:ascii="Arial" w:cs="Arial" w:eastAsia="Arial" w:hAnsi="Arial"/>
                <w:sz w:val="15"/>
                <w:szCs w:val="15"/>
                <w:color w:val="auto"/>
                <w:w w:val="99"/>
              </w:rPr>
              <w:t>264,884</w:t>
            </w:r>
          </w:p>
        </w:tc>
        <w:tc>
          <w:tcPr>
            <w:tcW w:w="1300" w:type="dxa"/>
            <w:vAlign w:val="bottom"/>
          </w:tcPr>
          <w:p>
            <w:pPr>
              <w:jc w:val="center"/>
              <w:spacing w:after="0" w:line="162" w:lineRule="exact"/>
              <w:rPr>
                <w:sz w:val="20"/>
                <w:szCs w:val="20"/>
                <w:color w:val="auto"/>
              </w:rPr>
            </w:pPr>
            <w:r>
              <w:rPr>
                <w:rFonts w:ascii="Arial" w:cs="Arial" w:eastAsia="Arial" w:hAnsi="Arial"/>
                <w:sz w:val="15"/>
                <w:szCs w:val="15"/>
                <w:color w:val="auto"/>
              </w:rPr>
              <w:t>286,638</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266,202</w:t>
            </w:r>
          </w:p>
        </w:tc>
        <w:tc>
          <w:tcPr>
            <w:tcW w:w="860" w:type="dxa"/>
            <w:vAlign w:val="bottom"/>
          </w:tcPr>
          <w:p>
            <w:pPr>
              <w:jc w:val="center"/>
              <w:ind w:left="144"/>
              <w:spacing w:after="0" w:line="162" w:lineRule="exact"/>
              <w:rPr>
                <w:sz w:val="20"/>
                <w:szCs w:val="20"/>
                <w:color w:val="auto"/>
              </w:rPr>
            </w:pPr>
            <w:r>
              <w:rPr>
                <w:rFonts w:ascii="Arial" w:cs="Arial" w:eastAsia="Arial" w:hAnsi="Arial"/>
                <w:sz w:val="15"/>
                <w:szCs w:val="15"/>
                <w:color w:val="auto"/>
              </w:rPr>
              <w:t>-7.1%</w:t>
            </w:r>
          </w:p>
        </w:tc>
        <w:tc>
          <w:tcPr>
            <w:tcW w:w="1320" w:type="dxa"/>
            <w:vAlign w:val="bottom"/>
            <w:tcBorders>
              <w:right w:val="single" w:sz="8" w:color="auto"/>
            </w:tcBorders>
          </w:tcPr>
          <w:p>
            <w:pPr>
              <w:jc w:val="center"/>
              <w:ind w:left="124"/>
              <w:spacing w:after="0" w:line="162" w:lineRule="exact"/>
              <w:rPr>
                <w:sz w:val="20"/>
                <w:szCs w:val="20"/>
                <w:color w:val="auto"/>
              </w:rPr>
            </w:pPr>
            <w:r>
              <w:rPr>
                <w:rFonts w:ascii="Arial" w:cs="Arial" w:eastAsia="Arial" w:hAnsi="Arial"/>
                <w:sz w:val="15"/>
                <w:szCs w:val="15"/>
                <w:color w:val="auto"/>
              </w:rPr>
              <w:t>0.5%</w:t>
            </w:r>
          </w:p>
        </w:tc>
      </w:tr>
      <w:tr>
        <w:trPr>
          <w:trHeight w:val="162"/>
        </w:trPr>
        <w:tc>
          <w:tcPr>
            <w:tcW w:w="5100" w:type="dxa"/>
            <w:vAlign w:val="bottom"/>
            <w:tcBorders>
              <w:left w:val="single" w:sz="8" w:color="auto"/>
              <w:right w:val="single" w:sz="8" w:color="auto"/>
            </w:tcBorders>
          </w:tcPr>
          <w:p>
            <w:pPr>
              <w:ind w:left="180"/>
              <w:spacing w:after="0" w:line="162" w:lineRule="exact"/>
              <w:rPr>
                <w:sz w:val="20"/>
                <w:szCs w:val="20"/>
                <w:color w:val="auto"/>
              </w:rPr>
            </w:pPr>
            <w:r>
              <w:rPr>
                <w:rFonts w:ascii="Arial" w:cs="Arial" w:eastAsia="Arial" w:hAnsi="Arial"/>
                <w:sz w:val="15"/>
                <w:szCs w:val="15"/>
                <w:color w:val="auto"/>
              </w:rPr>
              <w:t>Interest on bonds and subordinated notes</w:t>
            </w:r>
          </w:p>
        </w:tc>
        <w:tc>
          <w:tcPr>
            <w:tcW w:w="1360" w:type="dxa"/>
            <w:vAlign w:val="bottom"/>
          </w:tcPr>
          <w:p>
            <w:pPr>
              <w:jc w:val="center"/>
              <w:spacing w:after="0" w:line="162" w:lineRule="exact"/>
              <w:rPr>
                <w:sz w:val="20"/>
                <w:szCs w:val="20"/>
                <w:color w:val="auto"/>
              </w:rPr>
            </w:pPr>
            <w:r>
              <w:rPr>
                <w:rFonts w:ascii="Arial" w:cs="Arial" w:eastAsia="Arial" w:hAnsi="Arial"/>
                <w:sz w:val="15"/>
                <w:szCs w:val="15"/>
                <w:color w:val="auto"/>
                <w:w w:val="99"/>
              </w:rPr>
              <w:t>196,630</w:t>
            </w:r>
          </w:p>
        </w:tc>
        <w:tc>
          <w:tcPr>
            <w:tcW w:w="1300" w:type="dxa"/>
            <w:vAlign w:val="bottom"/>
          </w:tcPr>
          <w:p>
            <w:pPr>
              <w:jc w:val="center"/>
              <w:spacing w:after="0" w:line="162" w:lineRule="exact"/>
              <w:rPr>
                <w:sz w:val="20"/>
                <w:szCs w:val="20"/>
                <w:color w:val="auto"/>
              </w:rPr>
            </w:pPr>
            <w:r>
              <w:rPr>
                <w:rFonts w:ascii="Arial" w:cs="Arial" w:eastAsia="Arial" w:hAnsi="Arial"/>
                <w:sz w:val="15"/>
                <w:szCs w:val="15"/>
                <w:color w:val="auto"/>
              </w:rPr>
              <w:t>201,053</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168,024</w:t>
            </w:r>
          </w:p>
        </w:tc>
        <w:tc>
          <w:tcPr>
            <w:tcW w:w="860" w:type="dxa"/>
            <w:vAlign w:val="bottom"/>
          </w:tcPr>
          <w:p>
            <w:pPr>
              <w:jc w:val="center"/>
              <w:ind w:left="144"/>
              <w:spacing w:after="0" w:line="162" w:lineRule="exact"/>
              <w:rPr>
                <w:sz w:val="20"/>
                <w:szCs w:val="20"/>
                <w:color w:val="auto"/>
              </w:rPr>
            </w:pPr>
            <w:r>
              <w:rPr>
                <w:rFonts w:ascii="Arial" w:cs="Arial" w:eastAsia="Arial" w:hAnsi="Arial"/>
                <w:sz w:val="15"/>
                <w:szCs w:val="15"/>
                <w:color w:val="auto"/>
              </w:rPr>
              <w:t>-16.4%</w:t>
            </w:r>
          </w:p>
        </w:tc>
        <w:tc>
          <w:tcPr>
            <w:tcW w:w="1320" w:type="dxa"/>
            <w:vAlign w:val="bottom"/>
            <w:tcBorders>
              <w:right w:val="single" w:sz="8" w:color="auto"/>
            </w:tcBorders>
          </w:tcPr>
          <w:p>
            <w:pPr>
              <w:jc w:val="center"/>
              <w:ind w:left="124"/>
              <w:spacing w:after="0" w:line="162" w:lineRule="exact"/>
              <w:rPr>
                <w:sz w:val="20"/>
                <w:szCs w:val="20"/>
                <w:color w:val="auto"/>
              </w:rPr>
            </w:pPr>
            <w:r>
              <w:rPr>
                <w:rFonts w:ascii="Arial" w:cs="Arial" w:eastAsia="Arial" w:hAnsi="Arial"/>
                <w:sz w:val="15"/>
                <w:szCs w:val="15"/>
                <w:color w:val="auto"/>
              </w:rPr>
              <w:t>-14.5%</w:t>
            </w:r>
          </w:p>
        </w:tc>
      </w:tr>
      <w:tr>
        <w:trPr>
          <w:trHeight w:val="160"/>
        </w:trPr>
        <w:tc>
          <w:tcPr>
            <w:tcW w:w="5100" w:type="dxa"/>
            <w:vAlign w:val="bottom"/>
            <w:tcBorders>
              <w:left w:val="single" w:sz="8" w:color="auto"/>
              <w:right w:val="single" w:sz="8" w:color="auto"/>
            </w:tcBorders>
          </w:tcPr>
          <w:p>
            <w:pPr>
              <w:ind w:left="180"/>
              <w:spacing w:after="0" w:line="160" w:lineRule="exact"/>
              <w:rPr>
                <w:sz w:val="20"/>
                <w:szCs w:val="20"/>
                <w:color w:val="auto"/>
              </w:rPr>
            </w:pPr>
            <w:r>
              <w:rPr>
                <w:rFonts w:ascii="Arial" w:cs="Arial" w:eastAsia="Arial" w:hAnsi="Arial"/>
                <w:sz w:val="15"/>
                <w:szCs w:val="15"/>
                <w:color w:val="auto"/>
              </w:rPr>
              <w:t>Other interest expense</w:t>
            </w:r>
          </w:p>
        </w:tc>
        <w:tc>
          <w:tcPr>
            <w:tcW w:w="1360" w:type="dxa"/>
            <w:vAlign w:val="bottom"/>
          </w:tcPr>
          <w:p>
            <w:pPr>
              <w:jc w:val="center"/>
              <w:spacing w:after="0" w:line="160" w:lineRule="exact"/>
              <w:rPr>
                <w:sz w:val="20"/>
                <w:szCs w:val="20"/>
                <w:color w:val="auto"/>
              </w:rPr>
            </w:pPr>
            <w:r>
              <w:rPr>
                <w:rFonts w:ascii="Arial" w:cs="Arial" w:eastAsia="Arial" w:hAnsi="Arial"/>
                <w:sz w:val="15"/>
                <w:szCs w:val="15"/>
                <w:color w:val="auto"/>
                <w:w w:val="99"/>
              </w:rPr>
              <w:t>136,759</w:t>
            </w:r>
          </w:p>
        </w:tc>
        <w:tc>
          <w:tcPr>
            <w:tcW w:w="1300" w:type="dxa"/>
            <w:vAlign w:val="bottom"/>
          </w:tcPr>
          <w:p>
            <w:pPr>
              <w:jc w:val="center"/>
              <w:spacing w:after="0" w:line="160" w:lineRule="exact"/>
              <w:rPr>
                <w:sz w:val="20"/>
                <w:szCs w:val="20"/>
                <w:color w:val="auto"/>
              </w:rPr>
            </w:pPr>
            <w:r>
              <w:rPr>
                <w:rFonts w:ascii="Arial" w:cs="Arial" w:eastAsia="Arial" w:hAnsi="Arial"/>
                <w:sz w:val="15"/>
                <w:szCs w:val="15"/>
                <w:color w:val="auto"/>
                <w:w w:val="99"/>
              </w:rPr>
              <w:t>107,119</w:t>
            </w:r>
          </w:p>
        </w:tc>
        <w:tc>
          <w:tcPr>
            <w:tcW w:w="13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5"/>
                <w:szCs w:val="15"/>
                <w:color w:val="auto"/>
              </w:rPr>
              <w:t>133,317</w:t>
            </w:r>
          </w:p>
        </w:tc>
        <w:tc>
          <w:tcPr>
            <w:tcW w:w="860" w:type="dxa"/>
            <w:vAlign w:val="bottom"/>
          </w:tcPr>
          <w:p>
            <w:pPr>
              <w:jc w:val="center"/>
              <w:ind w:left="124"/>
              <w:spacing w:after="0" w:line="160" w:lineRule="exact"/>
              <w:rPr>
                <w:sz w:val="20"/>
                <w:szCs w:val="20"/>
                <w:color w:val="auto"/>
              </w:rPr>
            </w:pPr>
            <w:r>
              <w:rPr>
                <w:rFonts w:ascii="Arial" w:cs="Arial" w:eastAsia="Arial" w:hAnsi="Arial"/>
                <w:sz w:val="15"/>
                <w:szCs w:val="15"/>
                <w:color w:val="auto"/>
                <w:w w:val="98"/>
              </w:rPr>
              <w:t>24.5%</w:t>
            </w:r>
          </w:p>
        </w:tc>
        <w:tc>
          <w:tcPr>
            <w:tcW w:w="1320" w:type="dxa"/>
            <w:vAlign w:val="bottom"/>
            <w:tcBorders>
              <w:right w:val="single" w:sz="8" w:color="auto"/>
            </w:tcBorders>
          </w:tcPr>
          <w:p>
            <w:pPr>
              <w:jc w:val="center"/>
              <w:ind w:left="124"/>
              <w:spacing w:after="0" w:line="160" w:lineRule="exact"/>
              <w:rPr>
                <w:sz w:val="20"/>
                <w:szCs w:val="20"/>
                <w:color w:val="auto"/>
              </w:rPr>
            </w:pPr>
            <w:r>
              <w:rPr>
                <w:rFonts w:ascii="Arial" w:cs="Arial" w:eastAsia="Arial" w:hAnsi="Arial"/>
                <w:sz w:val="15"/>
                <w:szCs w:val="15"/>
                <w:color w:val="auto"/>
              </w:rPr>
              <w:t>-2.5%</w:t>
            </w:r>
          </w:p>
        </w:tc>
      </w:tr>
      <w:tr>
        <w:trPr>
          <w:trHeight w:val="181"/>
        </w:trPr>
        <w:tc>
          <w:tcPr>
            <w:tcW w:w="5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Net Insurance Financial Expenses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122,004</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132,088</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135,622</w:t>
            </w:r>
          </w:p>
        </w:tc>
        <w:tc>
          <w:tcPr>
            <w:tcW w:w="860" w:type="dxa"/>
            <w:vAlign w:val="bottom"/>
            <w:tcBorders>
              <w:bottom w:val="single" w:sz="8" w:color="auto"/>
            </w:tcBorders>
          </w:tcPr>
          <w:p>
            <w:pPr>
              <w:jc w:val="center"/>
              <w:ind w:left="124"/>
              <w:spacing w:after="0"/>
              <w:rPr>
                <w:sz w:val="20"/>
                <w:szCs w:val="20"/>
                <w:color w:val="auto"/>
              </w:rPr>
            </w:pPr>
            <w:r>
              <w:rPr>
                <w:rFonts w:ascii="Arial" w:cs="Arial" w:eastAsia="Arial" w:hAnsi="Arial"/>
                <w:sz w:val="15"/>
                <w:szCs w:val="15"/>
                <w:b w:val="1"/>
                <w:bCs w:val="1"/>
                <w:color w:val="auto"/>
                <w:w w:val="99"/>
              </w:rPr>
              <w:t>2.7%</w:t>
            </w:r>
          </w:p>
        </w:tc>
        <w:tc>
          <w:tcPr>
            <w:tcW w:w="1320" w:type="dxa"/>
            <w:vAlign w:val="bottom"/>
            <w:tcBorders>
              <w:bottom w:val="single" w:sz="8" w:color="auto"/>
              <w:right w:val="single" w:sz="8" w:color="auto"/>
            </w:tcBorders>
          </w:tcPr>
          <w:p>
            <w:pPr>
              <w:jc w:val="center"/>
              <w:ind w:left="124"/>
              <w:spacing w:after="0"/>
              <w:rPr>
                <w:sz w:val="20"/>
                <w:szCs w:val="20"/>
                <w:color w:val="auto"/>
              </w:rPr>
            </w:pPr>
            <w:r>
              <w:rPr>
                <w:rFonts w:ascii="Arial" w:cs="Arial" w:eastAsia="Arial" w:hAnsi="Arial"/>
                <w:sz w:val="15"/>
                <w:szCs w:val="15"/>
                <w:b w:val="1"/>
                <w:bCs w:val="1"/>
                <w:color w:val="auto"/>
              </w:rPr>
              <w:t>11.2%</w:t>
            </w:r>
          </w:p>
        </w:tc>
      </w:tr>
      <w:tr>
        <w:trPr>
          <w:trHeight w:val="156"/>
        </w:trPr>
        <w:tc>
          <w:tcPr>
            <w:tcW w:w="5100" w:type="dxa"/>
            <w:vAlign w:val="bottom"/>
            <w:tcBorders>
              <w:left w:val="single" w:sz="8" w:color="auto"/>
              <w:bottom w:val="single" w:sz="8" w:color="auto"/>
              <w:right w:val="single" w:sz="8" w:color="auto"/>
            </w:tcBorders>
          </w:tcPr>
          <w:p>
            <w:pPr>
              <w:ind w:left="20"/>
              <w:spacing w:after="0" w:line="156" w:lineRule="exact"/>
              <w:rPr>
                <w:sz w:val="20"/>
                <w:szCs w:val="20"/>
                <w:color w:val="auto"/>
              </w:rPr>
            </w:pPr>
            <w:r>
              <w:rPr>
                <w:rFonts w:ascii="Arial" w:cs="Arial" w:eastAsia="Arial" w:hAnsi="Arial"/>
                <w:sz w:val="15"/>
                <w:szCs w:val="15"/>
                <w:b w:val="1"/>
                <w:bCs w:val="1"/>
                <w:color w:val="auto"/>
              </w:rPr>
              <w:t>Net interest, similar income and expenses</w:t>
            </w:r>
          </w:p>
        </w:tc>
        <w:tc>
          <w:tcPr>
            <w:tcW w:w="13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3,426,123</w:t>
            </w:r>
          </w:p>
        </w:tc>
        <w:tc>
          <w:tcPr>
            <w:tcW w:w="130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3,629,794</w:t>
            </w:r>
          </w:p>
        </w:tc>
        <w:tc>
          <w:tcPr>
            <w:tcW w:w="13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3,572,012</w:t>
            </w:r>
          </w:p>
        </w:tc>
        <w:tc>
          <w:tcPr>
            <w:tcW w:w="860" w:type="dxa"/>
            <w:vAlign w:val="bottom"/>
            <w:tcBorders>
              <w:bottom w:val="single" w:sz="8" w:color="auto"/>
            </w:tcBorders>
          </w:tcPr>
          <w:p>
            <w:pPr>
              <w:jc w:val="center"/>
              <w:ind w:left="144"/>
              <w:spacing w:after="0" w:line="156" w:lineRule="exact"/>
              <w:rPr>
                <w:sz w:val="20"/>
                <w:szCs w:val="20"/>
                <w:color w:val="auto"/>
              </w:rPr>
            </w:pPr>
            <w:r>
              <w:rPr>
                <w:rFonts w:ascii="Arial" w:cs="Arial" w:eastAsia="Arial" w:hAnsi="Arial"/>
                <w:sz w:val="15"/>
                <w:szCs w:val="15"/>
                <w:b w:val="1"/>
                <w:bCs w:val="1"/>
                <w:color w:val="auto"/>
              </w:rPr>
              <w:t>-1.6%</w:t>
            </w:r>
          </w:p>
        </w:tc>
        <w:tc>
          <w:tcPr>
            <w:tcW w:w="1320" w:type="dxa"/>
            <w:vAlign w:val="bottom"/>
            <w:tcBorders>
              <w:bottom w:val="single" w:sz="8" w:color="auto"/>
              <w:right w:val="single" w:sz="8" w:color="auto"/>
            </w:tcBorders>
          </w:tcPr>
          <w:p>
            <w:pPr>
              <w:jc w:val="center"/>
              <w:ind w:left="124"/>
              <w:spacing w:after="0" w:line="156" w:lineRule="exact"/>
              <w:rPr>
                <w:sz w:val="20"/>
                <w:szCs w:val="20"/>
                <w:color w:val="auto"/>
              </w:rPr>
            </w:pPr>
            <w:r>
              <w:rPr>
                <w:rFonts w:ascii="Arial" w:cs="Arial" w:eastAsia="Arial" w:hAnsi="Arial"/>
                <w:sz w:val="15"/>
                <w:szCs w:val="15"/>
                <w:b w:val="1"/>
                <w:bCs w:val="1"/>
                <w:color w:val="auto"/>
              </w:rPr>
              <w:t>4.3%</w:t>
            </w:r>
          </w:p>
        </w:tc>
      </w:tr>
      <w:tr>
        <w:trPr>
          <w:trHeight w:val="156"/>
        </w:trPr>
        <w:tc>
          <w:tcPr>
            <w:tcW w:w="5100" w:type="dxa"/>
            <w:vAlign w:val="bottom"/>
            <w:tcBorders>
              <w:left w:val="single" w:sz="8" w:color="auto"/>
              <w:bottom w:val="single" w:sz="8" w:color="auto"/>
              <w:right w:val="single" w:sz="8" w:color="auto"/>
            </w:tcBorders>
          </w:tcPr>
          <w:p>
            <w:pPr>
              <w:ind w:left="20"/>
              <w:spacing w:after="0" w:line="156" w:lineRule="exact"/>
              <w:rPr>
                <w:sz w:val="20"/>
                <w:szCs w:val="20"/>
                <w:color w:val="auto"/>
              </w:rPr>
            </w:pPr>
            <w:r>
              <w:rPr>
                <w:rFonts w:ascii="Arial" w:cs="Arial" w:eastAsia="Arial" w:hAnsi="Arial"/>
                <w:sz w:val="15"/>
                <w:szCs w:val="15"/>
                <w:b w:val="1"/>
                <w:bCs w:val="1"/>
                <w:color w:val="auto"/>
              </w:rPr>
              <w:t>Provision for credit losses on loan portfolio, net of recoveries</w:t>
            </w:r>
          </w:p>
        </w:tc>
        <w:tc>
          <w:tcPr>
            <w:tcW w:w="13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9"/>
              </w:rPr>
              <w:t>814,699</w:t>
            </w:r>
          </w:p>
        </w:tc>
        <w:tc>
          <w:tcPr>
            <w:tcW w:w="130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743,296</w:t>
            </w:r>
          </w:p>
        </w:tc>
        <w:tc>
          <w:tcPr>
            <w:tcW w:w="13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581,893</w:t>
            </w:r>
          </w:p>
        </w:tc>
        <w:tc>
          <w:tcPr>
            <w:tcW w:w="860" w:type="dxa"/>
            <w:vAlign w:val="bottom"/>
            <w:tcBorders>
              <w:bottom w:val="single" w:sz="8" w:color="auto"/>
            </w:tcBorders>
          </w:tcPr>
          <w:p>
            <w:pPr>
              <w:jc w:val="center"/>
              <w:ind w:left="124"/>
              <w:spacing w:after="0" w:line="156" w:lineRule="exact"/>
              <w:rPr>
                <w:sz w:val="20"/>
                <w:szCs w:val="20"/>
                <w:color w:val="auto"/>
              </w:rPr>
            </w:pPr>
            <w:r>
              <w:rPr>
                <w:rFonts w:ascii="Arial" w:cs="Arial" w:eastAsia="Arial" w:hAnsi="Arial"/>
                <w:sz w:val="15"/>
                <w:szCs w:val="15"/>
                <w:b w:val="1"/>
                <w:bCs w:val="1"/>
                <w:color w:val="auto"/>
                <w:w w:val="99"/>
              </w:rPr>
              <w:t>0.0%</w:t>
            </w:r>
          </w:p>
        </w:tc>
        <w:tc>
          <w:tcPr>
            <w:tcW w:w="1320" w:type="dxa"/>
            <w:vAlign w:val="bottom"/>
            <w:tcBorders>
              <w:bottom w:val="single" w:sz="8" w:color="auto"/>
              <w:right w:val="single" w:sz="8" w:color="auto"/>
            </w:tcBorders>
          </w:tcPr>
          <w:p>
            <w:pPr>
              <w:jc w:val="center"/>
              <w:ind w:left="124"/>
              <w:spacing w:after="0" w:line="156" w:lineRule="exact"/>
              <w:rPr>
                <w:sz w:val="20"/>
                <w:szCs w:val="20"/>
                <w:color w:val="auto"/>
              </w:rPr>
            </w:pPr>
            <w:r>
              <w:rPr>
                <w:rFonts w:ascii="Arial" w:cs="Arial" w:eastAsia="Arial" w:hAnsi="Arial"/>
                <w:sz w:val="15"/>
                <w:szCs w:val="15"/>
                <w:b w:val="1"/>
                <w:bCs w:val="1"/>
                <w:color w:val="auto"/>
              </w:rPr>
              <w:t>0.0%</w:t>
            </w:r>
          </w:p>
        </w:tc>
      </w:tr>
      <w:tr>
        <w:trPr>
          <w:trHeight w:val="136"/>
        </w:trPr>
        <w:tc>
          <w:tcPr>
            <w:tcW w:w="5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5"/>
                <w:szCs w:val="15"/>
                <w:b w:val="1"/>
                <w:bCs w:val="1"/>
                <w:color w:val="auto"/>
              </w:rPr>
              <w:t>Net interest, similar income and expenses, after provision for credit</w:t>
            </w:r>
          </w:p>
        </w:tc>
        <w:tc>
          <w:tcPr>
            <w:tcW w:w="136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w w:val="98"/>
              </w:rPr>
              <w:t>2,611,424</w:t>
            </w:r>
          </w:p>
        </w:tc>
        <w:tc>
          <w:tcPr>
            <w:tcW w:w="130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rPr>
              <w:t>2,886,498</w:t>
            </w:r>
          </w:p>
        </w:tc>
        <w:tc>
          <w:tcPr>
            <w:tcW w:w="13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rPr>
              <w:t>2,990,119</w:t>
            </w:r>
          </w:p>
        </w:tc>
        <w:tc>
          <w:tcPr>
            <w:tcW w:w="860" w:type="dxa"/>
            <w:vAlign w:val="bottom"/>
          </w:tcPr>
          <w:p>
            <w:pPr>
              <w:jc w:val="center"/>
              <w:ind w:left="124"/>
              <w:spacing w:after="0" w:line="136" w:lineRule="exact"/>
              <w:rPr>
                <w:sz w:val="20"/>
                <w:szCs w:val="20"/>
                <w:color w:val="auto"/>
              </w:rPr>
            </w:pPr>
            <w:r>
              <w:rPr>
                <w:rFonts w:ascii="Arial" w:cs="Arial" w:eastAsia="Arial" w:hAnsi="Arial"/>
                <w:sz w:val="15"/>
                <w:szCs w:val="15"/>
                <w:b w:val="1"/>
                <w:bCs w:val="1"/>
                <w:color w:val="auto"/>
                <w:w w:val="99"/>
              </w:rPr>
              <w:t>3.6%</w:t>
            </w:r>
          </w:p>
        </w:tc>
        <w:tc>
          <w:tcPr>
            <w:tcW w:w="1320" w:type="dxa"/>
            <w:vAlign w:val="bottom"/>
            <w:tcBorders>
              <w:right w:val="single" w:sz="8" w:color="auto"/>
            </w:tcBorders>
          </w:tcPr>
          <w:p>
            <w:pPr>
              <w:jc w:val="center"/>
              <w:ind w:left="124"/>
              <w:spacing w:after="0" w:line="136" w:lineRule="exact"/>
              <w:rPr>
                <w:sz w:val="20"/>
                <w:szCs w:val="20"/>
                <w:color w:val="auto"/>
              </w:rPr>
            </w:pPr>
            <w:r>
              <w:rPr>
                <w:rFonts w:ascii="Arial" w:cs="Arial" w:eastAsia="Arial" w:hAnsi="Arial"/>
                <w:sz w:val="15"/>
                <w:szCs w:val="15"/>
                <w:b w:val="1"/>
                <w:bCs w:val="1"/>
                <w:color w:val="auto"/>
              </w:rPr>
              <w:t>14.5%</w:t>
            </w:r>
          </w:p>
        </w:tc>
      </w:tr>
      <w:tr>
        <w:trPr>
          <w:trHeight w:val="181"/>
        </w:trPr>
        <w:tc>
          <w:tcPr>
            <w:tcW w:w="5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losses on loan portfolio</w:t>
            </w:r>
          </w:p>
        </w:tc>
        <w:tc>
          <w:tcPr>
            <w:tcW w:w="1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55"/>
        </w:trPr>
        <w:tc>
          <w:tcPr>
            <w:tcW w:w="5100" w:type="dxa"/>
            <w:vAlign w:val="bottom"/>
            <w:tcBorders>
              <w:left w:val="single" w:sz="8" w:color="auto"/>
              <w:bottom w:val="single" w:sz="8" w:color="auto"/>
              <w:right w:val="single" w:sz="8" w:color="auto"/>
            </w:tcBorders>
          </w:tcPr>
          <w:p>
            <w:pPr>
              <w:ind w:left="20"/>
              <w:spacing w:after="0" w:line="156" w:lineRule="exact"/>
              <w:rPr>
                <w:sz w:val="20"/>
                <w:szCs w:val="20"/>
                <w:color w:val="auto"/>
              </w:rPr>
            </w:pPr>
            <w:r>
              <w:rPr>
                <w:rFonts w:ascii="Arial" w:cs="Arial" w:eastAsia="Arial" w:hAnsi="Arial"/>
                <w:sz w:val="15"/>
                <w:szCs w:val="15"/>
                <w:color w:val="auto"/>
              </w:rPr>
              <w:t>Average interest earning assets</w:t>
            </w:r>
          </w:p>
        </w:tc>
        <w:tc>
          <w:tcPr>
            <w:tcW w:w="13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225,297,538</w:t>
            </w:r>
          </w:p>
        </w:tc>
        <w:tc>
          <w:tcPr>
            <w:tcW w:w="130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237,518,087</w:t>
            </w:r>
          </w:p>
        </w:tc>
        <w:tc>
          <w:tcPr>
            <w:tcW w:w="13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auto"/>
              </w:rPr>
              <w:t>238,435,117</w:t>
            </w:r>
          </w:p>
        </w:tc>
        <w:tc>
          <w:tcPr>
            <w:tcW w:w="860" w:type="dxa"/>
            <w:vAlign w:val="bottom"/>
            <w:tcBorders>
              <w:bottom w:val="single" w:sz="8" w:color="auto"/>
            </w:tcBorders>
          </w:tcPr>
          <w:p>
            <w:pPr>
              <w:jc w:val="center"/>
              <w:ind w:left="124"/>
              <w:spacing w:after="0" w:line="156" w:lineRule="exact"/>
              <w:rPr>
                <w:sz w:val="20"/>
                <w:szCs w:val="20"/>
                <w:color w:val="auto"/>
              </w:rPr>
            </w:pPr>
            <w:r>
              <w:rPr>
                <w:rFonts w:ascii="Arial" w:cs="Arial" w:eastAsia="Arial" w:hAnsi="Arial"/>
                <w:sz w:val="15"/>
                <w:szCs w:val="15"/>
                <w:color w:val="auto"/>
                <w:w w:val="99"/>
              </w:rPr>
              <w:t>0.4%</w:t>
            </w:r>
          </w:p>
        </w:tc>
        <w:tc>
          <w:tcPr>
            <w:tcW w:w="1320" w:type="dxa"/>
            <w:vAlign w:val="bottom"/>
            <w:tcBorders>
              <w:bottom w:val="single" w:sz="8" w:color="auto"/>
              <w:right w:val="single" w:sz="8" w:color="auto"/>
            </w:tcBorders>
          </w:tcPr>
          <w:p>
            <w:pPr>
              <w:jc w:val="center"/>
              <w:ind w:left="124"/>
              <w:spacing w:after="0" w:line="156" w:lineRule="exact"/>
              <w:rPr>
                <w:sz w:val="20"/>
                <w:szCs w:val="20"/>
                <w:color w:val="auto"/>
              </w:rPr>
            </w:pPr>
            <w:r>
              <w:rPr>
                <w:rFonts w:ascii="Arial" w:cs="Arial" w:eastAsia="Arial" w:hAnsi="Arial"/>
                <w:sz w:val="15"/>
                <w:szCs w:val="15"/>
                <w:color w:val="auto"/>
              </w:rPr>
              <w:t>5.8%</w:t>
            </w:r>
          </w:p>
        </w:tc>
      </w:tr>
      <w:tr>
        <w:trPr>
          <w:trHeight w:val="136"/>
        </w:trPr>
        <w:tc>
          <w:tcPr>
            <w:tcW w:w="5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0"/>
                <w:szCs w:val="10"/>
                <w:b w:val="1"/>
                <w:bCs w:val="1"/>
                <w:color w:val="auto"/>
              </w:rPr>
              <w:t xml:space="preserve">Net interest margin </w:t>
            </w:r>
            <w:r>
              <w:rPr>
                <w:rFonts w:ascii="Arial" w:cs="Arial" w:eastAsia="Arial" w:hAnsi="Arial"/>
                <w:sz w:val="15"/>
                <w:szCs w:val="15"/>
                <w:b w:val="1"/>
                <w:bCs w:val="1"/>
                <w:color w:val="auto"/>
                <w:vertAlign w:val="superscript"/>
              </w:rPr>
              <w:t>(1)</w:t>
            </w:r>
          </w:p>
        </w:tc>
        <w:tc>
          <w:tcPr>
            <w:tcW w:w="136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w w:val="98"/>
              </w:rPr>
              <w:t>6.30%</w:t>
            </w:r>
          </w:p>
        </w:tc>
        <w:tc>
          <w:tcPr>
            <w:tcW w:w="130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rPr>
              <w:t>6.34%</w:t>
            </w:r>
          </w:p>
        </w:tc>
        <w:tc>
          <w:tcPr>
            <w:tcW w:w="13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rPr>
              <w:t>6.22%</w:t>
            </w:r>
          </w:p>
        </w:tc>
        <w:tc>
          <w:tcPr>
            <w:tcW w:w="860" w:type="dxa"/>
            <w:vAlign w:val="bottom"/>
          </w:tcPr>
          <w:p>
            <w:pPr>
              <w:jc w:val="center"/>
              <w:ind w:left="124"/>
              <w:spacing w:after="0" w:line="136" w:lineRule="exact"/>
              <w:rPr>
                <w:sz w:val="20"/>
                <w:szCs w:val="20"/>
                <w:color w:val="auto"/>
              </w:rPr>
            </w:pPr>
            <w:r>
              <w:rPr>
                <w:rFonts w:ascii="Arial" w:cs="Arial" w:eastAsia="Arial" w:hAnsi="Arial"/>
                <w:sz w:val="15"/>
                <w:szCs w:val="15"/>
                <w:b w:val="1"/>
                <w:bCs w:val="1"/>
                <w:color w:val="auto"/>
              </w:rPr>
              <w:t>-12 bps</w:t>
            </w:r>
          </w:p>
        </w:tc>
        <w:tc>
          <w:tcPr>
            <w:tcW w:w="1320" w:type="dxa"/>
            <w:vAlign w:val="bottom"/>
            <w:tcBorders>
              <w:right w:val="single" w:sz="8" w:color="auto"/>
            </w:tcBorders>
          </w:tcPr>
          <w:p>
            <w:pPr>
              <w:jc w:val="center"/>
              <w:ind w:left="124"/>
              <w:spacing w:after="0" w:line="136" w:lineRule="exact"/>
              <w:rPr>
                <w:sz w:val="20"/>
                <w:szCs w:val="20"/>
                <w:color w:val="auto"/>
              </w:rPr>
            </w:pPr>
            <w:r>
              <w:rPr>
                <w:rFonts w:ascii="Arial" w:cs="Arial" w:eastAsia="Arial" w:hAnsi="Arial"/>
                <w:sz w:val="15"/>
                <w:szCs w:val="15"/>
                <w:b w:val="1"/>
                <w:bCs w:val="1"/>
                <w:color w:val="auto"/>
                <w:w w:val="99"/>
              </w:rPr>
              <w:t>-8 bps</w:t>
            </w:r>
          </w:p>
        </w:tc>
      </w:tr>
      <w:tr>
        <w:trPr>
          <w:trHeight w:val="162"/>
        </w:trPr>
        <w:tc>
          <w:tcPr>
            <w:tcW w:w="510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2"/>
                <w:szCs w:val="12"/>
                <w:b w:val="1"/>
                <w:bCs w:val="1"/>
                <w:color w:val="auto"/>
              </w:rPr>
              <w:t xml:space="preserve">Risk-adjusted Net interest margin </w:t>
            </w:r>
            <w:r>
              <w:rPr>
                <w:rFonts w:ascii="Arial" w:cs="Arial" w:eastAsia="Arial" w:hAnsi="Arial"/>
                <w:sz w:val="18"/>
                <w:szCs w:val="18"/>
                <w:b w:val="1"/>
                <w:bCs w:val="1"/>
                <w:color w:val="auto"/>
                <w:vertAlign w:val="superscript"/>
              </w:rPr>
              <w:t>(1)</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8"/>
              </w:rPr>
              <w:t>4.85%</w:t>
            </w:r>
          </w:p>
        </w:tc>
        <w:tc>
          <w:tcPr>
            <w:tcW w:w="13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5.08%</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rPr>
              <w:t>5.24%</w:t>
            </w:r>
          </w:p>
        </w:tc>
        <w:tc>
          <w:tcPr>
            <w:tcW w:w="860" w:type="dxa"/>
            <w:vAlign w:val="bottom"/>
          </w:tcPr>
          <w:p>
            <w:pPr>
              <w:jc w:val="center"/>
              <w:ind w:left="144"/>
              <w:spacing w:after="0" w:line="162" w:lineRule="exact"/>
              <w:rPr>
                <w:sz w:val="20"/>
                <w:szCs w:val="20"/>
                <w:color w:val="auto"/>
              </w:rPr>
            </w:pPr>
            <w:r>
              <w:rPr>
                <w:rFonts w:ascii="Arial" w:cs="Arial" w:eastAsia="Arial" w:hAnsi="Arial"/>
                <w:sz w:val="15"/>
                <w:szCs w:val="15"/>
                <w:b w:val="1"/>
                <w:bCs w:val="1"/>
                <w:color w:val="auto"/>
              </w:rPr>
              <w:t>16 bps</w:t>
            </w:r>
          </w:p>
        </w:tc>
        <w:tc>
          <w:tcPr>
            <w:tcW w:w="1320" w:type="dxa"/>
            <w:vAlign w:val="bottom"/>
            <w:tcBorders>
              <w:right w:val="single" w:sz="8" w:color="auto"/>
            </w:tcBorders>
          </w:tcPr>
          <w:p>
            <w:pPr>
              <w:jc w:val="center"/>
              <w:ind w:left="124"/>
              <w:spacing w:after="0" w:line="162" w:lineRule="exact"/>
              <w:rPr>
                <w:sz w:val="20"/>
                <w:szCs w:val="20"/>
                <w:color w:val="auto"/>
              </w:rPr>
            </w:pPr>
            <w:r>
              <w:rPr>
                <w:rFonts w:ascii="Arial" w:cs="Arial" w:eastAsia="Arial" w:hAnsi="Arial"/>
                <w:sz w:val="15"/>
                <w:szCs w:val="15"/>
                <w:b w:val="1"/>
                <w:bCs w:val="1"/>
                <w:color w:val="auto"/>
              </w:rPr>
              <w:t>39 bps</w:t>
            </w:r>
          </w:p>
        </w:tc>
      </w:tr>
      <w:tr>
        <w:trPr>
          <w:trHeight w:val="181"/>
        </w:trPr>
        <w:tc>
          <w:tcPr>
            <w:tcW w:w="5100" w:type="dxa"/>
            <w:vAlign w:val="bottom"/>
            <w:tcBorders>
              <w:left w:val="single" w:sz="8" w:color="auto"/>
              <w:bottom w:val="single" w:sz="8" w:color="auto"/>
              <w:right w:val="single" w:sz="8" w:color="auto"/>
            </w:tcBorders>
          </w:tcPr>
          <w:p>
            <w:pPr>
              <w:ind w:left="20"/>
              <w:spacing w:after="0" w:line="182" w:lineRule="exact"/>
              <w:rPr>
                <w:sz w:val="20"/>
                <w:szCs w:val="20"/>
                <w:color w:val="auto"/>
              </w:rPr>
            </w:pPr>
            <w:r>
              <w:rPr>
                <w:rFonts w:ascii="Arial" w:cs="Arial" w:eastAsia="Arial" w:hAnsi="Arial"/>
                <w:sz w:val="13"/>
                <w:szCs w:val="13"/>
                <w:b w:val="1"/>
                <w:bCs w:val="1"/>
                <w:color w:val="auto"/>
              </w:rPr>
              <w:t xml:space="preserve">Net provisions for loan losses / Net interest income </w:t>
            </w:r>
            <w:r>
              <w:rPr>
                <w:rFonts w:ascii="Arial" w:cs="Arial" w:eastAsia="Arial" w:hAnsi="Arial"/>
                <w:sz w:val="21"/>
                <w:szCs w:val="21"/>
                <w:b w:val="1"/>
                <w:bCs w:val="1"/>
                <w:color w:val="auto"/>
                <w:vertAlign w:val="superscript"/>
              </w:rPr>
              <w:t>(1)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23.78%</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20.48%</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16.29%</w:t>
            </w:r>
          </w:p>
        </w:tc>
        <w:tc>
          <w:tcPr>
            <w:tcW w:w="860" w:type="dxa"/>
            <w:vAlign w:val="bottom"/>
            <w:tcBorders>
              <w:bottom w:val="single" w:sz="8" w:color="auto"/>
            </w:tcBorders>
          </w:tcPr>
          <w:p>
            <w:pPr>
              <w:jc w:val="center"/>
              <w:ind w:left="124"/>
              <w:spacing w:after="0"/>
              <w:rPr>
                <w:sz w:val="20"/>
                <w:szCs w:val="20"/>
                <w:color w:val="auto"/>
              </w:rPr>
            </w:pPr>
            <w:r>
              <w:rPr>
                <w:rFonts w:ascii="Arial" w:cs="Arial" w:eastAsia="Arial" w:hAnsi="Arial"/>
                <w:sz w:val="15"/>
                <w:szCs w:val="15"/>
                <w:b w:val="1"/>
                <w:bCs w:val="1"/>
                <w:color w:val="auto"/>
              </w:rPr>
              <w:t>-419 bps</w:t>
            </w:r>
          </w:p>
        </w:tc>
        <w:tc>
          <w:tcPr>
            <w:tcW w:w="1320" w:type="dxa"/>
            <w:vAlign w:val="bottom"/>
            <w:tcBorders>
              <w:bottom w:val="single" w:sz="8" w:color="auto"/>
              <w:right w:val="single" w:sz="8" w:color="auto"/>
            </w:tcBorders>
          </w:tcPr>
          <w:p>
            <w:pPr>
              <w:jc w:val="center"/>
              <w:ind w:left="124"/>
              <w:spacing w:after="0"/>
              <w:rPr>
                <w:sz w:val="20"/>
                <w:szCs w:val="20"/>
                <w:color w:val="auto"/>
              </w:rPr>
            </w:pPr>
            <w:r>
              <w:rPr>
                <w:rFonts w:ascii="Arial" w:cs="Arial" w:eastAsia="Arial" w:hAnsi="Arial"/>
                <w:sz w:val="15"/>
                <w:szCs w:val="15"/>
                <w:b w:val="1"/>
                <w:bCs w:val="1"/>
                <w:color w:val="auto"/>
              </w:rPr>
              <w:t>-749 bps</w:t>
            </w:r>
          </w:p>
        </w:tc>
      </w:tr>
    </w:tbl>
    <w:p>
      <w:pPr>
        <w:spacing w:after="0" w:line="171" w:lineRule="exact"/>
        <w:rPr>
          <w:sz w:val="20"/>
          <w:szCs w:val="20"/>
          <w:color w:val="auto"/>
        </w:rPr>
      </w:pPr>
    </w:p>
    <w:p>
      <w:pPr>
        <w:ind w:left="820"/>
        <w:spacing w:after="0"/>
        <w:rPr>
          <w:sz w:val="20"/>
          <w:szCs w:val="20"/>
          <w:color w:val="auto"/>
        </w:rPr>
      </w:pPr>
      <w:r>
        <w:rPr>
          <w:rFonts w:ascii="Arial" w:cs="Arial" w:eastAsia="Arial" w:hAnsi="Arial"/>
          <w:sz w:val="13"/>
          <w:szCs w:val="13"/>
          <w:color w:val="auto"/>
        </w:rPr>
        <w:t>(1) Annualized. For further detail on the NIM calculation due to IFRS17, please refer to Annex 12.7.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12.4.Net Interest Margin (NIM) and Risk-Adjusted NIM by Subsidiary</w:t>
      </w:r>
    </w:p>
    <w:p>
      <w:pPr>
        <w:spacing w:after="0" w:line="372" w:lineRule="exact"/>
        <w:rPr>
          <w:sz w:val="20"/>
          <w:szCs w:val="20"/>
          <w:color w:val="auto"/>
        </w:rPr>
      </w:pPr>
    </w:p>
    <w:tbl>
      <w:tblPr>
        <w:tblLayout w:type="fixed"/>
        <w:tblInd w:w="1150" w:type="dxa"/>
        <w:tblCellMar>
          <w:top w:w="0" w:type="dxa"/>
          <w:left w:w="0" w:type="dxa"/>
          <w:bottom w:w="0" w:type="dxa"/>
          <w:right w:w="0" w:type="dxa"/>
        </w:tblCellMar>
      </w:tblPr>
      <w:tr>
        <w:trPr>
          <w:trHeight w:val="216"/>
        </w:trPr>
        <w:tc>
          <w:tcPr>
            <w:tcW w:w="2500" w:type="dxa"/>
            <w:vAlign w:val="bottom"/>
            <w:tcBorders>
              <w:top w:val="single" w:sz="8" w:color="auto"/>
              <w:left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8"/>
                <w:szCs w:val="18"/>
                <w:b w:val="1"/>
                <w:bCs w:val="1"/>
                <w:color w:val="FFFFFF"/>
              </w:rPr>
              <w:t>NIM Breakdown</w:t>
            </w:r>
          </w:p>
        </w:tc>
        <w:tc>
          <w:tcPr>
            <w:tcW w:w="1800" w:type="dxa"/>
            <w:vAlign w:val="bottom"/>
            <w:tcBorders>
              <w:top w:val="single" w:sz="8" w:color="auto"/>
              <w:bottom w:val="single" w:sz="8" w:color="auto"/>
            </w:tcBorders>
            <w:shd w:val="clear" w:color="auto" w:fill="33CCCC"/>
          </w:tcPr>
          <w:p>
            <w:pPr>
              <w:jc w:val="center"/>
              <w:ind w:right="90"/>
              <w:spacing w:after="0"/>
              <w:rPr>
                <w:sz w:val="20"/>
                <w:szCs w:val="20"/>
                <w:color w:val="auto"/>
              </w:rPr>
            </w:pPr>
            <w:r>
              <w:rPr>
                <w:rFonts w:ascii="Arial" w:cs="Arial" w:eastAsia="Arial" w:hAnsi="Arial"/>
                <w:sz w:val="18"/>
                <w:szCs w:val="18"/>
                <w:b w:val="1"/>
                <w:bCs w:val="1"/>
                <w:color w:val="FFFFFF"/>
                <w:w w:val="99"/>
              </w:rPr>
              <w:t>BCP Stand-alone</w:t>
            </w:r>
          </w:p>
        </w:tc>
        <w:tc>
          <w:tcPr>
            <w:tcW w:w="1340" w:type="dxa"/>
            <w:vAlign w:val="bottom"/>
            <w:tcBorders>
              <w:top w:val="single" w:sz="8" w:color="auto"/>
              <w:bottom w:val="single" w:sz="8" w:color="auto"/>
            </w:tcBorders>
            <w:shd w:val="clear" w:color="auto" w:fill="33CCCC"/>
          </w:tcPr>
          <w:p>
            <w:pPr>
              <w:jc w:val="center"/>
              <w:ind w:right="10"/>
              <w:spacing w:after="0"/>
              <w:rPr>
                <w:sz w:val="20"/>
                <w:szCs w:val="20"/>
                <w:color w:val="auto"/>
              </w:rPr>
            </w:pPr>
            <w:r>
              <w:rPr>
                <w:rFonts w:ascii="Arial" w:cs="Arial" w:eastAsia="Arial" w:hAnsi="Arial"/>
                <w:sz w:val="18"/>
                <w:szCs w:val="18"/>
                <w:b w:val="1"/>
                <w:bCs w:val="1"/>
                <w:color w:val="FFFFFF"/>
                <w:w w:val="98"/>
              </w:rPr>
              <w:t>Mibanco</w:t>
            </w:r>
          </w:p>
        </w:tc>
        <w:tc>
          <w:tcPr>
            <w:tcW w:w="166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BCP Bolivia</w:t>
            </w:r>
          </w:p>
        </w:tc>
        <w:tc>
          <w:tcPr>
            <w:tcW w:w="168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8"/>
                <w:szCs w:val="18"/>
                <w:b w:val="1"/>
                <w:bCs w:val="1"/>
                <w:color w:val="FFFFFF"/>
                <w:w w:val="98"/>
              </w:rPr>
              <w:t>Credicorp</w:t>
            </w:r>
          </w:p>
        </w:tc>
      </w:tr>
      <w:tr>
        <w:trPr>
          <w:trHeight w:val="177"/>
        </w:trPr>
        <w:tc>
          <w:tcPr>
            <w:tcW w:w="2500" w:type="dxa"/>
            <w:vAlign w:val="bottom"/>
            <w:tcBorders>
              <w:left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9"/>
              </w:rPr>
              <w:t>1Q24</w:t>
            </w:r>
          </w:p>
        </w:tc>
        <w:tc>
          <w:tcPr>
            <w:tcW w:w="1800" w:type="dxa"/>
            <w:vAlign w:val="bottom"/>
          </w:tcPr>
          <w:p>
            <w:pPr>
              <w:jc w:val="center"/>
              <w:ind w:right="90"/>
              <w:spacing w:after="0" w:line="177" w:lineRule="exact"/>
              <w:rPr>
                <w:sz w:val="20"/>
                <w:szCs w:val="20"/>
                <w:color w:val="auto"/>
              </w:rPr>
            </w:pPr>
            <w:r>
              <w:rPr>
                <w:rFonts w:ascii="Arial" w:cs="Arial" w:eastAsia="Arial" w:hAnsi="Arial"/>
                <w:sz w:val="18"/>
                <w:szCs w:val="18"/>
                <w:color w:val="auto"/>
                <w:w w:val="97"/>
              </w:rPr>
              <w:t>6.03%</w:t>
            </w:r>
          </w:p>
        </w:tc>
        <w:tc>
          <w:tcPr>
            <w:tcW w:w="1340" w:type="dxa"/>
            <w:vAlign w:val="bottom"/>
          </w:tcPr>
          <w:p>
            <w:pPr>
              <w:jc w:val="center"/>
              <w:ind w:right="10"/>
              <w:spacing w:after="0" w:line="177" w:lineRule="exact"/>
              <w:rPr>
                <w:sz w:val="20"/>
                <w:szCs w:val="20"/>
                <w:color w:val="auto"/>
              </w:rPr>
            </w:pPr>
            <w:r>
              <w:rPr>
                <w:rFonts w:ascii="Arial" w:cs="Arial" w:eastAsia="Arial" w:hAnsi="Arial"/>
                <w:sz w:val="18"/>
                <w:szCs w:val="18"/>
                <w:color w:val="auto"/>
                <w:w w:val="98"/>
              </w:rPr>
              <w:t>13.42%</w:t>
            </w:r>
          </w:p>
        </w:tc>
        <w:tc>
          <w:tcPr>
            <w:tcW w:w="16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7"/>
              </w:rPr>
              <w:t>2.96%</w:t>
            </w:r>
          </w:p>
        </w:tc>
        <w:tc>
          <w:tcPr>
            <w:tcW w:w="16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rPr>
              <w:t>6.30%</w:t>
            </w:r>
          </w:p>
        </w:tc>
      </w:tr>
      <w:tr>
        <w:trPr>
          <w:trHeight w:val="203"/>
        </w:trPr>
        <w:tc>
          <w:tcPr>
            <w:tcW w:w="25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4Q24</w:t>
            </w:r>
          </w:p>
        </w:tc>
        <w:tc>
          <w:tcPr>
            <w:tcW w:w="180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7"/>
              </w:rPr>
              <w:t>6.01%</w:t>
            </w:r>
          </w:p>
        </w:tc>
        <w:tc>
          <w:tcPr>
            <w:tcW w:w="13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8"/>
              </w:rPr>
              <w:t>14.16%</w:t>
            </w:r>
          </w:p>
        </w:tc>
        <w:tc>
          <w:tcPr>
            <w:tcW w:w="16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2.96%</w:t>
            </w:r>
          </w:p>
        </w:tc>
        <w:tc>
          <w:tcPr>
            <w:tcW w:w="16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6.34%</w:t>
            </w:r>
          </w:p>
        </w:tc>
      </w:tr>
      <w:tr>
        <w:trPr>
          <w:trHeight w:val="221"/>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1Q25</w:t>
            </w:r>
          </w:p>
        </w:tc>
        <w:tc>
          <w:tcPr>
            <w:tcW w:w="18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7"/>
              </w:rPr>
              <w:t>5.80%</w:t>
            </w: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13.94%</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2.85%</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6.22%</w:t>
            </w:r>
          </w:p>
        </w:tc>
      </w:tr>
    </w:tbl>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NIM: Annualized Net interest income (excluding Net Insurance Financial Expenses) / Average period end and period beginning interest-earning assets.</w:t>
      </w:r>
    </w:p>
    <w:p>
      <w:pPr>
        <w:spacing w:after="0" w:line="172" w:lineRule="exact"/>
        <w:rPr>
          <w:sz w:val="20"/>
          <w:szCs w:val="20"/>
          <w:color w:val="auto"/>
        </w:rPr>
      </w:pPr>
    </w:p>
    <w:tbl>
      <w:tblPr>
        <w:tblLayout w:type="fixed"/>
        <w:tblInd w:w="1150" w:type="dxa"/>
        <w:tblCellMar>
          <w:top w:w="0" w:type="dxa"/>
          <w:left w:w="0" w:type="dxa"/>
          <w:bottom w:w="0" w:type="dxa"/>
          <w:right w:w="0" w:type="dxa"/>
        </w:tblCellMar>
      </w:tblPr>
      <w:tr>
        <w:trPr>
          <w:trHeight w:val="197"/>
        </w:trPr>
        <w:tc>
          <w:tcPr>
            <w:tcW w:w="2500" w:type="dxa"/>
            <w:vAlign w:val="bottom"/>
            <w:tcBorders>
              <w:top w:val="single" w:sz="8" w:color="auto"/>
              <w:left w:val="single" w:sz="8" w:color="auto"/>
              <w:right w:val="single" w:sz="8" w:color="auto"/>
            </w:tcBorders>
            <w:shd w:val="clear" w:color="auto" w:fill="33CCCC"/>
          </w:tcPr>
          <w:p>
            <w:pPr>
              <w:jc w:val="center"/>
              <w:spacing w:after="0" w:line="197" w:lineRule="exact"/>
              <w:rPr>
                <w:sz w:val="20"/>
                <w:szCs w:val="20"/>
                <w:color w:val="auto"/>
              </w:rPr>
            </w:pPr>
            <w:r>
              <w:rPr>
                <w:rFonts w:ascii="Arial" w:cs="Arial" w:eastAsia="Arial" w:hAnsi="Arial"/>
                <w:sz w:val="18"/>
                <w:szCs w:val="18"/>
                <w:b w:val="1"/>
                <w:bCs w:val="1"/>
                <w:color w:val="FFFFFF"/>
              </w:rPr>
              <w:t>Risk-Adjusted NIM</w:t>
            </w:r>
          </w:p>
        </w:tc>
        <w:tc>
          <w:tcPr>
            <w:tcW w:w="1700" w:type="dxa"/>
            <w:vAlign w:val="bottom"/>
            <w:tcBorders>
              <w:top w:val="single" w:sz="8" w:color="auto"/>
            </w:tcBorders>
            <w:shd w:val="clear" w:color="auto" w:fill="33CCCC"/>
          </w:tcPr>
          <w:p>
            <w:pPr>
              <w:jc w:val="center"/>
              <w:spacing w:after="0" w:line="197" w:lineRule="exact"/>
              <w:rPr>
                <w:sz w:val="20"/>
                <w:szCs w:val="20"/>
                <w:color w:val="auto"/>
              </w:rPr>
            </w:pPr>
            <w:r>
              <w:rPr>
                <w:rFonts w:ascii="Arial" w:cs="Arial" w:eastAsia="Arial" w:hAnsi="Arial"/>
                <w:sz w:val="18"/>
                <w:szCs w:val="18"/>
                <w:b w:val="1"/>
                <w:bCs w:val="1"/>
                <w:color w:val="FFFFFF"/>
                <w:w w:val="99"/>
              </w:rPr>
              <w:t>BCP</w:t>
            </w:r>
          </w:p>
        </w:tc>
        <w:tc>
          <w:tcPr>
            <w:tcW w:w="1540" w:type="dxa"/>
            <w:vAlign w:val="bottom"/>
            <w:tcBorders>
              <w:top w:val="single" w:sz="8" w:color="auto"/>
            </w:tcBorders>
            <w:shd w:val="clear" w:color="auto" w:fill="33CCCC"/>
          </w:tcPr>
          <w:p>
            <w:pPr>
              <w:ind w:left="360"/>
              <w:spacing w:after="0" w:line="197" w:lineRule="exact"/>
              <w:rPr>
                <w:sz w:val="20"/>
                <w:szCs w:val="20"/>
                <w:color w:val="auto"/>
              </w:rPr>
            </w:pPr>
            <w:r>
              <w:rPr>
                <w:rFonts w:ascii="Arial" w:cs="Arial" w:eastAsia="Arial" w:hAnsi="Arial"/>
                <w:sz w:val="18"/>
                <w:szCs w:val="18"/>
                <w:b w:val="1"/>
                <w:bCs w:val="1"/>
                <w:color w:val="FFFFFF"/>
              </w:rPr>
              <w:t>Mibanco</w:t>
            </w:r>
          </w:p>
        </w:tc>
        <w:tc>
          <w:tcPr>
            <w:tcW w:w="1560" w:type="dxa"/>
            <w:vAlign w:val="bottom"/>
            <w:tcBorders>
              <w:top w:val="single" w:sz="8" w:color="auto"/>
              <w:right w:val="single" w:sz="8" w:color="auto"/>
            </w:tcBorders>
            <w:shd w:val="clear" w:color="auto" w:fill="33CCCC"/>
          </w:tcPr>
          <w:p>
            <w:pPr>
              <w:jc w:val="center"/>
              <w:spacing w:after="0" w:line="197" w:lineRule="exact"/>
              <w:rPr>
                <w:sz w:val="20"/>
                <w:szCs w:val="20"/>
                <w:color w:val="auto"/>
              </w:rPr>
            </w:pPr>
            <w:r>
              <w:rPr>
                <w:rFonts w:ascii="Arial" w:cs="Arial" w:eastAsia="Arial" w:hAnsi="Arial"/>
                <w:sz w:val="18"/>
                <w:szCs w:val="18"/>
                <w:b w:val="1"/>
                <w:bCs w:val="1"/>
                <w:color w:val="FFFFFF"/>
                <w:w w:val="99"/>
              </w:rPr>
              <w:t>BCP</w:t>
            </w:r>
          </w:p>
        </w:tc>
        <w:tc>
          <w:tcPr>
            <w:tcW w:w="1680" w:type="dxa"/>
            <w:vAlign w:val="bottom"/>
            <w:tcBorders>
              <w:top w:val="single" w:sz="8" w:color="auto"/>
              <w:right w:val="single" w:sz="8" w:color="auto"/>
            </w:tcBorders>
            <w:vMerge w:val="restart"/>
            <w:shd w:val="clear" w:color="auto" w:fill="33CCCC"/>
          </w:tcPr>
          <w:p>
            <w:pPr>
              <w:jc w:val="center"/>
              <w:spacing w:after="0"/>
              <w:rPr>
                <w:sz w:val="20"/>
                <w:szCs w:val="20"/>
                <w:color w:val="auto"/>
              </w:rPr>
            </w:pPr>
            <w:r>
              <w:rPr>
                <w:rFonts w:ascii="Arial" w:cs="Arial" w:eastAsia="Arial" w:hAnsi="Arial"/>
                <w:sz w:val="18"/>
                <w:szCs w:val="18"/>
                <w:b w:val="1"/>
                <w:bCs w:val="1"/>
                <w:color w:val="FFFFFF"/>
                <w:w w:val="98"/>
              </w:rPr>
              <w:t>Credicorp</w:t>
            </w:r>
          </w:p>
        </w:tc>
        <w:tc>
          <w:tcPr>
            <w:tcW w:w="0" w:type="dxa"/>
            <w:vAlign w:val="bottom"/>
          </w:tcPr>
          <w:p>
            <w:pPr>
              <w:spacing w:after="0"/>
              <w:rPr>
                <w:sz w:val="1"/>
                <w:szCs w:val="1"/>
                <w:color w:val="auto"/>
              </w:rPr>
            </w:pPr>
          </w:p>
        </w:tc>
      </w:tr>
      <w:tr>
        <w:trPr>
          <w:trHeight w:val="139"/>
        </w:trPr>
        <w:tc>
          <w:tcPr>
            <w:tcW w:w="2500" w:type="dxa"/>
            <w:vAlign w:val="bottom"/>
            <w:tcBorders>
              <w:left w:val="single" w:sz="8" w:color="auto"/>
              <w:right w:val="single" w:sz="8" w:color="auto"/>
            </w:tcBorders>
            <w:vMerge w:val="restart"/>
            <w:shd w:val="clear" w:color="auto" w:fill="33CCCC"/>
          </w:tcPr>
          <w:p>
            <w:pPr>
              <w:jc w:val="center"/>
              <w:spacing w:after="0"/>
              <w:rPr>
                <w:sz w:val="20"/>
                <w:szCs w:val="20"/>
                <w:color w:val="auto"/>
              </w:rPr>
            </w:pPr>
            <w:r>
              <w:rPr>
                <w:rFonts w:ascii="Arial" w:cs="Arial" w:eastAsia="Arial" w:hAnsi="Arial"/>
                <w:sz w:val="18"/>
                <w:szCs w:val="18"/>
                <w:b w:val="1"/>
                <w:bCs w:val="1"/>
                <w:color w:val="FFFFFF"/>
                <w:w w:val="98"/>
              </w:rPr>
              <w:t>Breakdown</w:t>
            </w:r>
          </w:p>
        </w:tc>
        <w:tc>
          <w:tcPr>
            <w:tcW w:w="1700" w:type="dxa"/>
            <w:vAlign w:val="bottom"/>
            <w:vMerge w:val="restart"/>
            <w:shd w:val="clear" w:color="auto" w:fill="33CCCC"/>
          </w:tcPr>
          <w:p>
            <w:pPr>
              <w:jc w:val="center"/>
              <w:spacing w:after="0"/>
              <w:rPr>
                <w:sz w:val="20"/>
                <w:szCs w:val="20"/>
                <w:color w:val="auto"/>
              </w:rPr>
            </w:pPr>
            <w:r>
              <w:rPr>
                <w:rFonts w:ascii="Arial" w:cs="Arial" w:eastAsia="Arial" w:hAnsi="Arial"/>
                <w:sz w:val="18"/>
                <w:szCs w:val="18"/>
                <w:b w:val="1"/>
                <w:bCs w:val="1"/>
                <w:color w:val="FFFFFF"/>
                <w:w w:val="98"/>
              </w:rPr>
              <w:t>Stand-alone</w:t>
            </w:r>
          </w:p>
        </w:tc>
        <w:tc>
          <w:tcPr>
            <w:tcW w:w="1540" w:type="dxa"/>
            <w:vAlign w:val="bottom"/>
            <w:shd w:val="clear" w:color="auto" w:fill="33CCCC"/>
          </w:tcPr>
          <w:p>
            <w:pPr>
              <w:spacing w:after="0"/>
              <w:rPr>
                <w:sz w:val="12"/>
                <w:szCs w:val="12"/>
                <w:color w:val="auto"/>
              </w:rPr>
            </w:pPr>
          </w:p>
        </w:tc>
        <w:tc>
          <w:tcPr>
            <w:tcW w:w="1560" w:type="dxa"/>
            <w:vAlign w:val="bottom"/>
            <w:tcBorders>
              <w:right w:val="single" w:sz="8" w:color="auto"/>
            </w:tcBorders>
            <w:vMerge w:val="restart"/>
            <w:shd w:val="clear" w:color="auto" w:fill="33CCCC"/>
          </w:tcPr>
          <w:p>
            <w:pPr>
              <w:jc w:val="center"/>
              <w:spacing w:after="0"/>
              <w:rPr>
                <w:sz w:val="20"/>
                <w:szCs w:val="20"/>
                <w:color w:val="auto"/>
              </w:rPr>
            </w:pPr>
            <w:r>
              <w:rPr>
                <w:rFonts w:ascii="Arial" w:cs="Arial" w:eastAsia="Arial" w:hAnsi="Arial"/>
                <w:sz w:val="18"/>
                <w:szCs w:val="18"/>
                <w:b w:val="1"/>
                <w:bCs w:val="1"/>
                <w:color w:val="FFFFFF"/>
                <w:w w:val="98"/>
              </w:rPr>
              <w:t>Bolivia</w:t>
            </w:r>
          </w:p>
        </w:tc>
        <w:tc>
          <w:tcPr>
            <w:tcW w:w="1680" w:type="dxa"/>
            <w:vAlign w:val="bottom"/>
            <w:tcBorders>
              <w:right w:val="single" w:sz="8" w:color="auto"/>
            </w:tcBorders>
            <w:vMerge w:val="continue"/>
            <w:shd w:val="clear" w:color="auto" w:fill="33CCCC"/>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500" w:type="dxa"/>
            <w:vAlign w:val="bottom"/>
            <w:tcBorders>
              <w:left w:val="single" w:sz="8" w:color="auto"/>
              <w:bottom w:val="single" w:sz="8" w:color="auto"/>
              <w:right w:val="single" w:sz="8" w:color="auto"/>
            </w:tcBorders>
            <w:vMerge w:val="continue"/>
            <w:shd w:val="clear" w:color="auto" w:fill="33CCCC"/>
          </w:tcPr>
          <w:p>
            <w:pPr>
              <w:spacing w:after="0"/>
              <w:rPr>
                <w:sz w:val="7"/>
                <w:szCs w:val="7"/>
                <w:color w:val="auto"/>
              </w:rPr>
            </w:pPr>
          </w:p>
        </w:tc>
        <w:tc>
          <w:tcPr>
            <w:tcW w:w="1700" w:type="dxa"/>
            <w:vAlign w:val="bottom"/>
            <w:tcBorders>
              <w:bottom w:val="single" w:sz="8" w:color="auto"/>
            </w:tcBorders>
            <w:vMerge w:val="continue"/>
            <w:shd w:val="clear" w:color="auto" w:fill="33CCCC"/>
          </w:tcPr>
          <w:p>
            <w:pPr>
              <w:spacing w:after="0"/>
              <w:rPr>
                <w:sz w:val="7"/>
                <w:szCs w:val="7"/>
                <w:color w:val="auto"/>
              </w:rPr>
            </w:pPr>
          </w:p>
        </w:tc>
        <w:tc>
          <w:tcPr>
            <w:tcW w:w="1540" w:type="dxa"/>
            <w:vAlign w:val="bottom"/>
            <w:tcBorders>
              <w:bottom w:val="single" w:sz="8" w:color="auto"/>
            </w:tcBorders>
            <w:shd w:val="clear" w:color="auto" w:fill="33CCCC"/>
          </w:tcPr>
          <w:p>
            <w:pPr>
              <w:spacing w:after="0"/>
              <w:rPr>
                <w:sz w:val="7"/>
                <w:szCs w:val="7"/>
                <w:color w:val="auto"/>
              </w:rPr>
            </w:pPr>
          </w:p>
        </w:tc>
        <w:tc>
          <w:tcPr>
            <w:tcW w:w="1560" w:type="dxa"/>
            <w:vAlign w:val="bottom"/>
            <w:tcBorders>
              <w:bottom w:val="single" w:sz="8" w:color="auto"/>
              <w:right w:val="single" w:sz="8" w:color="auto"/>
            </w:tcBorders>
            <w:vMerge w:val="continue"/>
            <w:shd w:val="clear" w:color="auto" w:fill="33CCCC"/>
          </w:tcPr>
          <w:p>
            <w:pPr>
              <w:spacing w:after="0"/>
              <w:rPr>
                <w:sz w:val="7"/>
                <w:szCs w:val="7"/>
                <w:color w:val="auto"/>
              </w:rPr>
            </w:pPr>
          </w:p>
        </w:tc>
        <w:tc>
          <w:tcPr>
            <w:tcW w:w="1680" w:type="dxa"/>
            <w:vAlign w:val="bottom"/>
            <w:tcBorders>
              <w:bottom w:val="single" w:sz="8" w:color="auto"/>
              <w:right w:val="single" w:sz="8" w:color="auto"/>
            </w:tcBorders>
            <w:shd w:val="clear" w:color="auto" w:fill="33CCCC"/>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500" w:type="dxa"/>
            <w:vAlign w:val="bottom"/>
            <w:tcBorders>
              <w:left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9"/>
              </w:rPr>
              <w:t>1Q24</w:t>
            </w:r>
          </w:p>
        </w:tc>
        <w:tc>
          <w:tcPr>
            <w:tcW w:w="1700" w:type="dxa"/>
            <w:vAlign w:val="bottom"/>
          </w:tcPr>
          <w:p>
            <w:pPr>
              <w:jc w:val="center"/>
              <w:spacing w:after="0" w:line="177" w:lineRule="exact"/>
              <w:rPr>
                <w:sz w:val="20"/>
                <w:szCs w:val="20"/>
                <w:color w:val="auto"/>
              </w:rPr>
            </w:pPr>
            <w:r>
              <w:rPr>
                <w:rFonts w:ascii="Arial" w:cs="Arial" w:eastAsia="Arial" w:hAnsi="Arial"/>
                <w:sz w:val="18"/>
                <w:szCs w:val="18"/>
                <w:color w:val="auto"/>
                <w:w w:val="97"/>
              </w:rPr>
              <w:t>4.64%</w:t>
            </w:r>
          </w:p>
        </w:tc>
        <w:tc>
          <w:tcPr>
            <w:tcW w:w="1540" w:type="dxa"/>
            <w:vAlign w:val="bottom"/>
          </w:tcPr>
          <w:p>
            <w:pPr>
              <w:jc w:val="center"/>
              <w:ind w:right="10"/>
              <w:spacing w:after="0" w:line="177" w:lineRule="exact"/>
              <w:rPr>
                <w:sz w:val="20"/>
                <w:szCs w:val="20"/>
                <w:color w:val="auto"/>
              </w:rPr>
            </w:pPr>
            <w:r>
              <w:rPr>
                <w:rFonts w:ascii="Arial" w:cs="Arial" w:eastAsia="Arial" w:hAnsi="Arial"/>
                <w:sz w:val="18"/>
                <w:szCs w:val="18"/>
                <w:color w:val="auto"/>
              </w:rPr>
              <w:t>9.71%</w:t>
            </w:r>
          </w:p>
        </w:tc>
        <w:tc>
          <w:tcPr>
            <w:tcW w:w="15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7"/>
              </w:rPr>
              <w:t>2.46%</w:t>
            </w:r>
          </w:p>
        </w:tc>
        <w:tc>
          <w:tcPr>
            <w:tcW w:w="16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rPr>
              <w:t>4.85%</w:t>
            </w:r>
          </w:p>
        </w:tc>
        <w:tc>
          <w:tcPr>
            <w:tcW w:w="0" w:type="dxa"/>
            <w:vAlign w:val="bottom"/>
          </w:tcPr>
          <w:p>
            <w:pPr>
              <w:spacing w:after="0"/>
              <w:rPr>
                <w:sz w:val="1"/>
                <w:szCs w:val="1"/>
                <w:color w:val="auto"/>
              </w:rPr>
            </w:pPr>
          </w:p>
        </w:tc>
      </w:tr>
      <w:tr>
        <w:trPr>
          <w:trHeight w:val="203"/>
        </w:trPr>
        <w:tc>
          <w:tcPr>
            <w:tcW w:w="25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4Q24</w:t>
            </w:r>
          </w:p>
        </w:tc>
        <w:tc>
          <w:tcPr>
            <w:tcW w:w="1700" w:type="dxa"/>
            <w:vAlign w:val="bottom"/>
          </w:tcPr>
          <w:p>
            <w:pPr>
              <w:jc w:val="center"/>
              <w:spacing w:after="0" w:line="202" w:lineRule="exact"/>
              <w:rPr>
                <w:sz w:val="20"/>
                <w:szCs w:val="20"/>
                <w:color w:val="auto"/>
              </w:rPr>
            </w:pPr>
            <w:r>
              <w:rPr>
                <w:rFonts w:ascii="Arial" w:cs="Arial" w:eastAsia="Arial" w:hAnsi="Arial"/>
                <w:sz w:val="18"/>
                <w:szCs w:val="18"/>
                <w:color w:val="auto"/>
                <w:w w:val="97"/>
              </w:rPr>
              <w:t>4.85%</w:t>
            </w:r>
          </w:p>
        </w:tc>
        <w:tc>
          <w:tcPr>
            <w:tcW w:w="15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8"/>
              </w:rPr>
              <w:t>10.66%</w:t>
            </w:r>
          </w:p>
        </w:tc>
        <w:tc>
          <w:tcPr>
            <w:tcW w:w="15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2.12%</w:t>
            </w:r>
          </w:p>
        </w:tc>
        <w:tc>
          <w:tcPr>
            <w:tcW w:w="16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5.08%</w:t>
            </w:r>
          </w:p>
        </w:tc>
        <w:tc>
          <w:tcPr>
            <w:tcW w:w="0" w:type="dxa"/>
            <w:vAlign w:val="bottom"/>
          </w:tcPr>
          <w:p>
            <w:pPr>
              <w:spacing w:after="0"/>
              <w:rPr>
                <w:sz w:val="1"/>
                <w:szCs w:val="1"/>
                <w:color w:val="auto"/>
              </w:rPr>
            </w:pPr>
          </w:p>
        </w:tc>
      </w:tr>
      <w:tr>
        <w:trPr>
          <w:trHeight w:val="221"/>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1Q25</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4.98%</w:t>
            </w:r>
          </w:p>
        </w:tc>
        <w:tc>
          <w:tcPr>
            <w:tcW w:w="15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10.14%</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2.62%</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5.24%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300" w:right="180"/>
        <w:spacing w:after="0" w:line="243" w:lineRule="auto"/>
        <w:rPr>
          <w:sz w:val="20"/>
          <w:szCs w:val="20"/>
          <w:color w:val="auto"/>
        </w:rPr>
      </w:pPr>
      <w:r>
        <w:rPr>
          <w:rFonts w:ascii="Arial" w:cs="Arial" w:eastAsia="Arial" w:hAnsi="Arial"/>
          <w:sz w:val="13"/>
          <w:szCs w:val="13"/>
          <w:color w:val="auto"/>
        </w:rPr>
        <w:t>Risk-Adjusted NIM: (Annualized Net interest income (excluding Net Insurance Financial Expenses) - annualized provisions) / Average period end and period beginning interest-earning assets.</w:t>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56" w:name="page57"/>
    <w:bookmarkEnd w:id="56"/>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12.5.Regulatory Capital</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Regulatory Capital and Capital Adequacy Ratios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(IFRS)</w:t>
      </w:r>
    </w:p>
    <w:p>
      <w:pPr>
        <w:spacing w:after="0" w:line="159" w:lineRule="exact"/>
        <w:rPr>
          <w:sz w:val="20"/>
          <w:szCs w:val="20"/>
          <w:color w:val="auto"/>
        </w:rPr>
      </w:pPr>
    </w:p>
    <w:tbl>
      <w:tblPr>
        <w:tblLayout w:type="fixed"/>
        <w:tblInd w:w="310" w:type="dxa"/>
        <w:tblCellMar>
          <w:top w:w="0" w:type="dxa"/>
          <w:left w:w="0" w:type="dxa"/>
          <w:bottom w:w="0" w:type="dxa"/>
          <w:right w:w="0" w:type="dxa"/>
        </w:tblCellMar>
      </w:tblPr>
      <w:tr>
        <w:trPr>
          <w:trHeight w:val="131"/>
        </w:trPr>
        <w:tc>
          <w:tcPr>
            <w:tcW w:w="5080" w:type="dxa"/>
            <w:vAlign w:val="bottom"/>
            <w:tcBorders>
              <w:top w:val="single" w:sz="8" w:color="auto"/>
              <w:left w:val="single" w:sz="8" w:color="auto"/>
              <w:right w:val="single" w:sz="8" w:color="auto"/>
            </w:tcBorders>
            <w:shd w:val="clear" w:color="auto" w:fill="33CCCC"/>
          </w:tcPr>
          <w:p>
            <w:pPr>
              <w:spacing w:after="0" w:line="131" w:lineRule="exact"/>
              <w:rPr>
                <w:sz w:val="20"/>
                <w:szCs w:val="20"/>
                <w:color w:val="auto"/>
              </w:rPr>
            </w:pPr>
            <w:r>
              <w:rPr>
                <w:rFonts w:ascii="Arial" w:cs="Arial" w:eastAsia="Arial" w:hAnsi="Arial"/>
                <w:sz w:val="13"/>
                <w:szCs w:val="13"/>
                <w:b w:val="1"/>
                <w:bCs w:val="1"/>
                <w:color w:val="FFFFFF"/>
              </w:rPr>
              <w:t>Regulatory Capital and Capital Adequacy Ratios</w:t>
            </w:r>
          </w:p>
        </w:tc>
        <w:tc>
          <w:tcPr>
            <w:tcW w:w="1080" w:type="dxa"/>
            <w:vAlign w:val="bottom"/>
            <w:tcBorders>
              <w:top w:val="single" w:sz="8" w:color="auto"/>
            </w:tcBorders>
            <w:shd w:val="clear" w:color="auto" w:fill="33CCCC"/>
          </w:tcPr>
          <w:p>
            <w:pPr>
              <w:spacing w:after="0"/>
              <w:rPr>
                <w:sz w:val="11"/>
                <w:szCs w:val="11"/>
                <w:color w:val="auto"/>
              </w:rPr>
            </w:pPr>
          </w:p>
        </w:tc>
        <w:tc>
          <w:tcPr>
            <w:tcW w:w="1120" w:type="dxa"/>
            <w:vAlign w:val="bottom"/>
            <w:tcBorders>
              <w:top w:val="single" w:sz="8" w:color="auto"/>
            </w:tcBorders>
            <w:shd w:val="clear" w:color="auto" w:fill="33CCCC"/>
          </w:tcPr>
          <w:p>
            <w:pPr>
              <w:jc w:val="center"/>
              <w:spacing w:after="0" w:line="131" w:lineRule="exact"/>
              <w:rPr>
                <w:sz w:val="20"/>
                <w:szCs w:val="20"/>
                <w:color w:val="auto"/>
              </w:rPr>
            </w:pPr>
            <w:r>
              <w:rPr>
                <w:rFonts w:ascii="Arial" w:cs="Arial" w:eastAsia="Arial" w:hAnsi="Arial"/>
                <w:sz w:val="13"/>
                <w:szCs w:val="13"/>
                <w:b w:val="1"/>
                <w:bCs w:val="1"/>
                <w:color w:val="FFFFFF"/>
                <w:w w:val="98"/>
              </w:rPr>
              <w:t>As of</w:t>
            </w:r>
          </w:p>
        </w:tc>
        <w:tc>
          <w:tcPr>
            <w:tcW w:w="1140" w:type="dxa"/>
            <w:vAlign w:val="bottom"/>
            <w:tcBorders>
              <w:top w:val="single" w:sz="8" w:color="auto"/>
              <w:right w:val="single" w:sz="8" w:color="auto"/>
            </w:tcBorders>
            <w:shd w:val="clear" w:color="auto" w:fill="33CCCC"/>
          </w:tcPr>
          <w:p>
            <w:pPr>
              <w:spacing w:after="0"/>
              <w:rPr>
                <w:sz w:val="11"/>
                <w:szCs w:val="11"/>
                <w:color w:val="auto"/>
              </w:rPr>
            </w:pPr>
          </w:p>
        </w:tc>
        <w:tc>
          <w:tcPr>
            <w:tcW w:w="780" w:type="dxa"/>
            <w:vAlign w:val="bottom"/>
            <w:tcBorders>
              <w:top w:val="single" w:sz="8" w:color="auto"/>
            </w:tcBorders>
            <w:shd w:val="clear" w:color="auto" w:fill="33CCCC"/>
          </w:tcPr>
          <w:p>
            <w:pPr>
              <w:spacing w:after="0"/>
              <w:rPr>
                <w:sz w:val="11"/>
                <w:szCs w:val="11"/>
                <w:color w:val="auto"/>
              </w:rPr>
            </w:pPr>
          </w:p>
        </w:tc>
        <w:tc>
          <w:tcPr>
            <w:tcW w:w="1460" w:type="dxa"/>
            <w:vAlign w:val="bottom"/>
            <w:tcBorders>
              <w:top w:val="single" w:sz="8" w:color="auto"/>
              <w:right w:val="single" w:sz="8" w:color="auto"/>
            </w:tcBorders>
            <w:shd w:val="clear" w:color="auto" w:fill="33CCCC"/>
          </w:tcPr>
          <w:p>
            <w:pPr>
              <w:ind w:left="20"/>
              <w:spacing w:after="0" w:line="131" w:lineRule="exact"/>
              <w:rPr>
                <w:sz w:val="20"/>
                <w:szCs w:val="20"/>
                <w:color w:val="auto"/>
              </w:rPr>
            </w:pPr>
            <w:r>
              <w:rPr>
                <w:rFonts w:ascii="Arial" w:cs="Arial" w:eastAsia="Arial" w:hAnsi="Arial"/>
                <w:sz w:val="13"/>
                <w:szCs w:val="13"/>
                <w:b w:val="1"/>
                <w:bCs w:val="1"/>
                <w:color w:val="FFFFFF"/>
              </w:rPr>
              <w:t>Change %</w:t>
            </w:r>
          </w:p>
        </w:tc>
      </w:tr>
      <w:tr>
        <w:trPr>
          <w:trHeight w:val="153"/>
        </w:trPr>
        <w:tc>
          <w:tcPr>
            <w:tcW w:w="508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3"/>
                <w:szCs w:val="13"/>
                <w:b w:val="1"/>
                <w:bCs w:val="1"/>
                <w:color w:val="FFFFFF"/>
              </w:rPr>
              <w:t>S/000</w:t>
            </w:r>
          </w:p>
        </w:tc>
        <w:tc>
          <w:tcPr>
            <w:tcW w:w="1080" w:type="dxa"/>
            <w:vAlign w:val="bottom"/>
            <w:tcBorders>
              <w:bottom w:val="single" w:sz="8" w:color="auto"/>
            </w:tcBorders>
            <w:shd w:val="clear" w:color="auto" w:fill="33CCCC"/>
          </w:tcPr>
          <w:p>
            <w:pPr>
              <w:ind w:left="340"/>
              <w:spacing w:after="0"/>
              <w:rPr>
                <w:sz w:val="20"/>
                <w:szCs w:val="20"/>
                <w:color w:val="auto"/>
              </w:rPr>
            </w:pPr>
            <w:r>
              <w:rPr>
                <w:rFonts w:ascii="Arial" w:cs="Arial" w:eastAsia="Arial" w:hAnsi="Arial"/>
                <w:sz w:val="13"/>
                <w:szCs w:val="13"/>
                <w:b w:val="1"/>
                <w:bCs w:val="1"/>
                <w:color w:val="FFFFFF"/>
              </w:rPr>
              <w:t>Mar 24</w:t>
            </w:r>
          </w:p>
        </w:tc>
        <w:tc>
          <w:tcPr>
            <w:tcW w:w="11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5"/>
              </w:rPr>
              <w:t>Dec 24</w:t>
            </w:r>
          </w:p>
        </w:tc>
        <w:tc>
          <w:tcPr>
            <w:tcW w:w="1140" w:type="dxa"/>
            <w:vAlign w:val="bottom"/>
            <w:tcBorders>
              <w:bottom w:val="single" w:sz="8" w:color="auto"/>
              <w:right w:val="single" w:sz="8" w:color="auto"/>
            </w:tcBorders>
            <w:shd w:val="clear" w:color="auto" w:fill="33CCCC"/>
          </w:tcPr>
          <w:p>
            <w:pPr>
              <w:ind w:left="360"/>
              <w:spacing w:after="0"/>
              <w:rPr>
                <w:sz w:val="20"/>
                <w:szCs w:val="20"/>
                <w:color w:val="auto"/>
              </w:rPr>
            </w:pPr>
            <w:r>
              <w:rPr>
                <w:rFonts w:ascii="Arial" w:cs="Arial" w:eastAsia="Arial" w:hAnsi="Arial"/>
                <w:sz w:val="13"/>
                <w:szCs w:val="13"/>
                <w:b w:val="1"/>
                <w:bCs w:val="1"/>
                <w:color w:val="FFFFFF"/>
              </w:rPr>
              <w:t>Mar 25</w:t>
            </w:r>
          </w:p>
        </w:tc>
        <w:tc>
          <w:tcPr>
            <w:tcW w:w="780" w:type="dxa"/>
            <w:vAlign w:val="bottom"/>
            <w:tcBorders>
              <w:bottom w:val="single" w:sz="8" w:color="auto"/>
            </w:tcBorders>
            <w:shd w:val="clear" w:color="auto" w:fill="33CCCC"/>
          </w:tcPr>
          <w:p>
            <w:pPr>
              <w:jc w:val="center"/>
              <w:ind w:left="257"/>
              <w:spacing w:after="0"/>
              <w:rPr>
                <w:sz w:val="20"/>
                <w:szCs w:val="20"/>
                <w:color w:val="auto"/>
              </w:rPr>
            </w:pPr>
            <w:r>
              <w:rPr>
                <w:rFonts w:ascii="Arial" w:cs="Arial" w:eastAsia="Arial" w:hAnsi="Arial"/>
                <w:sz w:val="13"/>
                <w:szCs w:val="13"/>
                <w:b w:val="1"/>
                <w:bCs w:val="1"/>
                <w:color w:val="FFFFFF"/>
                <w:w w:val="92"/>
              </w:rPr>
              <w:t>QoQ</w:t>
            </w:r>
          </w:p>
        </w:tc>
        <w:tc>
          <w:tcPr>
            <w:tcW w:w="1460" w:type="dxa"/>
            <w:vAlign w:val="bottom"/>
            <w:tcBorders>
              <w:bottom w:val="single" w:sz="8" w:color="auto"/>
              <w:right w:val="single" w:sz="8" w:color="auto"/>
            </w:tcBorders>
            <w:shd w:val="clear" w:color="auto" w:fill="33CCCC"/>
          </w:tcPr>
          <w:p>
            <w:pPr>
              <w:jc w:val="center"/>
              <w:ind w:left="237"/>
              <w:spacing w:after="0"/>
              <w:rPr>
                <w:sz w:val="20"/>
                <w:szCs w:val="20"/>
                <w:color w:val="auto"/>
              </w:rPr>
            </w:pPr>
            <w:r>
              <w:rPr>
                <w:rFonts w:ascii="Arial" w:cs="Arial" w:eastAsia="Arial" w:hAnsi="Arial"/>
                <w:sz w:val="13"/>
                <w:szCs w:val="13"/>
                <w:b w:val="1"/>
                <w:bCs w:val="1"/>
                <w:color w:val="FFFFFF"/>
                <w:w w:val="94"/>
              </w:rPr>
              <w:t>YoY</w:t>
            </w:r>
          </w:p>
        </w:tc>
      </w:tr>
      <w:tr>
        <w:trPr>
          <w:trHeight w:val="111"/>
        </w:trPr>
        <w:tc>
          <w:tcPr>
            <w:tcW w:w="5080" w:type="dxa"/>
            <w:vAlign w:val="bottom"/>
            <w:tcBorders>
              <w:left w:val="single" w:sz="8" w:color="auto"/>
              <w:right w:val="single" w:sz="8" w:color="auto"/>
            </w:tcBorders>
          </w:tcPr>
          <w:p>
            <w:pPr>
              <w:ind w:left="160"/>
              <w:spacing w:after="0" w:line="111" w:lineRule="exact"/>
              <w:rPr>
                <w:sz w:val="20"/>
                <w:szCs w:val="20"/>
                <w:color w:val="auto"/>
              </w:rPr>
            </w:pPr>
            <w:r>
              <w:rPr>
                <w:rFonts w:ascii="Arial" w:cs="Arial" w:eastAsia="Arial" w:hAnsi="Arial"/>
                <w:sz w:val="12"/>
                <w:szCs w:val="12"/>
                <w:color w:val="auto"/>
              </w:rPr>
              <w:t>Capital Stock</w:t>
            </w:r>
          </w:p>
        </w:tc>
        <w:tc>
          <w:tcPr>
            <w:tcW w:w="1080" w:type="dxa"/>
            <w:vAlign w:val="bottom"/>
          </w:tcPr>
          <w:p>
            <w:pPr>
              <w:jc w:val="center"/>
              <w:spacing w:after="0" w:line="111" w:lineRule="exact"/>
              <w:rPr>
                <w:sz w:val="20"/>
                <w:szCs w:val="20"/>
                <w:color w:val="auto"/>
              </w:rPr>
            </w:pPr>
            <w:r>
              <w:rPr>
                <w:rFonts w:ascii="Arial" w:cs="Arial" w:eastAsia="Arial" w:hAnsi="Arial"/>
                <w:sz w:val="12"/>
                <w:szCs w:val="12"/>
                <w:color w:val="auto"/>
              </w:rPr>
              <w:t>1,318,993</w:t>
            </w:r>
          </w:p>
        </w:tc>
        <w:tc>
          <w:tcPr>
            <w:tcW w:w="1120" w:type="dxa"/>
            <w:vAlign w:val="bottom"/>
          </w:tcPr>
          <w:p>
            <w:pPr>
              <w:jc w:val="center"/>
              <w:spacing w:after="0" w:line="111" w:lineRule="exact"/>
              <w:rPr>
                <w:sz w:val="20"/>
                <w:szCs w:val="20"/>
                <w:color w:val="auto"/>
              </w:rPr>
            </w:pPr>
            <w:r>
              <w:rPr>
                <w:rFonts w:ascii="Arial" w:cs="Arial" w:eastAsia="Arial" w:hAnsi="Arial"/>
                <w:sz w:val="12"/>
                <w:szCs w:val="12"/>
                <w:color w:val="auto"/>
              </w:rPr>
              <w:t>1,318,993</w:t>
            </w:r>
          </w:p>
        </w:tc>
        <w:tc>
          <w:tcPr>
            <w:tcW w:w="11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1,318,993</w:t>
            </w:r>
          </w:p>
        </w:tc>
        <w:tc>
          <w:tcPr>
            <w:tcW w:w="780" w:type="dxa"/>
            <w:vAlign w:val="bottom"/>
          </w:tcPr>
          <w:p>
            <w:pPr>
              <w:jc w:val="center"/>
              <w:ind w:left="257"/>
              <w:spacing w:after="0" w:line="111" w:lineRule="exact"/>
              <w:rPr>
                <w:sz w:val="20"/>
                <w:szCs w:val="20"/>
                <w:color w:val="auto"/>
              </w:rPr>
            </w:pPr>
            <w:r>
              <w:rPr>
                <w:rFonts w:ascii="Arial" w:cs="Arial" w:eastAsia="Arial" w:hAnsi="Arial"/>
                <w:sz w:val="12"/>
                <w:szCs w:val="12"/>
                <w:color w:val="auto"/>
              </w:rPr>
              <w:t>-</w:t>
            </w:r>
          </w:p>
        </w:tc>
        <w:tc>
          <w:tcPr>
            <w:tcW w:w="1460" w:type="dxa"/>
            <w:vAlign w:val="bottom"/>
            <w:tcBorders>
              <w:right w:val="single" w:sz="8" w:color="auto"/>
            </w:tcBorders>
          </w:tcPr>
          <w:p>
            <w:pPr>
              <w:jc w:val="center"/>
              <w:ind w:left="237"/>
              <w:spacing w:after="0" w:line="111" w:lineRule="exact"/>
              <w:rPr>
                <w:sz w:val="20"/>
                <w:szCs w:val="20"/>
                <w:color w:val="auto"/>
              </w:rPr>
            </w:pPr>
            <w:r>
              <w:rPr>
                <w:rFonts w:ascii="Arial" w:cs="Arial" w:eastAsia="Arial" w:hAnsi="Arial"/>
                <w:sz w:val="12"/>
                <w:szCs w:val="12"/>
                <w:color w:val="auto"/>
              </w:rPr>
              <w:t>0.0%</w:t>
            </w:r>
          </w:p>
        </w:tc>
      </w:tr>
      <w:tr>
        <w:trPr>
          <w:trHeight w:val="135"/>
        </w:trPr>
        <w:tc>
          <w:tcPr>
            <w:tcW w:w="508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Treasury Stocks</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6"/>
              </w:rPr>
              <w:t>(208,343)</w:t>
            </w: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96"/>
              </w:rPr>
              <w:t>(208,879)</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(209,845)</w:t>
            </w:r>
          </w:p>
        </w:tc>
        <w:tc>
          <w:tcPr>
            <w:tcW w:w="780" w:type="dxa"/>
            <w:vAlign w:val="bottom"/>
          </w:tcPr>
          <w:p>
            <w:pPr>
              <w:jc w:val="center"/>
              <w:ind w:left="257"/>
              <w:spacing w:after="0" w:line="135" w:lineRule="exact"/>
              <w:rPr>
                <w:sz w:val="20"/>
                <w:szCs w:val="20"/>
                <w:color w:val="auto"/>
              </w:rPr>
            </w:pPr>
            <w:r>
              <w:rPr>
                <w:rFonts w:ascii="Arial" w:cs="Arial" w:eastAsia="Arial" w:hAnsi="Arial"/>
                <w:sz w:val="13"/>
                <w:szCs w:val="13"/>
                <w:color w:val="auto"/>
              </w:rPr>
              <w:t>0.5%</w:t>
            </w:r>
          </w:p>
        </w:tc>
        <w:tc>
          <w:tcPr>
            <w:tcW w:w="1460" w:type="dxa"/>
            <w:vAlign w:val="bottom"/>
            <w:tcBorders>
              <w:right w:val="single" w:sz="8" w:color="auto"/>
            </w:tcBorders>
          </w:tcPr>
          <w:p>
            <w:pPr>
              <w:jc w:val="center"/>
              <w:ind w:left="237"/>
              <w:spacing w:after="0" w:line="135" w:lineRule="exact"/>
              <w:rPr>
                <w:sz w:val="20"/>
                <w:szCs w:val="20"/>
                <w:color w:val="auto"/>
              </w:rPr>
            </w:pPr>
            <w:r>
              <w:rPr>
                <w:rFonts w:ascii="Arial" w:cs="Arial" w:eastAsia="Arial" w:hAnsi="Arial"/>
                <w:sz w:val="13"/>
                <w:szCs w:val="13"/>
                <w:color w:val="auto"/>
                <w:w w:val="94"/>
              </w:rPr>
              <w:t>0.7%</w:t>
            </w:r>
          </w:p>
        </w:tc>
      </w:tr>
      <w:tr>
        <w:trPr>
          <w:trHeight w:val="135"/>
        </w:trPr>
        <w:tc>
          <w:tcPr>
            <w:tcW w:w="508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Capital Surplus</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7"/>
              </w:rPr>
              <w:t>201,965</w:t>
            </w: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93"/>
              </w:rPr>
              <w:t>176,307</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124,148</w:t>
            </w:r>
          </w:p>
        </w:tc>
        <w:tc>
          <w:tcPr>
            <w:tcW w:w="780" w:type="dxa"/>
            <w:vAlign w:val="bottom"/>
          </w:tcPr>
          <w:p>
            <w:pPr>
              <w:jc w:val="center"/>
              <w:ind w:left="237"/>
              <w:spacing w:after="0" w:line="135" w:lineRule="exact"/>
              <w:rPr>
                <w:sz w:val="20"/>
                <w:szCs w:val="20"/>
                <w:color w:val="auto"/>
              </w:rPr>
            </w:pPr>
            <w:r>
              <w:rPr>
                <w:rFonts w:ascii="Arial" w:cs="Arial" w:eastAsia="Arial" w:hAnsi="Arial"/>
                <w:sz w:val="13"/>
                <w:szCs w:val="13"/>
                <w:color w:val="auto"/>
                <w:w w:val="97"/>
              </w:rPr>
              <w:t>-29.6%</w:t>
            </w:r>
          </w:p>
        </w:tc>
        <w:tc>
          <w:tcPr>
            <w:tcW w:w="1460" w:type="dxa"/>
            <w:vAlign w:val="bottom"/>
            <w:tcBorders>
              <w:right w:val="single" w:sz="8" w:color="auto"/>
            </w:tcBorders>
          </w:tcPr>
          <w:p>
            <w:pPr>
              <w:jc w:val="center"/>
              <w:ind w:left="237"/>
              <w:spacing w:after="0" w:line="135" w:lineRule="exact"/>
              <w:rPr>
                <w:sz w:val="20"/>
                <w:szCs w:val="20"/>
                <w:color w:val="auto"/>
              </w:rPr>
            </w:pPr>
            <w:r>
              <w:rPr>
                <w:rFonts w:ascii="Arial" w:cs="Arial" w:eastAsia="Arial" w:hAnsi="Arial"/>
                <w:sz w:val="13"/>
                <w:szCs w:val="13"/>
                <w:color w:val="auto"/>
                <w:w w:val="97"/>
              </w:rPr>
              <w:t>-38.5%</w:t>
            </w:r>
          </w:p>
        </w:tc>
      </w:tr>
      <w:tr>
        <w:trPr>
          <w:trHeight w:val="135"/>
        </w:trPr>
        <w:tc>
          <w:tcPr>
            <w:tcW w:w="508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Legal and Other Capital reserves</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5"/>
              </w:rPr>
              <w:t>26,213,432</w:t>
            </w: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98"/>
              </w:rPr>
              <w:t>27,202,665</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32,792,830</w:t>
            </w:r>
          </w:p>
        </w:tc>
        <w:tc>
          <w:tcPr>
            <w:tcW w:w="78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92"/>
              </w:rPr>
              <w:t>20.6%</w:t>
            </w:r>
          </w:p>
        </w:tc>
        <w:tc>
          <w:tcPr>
            <w:tcW w:w="1460" w:type="dxa"/>
            <w:vAlign w:val="bottom"/>
            <w:tcBorders>
              <w:right w:val="single" w:sz="8" w:color="auto"/>
            </w:tcBorders>
          </w:tcPr>
          <w:p>
            <w:pPr>
              <w:jc w:val="center"/>
              <w:ind w:left="237"/>
              <w:spacing w:after="0" w:line="135" w:lineRule="exact"/>
              <w:rPr>
                <w:sz w:val="20"/>
                <w:szCs w:val="20"/>
                <w:color w:val="auto"/>
              </w:rPr>
            </w:pPr>
            <w:r>
              <w:rPr>
                <w:rFonts w:ascii="Arial" w:cs="Arial" w:eastAsia="Arial" w:hAnsi="Arial"/>
                <w:sz w:val="13"/>
                <w:szCs w:val="13"/>
                <w:color w:val="auto"/>
                <w:w w:val="97"/>
              </w:rPr>
              <w:t>25.1%</w:t>
            </w:r>
          </w:p>
        </w:tc>
      </w:tr>
      <w:tr>
        <w:trPr>
          <w:trHeight w:val="129"/>
        </w:trPr>
        <w:tc>
          <w:tcPr>
            <w:tcW w:w="5080" w:type="dxa"/>
            <w:vAlign w:val="bottom"/>
            <w:tcBorders>
              <w:left w:val="single" w:sz="8" w:color="auto"/>
              <w:right w:val="single" w:sz="8" w:color="auto"/>
            </w:tcBorders>
          </w:tcPr>
          <w:p>
            <w:pPr>
              <w:ind w:left="160"/>
              <w:spacing w:after="0" w:line="129" w:lineRule="exact"/>
              <w:rPr>
                <w:sz w:val="20"/>
                <w:szCs w:val="20"/>
                <w:color w:val="auto"/>
              </w:rPr>
            </w:pPr>
            <w:r>
              <w:rPr>
                <w:rFonts w:ascii="Arial" w:cs="Arial" w:eastAsia="Arial" w:hAnsi="Arial"/>
                <w:sz w:val="13"/>
                <w:szCs w:val="13"/>
                <w:color w:val="auto"/>
              </w:rPr>
              <w:t>Minority interest</w:t>
            </w:r>
          </w:p>
        </w:tc>
        <w:tc>
          <w:tcPr>
            <w:tcW w:w="1080" w:type="dxa"/>
            <w:vAlign w:val="bottom"/>
          </w:tcPr>
          <w:p>
            <w:pPr>
              <w:jc w:val="center"/>
              <w:spacing w:after="0" w:line="129" w:lineRule="exact"/>
              <w:rPr>
                <w:sz w:val="20"/>
                <w:szCs w:val="20"/>
                <w:color w:val="auto"/>
              </w:rPr>
            </w:pPr>
            <w:r>
              <w:rPr>
                <w:rFonts w:ascii="Arial" w:cs="Arial" w:eastAsia="Arial" w:hAnsi="Arial"/>
                <w:sz w:val="13"/>
                <w:szCs w:val="13"/>
                <w:color w:val="auto"/>
                <w:w w:val="97"/>
              </w:rPr>
              <w:t>522,309</w:t>
            </w:r>
          </w:p>
        </w:tc>
        <w:tc>
          <w:tcPr>
            <w:tcW w:w="1120" w:type="dxa"/>
            <w:vAlign w:val="bottom"/>
          </w:tcPr>
          <w:p>
            <w:pPr>
              <w:jc w:val="center"/>
              <w:spacing w:after="0" w:line="129" w:lineRule="exact"/>
              <w:rPr>
                <w:sz w:val="20"/>
                <w:szCs w:val="20"/>
                <w:color w:val="auto"/>
              </w:rPr>
            </w:pPr>
            <w:r>
              <w:rPr>
                <w:rFonts w:ascii="Arial" w:cs="Arial" w:eastAsia="Arial" w:hAnsi="Arial"/>
                <w:sz w:val="13"/>
                <w:szCs w:val="13"/>
                <w:color w:val="auto"/>
                <w:w w:val="93"/>
              </w:rPr>
              <w:t>467,916</w:t>
            </w:r>
          </w:p>
        </w:tc>
        <w:tc>
          <w:tcPr>
            <w:tcW w:w="11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3"/>
              </w:rPr>
              <w:t>476,695</w:t>
            </w:r>
          </w:p>
        </w:tc>
        <w:tc>
          <w:tcPr>
            <w:tcW w:w="780" w:type="dxa"/>
            <w:vAlign w:val="bottom"/>
          </w:tcPr>
          <w:p>
            <w:pPr>
              <w:jc w:val="center"/>
              <w:ind w:left="257"/>
              <w:spacing w:after="0" w:line="129" w:lineRule="exact"/>
              <w:rPr>
                <w:sz w:val="20"/>
                <w:szCs w:val="20"/>
                <w:color w:val="auto"/>
              </w:rPr>
            </w:pPr>
            <w:r>
              <w:rPr>
                <w:rFonts w:ascii="Arial" w:cs="Arial" w:eastAsia="Arial" w:hAnsi="Arial"/>
                <w:sz w:val="13"/>
                <w:szCs w:val="13"/>
                <w:color w:val="auto"/>
              </w:rPr>
              <w:t>1.9%</w:t>
            </w:r>
          </w:p>
        </w:tc>
        <w:tc>
          <w:tcPr>
            <w:tcW w:w="1460" w:type="dxa"/>
            <w:vAlign w:val="bottom"/>
            <w:tcBorders>
              <w:right w:val="single" w:sz="8" w:color="auto"/>
            </w:tcBorders>
          </w:tcPr>
          <w:p>
            <w:pPr>
              <w:jc w:val="center"/>
              <w:ind w:left="237"/>
              <w:spacing w:after="0" w:line="129" w:lineRule="exact"/>
              <w:rPr>
                <w:sz w:val="20"/>
                <w:szCs w:val="20"/>
                <w:color w:val="auto"/>
              </w:rPr>
            </w:pPr>
            <w:r>
              <w:rPr>
                <w:rFonts w:ascii="Arial" w:cs="Arial" w:eastAsia="Arial" w:hAnsi="Arial"/>
                <w:sz w:val="13"/>
                <w:szCs w:val="13"/>
                <w:color w:val="auto"/>
                <w:w w:val="94"/>
              </w:rPr>
              <w:t>-8.7%</w:t>
            </w:r>
          </w:p>
        </w:tc>
      </w:tr>
      <w:tr>
        <w:trPr>
          <w:trHeight w:val="135"/>
        </w:trPr>
        <w:tc>
          <w:tcPr>
            <w:tcW w:w="508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0"/>
                <w:szCs w:val="10"/>
                <w:color w:val="auto"/>
              </w:rPr>
              <w:t xml:space="preserve">Current and Accumulated Earnings </w:t>
            </w:r>
            <w:r>
              <w:rPr>
                <w:rFonts w:ascii="Arial" w:cs="Arial" w:eastAsia="Arial" w:hAnsi="Arial"/>
                <w:sz w:val="15"/>
                <w:szCs w:val="15"/>
                <w:color w:val="auto"/>
                <w:vertAlign w:val="superscript"/>
              </w:rPr>
              <w:t>(1)</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6"/>
              </w:rPr>
              <w:t>2,639,191</w:t>
            </w: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96"/>
              </w:rPr>
              <w:t>6,592,462</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3,410,505</w:t>
            </w:r>
          </w:p>
        </w:tc>
        <w:tc>
          <w:tcPr>
            <w:tcW w:w="780" w:type="dxa"/>
            <w:vAlign w:val="bottom"/>
          </w:tcPr>
          <w:p>
            <w:pPr>
              <w:jc w:val="center"/>
              <w:ind w:left="237"/>
              <w:spacing w:after="0" w:line="135" w:lineRule="exact"/>
              <w:rPr>
                <w:sz w:val="20"/>
                <w:szCs w:val="20"/>
                <w:color w:val="auto"/>
              </w:rPr>
            </w:pPr>
            <w:r>
              <w:rPr>
                <w:rFonts w:ascii="Arial" w:cs="Arial" w:eastAsia="Arial" w:hAnsi="Arial"/>
                <w:sz w:val="13"/>
                <w:szCs w:val="13"/>
                <w:color w:val="auto"/>
                <w:w w:val="97"/>
              </w:rPr>
              <w:t>-48.3%</w:t>
            </w:r>
          </w:p>
        </w:tc>
        <w:tc>
          <w:tcPr>
            <w:tcW w:w="1460" w:type="dxa"/>
            <w:vAlign w:val="bottom"/>
            <w:tcBorders>
              <w:right w:val="single" w:sz="8" w:color="auto"/>
            </w:tcBorders>
          </w:tcPr>
          <w:p>
            <w:pPr>
              <w:jc w:val="center"/>
              <w:ind w:left="237"/>
              <w:spacing w:after="0" w:line="135" w:lineRule="exact"/>
              <w:rPr>
                <w:sz w:val="20"/>
                <w:szCs w:val="20"/>
                <w:color w:val="auto"/>
              </w:rPr>
            </w:pPr>
            <w:r>
              <w:rPr>
                <w:rFonts w:ascii="Arial" w:cs="Arial" w:eastAsia="Arial" w:hAnsi="Arial"/>
                <w:sz w:val="13"/>
                <w:szCs w:val="13"/>
                <w:color w:val="auto"/>
                <w:w w:val="97"/>
              </w:rPr>
              <w:t>29.2%</w:t>
            </w:r>
          </w:p>
        </w:tc>
      </w:tr>
      <w:tr>
        <w:trPr>
          <w:trHeight w:val="141"/>
        </w:trPr>
        <w:tc>
          <w:tcPr>
            <w:tcW w:w="5080" w:type="dxa"/>
            <w:vAlign w:val="bottom"/>
            <w:tcBorders>
              <w:left w:val="single" w:sz="8" w:color="auto"/>
              <w:right w:val="single" w:sz="8" w:color="auto"/>
            </w:tcBorders>
          </w:tcPr>
          <w:p>
            <w:pPr>
              <w:ind w:left="160"/>
              <w:spacing w:after="0" w:line="141" w:lineRule="exact"/>
              <w:rPr>
                <w:sz w:val="20"/>
                <w:szCs w:val="20"/>
                <w:color w:val="auto"/>
              </w:rPr>
            </w:pPr>
            <w:r>
              <w:rPr>
                <w:rFonts w:ascii="Arial" w:cs="Arial" w:eastAsia="Arial" w:hAnsi="Arial"/>
                <w:sz w:val="10"/>
                <w:szCs w:val="10"/>
                <w:color w:val="auto"/>
              </w:rPr>
              <w:t xml:space="preserve">Unrealized Gains or Losses </w:t>
            </w:r>
            <w:r>
              <w:rPr>
                <w:rFonts w:ascii="Arial" w:cs="Arial" w:eastAsia="Arial" w:hAnsi="Arial"/>
                <w:sz w:val="16"/>
                <w:szCs w:val="16"/>
                <w:color w:val="auto"/>
                <w:vertAlign w:val="superscript"/>
              </w:rPr>
              <w:t>(2)</w:t>
            </w:r>
          </w:p>
        </w:tc>
        <w:tc>
          <w:tcPr>
            <w:tcW w:w="1080" w:type="dxa"/>
            <w:vAlign w:val="bottom"/>
          </w:tcPr>
          <w:p>
            <w:pPr>
              <w:jc w:val="center"/>
              <w:spacing w:after="0" w:line="141" w:lineRule="exact"/>
              <w:rPr>
                <w:sz w:val="20"/>
                <w:szCs w:val="20"/>
                <w:color w:val="auto"/>
              </w:rPr>
            </w:pPr>
            <w:r>
              <w:rPr>
                <w:rFonts w:ascii="Arial" w:cs="Arial" w:eastAsia="Arial" w:hAnsi="Arial"/>
                <w:sz w:val="13"/>
                <w:szCs w:val="13"/>
                <w:color w:val="auto"/>
                <w:w w:val="96"/>
              </w:rPr>
              <w:t>(991,283)</w:t>
            </w:r>
          </w:p>
        </w:tc>
        <w:tc>
          <w:tcPr>
            <w:tcW w:w="1120" w:type="dxa"/>
            <w:vAlign w:val="bottom"/>
          </w:tcPr>
          <w:p>
            <w:pPr>
              <w:jc w:val="center"/>
              <w:spacing w:after="0" w:line="141" w:lineRule="exact"/>
              <w:rPr>
                <w:sz w:val="20"/>
                <w:szCs w:val="20"/>
                <w:color w:val="auto"/>
              </w:rPr>
            </w:pPr>
            <w:r>
              <w:rPr>
                <w:rFonts w:ascii="Arial" w:cs="Arial" w:eastAsia="Arial" w:hAnsi="Arial"/>
                <w:sz w:val="13"/>
                <w:szCs w:val="13"/>
                <w:color w:val="auto"/>
                <w:w w:val="96"/>
              </w:rPr>
              <w:t>(504,016)</w:t>
            </w:r>
          </w:p>
        </w:tc>
        <w:tc>
          <w:tcPr>
            <w:tcW w:w="11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6"/>
              </w:rPr>
              <w:t>(462,800)</w:t>
            </w:r>
          </w:p>
        </w:tc>
        <w:tc>
          <w:tcPr>
            <w:tcW w:w="780" w:type="dxa"/>
            <w:vAlign w:val="bottom"/>
          </w:tcPr>
          <w:p>
            <w:pPr>
              <w:jc w:val="center"/>
              <w:ind w:left="257"/>
              <w:spacing w:after="0" w:line="141" w:lineRule="exact"/>
              <w:rPr>
                <w:sz w:val="20"/>
                <w:szCs w:val="20"/>
                <w:color w:val="auto"/>
              </w:rPr>
            </w:pPr>
            <w:r>
              <w:rPr>
                <w:rFonts w:ascii="Arial" w:cs="Arial" w:eastAsia="Arial" w:hAnsi="Arial"/>
                <w:sz w:val="13"/>
                <w:szCs w:val="13"/>
                <w:color w:val="auto"/>
                <w:w w:val="99"/>
              </w:rPr>
              <w:t>-8.2%</w:t>
            </w:r>
          </w:p>
        </w:tc>
        <w:tc>
          <w:tcPr>
            <w:tcW w:w="1460" w:type="dxa"/>
            <w:vAlign w:val="bottom"/>
            <w:tcBorders>
              <w:right w:val="single" w:sz="8" w:color="auto"/>
            </w:tcBorders>
          </w:tcPr>
          <w:p>
            <w:pPr>
              <w:jc w:val="center"/>
              <w:ind w:left="237"/>
              <w:spacing w:after="0" w:line="141" w:lineRule="exact"/>
              <w:rPr>
                <w:sz w:val="20"/>
                <w:szCs w:val="20"/>
                <w:color w:val="auto"/>
              </w:rPr>
            </w:pPr>
            <w:r>
              <w:rPr>
                <w:rFonts w:ascii="Arial" w:cs="Arial" w:eastAsia="Arial" w:hAnsi="Arial"/>
                <w:sz w:val="13"/>
                <w:szCs w:val="13"/>
                <w:color w:val="auto"/>
                <w:w w:val="97"/>
              </w:rPr>
              <w:t>-53.3%</w:t>
            </w:r>
          </w:p>
        </w:tc>
      </w:tr>
      <w:tr>
        <w:trPr>
          <w:trHeight w:val="129"/>
        </w:trPr>
        <w:tc>
          <w:tcPr>
            <w:tcW w:w="5080" w:type="dxa"/>
            <w:vAlign w:val="bottom"/>
            <w:tcBorders>
              <w:left w:val="single" w:sz="8" w:color="auto"/>
              <w:right w:val="single" w:sz="8" w:color="auto"/>
            </w:tcBorders>
          </w:tcPr>
          <w:p>
            <w:pPr>
              <w:ind w:left="160"/>
              <w:spacing w:after="0" w:line="129" w:lineRule="exact"/>
              <w:rPr>
                <w:sz w:val="20"/>
                <w:szCs w:val="20"/>
                <w:color w:val="auto"/>
              </w:rPr>
            </w:pPr>
            <w:r>
              <w:rPr>
                <w:rFonts w:ascii="Arial" w:cs="Arial" w:eastAsia="Arial" w:hAnsi="Arial"/>
                <w:sz w:val="13"/>
                <w:szCs w:val="13"/>
                <w:color w:val="auto"/>
              </w:rPr>
              <w:t>Goodwill</w:t>
            </w:r>
          </w:p>
        </w:tc>
        <w:tc>
          <w:tcPr>
            <w:tcW w:w="1080" w:type="dxa"/>
            <w:vAlign w:val="bottom"/>
          </w:tcPr>
          <w:p>
            <w:pPr>
              <w:jc w:val="center"/>
              <w:spacing w:after="0" w:line="129" w:lineRule="exact"/>
              <w:rPr>
                <w:sz w:val="20"/>
                <w:szCs w:val="20"/>
                <w:color w:val="auto"/>
              </w:rPr>
            </w:pPr>
            <w:r>
              <w:rPr>
                <w:rFonts w:ascii="Arial" w:cs="Arial" w:eastAsia="Arial" w:hAnsi="Arial"/>
                <w:sz w:val="13"/>
                <w:szCs w:val="13"/>
                <w:color w:val="auto"/>
                <w:w w:val="96"/>
              </w:rPr>
              <w:t>(768,869)</w:t>
            </w:r>
          </w:p>
        </w:tc>
        <w:tc>
          <w:tcPr>
            <w:tcW w:w="1120" w:type="dxa"/>
            <w:vAlign w:val="bottom"/>
          </w:tcPr>
          <w:p>
            <w:pPr>
              <w:jc w:val="center"/>
              <w:spacing w:after="0" w:line="129" w:lineRule="exact"/>
              <w:rPr>
                <w:sz w:val="20"/>
                <w:szCs w:val="20"/>
                <w:color w:val="auto"/>
              </w:rPr>
            </w:pPr>
            <w:r>
              <w:rPr>
                <w:rFonts w:ascii="Arial" w:cs="Arial" w:eastAsia="Arial" w:hAnsi="Arial"/>
                <w:sz w:val="13"/>
                <w:szCs w:val="13"/>
                <w:color w:val="auto"/>
                <w:w w:val="96"/>
              </w:rPr>
              <w:t>(722,361)</w:t>
            </w:r>
          </w:p>
        </w:tc>
        <w:tc>
          <w:tcPr>
            <w:tcW w:w="11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6"/>
              </w:rPr>
              <w:t>(1,698,492)</w:t>
            </w:r>
          </w:p>
        </w:tc>
        <w:tc>
          <w:tcPr>
            <w:tcW w:w="780" w:type="dxa"/>
            <w:vAlign w:val="bottom"/>
          </w:tcPr>
          <w:p>
            <w:pPr>
              <w:jc w:val="center"/>
              <w:ind w:left="257"/>
              <w:spacing w:after="0" w:line="129" w:lineRule="exact"/>
              <w:rPr>
                <w:sz w:val="20"/>
                <w:szCs w:val="20"/>
                <w:color w:val="auto"/>
              </w:rPr>
            </w:pPr>
            <w:r>
              <w:rPr>
                <w:rFonts w:ascii="Arial" w:cs="Arial" w:eastAsia="Arial" w:hAnsi="Arial"/>
                <w:sz w:val="13"/>
                <w:szCs w:val="13"/>
                <w:color w:val="auto"/>
                <w:w w:val="95"/>
              </w:rPr>
              <w:t>135.1%</w:t>
            </w:r>
          </w:p>
        </w:tc>
        <w:tc>
          <w:tcPr>
            <w:tcW w:w="1460" w:type="dxa"/>
            <w:vAlign w:val="bottom"/>
            <w:tcBorders>
              <w:right w:val="single" w:sz="8" w:color="auto"/>
            </w:tcBorders>
          </w:tcPr>
          <w:p>
            <w:pPr>
              <w:jc w:val="center"/>
              <w:ind w:left="237"/>
              <w:spacing w:after="0" w:line="129" w:lineRule="exact"/>
              <w:rPr>
                <w:sz w:val="20"/>
                <w:szCs w:val="20"/>
                <w:color w:val="auto"/>
              </w:rPr>
            </w:pPr>
            <w:r>
              <w:rPr>
                <w:rFonts w:ascii="Arial" w:cs="Arial" w:eastAsia="Arial" w:hAnsi="Arial"/>
                <w:sz w:val="13"/>
                <w:szCs w:val="13"/>
                <w:color w:val="auto"/>
                <w:w w:val="99"/>
              </w:rPr>
              <w:t>120.9%</w:t>
            </w:r>
          </w:p>
        </w:tc>
      </w:tr>
      <w:tr>
        <w:trPr>
          <w:trHeight w:val="135"/>
        </w:trPr>
        <w:tc>
          <w:tcPr>
            <w:tcW w:w="508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0"/>
                <w:szCs w:val="10"/>
                <w:color w:val="auto"/>
              </w:rPr>
              <w:t xml:space="preserve">Intangible Assets </w:t>
            </w:r>
            <w:r>
              <w:rPr>
                <w:rFonts w:ascii="Arial" w:cs="Arial" w:eastAsia="Arial" w:hAnsi="Arial"/>
                <w:sz w:val="15"/>
                <w:szCs w:val="15"/>
                <w:color w:val="auto"/>
                <w:vertAlign w:val="superscript"/>
              </w:rPr>
              <w:t>(3)</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6"/>
              </w:rPr>
              <w:t>(1,935,419)</w:t>
            </w: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96"/>
              </w:rPr>
              <w:t>(2,396,687)</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(2,590,377)</w:t>
            </w:r>
          </w:p>
        </w:tc>
        <w:tc>
          <w:tcPr>
            <w:tcW w:w="780" w:type="dxa"/>
            <w:vAlign w:val="bottom"/>
          </w:tcPr>
          <w:p>
            <w:pPr>
              <w:jc w:val="center"/>
              <w:ind w:left="257"/>
              <w:spacing w:after="0" w:line="135" w:lineRule="exact"/>
              <w:rPr>
                <w:sz w:val="20"/>
                <w:szCs w:val="20"/>
                <w:color w:val="auto"/>
              </w:rPr>
            </w:pPr>
            <w:r>
              <w:rPr>
                <w:rFonts w:ascii="Arial" w:cs="Arial" w:eastAsia="Arial" w:hAnsi="Arial"/>
                <w:sz w:val="13"/>
                <w:szCs w:val="13"/>
                <w:color w:val="auto"/>
              </w:rPr>
              <w:t>8.1%</w:t>
            </w:r>
          </w:p>
        </w:tc>
        <w:tc>
          <w:tcPr>
            <w:tcW w:w="1460" w:type="dxa"/>
            <w:vAlign w:val="bottom"/>
            <w:tcBorders>
              <w:right w:val="single" w:sz="8" w:color="auto"/>
            </w:tcBorders>
          </w:tcPr>
          <w:p>
            <w:pPr>
              <w:jc w:val="center"/>
              <w:ind w:left="237"/>
              <w:spacing w:after="0" w:line="135" w:lineRule="exact"/>
              <w:rPr>
                <w:sz w:val="20"/>
                <w:szCs w:val="20"/>
                <w:color w:val="auto"/>
              </w:rPr>
            </w:pPr>
            <w:r>
              <w:rPr>
                <w:rFonts w:ascii="Arial" w:cs="Arial" w:eastAsia="Arial" w:hAnsi="Arial"/>
                <w:sz w:val="13"/>
                <w:szCs w:val="13"/>
                <w:color w:val="auto"/>
                <w:w w:val="97"/>
              </w:rPr>
              <w:t>33.8%</w:t>
            </w:r>
          </w:p>
        </w:tc>
      </w:tr>
      <w:tr>
        <w:trPr>
          <w:trHeight w:val="141"/>
        </w:trPr>
        <w:tc>
          <w:tcPr>
            <w:tcW w:w="5080" w:type="dxa"/>
            <w:vAlign w:val="bottom"/>
            <w:tcBorders>
              <w:left w:val="single" w:sz="8" w:color="auto"/>
              <w:right w:val="single" w:sz="8" w:color="auto"/>
            </w:tcBorders>
          </w:tcPr>
          <w:p>
            <w:pPr>
              <w:ind w:left="160"/>
              <w:spacing w:after="0" w:line="141" w:lineRule="exact"/>
              <w:rPr>
                <w:sz w:val="20"/>
                <w:szCs w:val="20"/>
                <w:color w:val="auto"/>
              </w:rPr>
            </w:pPr>
            <w:r>
              <w:rPr>
                <w:rFonts w:ascii="Arial" w:cs="Arial" w:eastAsia="Arial" w:hAnsi="Arial"/>
                <w:sz w:val="10"/>
                <w:szCs w:val="10"/>
                <w:color w:val="auto"/>
              </w:rPr>
              <w:t xml:space="preserve">Deductions in Common Equity Tier 1 instruments </w:t>
            </w:r>
            <w:r>
              <w:rPr>
                <w:rFonts w:ascii="Arial" w:cs="Arial" w:eastAsia="Arial" w:hAnsi="Arial"/>
                <w:sz w:val="16"/>
                <w:szCs w:val="16"/>
                <w:color w:val="auto"/>
                <w:vertAlign w:val="superscript"/>
              </w:rPr>
              <w:t>(4)</w:t>
            </w:r>
          </w:p>
        </w:tc>
        <w:tc>
          <w:tcPr>
            <w:tcW w:w="1080" w:type="dxa"/>
            <w:vAlign w:val="bottom"/>
          </w:tcPr>
          <w:p>
            <w:pPr>
              <w:jc w:val="center"/>
              <w:spacing w:after="0" w:line="141" w:lineRule="exact"/>
              <w:rPr>
                <w:sz w:val="20"/>
                <w:szCs w:val="20"/>
                <w:color w:val="auto"/>
              </w:rPr>
            </w:pPr>
            <w:r>
              <w:rPr>
                <w:rFonts w:ascii="Arial" w:cs="Arial" w:eastAsia="Arial" w:hAnsi="Arial"/>
                <w:sz w:val="13"/>
                <w:szCs w:val="13"/>
                <w:color w:val="auto"/>
                <w:w w:val="96"/>
              </w:rPr>
              <w:t>(699,843)</w:t>
            </w:r>
          </w:p>
        </w:tc>
        <w:tc>
          <w:tcPr>
            <w:tcW w:w="1120" w:type="dxa"/>
            <w:vAlign w:val="bottom"/>
          </w:tcPr>
          <w:p>
            <w:pPr>
              <w:jc w:val="center"/>
              <w:spacing w:after="0" w:line="141" w:lineRule="exact"/>
              <w:rPr>
                <w:sz w:val="20"/>
                <w:szCs w:val="20"/>
                <w:color w:val="auto"/>
              </w:rPr>
            </w:pPr>
            <w:r>
              <w:rPr>
                <w:rFonts w:ascii="Arial" w:cs="Arial" w:eastAsia="Arial" w:hAnsi="Arial"/>
                <w:sz w:val="13"/>
                <w:szCs w:val="13"/>
                <w:color w:val="auto"/>
                <w:w w:val="96"/>
              </w:rPr>
              <w:t>(673,952)</w:t>
            </w:r>
          </w:p>
        </w:tc>
        <w:tc>
          <w:tcPr>
            <w:tcW w:w="11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9"/>
              </w:rPr>
              <w:t>(38,573)</w:t>
            </w:r>
          </w:p>
        </w:tc>
        <w:tc>
          <w:tcPr>
            <w:tcW w:w="780" w:type="dxa"/>
            <w:vAlign w:val="bottom"/>
          </w:tcPr>
          <w:p>
            <w:pPr>
              <w:jc w:val="center"/>
              <w:ind w:left="237"/>
              <w:spacing w:after="0" w:line="141" w:lineRule="exact"/>
              <w:rPr>
                <w:sz w:val="20"/>
                <w:szCs w:val="20"/>
                <w:color w:val="auto"/>
              </w:rPr>
            </w:pPr>
            <w:r>
              <w:rPr>
                <w:rFonts w:ascii="Arial" w:cs="Arial" w:eastAsia="Arial" w:hAnsi="Arial"/>
                <w:sz w:val="13"/>
                <w:szCs w:val="13"/>
                <w:color w:val="auto"/>
                <w:w w:val="97"/>
              </w:rPr>
              <w:t>-94.3%</w:t>
            </w:r>
          </w:p>
        </w:tc>
        <w:tc>
          <w:tcPr>
            <w:tcW w:w="1460" w:type="dxa"/>
            <w:vAlign w:val="bottom"/>
            <w:tcBorders>
              <w:right w:val="single" w:sz="8" w:color="auto"/>
            </w:tcBorders>
          </w:tcPr>
          <w:p>
            <w:pPr>
              <w:jc w:val="center"/>
              <w:ind w:left="237"/>
              <w:spacing w:after="0" w:line="141" w:lineRule="exact"/>
              <w:rPr>
                <w:sz w:val="20"/>
                <w:szCs w:val="20"/>
                <w:color w:val="auto"/>
              </w:rPr>
            </w:pPr>
            <w:r>
              <w:rPr>
                <w:rFonts w:ascii="Arial" w:cs="Arial" w:eastAsia="Arial" w:hAnsi="Arial"/>
                <w:sz w:val="13"/>
                <w:szCs w:val="13"/>
                <w:color w:val="auto"/>
                <w:w w:val="97"/>
              </w:rPr>
              <w:t>-94.5%</w:t>
            </w:r>
          </w:p>
        </w:tc>
      </w:tr>
      <w:tr>
        <w:trPr>
          <w:trHeight w:val="129"/>
        </w:trPr>
        <w:tc>
          <w:tcPr>
            <w:tcW w:w="5080" w:type="dxa"/>
            <w:vAlign w:val="bottom"/>
            <w:tcBorders>
              <w:left w:val="single" w:sz="8" w:color="auto"/>
              <w:right w:val="single" w:sz="8" w:color="auto"/>
            </w:tcBorders>
          </w:tcPr>
          <w:p>
            <w:pPr>
              <w:ind w:left="160"/>
              <w:spacing w:after="0" w:line="129" w:lineRule="exact"/>
              <w:rPr>
                <w:sz w:val="20"/>
                <w:szCs w:val="20"/>
                <w:color w:val="auto"/>
              </w:rPr>
            </w:pPr>
            <w:r>
              <w:rPr>
                <w:rFonts w:ascii="Arial" w:cs="Arial" w:eastAsia="Arial" w:hAnsi="Arial"/>
                <w:sz w:val="13"/>
                <w:szCs w:val="13"/>
                <w:color w:val="auto"/>
              </w:rPr>
              <w:t>Subordinated Debt</w:t>
            </w:r>
          </w:p>
        </w:tc>
        <w:tc>
          <w:tcPr>
            <w:tcW w:w="1080" w:type="dxa"/>
            <w:vAlign w:val="bottom"/>
          </w:tcPr>
          <w:p>
            <w:pPr>
              <w:jc w:val="center"/>
              <w:spacing w:after="0" w:line="129" w:lineRule="exact"/>
              <w:rPr>
                <w:sz w:val="20"/>
                <w:szCs w:val="20"/>
                <w:color w:val="auto"/>
              </w:rPr>
            </w:pPr>
            <w:r>
              <w:rPr>
                <w:rFonts w:ascii="Arial" w:cs="Arial" w:eastAsia="Arial" w:hAnsi="Arial"/>
                <w:sz w:val="13"/>
                <w:szCs w:val="13"/>
                <w:color w:val="auto"/>
                <w:w w:val="96"/>
              </w:rPr>
              <w:t>5,733,691</w:t>
            </w:r>
          </w:p>
        </w:tc>
        <w:tc>
          <w:tcPr>
            <w:tcW w:w="1120" w:type="dxa"/>
            <w:vAlign w:val="bottom"/>
          </w:tcPr>
          <w:p>
            <w:pPr>
              <w:jc w:val="center"/>
              <w:spacing w:after="0" w:line="129" w:lineRule="exact"/>
              <w:rPr>
                <w:sz w:val="20"/>
                <w:szCs w:val="20"/>
                <w:color w:val="auto"/>
              </w:rPr>
            </w:pPr>
            <w:r>
              <w:rPr>
                <w:rFonts w:ascii="Arial" w:cs="Arial" w:eastAsia="Arial" w:hAnsi="Arial"/>
                <w:sz w:val="13"/>
                <w:szCs w:val="13"/>
                <w:color w:val="auto"/>
                <w:w w:val="96"/>
              </w:rPr>
              <w:t>8,047,314</w:t>
            </w:r>
          </w:p>
        </w:tc>
        <w:tc>
          <w:tcPr>
            <w:tcW w:w="11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6"/>
              </w:rPr>
              <w:t>7,892,454</w:t>
            </w:r>
          </w:p>
        </w:tc>
        <w:tc>
          <w:tcPr>
            <w:tcW w:w="780" w:type="dxa"/>
            <w:vAlign w:val="bottom"/>
          </w:tcPr>
          <w:p>
            <w:pPr>
              <w:jc w:val="center"/>
              <w:ind w:left="257"/>
              <w:spacing w:after="0" w:line="129" w:lineRule="exact"/>
              <w:rPr>
                <w:sz w:val="20"/>
                <w:szCs w:val="20"/>
                <w:color w:val="auto"/>
              </w:rPr>
            </w:pPr>
            <w:r>
              <w:rPr>
                <w:rFonts w:ascii="Arial" w:cs="Arial" w:eastAsia="Arial" w:hAnsi="Arial"/>
                <w:sz w:val="13"/>
                <w:szCs w:val="13"/>
                <w:color w:val="auto"/>
                <w:w w:val="99"/>
              </w:rPr>
              <w:t>-1.9%</w:t>
            </w:r>
          </w:p>
        </w:tc>
        <w:tc>
          <w:tcPr>
            <w:tcW w:w="1460" w:type="dxa"/>
            <w:vAlign w:val="bottom"/>
            <w:tcBorders>
              <w:right w:val="single" w:sz="8" w:color="auto"/>
            </w:tcBorders>
          </w:tcPr>
          <w:p>
            <w:pPr>
              <w:jc w:val="center"/>
              <w:ind w:left="237"/>
              <w:spacing w:after="0" w:line="129" w:lineRule="exact"/>
              <w:rPr>
                <w:sz w:val="20"/>
                <w:szCs w:val="20"/>
                <w:color w:val="auto"/>
              </w:rPr>
            </w:pPr>
            <w:r>
              <w:rPr>
                <w:rFonts w:ascii="Arial" w:cs="Arial" w:eastAsia="Arial" w:hAnsi="Arial"/>
                <w:sz w:val="13"/>
                <w:szCs w:val="13"/>
                <w:color w:val="auto"/>
                <w:w w:val="97"/>
              </w:rPr>
              <w:t>37.7%</w:t>
            </w:r>
          </w:p>
        </w:tc>
      </w:tr>
      <w:tr>
        <w:trPr>
          <w:trHeight w:val="135"/>
        </w:trPr>
        <w:tc>
          <w:tcPr>
            <w:tcW w:w="508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0"/>
                <w:szCs w:val="10"/>
                <w:color w:val="auto"/>
              </w:rPr>
              <w:t xml:space="preserve">Loan loss reserves </w:t>
            </w:r>
            <w:r>
              <w:rPr>
                <w:rFonts w:ascii="Arial" w:cs="Arial" w:eastAsia="Arial" w:hAnsi="Arial"/>
                <w:sz w:val="15"/>
                <w:szCs w:val="15"/>
                <w:color w:val="auto"/>
                <w:vertAlign w:val="superscript"/>
              </w:rPr>
              <w:t>(5)</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6"/>
              </w:rPr>
              <w:t>1,946,564</w:t>
            </w: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96"/>
              </w:rPr>
              <w:t>2,033,379</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1,972,285</w:t>
            </w:r>
          </w:p>
        </w:tc>
        <w:tc>
          <w:tcPr>
            <w:tcW w:w="78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99"/>
              </w:rPr>
              <w:t>-3.0%</w:t>
            </w:r>
          </w:p>
        </w:tc>
        <w:tc>
          <w:tcPr>
            <w:tcW w:w="1460" w:type="dxa"/>
            <w:vAlign w:val="bottom"/>
            <w:tcBorders>
              <w:right w:val="single" w:sz="8" w:color="auto"/>
            </w:tcBorders>
          </w:tcPr>
          <w:p>
            <w:pPr>
              <w:jc w:val="center"/>
              <w:ind w:left="237"/>
              <w:spacing w:after="0" w:line="135" w:lineRule="exact"/>
              <w:rPr>
                <w:sz w:val="20"/>
                <w:szCs w:val="20"/>
                <w:color w:val="auto"/>
              </w:rPr>
            </w:pPr>
            <w:r>
              <w:rPr>
                <w:rFonts w:ascii="Arial" w:cs="Arial" w:eastAsia="Arial" w:hAnsi="Arial"/>
                <w:sz w:val="13"/>
                <w:szCs w:val="13"/>
                <w:color w:val="auto"/>
                <w:w w:val="94"/>
              </w:rPr>
              <w:t>1.3%</w:t>
            </w:r>
          </w:p>
        </w:tc>
      </w:tr>
      <w:tr>
        <w:trPr>
          <w:trHeight w:val="159"/>
        </w:trPr>
        <w:tc>
          <w:tcPr>
            <w:tcW w:w="5080" w:type="dxa"/>
            <w:vAlign w:val="bottom"/>
            <w:tcBorders>
              <w:left w:val="single" w:sz="8" w:color="auto"/>
              <w:bottom w:val="single" w:sz="8" w:color="auto"/>
              <w:right w:val="single" w:sz="8" w:color="auto"/>
            </w:tcBorders>
          </w:tcPr>
          <w:p>
            <w:pPr>
              <w:ind w:left="160"/>
              <w:spacing w:after="0" w:line="159" w:lineRule="exact"/>
              <w:rPr>
                <w:sz w:val="20"/>
                <w:szCs w:val="20"/>
                <w:color w:val="auto"/>
              </w:rPr>
            </w:pPr>
            <w:r>
              <w:rPr>
                <w:rFonts w:ascii="Arial" w:cs="Arial" w:eastAsia="Arial" w:hAnsi="Arial"/>
                <w:sz w:val="12"/>
                <w:szCs w:val="12"/>
                <w:color w:val="auto"/>
              </w:rPr>
              <w:t xml:space="preserve">Deductions in Tier 2 instruments </w:t>
            </w:r>
            <w:r>
              <w:rPr>
                <w:rFonts w:ascii="Arial" w:cs="Arial" w:eastAsia="Arial" w:hAnsi="Arial"/>
                <w:sz w:val="18"/>
                <w:szCs w:val="18"/>
                <w:color w:val="auto"/>
                <w:vertAlign w:val="superscript"/>
              </w:rPr>
              <w:t>(6)</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(945,603)</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(1,322,352)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(751,236)</w:t>
            </w:r>
          </w:p>
        </w:tc>
        <w:tc>
          <w:tcPr>
            <w:tcW w:w="780" w:type="dxa"/>
            <w:vAlign w:val="bottom"/>
            <w:tcBorders>
              <w:bottom w:val="single" w:sz="8" w:color="auto"/>
            </w:tcBorders>
          </w:tcPr>
          <w:p>
            <w:pPr>
              <w:jc w:val="center"/>
              <w:ind w:left="237"/>
              <w:spacing w:after="0"/>
              <w:rPr>
                <w:sz w:val="20"/>
                <w:szCs w:val="20"/>
                <w:color w:val="auto"/>
              </w:rPr>
            </w:pPr>
            <w:r>
              <w:rPr>
                <w:rFonts w:ascii="Arial" w:cs="Arial" w:eastAsia="Arial" w:hAnsi="Arial"/>
                <w:sz w:val="13"/>
                <w:szCs w:val="13"/>
                <w:color w:val="auto"/>
                <w:w w:val="97"/>
              </w:rPr>
              <w:t>-43.2%</w:t>
            </w:r>
          </w:p>
        </w:tc>
        <w:tc>
          <w:tcPr>
            <w:tcW w:w="1460" w:type="dxa"/>
            <w:vAlign w:val="bottom"/>
            <w:tcBorders>
              <w:bottom w:val="single" w:sz="8" w:color="auto"/>
              <w:right w:val="single" w:sz="8" w:color="auto"/>
            </w:tcBorders>
          </w:tcPr>
          <w:p>
            <w:pPr>
              <w:jc w:val="center"/>
              <w:ind w:left="237"/>
              <w:spacing w:after="0"/>
              <w:rPr>
                <w:sz w:val="20"/>
                <w:szCs w:val="20"/>
                <w:color w:val="auto"/>
              </w:rPr>
            </w:pPr>
            <w:r>
              <w:rPr>
                <w:rFonts w:ascii="Arial" w:cs="Arial" w:eastAsia="Arial" w:hAnsi="Arial"/>
                <w:sz w:val="13"/>
                <w:szCs w:val="13"/>
                <w:color w:val="auto"/>
                <w:w w:val="97"/>
              </w:rPr>
              <w:t>-20.6%</w:t>
            </w:r>
          </w:p>
        </w:tc>
      </w:tr>
      <w:tr>
        <w:trPr>
          <w:trHeight w:val="129"/>
        </w:trPr>
        <w:tc>
          <w:tcPr>
            <w:tcW w:w="508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Total Regulatory Capital (A)</w:t>
            </w:r>
          </w:p>
        </w:tc>
        <w:tc>
          <w:tcPr>
            <w:tcW w:w="10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33,026,785</w:t>
            </w:r>
          </w:p>
        </w:tc>
        <w:tc>
          <w:tcPr>
            <w:tcW w:w="11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40,010,790</w:t>
            </w:r>
          </w:p>
        </w:tc>
        <w:tc>
          <w:tcPr>
            <w:tcW w:w="11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42,236,587</w:t>
            </w:r>
          </w:p>
        </w:tc>
        <w:tc>
          <w:tcPr>
            <w:tcW w:w="780" w:type="dxa"/>
            <w:vAlign w:val="bottom"/>
            <w:tcBorders>
              <w:bottom w:val="single" w:sz="8" w:color="auto"/>
            </w:tcBorders>
          </w:tcPr>
          <w:p>
            <w:pPr>
              <w:jc w:val="center"/>
              <w:ind w:left="257"/>
              <w:spacing w:after="0" w:line="129" w:lineRule="exact"/>
              <w:rPr>
                <w:sz w:val="20"/>
                <w:szCs w:val="20"/>
                <w:color w:val="auto"/>
              </w:rPr>
            </w:pPr>
            <w:r>
              <w:rPr>
                <w:rFonts w:ascii="Arial" w:cs="Arial" w:eastAsia="Arial" w:hAnsi="Arial"/>
                <w:sz w:val="13"/>
                <w:szCs w:val="13"/>
                <w:b w:val="1"/>
                <w:bCs w:val="1"/>
                <w:color w:val="auto"/>
              </w:rPr>
              <w:t>5.6%</w:t>
            </w:r>
          </w:p>
        </w:tc>
        <w:tc>
          <w:tcPr>
            <w:tcW w:w="1460" w:type="dxa"/>
            <w:vAlign w:val="bottom"/>
            <w:tcBorders>
              <w:bottom w:val="single" w:sz="8" w:color="auto"/>
              <w:right w:val="single" w:sz="8" w:color="auto"/>
            </w:tcBorders>
          </w:tcPr>
          <w:p>
            <w:pPr>
              <w:jc w:val="center"/>
              <w:ind w:left="237"/>
              <w:spacing w:after="0" w:line="129" w:lineRule="exact"/>
              <w:rPr>
                <w:sz w:val="20"/>
                <w:szCs w:val="20"/>
                <w:color w:val="auto"/>
              </w:rPr>
            </w:pPr>
            <w:r>
              <w:rPr>
                <w:rFonts w:ascii="Arial" w:cs="Arial" w:eastAsia="Arial" w:hAnsi="Arial"/>
                <w:sz w:val="13"/>
                <w:szCs w:val="13"/>
                <w:b w:val="1"/>
                <w:bCs w:val="1"/>
                <w:color w:val="auto"/>
                <w:w w:val="97"/>
              </w:rPr>
              <w:t>27.9%</w:t>
            </w:r>
          </w:p>
        </w:tc>
      </w:tr>
      <w:tr>
        <w:trPr>
          <w:trHeight w:val="128"/>
        </w:trPr>
        <w:tc>
          <w:tcPr>
            <w:tcW w:w="508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Total Regulatory Common Equity Tier 1 Capital (B)</w:t>
            </w:r>
          </w:p>
        </w:tc>
        <w:tc>
          <w:tcPr>
            <w:tcW w:w="10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26,292,132</w:t>
            </w:r>
          </w:p>
        </w:tc>
        <w:tc>
          <w:tcPr>
            <w:tcW w:w="11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31,252,448</w:t>
            </w:r>
          </w:p>
        </w:tc>
        <w:tc>
          <w:tcPr>
            <w:tcW w:w="11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33,123,084</w:t>
            </w:r>
          </w:p>
        </w:tc>
        <w:tc>
          <w:tcPr>
            <w:tcW w:w="780" w:type="dxa"/>
            <w:vAlign w:val="bottom"/>
            <w:tcBorders>
              <w:bottom w:val="single" w:sz="8" w:color="auto"/>
            </w:tcBorders>
          </w:tcPr>
          <w:p>
            <w:pPr>
              <w:jc w:val="center"/>
              <w:ind w:left="257"/>
              <w:spacing w:after="0" w:line="129" w:lineRule="exact"/>
              <w:rPr>
                <w:sz w:val="20"/>
                <w:szCs w:val="20"/>
                <w:color w:val="auto"/>
              </w:rPr>
            </w:pPr>
            <w:r>
              <w:rPr>
                <w:rFonts w:ascii="Arial" w:cs="Arial" w:eastAsia="Arial" w:hAnsi="Arial"/>
                <w:sz w:val="13"/>
                <w:szCs w:val="13"/>
                <w:b w:val="1"/>
                <w:bCs w:val="1"/>
                <w:color w:val="auto"/>
              </w:rPr>
              <w:t>6.0%</w:t>
            </w:r>
          </w:p>
        </w:tc>
        <w:tc>
          <w:tcPr>
            <w:tcW w:w="1460" w:type="dxa"/>
            <w:vAlign w:val="bottom"/>
            <w:tcBorders>
              <w:bottom w:val="single" w:sz="8" w:color="auto"/>
              <w:right w:val="single" w:sz="8" w:color="auto"/>
            </w:tcBorders>
          </w:tcPr>
          <w:p>
            <w:pPr>
              <w:jc w:val="center"/>
              <w:ind w:left="237"/>
              <w:spacing w:after="0" w:line="129" w:lineRule="exact"/>
              <w:rPr>
                <w:sz w:val="20"/>
                <w:szCs w:val="20"/>
                <w:color w:val="auto"/>
              </w:rPr>
            </w:pPr>
            <w:r>
              <w:rPr>
                <w:rFonts w:ascii="Arial" w:cs="Arial" w:eastAsia="Arial" w:hAnsi="Arial"/>
                <w:sz w:val="13"/>
                <w:szCs w:val="13"/>
                <w:b w:val="1"/>
                <w:bCs w:val="1"/>
                <w:color w:val="auto"/>
                <w:w w:val="97"/>
              </w:rPr>
              <w:t>26.0%</w:t>
            </w:r>
          </w:p>
        </w:tc>
      </w:tr>
      <w:tr>
        <w:trPr>
          <w:trHeight w:val="128"/>
        </w:trPr>
        <w:tc>
          <w:tcPr>
            <w:tcW w:w="508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Total Regulatory Tier 1 Capital (C)</w:t>
            </w:r>
          </w:p>
        </w:tc>
        <w:tc>
          <w:tcPr>
            <w:tcW w:w="10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26,292,132</w:t>
            </w:r>
          </w:p>
        </w:tc>
        <w:tc>
          <w:tcPr>
            <w:tcW w:w="11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31,252,448</w:t>
            </w:r>
          </w:p>
        </w:tc>
        <w:tc>
          <w:tcPr>
            <w:tcW w:w="11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33,123,084</w:t>
            </w:r>
          </w:p>
        </w:tc>
        <w:tc>
          <w:tcPr>
            <w:tcW w:w="780" w:type="dxa"/>
            <w:vAlign w:val="bottom"/>
            <w:tcBorders>
              <w:bottom w:val="single" w:sz="8" w:color="auto"/>
            </w:tcBorders>
          </w:tcPr>
          <w:p>
            <w:pPr>
              <w:jc w:val="center"/>
              <w:ind w:left="257"/>
              <w:spacing w:after="0" w:line="129" w:lineRule="exact"/>
              <w:rPr>
                <w:sz w:val="20"/>
                <w:szCs w:val="20"/>
                <w:color w:val="auto"/>
              </w:rPr>
            </w:pPr>
            <w:r>
              <w:rPr>
                <w:rFonts w:ascii="Arial" w:cs="Arial" w:eastAsia="Arial" w:hAnsi="Arial"/>
                <w:sz w:val="13"/>
                <w:szCs w:val="13"/>
                <w:b w:val="1"/>
                <w:bCs w:val="1"/>
                <w:color w:val="auto"/>
              </w:rPr>
              <w:t>6.0%</w:t>
            </w:r>
          </w:p>
        </w:tc>
        <w:tc>
          <w:tcPr>
            <w:tcW w:w="1460" w:type="dxa"/>
            <w:vAlign w:val="bottom"/>
            <w:tcBorders>
              <w:bottom w:val="single" w:sz="8" w:color="auto"/>
              <w:right w:val="single" w:sz="8" w:color="auto"/>
            </w:tcBorders>
          </w:tcPr>
          <w:p>
            <w:pPr>
              <w:jc w:val="center"/>
              <w:ind w:left="237"/>
              <w:spacing w:after="0" w:line="129" w:lineRule="exact"/>
              <w:rPr>
                <w:sz w:val="20"/>
                <w:szCs w:val="20"/>
                <w:color w:val="auto"/>
              </w:rPr>
            </w:pPr>
            <w:r>
              <w:rPr>
                <w:rFonts w:ascii="Arial" w:cs="Arial" w:eastAsia="Arial" w:hAnsi="Arial"/>
                <w:sz w:val="13"/>
                <w:szCs w:val="13"/>
                <w:b w:val="1"/>
                <w:bCs w:val="1"/>
                <w:color w:val="auto"/>
                <w:w w:val="97"/>
              </w:rPr>
              <w:t>26.0%</w:t>
            </w:r>
          </w:p>
        </w:tc>
      </w:tr>
      <w:tr>
        <w:trPr>
          <w:trHeight w:val="128"/>
        </w:trPr>
        <w:tc>
          <w:tcPr>
            <w:tcW w:w="508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Total Regulatory Capital Requirement (D)</w:t>
            </w:r>
          </w:p>
        </w:tc>
        <w:tc>
          <w:tcPr>
            <w:tcW w:w="10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5"/>
              </w:rPr>
              <w:t>25,901,090</w:t>
            </w:r>
          </w:p>
        </w:tc>
        <w:tc>
          <w:tcPr>
            <w:tcW w:w="11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8"/>
              </w:rPr>
              <w:t>29,124,775</w:t>
            </w:r>
          </w:p>
        </w:tc>
        <w:tc>
          <w:tcPr>
            <w:tcW w:w="11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8"/>
              </w:rPr>
              <w:t>30,571,363</w:t>
            </w:r>
          </w:p>
        </w:tc>
        <w:tc>
          <w:tcPr>
            <w:tcW w:w="780" w:type="dxa"/>
            <w:vAlign w:val="bottom"/>
            <w:tcBorders>
              <w:bottom w:val="single" w:sz="8" w:color="auto"/>
            </w:tcBorders>
          </w:tcPr>
          <w:p>
            <w:pPr>
              <w:jc w:val="center"/>
              <w:ind w:left="257"/>
              <w:spacing w:after="0" w:line="129" w:lineRule="exact"/>
              <w:rPr>
                <w:sz w:val="20"/>
                <w:szCs w:val="20"/>
                <w:color w:val="auto"/>
              </w:rPr>
            </w:pPr>
            <w:r>
              <w:rPr>
                <w:rFonts w:ascii="Arial" w:cs="Arial" w:eastAsia="Arial" w:hAnsi="Arial"/>
                <w:sz w:val="13"/>
                <w:szCs w:val="13"/>
                <w:b w:val="1"/>
                <w:bCs w:val="1"/>
                <w:color w:val="auto"/>
              </w:rPr>
              <w:t>5.0%</w:t>
            </w:r>
          </w:p>
        </w:tc>
        <w:tc>
          <w:tcPr>
            <w:tcW w:w="1460" w:type="dxa"/>
            <w:vAlign w:val="bottom"/>
            <w:tcBorders>
              <w:bottom w:val="single" w:sz="8" w:color="auto"/>
              <w:right w:val="single" w:sz="8" w:color="auto"/>
            </w:tcBorders>
          </w:tcPr>
          <w:p>
            <w:pPr>
              <w:jc w:val="center"/>
              <w:ind w:left="237"/>
              <w:spacing w:after="0" w:line="129" w:lineRule="exact"/>
              <w:rPr>
                <w:sz w:val="20"/>
                <w:szCs w:val="20"/>
                <w:color w:val="auto"/>
              </w:rPr>
            </w:pPr>
            <w:r>
              <w:rPr>
                <w:rFonts w:ascii="Arial" w:cs="Arial" w:eastAsia="Arial" w:hAnsi="Arial"/>
                <w:sz w:val="13"/>
                <w:szCs w:val="13"/>
                <w:b w:val="1"/>
                <w:bCs w:val="1"/>
                <w:color w:val="auto"/>
                <w:w w:val="97"/>
              </w:rPr>
              <w:t>18.0%</w:t>
            </w:r>
          </w:p>
        </w:tc>
      </w:tr>
      <w:tr>
        <w:trPr>
          <w:trHeight w:val="128"/>
        </w:trPr>
        <w:tc>
          <w:tcPr>
            <w:tcW w:w="508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Total Regulatory Common Equity Tier 1 Capital Requirement (E)</w:t>
            </w:r>
          </w:p>
        </w:tc>
        <w:tc>
          <w:tcPr>
            <w:tcW w:w="10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5"/>
              </w:rPr>
              <w:t>13,351,145</w:t>
            </w:r>
          </w:p>
        </w:tc>
        <w:tc>
          <w:tcPr>
            <w:tcW w:w="11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8"/>
              </w:rPr>
              <w:t>15,445,079</w:t>
            </w:r>
          </w:p>
        </w:tc>
        <w:tc>
          <w:tcPr>
            <w:tcW w:w="11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8"/>
              </w:rPr>
              <w:t>15,997,614</w:t>
            </w:r>
          </w:p>
        </w:tc>
        <w:tc>
          <w:tcPr>
            <w:tcW w:w="780" w:type="dxa"/>
            <w:vAlign w:val="bottom"/>
            <w:tcBorders>
              <w:bottom w:val="single" w:sz="8" w:color="auto"/>
            </w:tcBorders>
          </w:tcPr>
          <w:p>
            <w:pPr>
              <w:jc w:val="center"/>
              <w:ind w:left="257"/>
              <w:spacing w:after="0" w:line="129" w:lineRule="exact"/>
              <w:rPr>
                <w:sz w:val="20"/>
                <w:szCs w:val="20"/>
                <w:color w:val="auto"/>
              </w:rPr>
            </w:pPr>
            <w:r>
              <w:rPr>
                <w:rFonts w:ascii="Arial" w:cs="Arial" w:eastAsia="Arial" w:hAnsi="Arial"/>
                <w:sz w:val="13"/>
                <w:szCs w:val="13"/>
                <w:b w:val="1"/>
                <w:bCs w:val="1"/>
                <w:color w:val="auto"/>
              </w:rPr>
              <w:t>3.6%</w:t>
            </w:r>
          </w:p>
        </w:tc>
        <w:tc>
          <w:tcPr>
            <w:tcW w:w="1460" w:type="dxa"/>
            <w:vAlign w:val="bottom"/>
            <w:tcBorders>
              <w:bottom w:val="single" w:sz="8" w:color="auto"/>
              <w:right w:val="single" w:sz="8" w:color="auto"/>
            </w:tcBorders>
          </w:tcPr>
          <w:p>
            <w:pPr>
              <w:jc w:val="center"/>
              <w:ind w:left="237"/>
              <w:spacing w:after="0" w:line="129" w:lineRule="exact"/>
              <w:rPr>
                <w:sz w:val="20"/>
                <w:szCs w:val="20"/>
                <w:color w:val="auto"/>
              </w:rPr>
            </w:pPr>
            <w:r>
              <w:rPr>
                <w:rFonts w:ascii="Arial" w:cs="Arial" w:eastAsia="Arial" w:hAnsi="Arial"/>
                <w:sz w:val="13"/>
                <w:szCs w:val="13"/>
                <w:b w:val="1"/>
                <w:bCs w:val="1"/>
                <w:color w:val="auto"/>
                <w:w w:val="97"/>
              </w:rPr>
              <w:t>19.8%</w:t>
            </w:r>
          </w:p>
        </w:tc>
      </w:tr>
      <w:tr>
        <w:trPr>
          <w:trHeight w:val="128"/>
        </w:trPr>
        <w:tc>
          <w:tcPr>
            <w:tcW w:w="508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Total Regulatory Tier 1 Capital Requirement (F)</w:t>
            </w:r>
          </w:p>
        </w:tc>
        <w:tc>
          <w:tcPr>
            <w:tcW w:w="10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5"/>
              </w:rPr>
              <w:t>16,336,793</w:t>
            </w:r>
          </w:p>
        </w:tc>
        <w:tc>
          <w:tcPr>
            <w:tcW w:w="11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8"/>
              </w:rPr>
              <w:t>18,681,850</w:t>
            </w:r>
          </w:p>
        </w:tc>
        <w:tc>
          <w:tcPr>
            <w:tcW w:w="11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8"/>
              </w:rPr>
              <w:t>19,424,645</w:t>
            </w:r>
          </w:p>
        </w:tc>
        <w:tc>
          <w:tcPr>
            <w:tcW w:w="780" w:type="dxa"/>
            <w:vAlign w:val="bottom"/>
            <w:tcBorders>
              <w:bottom w:val="single" w:sz="8" w:color="auto"/>
            </w:tcBorders>
          </w:tcPr>
          <w:p>
            <w:pPr>
              <w:jc w:val="center"/>
              <w:ind w:left="257"/>
              <w:spacing w:after="0" w:line="129" w:lineRule="exact"/>
              <w:rPr>
                <w:sz w:val="20"/>
                <w:szCs w:val="20"/>
                <w:color w:val="auto"/>
              </w:rPr>
            </w:pPr>
            <w:r>
              <w:rPr>
                <w:rFonts w:ascii="Arial" w:cs="Arial" w:eastAsia="Arial" w:hAnsi="Arial"/>
                <w:sz w:val="13"/>
                <w:szCs w:val="13"/>
                <w:b w:val="1"/>
                <w:bCs w:val="1"/>
                <w:color w:val="auto"/>
              </w:rPr>
              <w:t>4.0%</w:t>
            </w:r>
          </w:p>
        </w:tc>
        <w:tc>
          <w:tcPr>
            <w:tcW w:w="1460" w:type="dxa"/>
            <w:vAlign w:val="bottom"/>
            <w:tcBorders>
              <w:bottom w:val="single" w:sz="8" w:color="auto"/>
              <w:right w:val="single" w:sz="8" w:color="auto"/>
            </w:tcBorders>
          </w:tcPr>
          <w:p>
            <w:pPr>
              <w:jc w:val="center"/>
              <w:ind w:left="237"/>
              <w:spacing w:after="0" w:line="129" w:lineRule="exact"/>
              <w:rPr>
                <w:sz w:val="20"/>
                <w:szCs w:val="20"/>
                <w:color w:val="auto"/>
              </w:rPr>
            </w:pPr>
            <w:r>
              <w:rPr>
                <w:rFonts w:ascii="Arial" w:cs="Arial" w:eastAsia="Arial" w:hAnsi="Arial"/>
                <w:sz w:val="13"/>
                <w:szCs w:val="13"/>
                <w:b w:val="1"/>
                <w:bCs w:val="1"/>
                <w:color w:val="auto"/>
                <w:w w:val="97"/>
              </w:rPr>
              <w:t>18.9%</w:t>
            </w:r>
          </w:p>
        </w:tc>
      </w:tr>
      <w:tr>
        <w:trPr>
          <w:trHeight w:val="129"/>
        </w:trPr>
        <w:tc>
          <w:tcPr>
            <w:tcW w:w="508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Regulatory Capital Ratio (A) / (D)</w:t>
            </w:r>
          </w:p>
        </w:tc>
        <w:tc>
          <w:tcPr>
            <w:tcW w:w="10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128%</w:t>
            </w:r>
          </w:p>
        </w:tc>
        <w:tc>
          <w:tcPr>
            <w:tcW w:w="11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137%</w:t>
            </w:r>
          </w:p>
        </w:tc>
        <w:tc>
          <w:tcPr>
            <w:tcW w:w="11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138%</w:t>
            </w:r>
          </w:p>
        </w:tc>
        <w:tc>
          <w:tcPr>
            <w:tcW w:w="780" w:type="dxa"/>
            <w:vAlign w:val="bottom"/>
            <w:tcBorders>
              <w:bottom w:val="single" w:sz="8" w:color="auto"/>
            </w:tcBorders>
          </w:tcPr>
          <w:p>
            <w:pPr>
              <w:jc w:val="center"/>
              <w:ind w:left="257"/>
              <w:spacing w:after="0" w:line="129" w:lineRule="exact"/>
              <w:rPr>
                <w:sz w:val="20"/>
                <w:szCs w:val="20"/>
                <w:color w:val="auto"/>
              </w:rPr>
            </w:pPr>
            <w:r>
              <w:rPr>
                <w:rFonts w:ascii="Arial" w:cs="Arial" w:eastAsia="Arial" w:hAnsi="Arial"/>
                <w:sz w:val="13"/>
                <w:szCs w:val="13"/>
                <w:b w:val="1"/>
                <w:bCs w:val="1"/>
                <w:color w:val="auto"/>
                <w:w w:val="99"/>
              </w:rPr>
              <w:t>78 pp</w:t>
            </w:r>
          </w:p>
        </w:tc>
        <w:tc>
          <w:tcPr>
            <w:tcW w:w="1460" w:type="dxa"/>
            <w:vAlign w:val="bottom"/>
            <w:tcBorders>
              <w:bottom w:val="single" w:sz="8" w:color="auto"/>
              <w:right w:val="single" w:sz="8" w:color="auto"/>
            </w:tcBorders>
          </w:tcPr>
          <w:p>
            <w:pPr>
              <w:jc w:val="center"/>
              <w:ind w:left="257"/>
              <w:spacing w:after="0" w:line="129" w:lineRule="exact"/>
              <w:rPr>
                <w:sz w:val="20"/>
                <w:szCs w:val="20"/>
                <w:color w:val="auto"/>
              </w:rPr>
            </w:pPr>
            <w:r>
              <w:rPr>
                <w:rFonts w:ascii="Arial" w:cs="Arial" w:eastAsia="Arial" w:hAnsi="Arial"/>
                <w:sz w:val="13"/>
                <w:szCs w:val="13"/>
                <w:b w:val="1"/>
                <w:bCs w:val="1"/>
                <w:color w:val="auto"/>
                <w:w w:val="96"/>
              </w:rPr>
              <w:t>1065 bps</w:t>
            </w:r>
          </w:p>
        </w:tc>
      </w:tr>
      <w:tr>
        <w:trPr>
          <w:trHeight w:val="128"/>
        </w:trPr>
        <w:tc>
          <w:tcPr>
            <w:tcW w:w="508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Regulatory Common Equity Tier 1 Capital Ratio (B) / (E)</w:t>
            </w:r>
          </w:p>
        </w:tc>
        <w:tc>
          <w:tcPr>
            <w:tcW w:w="10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197%</w:t>
            </w:r>
          </w:p>
        </w:tc>
        <w:tc>
          <w:tcPr>
            <w:tcW w:w="11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202%</w:t>
            </w:r>
          </w:p>
        </w:tc>
        <w:tc>
          <w:tcPr>
            <w:tcW w:w="11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207%</w:t>
            </w:r>
          </w:p>
        </w:tc>
        <w:tc>
          <w:tcPr>
            <w:tcW w:w="780" w:type="dxa"/>
            <w:vAlign w:val="bottom"/>
            <w:tcBorders>
              <w:bottom w:val="single" w:sz="8" w:color="auto"/>
            </w:tcBorders>
          </w:tcPr>
          <w:p>
            <w:pPr>
              <w:jc w:val="center"/>
              <w:ind w:left="237"/>
              <w:spacing w:after="0" w:line="129" w:lineRule="exact"/>
              <w:rPr>
                <w:sz w:val="20"/>
                <w:szCs w:val="20"/>
                <w:color w:val="auto"/>
              </w:rPr>
            </w:pPr>
            <w:r>
              <w:rPr>
                <w:rFonts w:ascii="Arial" w:cs="Arial" w:eastAsia="Arial" w:hAnsi="Arial"/>
                <w:sz w:val="13"/>
                <w:szCs w:val="13"/>
                <w:b w:val="1"/>
                <w:bCs w:val="1"/>
                <w:color w:val="auto"/>
                <w:w w:val="97"/>
              </w:rPr>
              <w:t>470 pp</w:t>
            </w:r>
          </w:p>
        </w:tc>
        <w:tc>
          <w:tcPr>
            <w:tcW w:w="1460" w:type="dxa"/>
            <w:vAlign w:val="bottom"/>
            <w:tcBorders>
              <w:bottom w:val="single" w:sz="8" w:color="auto"/>
              <w:right w:val="single" w:sz="8" w:color="auto"/>
            </w:tcBorders>
          </w:tcPr>
          <w:p>
            <w:pPr>
              <w:jc w:val="center"/>
              <w:ind w:left="257"/>
              <w:spacing w:after="0" w:line="129" w:lineRule="exact"/>
              <w:rPr>
                <w:sz w:val="20"/>
                <w:szCs w:val="20"/>
                <w:color w:val="auto"/>
              </w:rPr>
            </w:pPr>
            <w:r>
              <w:rPr>
                <w:rFonts w:ascii="Arial" w:cs="Arial" w:eastAsia="Arial" w:hAnsi="Arial"/>
                <w:sz w:val="13"/>
                <w:szCs w:val="13"/>
                <w:b w:val="1"/>
                <w:bCs w:val="1"/>
                <w:color w:val="auto"/>
                <w:w w:val="96"/>
              </w:rPr>
              <w:t>1012 bps</w:t>
            </w:r>
          </w:p>
        </w:tc>
      </w:tr>
      <w:tr>
        <w:trPr>
          <w:trHeight w:val="128"/>
        </w:trPr>
        <w:tc>
          <w:tcPr>
            <w:tcW w:w="508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Regulatory Tier 1 Capital Ratio (C) / (F)</w:t>
            </w:r>
          </w:p>
        </w:tc>
        <w:tc>
          <w:tcPr>
            <w:tcW w:w="10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161%</w:t>
            </w:r>
          </w:p>
        </w:tc>
        <w:tc>
          <w:tcPr>
            <w:tcW w:w="11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167%</w:t>
            </w:r>
          </w:p>
        </w:tc>
        <w:tc>
          <w:tcPr>
            <w:tcW w:w="11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171%</w:t>
            </w:r>
          </w:p>
        </w:tc>
        <w:tc>
          <w:tcPr>
            <w:tcW w:w="780" w:type="dxa"/>
            <w:vAlign w:val="bottom"/>
            <w:tcBorders>
              <w:bottom w:val="single" w:sz="8" w:color="auto"/>
            </w:tcBorders>
          </w:tcPr>
          <w:p>
            <w:pPr>
              <w:jc w:val="center"/>
              <w:ind w:left="237"/>
              <w:spacing w:after="0" w:line="129" w:lineRule="exact"/>
              <w:rPr>
                <w:sz w:val="20"/>
                <w:szCs w:val="20"/>
                <w:color w:val="auto"/>
              </w:rPr>
            </w:pPr>
            <w:r>
              <w:rPr>
                <w:rFonts w:ascii="Arial" w:cs="Arial" w:eastAsia="Arial" w:hAnsi="Arial"/>
                <w:sz w:val="13"/>
                <w:szCs w:val="13"/>
                <w:b w:val="1"/>
                <w:bCs w:val="1"/>
                <w:color w:val="auto"/>
                <w:w w:val="97"/>
              </w:rPr>
              <w:t>323 pp</w:t>
            </w:r>
          </w:p>
        </w:tc>
        <w:tc>
          <w:tcPr>
            <w:tcW w:w="1460" w:type="dxa"/>
            <w:vAlign w:val="bottom"/>
            <w:tcBorders>
              <w:bottom w:val="single" w:sz="8" w:color="auto"/>
              <w:right w:val="single" w:sz="8" w:color="auto"/>
            </w:tcBorders>
          </w:tcPr>
          <w:p>
            <w:pPr>
              <w:jc w:val="center"/>
              <w:ind w:left="237"/>
              <w:spacing w:after="0" w:line="129" w:lineRule="exact"/>
              <w:rPr>
                <w:sz w:val="20"/>
                <w:szCs w:val="20"/>
                <w:color w:val="auto"/>
              </w:rPr>
            </w:pPr>
            <w:r>
              <w:rPr>
                <w:rFonts w:ascii="Arial" w:cs="Arial" w:eastAsia="Arial" w:hAnsi="Arial"/>
                <w:sz w:val="13"/>
                <w:szCs w:val="13"/>
                <w:b w:val="1"/>
                <w:bCs w:val="1"/>
                <w:color w:val="auto"/>
                <w:w w:val="99"/>
              </w:rPr>
              <w:t>958 bps</w:t>
            </w:r>
          </w:p>
        </w:tc>
      </w:tr>
    </w:tbl>
    <w:p>
      <w:pPr>
        <w:spacing w:after="0" w:line="181" w:lineRule="exact"/>
        <w:rPr>
          <w:sz w:val="20"/>
          <w:szCs w:val="20"/>
          <w:color w:val="auto"/>
        </w:rPr>
      </w:pPr>
    </w:p>
    <w:p>
      <w:pPr>
        <w:ind w:left="1000" w:hanging="182"/>
        <w:spacing w:after="0"/>
        <w:tabs>
          <w:tab w:leader="none" w:pos="10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Earnings include Banco de Crédito del Perú and Mibanco Perú. Losses include all subsidiaries.</w:t>
      </w:r>
    </w:p>
    <w:p>
      <w:pPr>
        <w:spacing w:after="0" w:line="51" w:lineRule="exact"/>
        <w:rPr>
          <w:rFonts w:ascii="Arial" w:cs="Arial" w:eastAsia="Arial" w:hAnsi="Arial"/>
          <w:sz w:val="12"/>
          <w:szCs w:val="12"/>
          <w:color w:val="auto"/>
        </w:rPr>
      </w:pPr>
    </w:p>
    <w:p>
      <w:pPr>
        <w:ind w:left="1000" w:hanging="182"/>
        <w:spacing w:after="0"/>
        <w:tabs>
          <w:tab w:leader="none" w:pos="10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Gains include Investment Grade Government Bonds and Peruvian Central Bank Certificates of Deposits. Losses include all bonds.</w:t>
      </w:r>
    </w:p>
    <w:p>
      <w:pPr>
        <w:spacing w:after="0" w:line="51" w:lineRule="exact"/>
        <w:rPr>
          <w:rFonts w:ascii="Arial" w:cs="Arial" w:eastAsia="Arial" w:hAnsi="Arial"/>
          <w:sz w:val="12"/>
          <w:szCs w:val="12"/>
          <w:color w:val="auto"/>
        </w:rPr>
      </w:pPr>
    </w:p>
    <w:p>
      <w:pPr>
        <w:ind w:left="1000" w:hanging="182"/>
        <w:spacing w:after="0"/>
        <w:tabs>
          <w:tab w:leader="none" w:pos="10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Different to Goodwill. Includes Diferred Tax Assets.</w:t>
      </w:r>
    </w:p>
    <w:p>
      <w:pPr>
        <w:spacing w:after="0" w:line="51" w:lineRule="exact"/>
        <w:rPr>
          <w:rFonts w:ascii="Arial" w:cs="Arial" w:eastAsia="Arial" w:hAnsi="Arial"/>
          <w:sz w:val="12"/>
          <w:szCs w:val="12"/>
          <w:color w:val="auto"/>
        </w:rPr>
      </w:pPr>
    </w:p>
    <w:p>
      <w:pPr>
        <w:ind w:left="1000" w:hanging="182"/>
        <w:spacing w:after="0"/>
        <w:tabs>
          <w:tab w:leader="none" w:pos="10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Investments in Equity.</w:t>
      </w:r>
    </w:p>
    <w:p>
      <w:pPr>
        <w:spacing w:after="0" w:line="51" w:lineRule="exact"/>
        <w:rPr>
          <w:rFonts w:ascii="Arial" w:cs="Arial" w:eastAsia="Arial" w:hAnsi="Arial"/>
          <w:sz w:val="12"/>
          <w:szCs w:val="12"/>
          <w:color w:val="auto"/>
        </w:rPr>
      </w:pPr>
    </w:p>
    <w:p>
      <w:pPr>
        <w:ind w:left="1000" w:hanging="182"/>
        <w:spacing w:after="0"/>
        <w:tabs>
          <w:tab w:leader="none" w:pos="10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Up to 1.25% of total risk-weighted assets of Banco de Crédito del Perú, Solución Empresa Administradora Hipotecaria, Mibanco and Atlantic Security Bank.</w:t>
      </w:r>
    </w:p>
    <w:p>
      <w:pPr>
        <w:spacing w:after="0" w:line="51" w:lineRule="exact"/>
        <w:rPr>
          <w:rFonts w:ascii="Arial" w:cs="Arial" w:eastAsia="Arial" w:hAnsi="Arial"/>
          <w:sz w:val="12"/>
          <w:szCs w:val="12"/>
          <w:color w:val="auto"/>
        </w:rPr>
      </w:pPr>
    </w:p>
    <w:p>
      <w:pPr>
        <w:ind w:left="1000" w:hanging="182"/>
        <w:spacing w:after="0"/>
        <w:tabs>
          <w:tab w:leader="none" w:pos="10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Investments in Tier 2 Subordinated Debt.</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57" w:name="page58"/>
    <w:bookmarkEnd w:id="57"/>
    <w:p>
      <w:pPr>
        <w:ind w:left="2420"/>
        <w:spacing w:after="0"/>
        <w:tabs>
          <w:tab w:leader="none" w:pos="2660" w:val="left"/>
          <w:tab w:leader="none" w:pos="73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158115</wp:posOffset>
            </wp:positionV>
            <wp:extent cx="71323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Regulatory and Capital Adequacy Ratios at BCP Stand-alone</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4660" w:type="dxa"/>
            <w:vAlign w:val="bottom"/>
            <w:tcBorders>
              <w:top w:val="single" w:sz="8" w:color="auto"/>
              <w:left w:val="single" w:sz="8" w:color="auto"/>
              <w:right w:val="single" w:sz="8" w:color="auto"/>
            </w:tcBorders>
            <w:shd w:val="clear" w:color="auto" w:fill="33CCCC"/>
          </w:tcPr>
          <w:p>
            <w:pPr>
              <w:spacing w:after="0" w:line="131" w:lineRule="exact"/>
              <w:rPr>
                <w:sz w:val="20"/>
                <w:szCs w:val="20"/>
                <w:color w:val="auto"/>
              </w:rPr>
            </w:pPr>
            <w:r>
              <w:rPr>
                <w:rFonts w:ascii="Arial" w:cs="Arial" w:eastAsia="Arial" w:hAnsi="Arial"/>
                <w:sz w:val="13"/>
                <w:szCs w:val="13"/>
                <w:b w:val="1"/>
                <w:bCs w:val="1"/>
                <w:color w:val="FFFFFF"/>
              </w:rPr>
              <w:t>Regulatory Capital</w:t>
            </w:r>
          </w:p>
        </w:tc>
        <w:tc>
          <w:tcPr>
            <w:tcW w:w="1280" w:type="dxa"/>
            <w:vAlign w:val="bottom"/>
            <w:tcBorders>
              <w:top w:val="single" w:sz="8" w:color="auto"/>
            </w:tcBorders>
            <w:shd w:val="clear" w:color="auto" w:fill="33CCCC"/>
          </w:tcPr>
          <w:p>
            <w:pPr>
              <w:spacing w:after="0"/>
              <w:rPr>
                <w:sz w:val="11"/>
                <w:szCs w:val="11"/>
                <w:color w:val="auto"/>
              </w:rPr>
            </w:pPr>
          </w:p>
        </w:tc>
        <w:tc>
          <w:tcPr>
            <w:tcW w:w="1320" w:type="dxa"/>
            <w:vAlign w:val="bottom"/>
            <w:tcBorders>
              <w:top w:val="single" w:sz="8" w:color="auto"/>
            </w:tcBorders>
            <w:shd w:val="clear" w:color="auto" w:fill="33CCCC"/>
          </w:tcPr>
          <w:p>
            <w:pPr>
              <w:jc w:val="center"/>
              <w:spacing w:after="0" w:line="131" w:lineRule="exact"/>
              <w:rPr>
                <w:sz w:val="20"/>
                <w:szCs w:val="20"/>
                <w:color w:val="auto"/>
              </w:rPr>
            </w:pPr>
            <w:r>
              <w:rPr>
                <w:rFonts w:ascii="Arial" w:cs="Arial" w:eastAsia="Arial" w:hAnsi="Arial"/>
                <w:sz w:val="13"/>
                <w:szCs w:val="13"/>
                <w:b w:val="1"/>
                <w:bCs w:val="1"/>
                <w:color w:val="FFFFFF"/>
                <w:w w:val="98"/>
              </w:rPr>
              <w:t>As of</w:t>
            </w:r>
          </w:p>
        </w:tc>
        <w:tc>
          <w:tcPr>
            <w:tcW w:w="1340" w:type="dxa"/>
            <w:vAlign w:val="bottom"/>
            <w:tcBorders>
              <w:top w:val="single" w:sz="8" w:color="auto"/>
              <w:right w:val="single" w:sz="8" w:color="auto"/>
            </w:tcBorders>
            <w:shd w:val="clear" w:color="auto" w:fill="33CCCC"/>
          </w:tcPr>
          <w:p>
            <w:pPr>
              <w:spacing w:after="0"/>
              <w:rPr>
                <w:sz w:val="11"/>
                <w:szCs w:val="11"/>
                <w:color w:val="auto"/>
              </w:rPr>
            </w:pPr>
          </w:p>
        </w:tc>
        <w:tc>
          <w:tcPr>
            <w:tcW w:w="2060" w:type="dxa"/>
            <w:vAlign w:val="bottom"/>
            <w:tcBorders>
              <w:top w:val="single" w:sz="8" w:color="auto"/>
              <w:right w:val="single" w:sz="8" w:color="auto"/>
            </w:tcBorders>
            <w:gridSpan w:val="2"/>
            <w:shd w:val="clear" w:color="auto" w:fill="33CCCC"/>
          </w:tcPr>
          <w:p>
            <w:pPr>
              <w:ind w:left="720"/>
              <w:spacing w:after="0" w:line="131" w:lineRule="exact"/>
              <w:rPr>
                <w:sz w:val="20"/>
                <w:szCs w:val="20"/>
                <w:color w:val="auto"/>
              </w:rPr>
            </w:pPr>
            <w:r>
              <w:rPr>
                <w:rFonts w:ascii="Arial" w:cs="Arial" w:eastAsia="Arial" w:hAnsi="Arial"/>
                <w:sz w:val="13"/>
                <w:szCs w:val="13"/>
                <w:b w:val="1"/>
                <w:bCs w:val="1"/>
                <w:color w:val="FFFFFF"/>
              </w:rPr>
              <w:t>Change %</w:t>
            </w:r>
          </w:p>
        </w:tc>
        <w:tc>
          <w:tcPr>
            <w:tcW w:w="0" w:type="dxa"/>
            <w:vAlign w:val="bottom"/>
          </w:tcPr>
          <w:p>
            <w:pPr>
              <w:spacing w:after="0"/>
              <w:rPr>
                <w:sz w:val="1"/>
                <w:szCs w:val="1"/>
                <w:color w:val="auto"/>
              </w:rPr>
            </w:pPr>
          </w:p>
        </w:tc>
      </w:tr>
      <w:tr>
        <w:trPr>
          <w:trHeight w:val="153"/>
        </w:trPr>
        <w:tc>
          <w:tcPr>
            <w:tcW w:w="4660" w:type="dxa"/>
            <w:vAlign w:val="bottom"/>
            <w:tcBorders>
              <w:left w:val="single" w:sz="8" w:color="auto"/>
              <w:bottom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3"/>
                <w:szCs w:val="13"/>
                <w:color w:val="FFFFFF"/>
              </w:rPr>
              <w:t>(S/ thousand)</w:t>
            </w:r>
          </w:p>
        </w:tc>
        <w:tc>
          <w:tcPr>
            <w:tcW w:w="1280" w:type="dxa"/>
            <w:vAlign w:val="bottom"/>
            <w:tcBorders>
              <w:bottom w:val="single" w:sz="8" w:color="auto"/>
            </w:tcBorders>
            <w:shd w:val="clear" w:color="auto" w:fill="33CCCC"/>
          </w:tcPr>
          <w:p>
            <w:pPr>
              <w:ind w:left="440"/>
              <w:spacing w:after="0"/>
              <w:rPr>
                <w:sz w:val="20"/>
                <w:szCs w:val="20"/>
                <w:color w:val="auto"/>
              </w:rPr>
            </w:pPr>
            <w:r>
              <w:rPr>
                <w:rFonts w:ascii="Arial" w:cs="Arial" w:eastAsia="Arial" w:hAnsi="Arial"/>
                <w:sz w:val="13"/>
                <w:szCs w:val="13"/>
                <w:b w:val="1"/>
                <w:bCs w:val="1"/>
                <w:color w:val="FFFFFF"/>
              </w:rPr>
              <w:t>Mar 24</w:t>
            </w:r>
          </w:p>
        </w:tc>
        <w:tc>
          <w:tcPr>
            <w:tcW w:w="13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5"/>
              </w:rPr>
              <w:t>Dec 24</w:t>
            </w:r>
          </w:p>
        </w:tc>
        <w:tc>
          <w:tcPr>
            <w:tcW w:w="134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Mar 25</w:t>
            </w:r>
          </w:p>
        </w:tc>
        <w:tc>
          <w:tcPr>
            <w:tcW w:w="10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4"/>
              </w:rPr>
              <w:t>YoY</w:t>
            </w:r>
          </w:p>
        </w:tc>
        <w:tc>
          <w:tcPr>
            <w:tcW w:w="0" w:type="dxa"/>
            <w:vAlign w:val="bottom"/>
          </w:tcPr>
          <w:p>
            <w:pPr>
              <w:spacing w:after="0"/>
              <w:rPr>
                <w:sz w:val="1"/>
                <w:szCs w:val="1"/>
                <w:color w:val="auto"/>
              </w:rPr>
            </w:pPr>
          </w:p>
        </w:tc>
      </w:tr>
      <w:tr>
        <w:trPr>
          <w:trHeight w:val="111"/>
        </w:trPr>
        <w:tc>
          <w:tcPr>
            <w:tcW w:w="4660" w:type="dxa"/>
            <w:vAlign w:val="bottom"/>
            <w:tcBorders>
              <w:left w:val="single" w:sz="8" w:color="auto"/>
              <w:right w:val="single" w:sz="8" w:color="auto"/>
            </w:tcBorders>
          </w:tcPr>
          <w:p>
            <w:pPr>
              <w:ind w:left="160"/>
              <w:spacing w:after="0" w:line="111" w:lineRule="exact"/>
              <w:rPr>
                <w:sz w:val="20"/>
                <w:szCs w:val="20"/>
                <w:color w:val="auto"/>
              </w:rPr>
            </w:pPr>
            <w:r>
              <w:rPr>
                <w:rFonts w:ascii="Arial" w:cs="Arial" w:eastAsia="Arial" w:hAnsi="Arial"/>
                <w:sz w:val="12"/>
                <w:szCs w:val="12"/>
                <w:color w:val="auto"/>
              </w:rPr>
              <w:t>Capital Stock</w:t>
            </w:r>
          </w:p>
        </w:tc>
        <w:tc>
          <w:tcPr>
            <w:tcW w:w="1280" w:type="dxa"/>
            <w:vAlign w:val="bottom"/>
          </w:tcPr>
          <w:p>
            <w:pPr>
              <w:jc w:val="center"/>
              <w:spacing w:after="0" w:line="111" w:lineRule="exact"/>
              <w:rPr>
                <w:sz w:val="20"/>
                <w:szCs w:val="20"/>
                <w:color w:val="auto"/>
              </w:rPr>
            </w:pPr>
            <w:r>
              <w:rPr>
                <w:rFonts w:ascii="Arial" w:cs="Arial" w:eastAsia="Arial" w:hAnsi="Arial"/>
                <w:sz w:val="12"/>
                <w:szCs w:val="12"/>
                <w:color w:val="auto"/>
              </w:rPr>
              <w:t>12,973,175</w:t>
            </w:r>
          </w:p>
        </w:tc>
        <w:tc>
          <w:tcPr>
            <w:tcW w:w="1320" w:type="dxa"/>
            <w:vAlign w:val="bottom"/>
          </w:tcPr>
          <w:p>
            <w:pPr>
              <w:jc w:val="center"/>
              <w:spacing w:after="0" w:line="111" w:lineRule="exact"/>
              <w:rPr>
                <w:sz w:val="20"/>
                <w:szCs w:val="20"/>
                <w:color w:val="auto"/>
              </w:rPr>
            </w:pPr>
            <w:r>
              <w:rPr>
                <w:rFonts w:ascii="Arial" w:cs="Arial" w:eastAsia="Arial" w:hAnsi="Arial"/>
                <w:sz w:val="12"/>
                <w:szCs w:val="12"/>
                <w:color w:val="auto"/>
              </w:rPr>
              <w:t>12,973,175</w:t>
            </w:r>
          </w:p>
        </w:tc>
        <w:tc>
          <w:tcPr>
            <w:tcW w:w="13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12,973,175</w:t>
            </w:r>
          </w:p>
        </w:tc>
        <w:tc>
          <w:tcPr>
            <w:tcW w:w="1020" w:type="dxa"/>
            <w:vAlign w:val="bottom"/>
          </w:tcPr>
          <w:p>
            <w:pPr>
              <w:jc w:val="center"/>
              <w:spacing w:after="0" w:line="111" w:lineRule="exact"/>
              <w:rPr>
                <w:sz w:val="20"/>
                <w:szCs w:val="20"/>
                <w:color w:val="auto"/>
              </w:rPr>
            </w:pPr>
            <w:r>
              <w:rPr>
                <w:rFonts w:ascii="Arial" w:cs="Arial" w:eastAsia="Arial" w:hAnsi="Arial"/>
                <w:sz w:val="12"/>
                <w:szCs w:val="12"/>
                <w:color w:val="auto"/>
              </w:rPr>
              <w:t>0.0%</w:t>
            </w:r>
          </w:p>
        </w:tc>
        <w:tc>
          <w:tcPr>
            <w:tcW w:w="10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35"/>
        </w:trPr>
        <w:tc>
          <w:tcPr>
            <w:tcW w:w="466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Reserves</w:t>
            </w:r>
          </w:p>
        </w:tc>
        <w:tc>
          <w:tcPr>
            <w:tcW w:w="1280" w:type="dxa"/>
            <w:vAlign w:val="bottom"/>
          </w:tcPr>
          <w:p>
            <w:pPr>
              <w:jc w:val="center"/>
              <w:spacing w:after="0" w:line="135" w:lineRule="exact"/>
              <w:rPr>
                <w:sz w:val="20"/>
                <w:szCs w:val="20"/>
                <w:color w:val="auto"/>
              </w:rPr>
            </w:pPr>
            <w:r>
              <w:rPr>
                <w:rFonts w:ascii="Arial" w:cs="Arial" w:eastAsia="Arial" w:hAnsi="Arial"/>
                <w:sz w:val="13"/>
                <w:szCs w:val="13"/>
                <w:color w:val="auto"/>
                <w:w w:val="96"/>
              </w:rPr>
              <w:t>6,590,921</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6"/>
              </w:rPr>
              <w:t>6,124,302</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6,124,302</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0.0%</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-7.1%</w:t>
            </w:r>
          </w:p>
        </w:tc>
        <w:tc>
          <w:tcPr>
            <w:tcW w:w="0" w:type="dxa"/>
            <w:vAlign w:val="bottom"/>
          </w:tcPr>
          <w:p>
            <w:pPr>
              <w:spacing w:after="0"/>
              <w:rPr>
                <w:sz w:val="1"/>
                <w:szCs w:val="1"/>
                <w:color w:val="auto"/>
              </w:rPr>
            </w:pPr>
          </w:p>
        </w:tc>
      </w:tr>
      <w:tr>
        <w:trPr>
          <w:trHeight w:val="129"/>
        </w:trPr>
        <w:tc>
          <w:tcPr>
            <w:tcW w:w="4660" w:type="dxa"/>
            <w:vAlign w:val="bottom"/>
            <w:tcBorders>
              <w:left w:val="single" w:sz="8" w:color="auto"/>
              <w:right w:val="single" w:sz="8" w:color="auto"/>
            </w:tcBorders>
          </w:tcPr>
          <w:p>
            <w:pPr>
              <w:ind w:left="160"/>
              <w:spacing w:after="0" w:line="129" w:lineRule="exact"/>
              <w:rPr>
                <w:sz w:val="20"/>
                <w:szCs w:val="20"/>
                <w:color w:val="auto"/>
              </w:rPr>
            </w:pPr>
            <w:r>
              <w:rPr>
                <w:rFonts w:ascii="Arial" w:cs="Arial" w:eastAsia="Arial" w:hAnsi="Arial"/>
                <w:sz w:val="13"/>
                <w:szCs w:val="13"/>
                <w:color w:val="auto"/>
              </w:rPr>
              <w:t>Accumulated earnings</w:t>
            </w:r>
          </w:p>
        </w:tc>
        <w:tc>
          <w:tcPr>
            <w:tcW w:w="1280" w:type="dxa"/>
            <w:vAlign w:val="bottom"/>
          </w:tcPr>
          <w:p>
            <w:pPr>
              <w:jc w:val="center"/>
              <w:spacing w:after="0" w:line="129" w:lineRule="exact"/>
              <w:rPr>
                <w:sz w:val="20"/>
                <w:szCs w:val="20"/>
                <w:color w:val="auto"/>
              </w:rPr>
            </w:pPr>
            <w:r>
              <w:rPr>
                <w:rFonts w:ascii="Arial" w:cs="Arial" w:eastAsia="Arial" w:hAnsi="Arial"/>
                <w:sz w:val="13"/>
                <w:szCs w:val="13"/>
                <w:color w:val="auto"/>
                <w:w w:val="96"/>
              </w:rPr>
              <w:t>2,644,894</w:t>
            </w:r>
          </w:p>
        </w:tc>
        <w:tc>
          <w:tcPr>
            <w:tcW w:w="1320" w:type="dxa"/>
            <w:vAlign w:val="bottom"/>
          </w:tcPr>
          <w:p>
            <w:pPr>
              <w:jc w:val="center"/>
              <w:spacing w:after="0" w:line="129" w:lineRule="exact"/>
              <w:rPr>
                <w:sz w:val="20"/>
                <w:szCs w:val="20"/>
                <w:color w:val="auto"/>
              </w:rPr>
            </w:pPr>
            <w:r>
              <w:rPr>
                <w:rFonts w:ascii="Arial" w:cs="Arial" w:eastAsia="Arial" w:hAnsi="Arial"/>
                <w:sz w:val="13"/>
                <w:szCs w:val="13"/>
                <w:color w:val="auto"/>
                <w:w w:val="96"/>
              </w:rPr>
              <w:t>6,589,252</w:t>
            </w:r>
          </w:p>
        </w:tc>
        <w:tc>
          <w:tcPr>
            <w:tcW w:w="13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6"/>
              </w:rPr>
              <w:t>3,418,149</w:t>
            </w:r>
          </w:p>
        </w:tc>
        <w:tc>
          <w:tcPr>
            <w:tcW w:w="1020" w:type="dxa"/>
            <w:vAlign w:val="bottom"/>
          </w:tcPr>
          <w:p>
            <w:pPr>
              <w:jc w:val="center"/>
              <w:spacing w:after="0" w:line="129" w:lineRule="exact"/>
              <w:rPr>
                <w:sz w:val="20"/>
                <w:szCs w:val="20"/>
                <w:color w:val="auto"/>
              </w:rPr>
            </w:pPr>
            <w:r>
              <w:rPr>
                <w:rFonts w:ascii="Arial" w:cs="Arial" w:eastAsia="Arial" w:hAnsi="Arial"/>
                <w:sz w:val="13"/>
                <w:szCs w:val="13"/>
                <w:color w:val="auto"/>
                <w:w w:val="97"/>
              </w:rPr>
              <w:t>-48.1%</w:t>
            </w:r>
          </w:p>
        </w:tc>
        <w:tc>
          <w:tcPr>
            <w:tcW w:w="10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7"/>
              </w:rPr>
              <w:t>29.2%</w:t>
            </w:r>
          </w:p>
        </w:tc>
        <w:tc>
          <w:tcPr>
            <w:tcW w:w="0" w:type="dxa"/>
            <w:vAlign w:val="bottom"/>
          </w:tcPr>
          <w:p>
            <w:pPr>
              <w:spacing w:after="0"/>
              <w:rPr>
                <w:sz w:val="1"/>
                <w:szCs w:val="1"/>
                <w:color w:val="auto"/>
              </w:rPr>
            </w:pPr>
          </w:p>
        </w:tc>
      </w:tr>
      <w:tr>
        <w:trPr>
          <w:trHeight w:val="141"/>
        </w:trPr>
        <w:tc>
          <w:tcPr>
            <w:tcW w:w="4660" w:type="dxa"/>
            <w:vAlign w:val="bottom"/>
            <w:tcBorders>
              <w:left w:val="single" w:sz="8" w:color="auto"/>
              <w:right w:val="single" w:sz="8" w:color="auto"/>
            </w:tcBorders>
          </w:tcPr>
          <w:p>
            <w:pPr>
              <w:ind w:left="160"/>
              <w:spacing w:after="0" w:line="141" w:lineRule="exact"/>
              <w:rPr>
                <w:sz w:val="20"/>
                <w:szCs w:val="20"/>
                <w:color w:val="auto"/>
              </w:rPr>
            </w:pPr>
            <w:r>
              <w:rPr>
                <w:rFonts w:ascii="Arial" w:cs="Arial" w:eastAsia="Arial" w:hAnsi="Arial"/>
                <w:sz w:val="10"/>
                <w:szCs w:val="10"/>
                <w:color w:val="auto"/>
              </w:rPr>
              <w:t xml:space="preserve">Loan loss reserves </w:t>
            </w:r>
            <w:r>
              <w:rPr>
                <w:rFonts w:ascii="Arial" w:cs="Arial" w:eastAsia="Arial" w:hAnsi="Arial"/>
                <w:sz w:val="16"/>
                <w:szCs w:val="16"/>
                <w:color w:val="auto"/>
                <w:vertAlign w:val="superscript"/>
              </w:rPr>
              <w:t>(1)</w:t>
            </w:r>
          </w:p>
        </w:tc>
        <w:tc>
          <w:tcPr>
            <w:tcW w:w="1280" w:type="dxa"/>
            <w:vAlign w:val="bottom"/>
          </w:tcPr>
          <w:p>
            <w:pPr>
              <w:jc w:val="center"/>
              <w:spacing w:after="0" w:line="141" w:lineRule="exact"/>
              <w:rPr>
                <w:sz w:val="20"/>
                <w:szCs w:val="20"/>
                <w:color w:val="auto"/>
              </w:rPr>
            </w:pPr>
            <w:r>
              <w:rPr>
                <w:rFonts w:ascii="Arial" w:cs="Arial" w:eastAsia="Arial" w:hAnsi="Arial"/>
                <w:sz w:val="13"/>
                <w:szCs w:val="13"/>
                <w:color w:val="auto"/>
                <w:w w:val="96"/>
              </w:rPr>
              <w:t>1,662,636</w:t>
            </w:r>
          </w:p>
        </w:tc>
        <w:tc>
          <w:tcPr>
            <w:tcW w:w="1320" w:type="dxa"/>
            <w:vAlign w:val="bottom"/>
          </w:tcPr>
          <w:p>
            <w:pPr>
              <w:jc w:val="center"/>
              <w:spacing w:after="0" w:line="141" w:lineRule="exact"/>
              <w:rPr>
                <w:sz w:val="20"/>
                <w:szCs w:val="20"/>
                <w:color w:val="auto"/>
              </w:rPr>
            </w:pPr>
            <w:r>
              <w:rPr>
                <w:rFonts w:ascii="Arial" w:cs="Arial" w:eastAsia="Arial" w:hAnsi="Arial"/>
                <w:sz w:val="13"/>
                <w:szCs w:val="13"/>
                <w:color w:val="auto"/>
                <w:w w:val="96"/>
              </w:rPr>
              <w:t>1,757,256</w:t>
            </w:r>
          </w:p>
        </w:tc>
        <w:tc>
          <w:tcPr>
            <w:tcW w:w="13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6"/>
              </w:rPr>
              <w:t>1,740,158</w:t>
            </w:r>
          </w:p>
        </w:tc>
        <w:tc>
          <w:tcPr>
            <w:tcW w:w="1020" w:type="dxa"/>
            <w:vAlign w:val="bottom"/>
          </w:tcPr>
          <w:p>
            <w:pPr>
              <w:jc w:val="center"/>
              <w:spacing w:after="0" w:line="141" w:lineRule="exact"/>
              <w:rPr>
                <w:sz w:val="20"/>
                <w:szCs w:val="20"/>
                <w:color w:val="auto"/>
              </w:rPr>
            </w:pPr>
            <w:r>
              <w:rPr>
                <w:rFonts w:ascii="Arial" w:cs="Arial" w:eastAsia="Arial" w:hAnsi="Arial"/>
                <w:sz w:val="13"/>
                <w:szCs w:val="13"/>
                <w:color w:val="auto"/>
                <w:w w:val="94"/>
              </w:rPr>
              <w:t>-1.0%</w:t>
            </w:r>
          </w:p>
        </w:tc>
        <w:tc>
          <w:tcPr>
            <w:tcW w:w="10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4"/>
              </w:rPr>
              <w:t>4.7%</w:t>
            </w:r>
          </w:p>
        </w:tc>
        <w:tc>
          <w:tcPr>
            <w:tcW w:w="0" w:type="dxa"/>
            <w:vAlign w:val="bottom"/>
          </w:tcPr>
          <w:p>
            <w:pPr>
              <w:spacing w:after="0"/>
              <w:rPr>
                <w:sz w:val="1"/>
                <w:szCs w:val="1"/>
                <w:color w:val="auto"/>
              </w:rPr>
            </w:pPr>
          </w:p>
        </w:tc>
      </w:tr>
      <w:tr>
        <w:trPr>
          <w:trHeight w:val="135"/>
        </w:trPr>
        <w:tc>
          <w:tcPr>
            <w:tcW w:w="466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Subordinated Debt</w:t>
            </w:r>
          </w:p>
        </w:tc>
        <w:tc>
          <w:tcPr>
            <w:tcW w:w="1280" w:type="dxa"/>
            <w:vAlign w:val="bottom"/>
          </w:tcPr>
          <w:p>
            <w:pPr>
              <w:jc w:val="center"/>
              <w:spacing w:after="0" w:line="135" w:lineRule="exact"/>
              <w:rPr>
                <w:sz w:val="20"/>
                <w:szCs w:val="20"/>
                <w:color w:val="auto"/>
              </w:rPr>
            </w:pPr>
            <w:r>
              <w:rPr>
                <w:rFonts w:ascii="Arial" w:cs="Arial" w:eastAsia="Arial" w:hAnsi="Arial"/>
                <w:sz w:val="13"/>
                <w:szCs w:val="13"/>
                <w:color w:val="auto"/>
                <w:w w:val="96"/>
              </w:rPr>
              <w:t>5,019,300</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6"/>
              </w:rPr>
              <w:t>7,339,800</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7,152,600</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-2.6%</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42.5%</w:t>
            </w:r>
          </w:p>
        </w:tc>
        <w:tc>
          <w:tcPr>
            <w:tcW w:w="0" w:type="dxa"/>
            <w:vAlign w:val="bottom"/>
          </w:tcPr>
          <w:p>
            <w:pPr>
              <w:spacing w:after="0"/>
              <w:rPr>
                <w:sz w:val="1"/>
                <w:szCs w:val="1"/>
                <w:color w:val="auto"/>
              </w:rPr>
            </w:pPr>
          </w:p>
        </w:tc>
      </w:tr>
      <w:tr>
        <w:trPr>
          <w:trHeight w:val="135"/>
        </w:trPr>
        <w:tc>
          <w:tcPr>
            <w:tcW w:w="466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Unrealized Profit or Losses</w:t>
            </w:r>
          </w:p>
        </w:tc>
        <w:tc>
          <w:tcPr>
            <w:tcW w:w="1280" w:type="dxa"/>
            <w:vAlign w:val="bottom"/>
          </w:tcPr>
          <w:p>
            <w:pPr>
              <w:jc w:val="center"/>
              <w:spacing w:after="0" w:line="135" w:lineRule="exact"/>
              <w:rPr>
                <w:sz w:val="20"/>
                <w:szCs w:val="20"/>
                <w:color w:val="auto"/>
              </w:rPr>
            </w:pPr>
            <w:r>
              <w:rPr>
                <w:rFonts w:ascii="Arial" w:cs="Arial" w:eastAsia="Arial" w:hAnsi="Arial"/>
                <w:sz w:val="13"/>
                <w:szCs w:val="13"/>
                <w:color w:val="auto"/>
                <w:w w:val="96"/>
              </w:rPr>
              <w:t>(691,921)</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3"/>
              </w:rPr>
              <w:t>(413,658)</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(341,947)</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7"/>
              </w:rPr>
              <w:t>-17.3%</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-50.6%</w:t>
            </w:r>
          </w:p>
        </w:tc>
        <w:tc>
          <w:tcPr>
            <w:tcW w:w="0" w:type="dxa"/>
            <w:vAlign w:val="bottom"/>
          </w:tcPr>
          <w:p>
            <w:pPr>
              <w:spacing w:after="0"/>
              <w:rPr>
                <w:sz w:val="1"/>
                <w:szCs w:val="1"/>
                <w:color w:val="auto"/>
              </w:rPr>
            </w:pPr>
          </w:p>
        </w:tc>
      </w:tr>
      <w:tr>
        <w:trPr>
          <w:trHeight w:val="135"/>
        </w:trPr>
        <w:tc>
          <w:tcPr>
            <w:tcW w:w="466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w w:val="97"/>
              </w:rPr>
              <w:t>Investment in subsidiaries and others, net of unrealized profit and net income in</w:t>
            </w:r>
          </w:p>
        </w:tc>
        <w:tc>
          <w:tcPr>
            <w:tcW w:w="1280" w:type="dxa"/>
            <w:vAlign w:val="bottom"/>
          </w:tcPr>
          <w:p>
            <w:pPr>
              <w:jc w:val="center"/>
              <w:spacing w:after="0" w:line="135" w:lineRule="exact"/>
              <w:rPr>
                <w:sz w:val="20"/>
                <w:szCs w:val="20"/>
                <w:color w:val="auto"/>
              </w:rPr>
            </w:pPr>
            <w:r>
              <w:rPr>
                <w:rFonts w:ascii="Arial" w:cs="Arial" w:eastAsia="Arial" w:hAnsi="Arial"/>
                <w:sz w:val="13"/>
                <w:szCs w:val="13"/>
                <w:color w:val="auto"/>
                <w:w w:val="96"/>
              </w:rPr>
              <w:t>(2,416,070)</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6"/>
              </w:rPr>
              <w:t>(2,477,732)</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(2,310,402)</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-6.8%</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-4.4%</w:t>
            </w:r>
          </w:p>
        </w:tc>
        <w:tc>
          <w:tcPr>
            <w:tcW w:w="0" w:type="dxa"/>
            <w:vAlign w:val="bottom"/>
          </w:tcPr>
          <w:p>
            <w:pPr>
              <w:spacing w:after="0"/>
              <w:rPr>
                <w:sz w:val="1"/>
                <w:szCs w:val="1"/>
                <w:color w:val="auto"/>
              </w:rPr>
            </w:pPr>
          </w:p>
        </w:tc>
      </w:tr>
      <w:tr>
        <w:trPr>
          <w:trHeight w:val="144"/>
        </w:trPr>
        <w:tc>
          <w:tcPr>
            <w:tcW w:w="4660" w:type="dxa"/>
            <w:vAlign w:val="bottom"/>
            <w:tcBorders>
              <w:left w:val="single" w:sz="8" w:color="auto"/>
              <w:right w:val="single" w:sz="8" w:color="auto"/>
            </w:tcBorders>
          </w:tcPr>
          <w:p>
            <w:pPr>
              <w:ind w:left="160"/>
              <w:spacing w:after="0" w:line="144" w:lineRule="exact"/>
              <w:rPr>
                <w:sz w:val="20"/>
                <w:szCs w:val="20"/>
                <w:color w:val="auto"/>
              </w:rPr>
            </w:pPr>
            <w:r>
              <w:rPr>
                <w:rFonts w:ascii="Arial" w:cs="Arial" w:eastAsia="Arial" w:hAnsi="Arial"/>
                <w:sz w:val="13"/>
                <w:szCs w:val="13"/>
                <w:color w:val="auto"/>
              </w:rPr>
              <w:t>subsidiaries</w:t>
            </w:r>
          </w:p>
        </w:tc>
        <w:tc>
          <w:tcPr>
            <w:tcW w:w="1280" w:type="dxa"/>
            <w:vAlign w:val="bottom"/>
            <w:vMerge w:val="restart"/>
          </w:tcPr>
          <w:p>
            <w:pPr>
              <w:jc w:val="center"/>
              <w:spacing w:after="0"/>
              <w:rPr>
                <w:sz w:val="20"/>
                <w:szCs w:val="20"/>
                <w:color w:val="auto"/>
              </w:rPr>
            </w:pPr>
            <w:r>
              <w:rPr>
                <w:rFonts w:ascii="Arial" w:cs="Arial" w:eastAsia="Arial" w:hAnsi="Arial"/>
                <w:sz w:val="13"/>
                <w:szCs w:val="13"/>
                <w:color w:val="auto"/>
                <w:w w:val="96"/>
              </w:rPr>
              <w:t>(1,209,735)</w:t>
            </w:r>
          </w:p>
        </w:tc>
        <w:tc>
          <w:tcPr>
            <w:tcW w:w="1320" w:type="dxa"/>
            <w:vAlign w:val="bottom"/>
            <w:vMerge w:val="restart"/>
          </w:tcPr>
          <w:p>
            <w:pPr>
              <w:jc w:val="center"/>
              <w:spacing w:after="0"/>
              <w:rPr>
                <w:sz w:val="20"/>
                <w:szCs w:val="20"/>
                <w:color w:val="auto"/>
              </w:rPr>
            </w:pPr>
            <w:r>
              <w:rPr>
                <w:rFonts w:ascii="Arial" w:cs="Arial" w:eastAsia="Arial" w:hAnsi="Arial"/>
                <w:sz w:val="13"/>
                <w:szCs w:val="13"/>
                <w:color w:val="auto"/>
                <w:w w:val="96"/>
              </w:rPr>
              <w:t>(1,515,214)</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(1,509,701)</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4"/>
              </w:rPr>
              <w:t>-0.4%</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24.8%</w:t>
            </w:r>
          </w:p>
        </w:tc>
        <w:tc>
          <w:tcPr>
            <w:tcW w:w="0" w:type="dxa"/>
            <w:vAlign w:val="bottom"/>
          </w:tcPr>
          <w:p>
            <w:pPr>
              <w:spacing w:after="0"/>
              <w:rPr>
                <w:sz w:val="1"/>
                <w:szCs w:val="1"/>
                <w:color w:val="auto"/>
              </w:rPr>
            </w:pPr>
          </w:p>
        </w:tc>
      </w:tr>
      <w:tr>
        <w:trPr>
          <w:trHeight w:val="153"/>
        </w:trPr>
        <w:tc>
          <w:tcPr>
            <w:tcW w:w="4660" w:type="dxa"/>
            <w:vAlign w:val="bottom"/>
            <w:tcBorders>
              <w:left w:val="single" w:sz="8" w:color="auto"/>
              <w:right w:val="single" w:sz="8" w:color="auto"/>
            </w:tcBorders>
          </w:tcPr>
          <w:p>
            <w:pPr>
              <w:ind w:left="160"/>
              <w:spacing w:after="0" w:line="153" w:lineRule="exact"/>
              <w:rPr>
                <w:sz w:val="20"/>
                <w:szCs w:val="20"/>
                <w:color w:val="auto"/>
              </w:rPr>
            </w:pPr>
            <w:r>
              <w:rPr>
                <w:rFonts w:ascii="Arial" w:cs="Arial" w:eastAsia="Arial" w:hAnsi="Arial"/>
                <w:sz w:val="14"/>
                <w:szCs w:val="14"/>
                <w:color w:val="auto"/>
              </w:rPr>
              <w:t>Intangibles</w:t>
            </w: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340" w:type="dxa"/>
            <w:vAlign w:val="bottom"/>
            <w:tcBorders>
              <w:right w:val="single" w:sz="8" w:color="auto"/>
            </w:tcBorders>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0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Goodwill</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(122,083)</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(122,083)</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(122,083)</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0.0%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0.0%</w:t>
            </w:r>
          </w:p>
        </w:tc>
        <w:tc>
          <w:tcPr>
            <w:tcW w:w="0" w:type="dxa"/>
            <w:vAlign w:val="bottom"/>
          </w:tcPr>
          <w:p>
            <w:pPr>
              <w:spacing w:after="0"/>
              <w:rPr>
                <w:sz w:val="1"/>
                <w:szCs w:val="1"/>
                <w:color w:val="auto"/>
              </w:rPr>
            </w:pPr>
          </w:p>
        </w:tc>
      </w:tr>
      <w:tr>
        <w:trPr>
          <w:trHeight w:val="129"/>
        </w:trPr>
        <w:tc>
          <w:tcPr>
            <w:tcW w:w="466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Total Regulatory Capital</w:t>
            </w:r>
          </w:p>
        </w:tc>
        <w:tc>
          <w:tcPr>
            <w:tcW w:w="12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24,451,116</w:t>
            </w: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30,255,097</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27,124,251</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-10.3%</w:t>
            </w:r>
          </w:p>
        </w:tc>
        <w:tc>
          <w:tcPr>
            <w:tcW w:w="10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10.9%</w:t>
            </w:r>
          </w:p>
        </w:tc>
        <w:tc>
          <w:tcPr>
            <w:tcW w:w="0" w:type="dxa"/>
            <w:vAlign w:val="bottom"/>
          </w:tcPr>
          <w:p>
            <w:pPr>
              <w:spacing w:after="0"/>
              <w:rPr>
                <w:sz w:val="1"/>
                <w:szCs w:val="1"/>
                <w:color w:val="auto"/>
              </w:rPr>
            </w:pPr>
          </w:p>
        </w:tc>
      </w:tr>
      <w:tr>
        <w:trPr>
          <w:trHeight w:val="128"/>
        </w:trPr>
        <w:tc>
          <w:tcPr>
            <w:tcW w:w="466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9"/>
                <w:szCs w:val="9"/>
                <w:b w:val="1"/>
                <w:bCs w:val="1"/>
                <w:color w:val="auto"/>
              </w:rPr>
              <w:t xml:space="preserve">Tier 1 Common Equity </w:t>
            </w:r>
            <w:r>
              <w:rPr>
                <w:rFonts w:ascii="Arial" w:cs="Arial" w:eastAsia="Arial" w:hAnsi="Arial"/>
                <w:sz w:val="14"/>
                <w:szCs w:val="14"/>
                <w:b w:val="1"/>
                <w:bCs w:val="1"/>
                <w:color w:val="auto"/>
                <w:vertAlign w:val="superscript"/>
              </w:rPr>
              <w:t>(2)</w:t>
            </w:r>
          </w:p>
        </w:tc>
        <w:tc>
          <w:tcPr>
            <w:tcW w:w="12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17,769,180</w:t>
            </w: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21,158,042</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18,231,493</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-13.8%</w:t>
            </w:r>
          </w:p>
        </w:tc>
        <w:tc>
          <w:tcPr>
            <w:tcW w:w="10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2.6%</w:t>
            </w:r>
          </w:p>
        </w:tc>
        <w:tc>
          <w:tcPr>
            <w:tcW w:w="0" w:type="dxa"/>
            <w:vAlign w:val="bottom"/>
          </w:tcPr>
          <w:p>
            <w:pPr>
              <w:spacing w:after="0"/>
              <w:rPr>
                <w:sz w:val="1"/>
                <w:szCs w:val="1"/>
                <w:color w:val="auto"/>
              </w:rPr>
            </w:pPr>
          </w:p>
        </w:tc>
      </w:tr>
      <w:tr>
        <w:trPr>
          <w:trHeight w:val="128"/>
        </w:trPr>
        <w:tc>
          <w:tcPr>
            <w:tcW w:w="466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9"/>
                <w:szCs w:val="9"/>
                <w:b w:val="1"/>
                <w:bCs w:val="1"/>
                <w:color w:val="auto"/>
              </w:rPr>
              <w:t xml:space="preserve">Regulatory Tier 1 Capital </w:t>
            </w:r>
            <w:r>
              <w:rPr>
                <w:rFonts w:ascii="Arial" w:cs="Arial" w:eastAsia="Arial" w:hAnsi="Arial"/>
                <w:sz w:val="14"/>
                <w:szCs w:val="14"/>
                <w:b w:val="1"/>
                <w:bCs w:val="1"/>
                <w:color w:val="auto"/>
                <w:vertAlign w:val="superscript"/>
              </w:rPr>
              <w:t>(3)</w:t>
            </w:r>
          </w:p>
        </w:tc>
        <w:tc>
          <w:tcPr>
            <w:tcW w:w="12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17,769,180</w:t>
            </w: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21,158,042</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18,231,493</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-13.8%</w:t>
            </w:r>
          </w:p>
        </w:tc>
        <w:tc>
          <w:tcPr>
            <w:tcW w:w="10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2.6%</w:t>
            </w:r>
          </w:p>
        </w:tc>
        <w:tc>
          <w:tcPr>
            <w:tcW w:w="0" w:type="dxa"/>
            <w:vAlign w:val="bottom"/>
          </w:tcPr>
          <w:p>
            <w:pPr>
              <w:spacing w:after="0"/>
              <w:rPr>
                <w:sz w:val="1"/>
                <w:szCs w:val="1"/>
                <w:color w:val="auto"/>
              </w:rPr>
            </w:pPr>
          </w:p>
        </w:tc>
      </w:tr>
      <w:tr>
        <w:trPr>
          <w:trHeight w:val="128"/>
        </w:trPr>
        <w:tc>
          <w:tcPr>
            <w:tcW w:w="466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9"/>
                <w:szCs w:val="9"/>
                <w:b w:val="1"/>
                <w:bCs w:val="1"/>
                <w:color w:val="auto"/>
              </w:rPr>
              <w:t xml:space="preserve">Regulatory Tier 2 Capital </w:t>
            </w:r>
            <w:r>
              <w:rPr>
                <w:rFonts w:ascii="Arial" w:cs="Arial" w:eastAsia="Arial" w:hAnsi="Arial"/>
                <w:sz w:val="14"/>
                <w:szCs w:val="14"/>
                <w:b w:val="1"/>
                <w:bCs w:val="1"/>
                <w:color w:val="auto"/>
                <w:vertAlign w:val="superscript"/>
              </w:rPr>
              <w:t>(4)</w:t>
            </w:r>
          </w:p>
        </w:tc>
        <w:tc>
          <w:tcPr>
            <w:tcW w:w="12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6,681,936</w:t>
            </w: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9,097,056</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8,892,758</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-2.2%</w:t>
            </w:r>
          </w:p>
        </w:tc>
        <w:tc>
          <w:tcPr>
            <w:tcW w:w="10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33.1%</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660" w:type="dxa"/>
            <w:vAlign w:val="bottom"/>
            <w:tcBorders>
              <w:left w:val="single" w:sz="8" w:color="auto"/>
              <w:right w:val="single" w:sz="8" w:color="auto"/>
            </w:tcBorders>
            <w:shd w:val="clear" w:color="auto" w:fill="33CCCC"/>
          </w:tcPr>
          <w:p>
            <w:pPr>
              <w:spacing w:after="0" w:line="111" w:lineRule="exact"/>
              <w:rPr>
                <w:sz w:val="20"/>
                <w:szCs w:val="20"/>
                <w:color w:val="auto"/>
              </w:rPr>
            </w:pPr>
            <w:r>
              <w:rPr>
                <w:rFonts w:ascii="Arial" w:cs="Arial" w:eastAsia="Arial" w:hAnsi="Arial"/>
                <w:sz w:val="12"/>
                <w:szCs w:val="12"/>
                <w:b w:val="1"/>
                <w:bCs w:val="1"/>
                <w:color w:val="FFFFFF"/>
              </w:rPr>
              <w:t>Total risk-weighted assets</w:t>
            </w:r>
          </w:p>
        </w:tc>
        <w:tc>
          <w:tcPr>
            <w:tcW w:w="1280" w:type="dxa"/>
            <w:vAlign w:val="bottom"/>
            <w:shd w:val="clear" w:color="auto" w:fill="33CCCC"/>
          </w:tcPr>
          <w:p>
            <w:pPr>
              <w:spacing w:after="0"/>
              <w:rPr>
                <w:sz w:val="9"/>
                <w:szCs w:val="9"/>
                <w:color w:val="auto"/>
              </w:rPr>
            </w:pPr>
          </w:p>
        </w:tc>
        <w:tc>
          <w:tcPr>
            <w:tcW w:w="1320" w:type="dxa"/>
            <w:vAlign w:val="bottom"/>
            <w:shd w:val="clear" w:color="auto" w:fill="33CCCC"/>
          </w:tcPr>
          <w:p>
            <w:pPr>
              <w:jc w:val="center"/>
              <w:spacing w:after="0" w:line="111" w:lineRule="exact"/>
              <w:rPr>
                <w:sz w:val="20"/>
                <w:szCs w:val="20"/>
                <w:color w:val="auto"/>
              </w:rPr>
            </w:pPr>
            <w:r>
              <w:rPr>
                <w:rFonts w:ascii="Arial" w:cs="Arial" w:eastAsia="Arial" w:hAnsi="Arial"/>
                <w:sz w:val="12"/>
                <w:szCs w:val="12"/>
                <w:b w:val="1"/>
                <w:bCs w:val="1"/>
                <w:color w:val="FFFFFF"/>
              </w:rPr>
              <w:t>As of</w:t>
            </w:r>
          </w:p>
        </w:tc>
        <w:tc>
          <w:tcPr>
            <w:tcW w:w="1340" w:type="dxa"/>
            <w:vAlign w:val="bottom"/>
            <w:tcBorders>
              <w:right w:val="single" w:sz="8" w:color="auto"/>
            </w:tcBorders>
            <w:shd w:val="clear" w:color="auto" w:fill="33CCCC"/>
          </w:tcPr>
          <w:p>
            <w:pPr>
              <w:spacing w:after="0"/>
              <w:rPr>
                <w:sz w:val="9"/>
                <w:szCs w:val="9"/>
                <w:color w:val="auto"/>
              </w:rPr>
            </w:pPr>
          </w:p>
        </w:tc>
        <w:tc>
          <w:tcPr>
            <w:tcW w:w="2060" w:type="dxa"/>
            <w:vAlign w:val="bottom"/>
            <w:tcBorders>
              <w:right w:val="single" w:sz="8" w:color="auto"/>
            </w:tcBorders>
            <w:gridSpan w:val="2"/>
            <w:shd w:val="clear" w:color="auto" w:fill="33CCCC"/>
          </w:tcPr>
          <w:p>
            <w:pPr>
              <w:ind w:left="720"/>
              <w:spacing w:after="0" w:line="111" w:lineRule="exact"/>
              <w:rPr>
                <w:sz w:val="20"/>
                <w:szCs w:val="20"/>
                <w:color w:val="auto"/>
              </w:rPr>
            </w:pPr>
            <w:r>
              <w:rPr>
                <w:rFonts w:ascii="Arial" w:cs="Arial" w:eastAsia="Arial" w:hAnsi="Arial"/>
                <w:sz w:val="12"/>
                <w:szCs w:val="12"/>
                <w:b w:val="1"/>
                <w:bCs w:val="1"/>
                <w:color w:val="FFFFFF"/>
              </w:rPr>
              <w:t>Change %</w:t>
            </w:r>
          </w:p>
        </w:tc>
        <w:tc>
          <w:tcPr>
            <w:tcW w:w="0" w:type="dxa"/>
            <w:vAlign w:val="bottom"/>
          </w:tcPr>
          <w:p>
            <w:pPr>
              <w:spacing w:after="0"/>
              <w:rPr>
                <w:sz w:val="1"/>
                <w:szCs w:val="1"/>
                <w:color w:val="auto"/>
              </w:rPr>
            </w:pPr>
          </w:p>
        </w:tc>
      </w:tr>
      <w:tr>
        <w:trPr>
          <w:trHeight w:val="153"/>
        </w:trPr>
        <w:tc>
          <w:tcPr>
            <w:tcW w:w="4660" w:type="dxa"/>
            <w:vAlign w:val="bottom"/>
            <w:tcBorders>
              <w:left w:val="single" w:sz="8" w:color="auto"/>
              <w:bottom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3"/>
                <w:szCs w:val="13"/>
                <w:color w:val="FFFFFF"/>
              </w:rPr>
              <w:t>(S/ thousand)</w:t>
            </w:r>
          </w:p>
        </w:tc>
        <w:tc>
          <w:tcPr>
            <w:tcW w:w="1280" w:type="dxa"/>
            <w:vAlign w:val="bottom"/>
            <w:tcBorders>
              <w:bottom w:val="single" w:sz="8" w:color="auto"/>
            </w:tcBorders>
            <w:shd w:val="clear" w:color="auto" w:fill="33CCCC"/>
          </w:tcPr>
          <w:p>
            <w:pPr>
              <w:ind w:left="440"/>
              <w:spacing w:after="0"/>
              <w:rPr>
                <w:sz w:val="20"/>
                <w:szCs w:val="20"/>
                <w:color w:val="auto"/>
              </w:rPr>
            </w:pPr>
            <w:r>
              <w:rPr>
                <w:rFonts w:ascii="Arial" w:cs="Arial" w:eastAsia="Arial" w:hAnsi="Arial"/>
                <w:sz w:val="13"/>
                <w:szCs w:val="13"/>
                <w:b w:val="1"/>
                <w:bCs w:val="1"/>
                <w:color w:val="FFFFFF"/>
              </w:rPr>
              <w:t>Mar 24</w:t>
            </w:r>
          </w:p>
        </w:tc>
        <w:tc>
          <w:tcPr>
            <w:tcW w:w="13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5"/>
              </w:rPr>
              <w:t>Dec 24</w:t>
            </w:r>
          </w:p>
        </w:tc>
        <w:tc>
          <w:tcPr>
            <w:tcW w:w="134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Mar 25</w:t>
            </w:r>
          </w:p>
        </w:tc>
        <w:tc>
          <w:tcPr>
            <w:tcW w:w="10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4"/>
              </w:rPr>
              <w:t>YoY</w:t>
            </w:r>
          </w:p>
        </w:tc>
        <w:tc>
          <w:tcPr>
            <w:tcW w:w="0" w:type="dxa"/>
            <w:vAlign w:val="bottom"/>
          </w:tcPr>
          <w:p>
            <w:pPr>
              <w:spacing w:after="0"/>
              <w:rPr>
                <w:sz w:val="1"/>
                <w:szCs w:val="1"/>
                <w:color w:val="auto"/>
              </w:rPr>
            </w:pPr>
          </w:p>
        </w:tc>
      </w:tr>
      <w:tr>
        <w:trPr>
          <w:trHeight w:val="111"/>
        </w:trPr>
        <w:tc>
          <w:tcPr>
            <w:tcW w:w="4660" w:type="dxa"/>
            <w:vAlign w:val="bottom"/>
            <w:tcBorders>
              <w:left w:val="single" w:sz="8" w:color="auto"/>
              <w:right w:val="single" w:sz="8" w:color="auto"/>
            </w:tcBorders>
          </w:tcPr>
          <w:p>
            <w:pPr>
              <w:ind w:left="160"/>
              <w:spacing w:after="0" w:line="111" w:lineRule="exact"/>
              <w:rPr>
                <w:sz w:val="20"/>
                <w:szCs w:val="20"/>
                <w:color w:val="auto"/>
              </w:rPr>
            </w:pPr>
            <w:r>
              <w:rPr>
                <w:rFonts w:ascii="Arial" w:cs="Arial" w:eastAsia="Arial" w:hAnsi="Arial"/>
                <w:sz w:val="12"/>
                <w:szCs w:val="12"/>
                <w:color w:val="auto"/>
              </w:rPr>
              <w:t>Market risk-weighted assets</w:t>
            </w:r>
          </w:p>
        </w:tc>
        <w:tc>
          <w:tcPr>
            <w:tcW w:w="1280" w:type="dxa"/>
            <w:vAlign w:val="bottom"/>
          </w:tcPr>
          <w:p>
            <w:pPr>
              <w:jc w:val="center"/>
              <w:spacing w:after="0" w:line="111" w:lineRule="exact"/>
              <w:rPr>
                <w:sz w:val="20"/>
                <w:szCs w:val="20"/>
                <w:color w:val="auto"/>
              </w:rPr>
            </w:pPr>
            <w:r>
              <w:rPr>
                <w:rFonts w:ascii="Arial" w:cs="Arial" w:eastAsia="Arial" w:hAnsi="Arial"/>
                <w:sz w:val="12"/>
                <w:szCs w:val="12"/>
                <w:color w:val="auto"/>
              </w:rPr>
              <w:t>3,032,546</w:t>
            </w:r>
          </w:p>
        </w:tc>
        <w:tc>
          <w:tcPr>
            <w:tcW w:w="1320" w:type="dxa"/>
            <w:vAlign w:val="bottom"/>
          </w:tcPr>
          <w:p>
            <w:pPr>
              <w:jc w:val="center"/>
              <w:spacing w:after="0" w:line="111" w:lineRule="exact"/>
              <w:rPr>
                <w:sz w:val="20"/>
                <w:szCs w:val="20"/>
                <w:color w:val="auto"/>
              </w:rPr>
            </w:pPr>
            <w:r>
              <w:rPr>
                <w:rFonts w:ascii="Arial" w:cs="Arial" w:eastAsia="Arial" w:hAnsi="Arial"/>
                <w:sz w:val="12"/>
                <w:szCs w:val="12"/>
                <w:color w:val="auto"/>
              </w:rPr>
              <w:t>3,922,295</w:t>
            </w:r>
          </w:p>
        </w:tc>
        <w:tc>
          <w:tcPr>
            <w:tcW w:w="13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3,903,493</w:t>
            </w:r>
          </w:p>
        </w:tc>
        <w:tc>
          <w:tcPr>
            <w:tcW w:w="1020" w:type="dxa"/>
            <w:vAlign w:val="bottom"/>
          </w:tcPr>
          <w:p>
            <w:pPr>
              <w:jc w:val="center"/>
              <w:spacing w:after="0" w:line="111" w:lineRule="exact"/>
              <w:rPr>
                <w:sz w:val="20"/>
                <w:szCs w:val="20"/>
                <w:color w:val="auto"/>
              </w:rPr>
            </w:pPr>
            <w:r>
              <w:rPr>
                <w:rFonts w:ascii="Arial" w:cs="Arial" w:eastAsia="Arial" w:hAnsi="Arial"/>
                <w:sz w:val="12"/>
                <w:szCs w:val="12"/>
                <w:color w:val="auto"/>
              </w:rPr>
              <w:t>-0.5%</w:t>
            </w:r>
          </w:p>
        </w:tc>
        <w:tc>
          <w:tcPr>
            <w:tcW w:w="10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28.7%</w:t>
            </w:r>
          </w:p>
        </w:tc>
        <w:tc>
          <w:tcPr>
            <w:tcW w:w="0" w:type="dxa"/>
            <w:vAlign w:val="bottom"/>
          </w:tcPr>
          <w:p>
            <w:pPr>
              <w:spacing w:after="0"/>
              <w:rPr>
                <w:sz w:val="1"/>
                <w:szCs w:val="1"/>
                <w:color w:val="auto"/>
              </w:rPr>
            </w:pPr>
          </w:p>
        </w:tc>
      </w:tr>
      <w:tr>
        <w:trPr>
          <w:trHeight w:val="135"/>
        </w:trPr>
        <w:tc>
          <w:tcPr>
            <w:tcW w:w="466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Credit risk-weighted assets</w:t>
            </w:r>
          </w:p>
        </w:tc>
        <w:tc>
          <w:tcPr>
            <w:tcW w:w="1280" w:type="dxa"/>
            <w:vAlign w:val="bottom"/>
          </w:tcPr>
          <w:p>
            <w:pPr>
              <w:jc w:val="center"/>
              <w:spacing w:after="0" w:line="135" w:lineRule="exact"/>
              <w:rPr>
                <w:sz w:val="20"/>
                <w:szCs w:val="20"/>
                <w:color w:val="auto"/>
              </w:rPr>
            </w:pPr>
            <w:r>
              <w:rPr>
                <w:rFonts w:ascii="Arial" w:cs="Arial" w:eastAsia="Arial" w:hAnsi="Arial"/>
                <w:sz w:val="13"/>
                <w:szCs w:val="13"/>
                <w:color w:val="auto"/>
                <w:w w:val="96"/>
              </w:rPr>
              <w:t>131,793,619</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6"/>
              </w:rPr>
              <w:t>139,402,972</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138,028,766</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-1.0%</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4.7%</w:t>
            </w:r>
          </w:p>
        </w:tc>
        <w:tc>
          <w:tcPr>
            <w:tcW w:w="0" w:type="dxa"/>
            <w:vAlign w:val="bottom"/>
          </w:tcPr>
          <w:p>
            <w:pPr>
              <w:spacing w:after="0"/>
              <w:rPr>
                <w:sz w:val="1"/>
                <w:szCs w:val="1"/>
                <w:color w:val="auto"/>
              </w:rPr>
            </w:pPr>
          </w:p>
        </w:tc>
      </w:tr>
      <w:tr>
        <w:trPr>
          <w:trHeight w:val="153"/>
        </w:trPr>
        <w:tc>
          <w:tcPr>
            <w:tcW w:w="46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Operational risk-weighted assets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16,842,059</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18,409,113</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18,895,091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2.6%</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12.2%</w:t>
            </w:r>
          </w:p>
        </w:tc>
        <w:tc>
          <w:tcPr>
            <w:tcW w:w="0" w:type="dxa"/>
            <w:vAlign w:val="bottom"/>
          </w:tcPr>
          <w:p>
            <w:pPr>
              <w:spacing w:after="0"/>
              <w:rPr>
                <w:sz w:val="1"/>
                <w:szCs w:val="1"/>
                <w:color w:val="auto"/>
              </w:rPr>
            </w:pPr>
          </w:p>
        </w:tc>
      </w:tr>
      <w:tr>
        <w:trPr>
          <w:trHeight w:val="128"/>
        </w:trPr>
        <w:tc>
          <w:tcPr>
            <w:tcW w:w="466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Total</w:t>
            </w:r>
          </w:p>
        </w:tc>
        <w:tc>
          <w:tcPr>
            <w:tcW w:w="12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151,668,224</w:t>
            </w: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161,734,381</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160,827,350</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-0.6%</w:t>
            </w:r>
          </w:p>
        </w:tc>
        <w:tc>
          <w:tcPr>
            <w:tcW w:w="10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6.0%</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660" w:type="dxa"/>
            <w:vAlign w:val="bottom"/>
            <w:tcBorders>
              <w:left w:val="single" w:sz="8" w:color="auto"/>
              <w:right w:val="single" w:sz="8" w:color="auto"/>
            </w:tcBorders>
            <w:shd w:val="clear" w:color="auto" w:fill="33CCCC"/>
          </w:tcPr>
          <w:p>
            <w:pPr>
              <w:spacing w:after="0" w:line="111" w:lineRule="exact"/>
              <w:rPr>
                <w:sz w:val="20"/>
                <w:szCs w:val="20"/>
                <w:color w:val="auto"/>
              </w:rPr>
            </w:pPr>
            <w:r>
              <w:rPr>
                <w:rFonts w:ascii="Arial" w:cs="Arial" w:eastAsia="Arial" w:hAnsi="Arial"/>
                <w:sz w:val="12"/>
                <w:szCs w:val="12"/>
                <w:b w:val="1"/>
                <w:bCs w:val="1"/>
                <w:color w:val="FFFFFF"/>
              </w:rPr>
              <w:t>Capital requirement</w:t>
            </w:r>
          </w:p>
        </w:tc>
        <w:tc>
          <w:tcPr>
            <w:tcW w:w="1280" w:type="dxa"/>
            <w:vAlign w:val="bottom"/>
            <w:shd w:val="clear" w:color="auto" w:fill="33CCCC"/>
          </w:tcPr>
          <w:p>
            <w:pPr>
              <w:spacing w:after="0"/>
              <w:rPr>
                <w:sz w:val="9"/>
                <w:szCs w:val="9"/>
                <w:color w:val="auto"/>
              </w:rPr>
            </w:pPr>
          </w:p>
        </w:tc>
        <w:tc>
          <w:tcPr>
            <w:tcW w:w="1320" w:type="dxa"/>
            <w:vAlign w:val="bottom"/>
            <w:shd w:val="clear" w:color="auto" w:fill="33CCCC"/>
          </w:tcPr>
          <w:p>
            <w:pPr>
              <w:jc w:val="center"/>
              <w:spacing w:after="0" w:line="111" w:lineRule="exact"/>
              <w:rPr>
                <w:sz w:val="20"/>
                <w:szCs w:val="20"/>
                <w:color w:val="auto"/>
              </w:rPr>
            </w:pPr>
            <w:r>
              <w:rPr>
                <w:rFonts w:ascii="Arial" w:cs="Arial" w:eastAsia="Arial" w:hAnsi="Arial"/>
                <w:sz w:val="12"/>
                <w:szCs w:val="12"/>
                <w:b w:val="1"/>
                <w:bCs w:val="1"/>
                <w:color w:val="FFFFFF"/>
              </w:rPr>
              <w:t>As of</w:t>
            </w:r>
          </w:p>
        </w:tc>
        <w:tc>
          <w:tcPr>
            <w:tcW w:w="1340" w:type="dxa"/>
            <w:vAlign w:val="bottom"/>
            <w:tcBorders>
              <w:right w:val="single" w:sz="8" w:color="auto"/>
            </w:tcBorders>
            <w:shd w:val="clear" w:color="auto" w:fill="33CCCC"/>
          </w:tcPr>
          <w:p>
            <w:pPr>
              <w:spacing w:after="0"/>
              <w:rPr>
                <w:sz w:val="9"/>
                <w:szCs w:val="9"/>
                <w:color w:val="auto"/>
              </w:rPr>
            </w:pPr>
          </w:p>
        </w:tc>
        <w:tc>
          <w:tcPr>
            <w:tcW w:w="2060" w:type="dxa"/>
            <w:vAlign w:val="bottom"/>
            <w:tcBorders>
              <w:right w:val="single" w:sz="8" w:color="auto"/>
            </w:tcBorders>
            <w:gridSpan w:val="2"/>
            <w:shd w:val="clear" w:color="auto" w:fill="33CCCC"/>
          </w:tcPr>
          <w:p>
            <w:pPr>
              <w:ind w:left="720"/>
              <w:spacing w:after="0" w:line="111" w:lineRule="exact"/>
              <w:rPr>
                <w:sz w:val="20"/>
                <w:szCs w:val="20"/>
                <w:color w:val="auto"/>
              </w:rPr>
            </w:pPr>
            <w:r>
              <w:rPr>
                <w:rFonts w:ascii="Arial" w:cs="Arial" w:eastAsia="Arial" w:hAnsi="Arial"/>
                <w:sz w:val="12"/>
                <w:szCs w:val="12"/>
                <w:b w:val="1"/>
                <w:bCs w:val="1"/>
                <w:color w:val="FFFFFF"/>
              </w:rPr>
              <w:t>Change %</w:t>
            </w:r>
          </w:p>
        </w:tc>
        <w:tc>
          <w:tcPr>
            <w:tcW w:w="0" w:type="dxa"/>
            <w:vAlign w:val="bottom"/>
          </w:tcPr>
          <w:p>
            <w:pPr>
              <w:spacing w:after="0"/>
              <w:rPr>
                <w:sz w:val="1"/>
                <w:szCs w:val="1"/>
                <w:color w:val="auto"/>
              </w:rPr>
            </w:pPr>
          </w:p>
        </w:tc>
      </w:tr>
      <w:tr>
        <w:trPr>
          <w:trHeight w:val="153"/>
        </w:trPr>
        <w:tc>
          <w:tcPr>
            <w:tcW w:w="4660" w:type="dxa"/>
            <w:vAlign w:val="bottom"/>
            <w:tcBorders>
              <w:left w:val="single" w:sz="8" w:color="auto"/>
              <w:bottom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3"/>
                <w:szCs w:val="13"/>
                <w:color w:val="FFFFFF"/>
              </w:rPr>
              <w:t>(S/ thousand)</w:t>
            </w:r>
          </w:p>
        </w:tc>
        <w:tc>
          <w:tcPr>
            <w:tcW w:w="1280" w:type="dxa"/>
            <w:vAlign w:val="bottom"/>
            <w:tcBorders>
              <w:bottom w:val="single" w:sz="8" w:color="auto"/>
            </w:tcBorders>
            <w:shd w:val="clear" w:color="auto" w:fill="33CCCC"/>
          </w:tcPr>
          <w:p>
            <w:pPr>
              <w:ind w:left="440"/>
              <w:spacing w:after="0"/>
              <w:rPr>
                <w:sz w:val="20"/>
                <w:szCs w:val="20"/>
                <w:color w:val="auto"/>
              </w:rPr>
            </w:pPr>
            <w:r>
              <w:rPr>
                <w:rFonts w:ascii="Arial" w:cs="Arial" w:eastAsia="Arial" w:hAnsi="Arial"/>
                <w:sz w:val="13"/>
                <w:szCs w:val="13"/>
                <w:b w:val="1"/>
                <w:bCs w:val="1"/>
                <w:color w:val="FFFFFF"/>
              </w:rPr>
              <w:t>Mar 24</w:t>
            </w:r>
          </w:p>
        </w:tc>
        <w:tc>
          <w:tcPr>
            <w:tcW w:w="13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5"/>
              </w:rPr>
              <w:t>Dec 24</w:t>
            </w:r>
          </w:p>
        </w:tc>
        <w:tc>
          <w:tcPr>
            <w:tcW w:w="134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Mar 25</w:t>
            </w:r>
          </w:p>
        </w:tc>
        <w:tc>
          <w:tcPr>
            <w:tcW w:w="10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4"/>
              </w:rPr>
              <w:t>YoY</w:t>
            </w:r>
          </w:p>
        </w:tc>
        <w:tc>
          <w:tcPr>
            <w:tcW w:w="0" w:type="dxa"/>
            <w:vAlign w:val="bottom"/>
          </w:tcPr>
          <w:p>
            <w:pPr>
              <w:spacing w:after="0"/>
              <w:rPr>
                <w:sz w:val="1"/>
                <w:szCs w:val="1"/>
                <w:color w:val="auto"/>
              </w:rPr>
            </w:pPr>
          </w:p>
        </w:tc>
      </w:tr>
      <w:tr>
        <w:trPr>
          <w:trHeight w:val="111"/>
        </w:trPr>
        <w:tc>
          <w:tcPr>
            <w:tcW w:w="4660" w:type="dxa"/>
            <w:vAlign w:val="bottom"/>
            <w:tcBorders>
              <w:left w:val="single" w:sz="8" w:color="auto"/>
              <w:right w:val="single" w:sz="8" w:color="auto"/>
            </w:tcBorders>
          </w:tcPr>
          <w:p>
            <w:pPr>
              <w:ind w:left="160"/>
              <w:spacing w:after="0" w:line="111" w:lineRule="exact"/>
              <w:rPr>
                <w:sz w:val="20"/>
                <w:szCs w:val="20"/>
                <w:color w:val="auto"/>
              </w:rPr>
            </w:pPr>
            <w:r>
              <w:rPr>
                <w:rFonts w:ascii="Arial" w:cs="Arial" w:eastAsia="Arial" w:hAnsi="Arial"/>
                <w:sz w:val="12"/>
                <w:szCs w:val="12"/>
                <w:color w:val="auto"/>
              </w:rPr>
              <w:t>Market risk capital requirement</w:t>
            </w:r>
          </w:p>
        </w:tc>
        <w:tc>
          <w:tcPr>
            <w:tcW w:w="1280" w:type="dxa"/>
            <w:vAlign w:val="bottom"/>
          </w:tcPr>
          <w:p>
            <w:pPr>
              <w:jc w:val="center"/>
              <w:spacing w:after="0" w:line="111" w:lineRule="exact"/>
              <w:rPr>
                <w:sz w:val="20"/>
                <w:szCs w:val="20"/>
                <w:color w:val="auto"/>
              </w:rPr>
            </w:pPr>
            <w:r>
              <w:rPr>
                <w:rFonts w:ascii="Arial" w:cs="Arial" w:eastAsia="Arial" w:hAnsi="Arial"/>
                <w:sz w:val="12"/>
                <w:szCs w:val="12"/>
                <w:color w:val="auto"/>
              </w:rPr>
              <w:t>303,255</w:t>
            </w:r>
          </w:p>
        </w:tc>
        <w:tc>
          <w:tcPr>
            <w:tcW w:w="1320" w:type="dxa"/>
            <w:vAlign w:val="bottom"/>
          </w:tcPr>
          <w:p>
            <w:pPr>
              <w:jc w:val="center"/>
              <w:spacing w:after="0" w:line="111" w:lineRule="exact"/>
              <w:rPr>
                <w:sz w:val="20"/>
                <w:szCs w:val="20"/>
                <w:color w:val="auto"/>
              </w:rPr>
            </w:pPr>
            <w:r>
              <w:rPr>
                <w:rFonts w:ascii="Arial" w:cs="Arial" w:eastAsia="Arial" w:hAnsi="Arial"/>
                <w:sz w:val="12"/>
                <w:szCs w:val="12"/>
                <w:color w:val="auto"/>
              </w:rPr>
              <w:t>392,230</w:t>
            </w:r>
          </w:p>
        </w:tc>
        <w:tc>
          <w:tcPr>
            <w:tcW w:w="13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390,349</w:t>
            </w:r>
          </w:p>
        </w:tc>
        <w:tc>
          <w:tcPr>
            <w:tcW w:w="1020" w:type="dxa"/>
            <w:vAlign w:val="bottom"/>
          </w:tcPr>
          <w:p>
            <w:pPr>
              <w:jc w:val="center"/>
              <w:spacing w:after="0" w:line="111" w:lineRule="exact"/>
              <w:rPr>
                <w:sz w:val="20"/>
                <w:szCs w:val="20"/>
                <w:color w:val="auto"/>
              </w:rPr>
            </w:pPr>
            <w:r>
              <w:rPr>
                <w:rFonts w:ascii="Arial" w:cs="Arial" w:eastAsia="Arial" w:hAnsi="Arial"/>
                <w:sz w:val="12"/>
                <w:szCs w:val="12"/>
                <w:color w:val="auto"/>
              </w:rPr>
              <w:t>-0.5%</w:t>
            </w:r>
          </w:p>
        </w:tc>
        <w:tc>
          <w:tcPr>
            <w:tcW w:w="10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28.7%</w:t>
            </w:r>
          </w:p>
        </w:tc>
        <w:tc>
          <w:tcPr>
            <w:tcW w:w="0" w:type="dxa"/>
            <w:vAlign w:val="bottom"/>
          </w:tcPr>
          <w:p>
            <w:pPr>
              <w:spacing w:after="0"/>
              <w:rPr>
                <w:sz w:val="1"/>
                <w:szCs w:val="1"/>
                <w:color w:val="auto"/>
              </w:rPr>
            </w:pPr>
          </w:p>
        </w:tc>
      </w:tr>
      <w:tr>
        <w:trPr>
          <w:trHeight w:val="135"/>
        </w:trPr>
        <w:tc>
          <w:tcPr>
            <w:tcW w:w="466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Credit risk capital requirement</w:t>
            </w:r>
          </w:p>
        </w:tc>
        <w:tc>
          <w:tcPr>
            <w:tcW w:w="1280" w:type="dxa"/>
            <w:vAlign w:val="bottom"/>
          </w:tcPr>
          <w:p>
            <w:pPr>
              <w:jc w:val="center"/>
              <w:spacing w:after="0" w:line="135" w:lineRule="exact"/>
              <w:rPr>
                <w:sz w:val="20"/>
                <w:szCs w:val="20"/>
                <w:color w:val="auto"/>
              </w:rPr>
            </w:pPr>
            <w:r>
              <w:rPr>
                <w:rFonts w:ascii="Arial" w:cs="Arial" w:eastAsia="Arial" w:hAnsi="Arial"/>
                <w:sz w:val="13"/>
                <w:szCs w:val="13"/>
                <w:color w:val="auto"/>
                <w:w w:val="95"/>
              </w:rPr>
              <w:t>11,861,426</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8"/>
              </w:rPr>
              <w:t>13,243,282</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13,802,877</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4.2%</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16.4%</w:t>
            </w:r>
          </w:p>
        </w:tc>
        <w:tc>
          <w:tcPr>
            <w:tcW w:w="0" w:type="dxa"/>
            <w:vAlign w:val="bottom"/>
          </w:tcPr>
          <w:p>
            <w:pPr>
              <w:spacing w:after="0"/>
              <w:rPr>
                <w:sz w:val="1"/>
                <w:szCs w:val="1"/>
                <w:color w:val="auto"/>
              </w:rPr>
            </w:pPr>
          </w:p>
        </w:tc>
      </w:tr>
      <w:tr>
        <w:trPr>
          <w:trHeight w:val="135"/>
        </w:trPr>
        <w:tc>
          <w:tcPr>
            <w:tcW w:w="466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Operational risk capital requirement</w:t>
            </w:r>
          </w:p>
        </w:tc>
        <w:tc>
          <w:tcPr>
            <w:tcW w:w="1280" w:type="dxa"/>
            <w:vAlign w:val="bottom"/>
          </w:tcPr>
          <w:p>
            <w:pPr>
              <w:jc w:val="center"/>
              <w:spacing w:after="0" w:line="135" w:lineRule="exact"/>
              <w:rPr>
                <w:sz w:val="20"/>
                <w:szCs w:val="20"/>
                <w:color w:val="auto"/>
              </w:rPr>
            </w:pPr>
            <w:r>
              <w:rPr>
                <w:rFonts w:ascii="Arial" w:cs="Arial" w:eastAsia="Arial" w:hAnsi="Arial"/>
                <w:sz w:val="13"/>
                <w:szCs w:val="13"/>
                <w:color w:val="auto"/>
                <w:w w:val="96"/>
              </w:rPr>
              <w:t>1,684,206</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6"/>
              </w:rPr>
              <w:t>1,840,911</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1,889,509</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2.6%</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12.2%</w:t>
            </w:r>
          </w:p>
        </w:tc>
        <w:tc>
          <w:tcPr>
            <w:tcW w:w="0" w:type="dxa"/>
            <w:vAlign w:val="bottom"/>
          </w:tcPr>
          <w:p>
            <w:pPr>
              <w:spacing w:after="0"/>
              <w:rPr>
                <w:sz w:val="1"/>
                <w:szCs w:val="1"/>
                <w:color w:val="auto"/>
              </w:rPr>
            </w:pPr>
          </w:p>
        </w:tc>
      </w:tr>
      <w:tr>
        <w:trPr>
          <w:trHeight w:val="153"/>
        </w:trPr>
        <w:tc>
          <w:tcPr>
            <w:tcW w:w="46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Additional capital requirements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5,418,896</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6,882,642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7,057,150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2.5%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30.2%</w:t>
            </w:r>
          </w:p>
        </w:tc>
        <w:tc>
          <w:tcPr>
            <w:tcW w:w="0" w:type="dxa"/>
            <w:vAlign w:val="bottom"/>
          </w:tcPr>
          <w:p>
            <w:pPr>
              <w:spacing w:after="0"/>
              <w:rPr>
                <w:sz w:val="1"/>
                <w:szCs w:val="1"/>
                <w:color w:val="auto"/>
              </w:rPr>
            </w:pPr>
          </w:p>
        </w:tc>
      </w:tr>
      <w:tr>
        <w:trPr>
          <w:trHeight w:val="128"/>
        </w:trPr>
        <w:tc>
          <w:tcPr>
            <w:tcW w:w="466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Total</w:t>
            </w:r>
          </w:p>
        </w:tc>
        <w:tc>
          <w:tcPr>
            <w:tcW w:w="12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19,267,782</w:t>
            </w: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22,359,066</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23,139,885</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3.5%</w:t>
            </w:r>
          </w:p>
        </w:tc>
        <w:tc>
          <w:tcPr>
            <w:tcW w:w="10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20.1%</w:t>
            </w:r>
          </w:p>
        </w:tc>
        <w:tc>
          <w:tcPr>
            <w:tcW w:w="0" w:type="dxa"/>
            <w:vAlign w:val="bottom"/>
          </w:tcPr>
          <w:p>
            <w:pPr>
              <w:spacing w:after="0"/>
              <w:rPr>
                <w:sz w:val="1"/>
                <w:szCs w:val="1"/>
                <w:color w:val="auto"/>
              </w:rPr>
            </w:pPr>
          </w:p>
        </w:tc>
      </w:tr>
      <w:tr>
        <w:trPr>
          <w:trHeight w:val="369"/>
        </w:trPr>
        <w:tc>
          <w:tcPr>
            <w:tcW w:w="7260" w:type="dxa"/>
            <w:vAlign w:val="bottom"/>
            <w:gridSpan w:val="3"/>
          </w:tcPr>
          <w:p>
            <w:pPr>
              <w:ind w:left="4020"/>
              <w:spacing w:after="0"/>
              <w:rPr>
                <w:sz w:val="20"/>
                <w:szCs w:val="20"/>
                <w:color w:val="auto"/>
              </w:rPr>
            </w:pPr>
            <w:r>
              <w:rPr>
                <w:rFonts w:ascii="Arial" w:cs="Arial" w:eastAsia="Arial" w:hAnsi="Arial"/>
                <w:sz w:val="14"/>
                <w:szCs w:val="14"/>
                <w:b w:val="1"/>
                <w:bCs w:val="1"/>
                <w:color w:val="auto"/>
              </w:rPr>
              <w:t>Capital Ratios under Local Regulation</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4660" w:type="dxa"/>
            <w:vAlign w:val="bottom"/>
            <w:tcBorders>
              <w:left w:val="single" w:sz="8" w:color="auto"/>
              <w:right w:val="single" w:sz="8" w:color="auto"/>
            </w:tcBorders>
            <w:shd w:val="clear" w:color="auto" w:fill="33CCCC"/>
          </w:tcPr>
          <w:p>
            <w:pPr>
              <w:spacing w:after="0" w:line="111" w:lineRule="exact"/>
              <w:rPr>
                <w:sz w:val="20"/>
                <w:szCs w:val="20"/>
                <w:color w:val="auto"/>
              </w:rPr>
            </w:pPr>
            <w:r>
              <w:rPr>
                <w:rFonts w:ascii="Arial" w:cs="Arial" w:eastAsia="Arial" w:hAnsi="Arial"/>
                <w:sz w:val="12"/>
                <w:szCs w:val="12"/>
                <w:b w:val="1"/>
                <w:bCs w:val="1"/>
                <w:color w:val="FFFFFF"/>
              </w:rPr>
              <w:t>Capital ratios under Local Regulation</w:t>
            </w:r>
          </w:p>
        </w:tc>
        <w:tc>
          <w:tcPr>
            <w:tcW w:w="1280" w:type="dxa"/>
            <w:vAlign w:val="bottom"/>
            <w:shd w:val="clear" w:color="auto" w:fill="33CCCC"/>
          </w:tcPr>
          <w:p>
            <w:pPr>
              <w:spacing w:after="0"/>
              <w:rPr>
                <w:sz w:val="9"/>
                <w:szCs w:val="9"/>
                <w:color w:val="auto"/>
              </w:rPr>
            </w:pPr>
          </w:p>
        </w:tc>
        <w:tc>
          <w:tcPr>
            <w:tcW w:w="1320" w:type="dxa"/>
            <w:vAlign w:val="bottom"/>
            <w:shd w:val="clear" w:color="auto" w:fill="33CCCC"/>
          </w:tcPr>
          <w:p>
            <w:pPr>
              <w:jc w:val="center"/>
              <w:spacing w:after="0" w:line="111" w:lineRule="exact"/>
              <w:rPr>
                <w:sz w:val="20"/>
                <w:szCs w:val="20"/>
                <w:color w:val="auto"/>
              </w:rPr>
            </w:pPr>
            <w:r>
              <w:rPr>
                <w:rFonts w:ascii="Arial" w:cs="Arial" w:eastAsia="Arial" w:hAnsi="Arial"/>
                <w:sz w:val="12"/>
                <w:szCs w:val="12"/>
                <w:b w:val="1"/>
                <w:bCs w:val="1"/>
                <w:color w:val="FFFFFF"/>
              </w:rPr>
              <w:t>As of</w:t>
            </w:r>
          </w:p>
        </w:tc>
        <w:tc>
          <w:tcPr>
            <w:tcW w:w="1340" w:type="dxa"/>
            <w:vAlign w:val="bottom"/>
            <w:tcBorders>
              <w:right w:val="single" w:sz="8" w:color="auto"/>
            </w:tcBorders>
            <w:shd w:val="clear" w:color="auto" w:fill="33CCCC"/>
          </w:tcPr>
          <w:p>
            <w:pPr>
              <w:spacing w:after="0"/>
              <w:rPr>
                <w:sz w:val="9"/>
                <w:szCs w:val="9"/>
                <w:color w:val="auto"/>
              </w:rPr>
            </w:pPr>
          </w:p>
        </w:tc>
        <w:tc>
          <w:tcPr>
            <w:tcW w:w="2060" w:type="dxa"/>
            <w:vAlign w:val="bottom"/>
            <w:tcBorders>
              <w:right w:val="single" w:sz="8" w:color="auto"/>
            </w:tcBorders>
            <w:gridSpan w:val="2"/>
            <w:shd w:val="clear" w:color="auto" w:fill="33CCCC"/>
          </w:tcPr>
          <w:p>
            <w:pPr>
              <w:ind w:left="720"/>
              <w:spacing w:after="0" w:line="111" w:lineRule="exact"/>
              <w:rPr>
                <w:sz w:val="20"/>
                <w:szCs w:val="20"/>
                <w:color w:val="auto"/>
              </w:rPr>
            </w:pPr>
            <w:r>
              <w:rPr>
                <w:rFonts w:ascii="Arial" w:cs="Arial" w:eastAsia="Arial" w:hAnsi="Arial"/>
                <w:sz w:val="12"/>
                <w:szCs w:val="12"/>
                <w:b w:val="1"/>
                <w:bCs w:val="1"/>
                <w:color w:val="FFFFFF"/>
              </w:rPr>
              <w:t>Change %</w:t>
            </w:r>
          </w:p>
        </w:tc>
        <w:tc>
          <w:tcPr>
            <w:tcW w:w="0" w:type="dxa"/>
            <w:vAlign w:val="bottom"/>
          </w:tcPr>
          <w:p>
            <w:pPr>
              <w:spacing w:after="0"/>
              <w:rPr>
                <w:sz w:val="1"/>
                <w:szCs w:val="1"/>
                <w:color w:val="auto"/>
              </w:rPr>
            </w:pPr>
          </w:p>
        </w:tc>
      </w:tr>
      <w:tr>
        <w:trPr>
          <w:trHeight w:val="153"/>
        </w:trPr>
        <w:tc>
          <w:tcPr>
            <w:tcW w:w="4660" w:type="dxa"/>
            <w:vAlign w:val="bottom"/>
            <w:tcBorders>
              <w:left w:val="single" w:sz="8" w:color="auto"/>
              <w:bottom w:val="single" w:sz="8" w:color="auto"/>
              <w:right w:val="single" w:sz="8" w:color="auto"/>
            </w:tcBorders>
            <w:shd w:val="clear" w:color="auto" w:fill="33CCCC"/>
          </w:tcPr>
          <w:p>
            <w:pPr>
              <w:spacing w:after="0"/>
              <w:rPr>
                <w:sz w:val="13"/>
                <w:szCs w:val="13"/>
                <w:color w:val="auto"/>
              </w:rPr>
            </w:pPr>
          </w:p>
        </w:tc>
        <w:tc>
          <w:tcPr>
            <w:tcW w:w="1280" w:type="dxa"/>
            <w:vAlign w:val="bottom"/>
            <w:tcBorders>
              <w:bottom w:val="single" w:sz="8" w:color="auto"/>
            </w:tcBorders>
            <w:shd w:val="clear" w:color="auto" w:fill="33CCCC"/>
          </w:tcPr>
          <w:p>
            <w:pPr>
              <w:ind w:left="440"/>
              <w:spacing w:after="0"/>
              <w:rPr>
                <w:sz w:val="20"/>
                <w:szCs w:val="20"/>
                <w:color w:val="auto"/>
              </w:rPr>
            </w:pPr>
            <w:r>
              <w:rPr>
                <w:rFonts w:ascii="Arial" w:cs="Arial" w:eastAsia="Arial" w:hAnsi="Arial"/>
                <w:sz w:val="13"/>
                <w:szCs w:val="13"/>
                <w:b w:val="1"/>
                <w:bCs w:val="1"/>
                <w:color w:val="FFFFFF"/>
              </w:rPr>
              <w:t>Mar 24</w:t>
            </w:r>
          </w:p>
        </w:tc>
        <w:tc>
          <w:tcPr>
            <w:tcW w:w="13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5"/>
              </w:rPr>
              <w:t>Dec 24</w:t>
            </w:r>
          </w:p>
        </w:tc>
        <w:tc>
          <w:tcPr>
            <w:tcW w:w="134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Mar 25</w:t>
            </w:r>
          </w:p>
        </w:tc>
        <w:tc>
          <w:tcPr>
            <w:tcW w:w="10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4"/>
              </w:rPr>
              <w:t>YoY</w:t>
            </w:r>
          </w:p>
        </w:tc>
        <w:tc>
          <w:tcPr>
            <w:tcW w:w="0" w:type="dxa"/>
            <w:vAlign w:val="bottom"/>
          </w:tcPr>
          <w:p>
            <w:pPr>
              <w:spacing w:after="0"/>
              <w:rPr>
                <w:sz w:val="1"/>
                <w:szCs w:val="1"/>
                <w:color w:val="auto"/>
              </w:rPr>
            </w:pPr>
          </w:p>
        </w:tc>
      </w:tr>
      <w:tr>
        <w:trPr>
          <w:trHeight w:val="111"/>
        </w:trPr>
        <w:tc>
          <w:tcPr>
            <w:tcW w:w="4660" w:type="dxa"/>
            <w:vAlign w:val="bottom"/>
            <w:tcBorders>
              <w:left w:val="single" w:sz="8" w:color="auto"/>
              <w:right w:val="single" w:sz="8" w:color="auto"/>
            </w:tcBorders>
          </w:tcPr>
          <w:p>
            <w:pPr>
              <w:spacing w:after="0" w:line="111" w:lineRule="exact"/>
              <w:rPr>
                <w:sz w:val="20"/>
                <w:szCs w:val="20"/>
                <w:color w:val="auto"/>
              </w:rPr>
            </w:pPr>
            <w:r>
              <w:rPr>
                <w:rFonts w:ascii="Arial" w:cs="Arial" w:eastAsia="Arial" w:hAnsi="Arial"/>
                <w:sz w:val="12"/>
                <w:szCs w:val="12"/>
                <w:b w:val="1"/>
                <w:bCs w:val="1"/>
                <w:color w:val="auto"/>
              </w:rPr>
              <w:t>Common Equity Tier 1 ratio</w:t>
            </w:r>
          </w:p>
        </w:tc>
        <w:tc>
          <w:tcPr>
            <w:tcW w:w="1280" w:type="dxa"/>
            <w:vAlign w:val="bottom"/>
          </w:tcPr>
          <w:p>
            <w:pPr>
              <w:jc w:val="center"/>
              <w:spacing w:after="0" w:line="111" w:lineRule="exact"/>
              <w:rPr>
                <w:sz w:val="20"/>
                <w:szCs w:val="20"/>
                <w:color w:val="auto"/>
              </w:rPr>
            </w:pPr>
            <w:r>
              <w:rPr>
                <w:rFonts w:ascii="Arial" w:cs="Arial" w:eastAsia="Arial" w:hAnsi="Arial"/>
                <w:sz w:val="12"/>
                <w:szCs w:val="12"/>
                <w:color w:val="auto"/>
              </w:rPr>
              <w:t>11.72%</w:t>
            </w:r>
          </w:p>
        </w:tc>
        <w:tc>
          <w:tcPr>
            <w:tcW w:w="1320" w:type="dxa"/>
            <w:vAlign w:val="bottom"/>
          </w:tcPr>
          <w:p>
            <w:pPr>
              <w:jc w:val="center"/>
              <w:spacing w:after="0" w:line="111" w:lineRule="exact"/>
              <w:rPr>
                <w:sz w:val="20"/>
                <w:szCs w:val="20"/>
                <w:color w:val="auto"/>
              </w:rPr>
            </w:pPr>
            <w:r>
              <w:rPr>
                <w:rFonts w:ascii="Arial" w:cs="Arial" w:eastAsia="Arial" w:hAnsi="Arial"/>
                <w:sz w:val="12"/>
                <w:szCs w:val="12"/>
                <w:color w:val="auto"/>
              </w:rPr>
              <w:t>13.08%</w:t>
            </w:r>
          </w:p>
        </w:tc>
        <w:tc>
          <w:tcPr>
            <w:tcW w:w="13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11.34%</w:t>
            </w:r>
          </w:p>
        </w:tc>
        <w:tc>
          <w:tcPr>
            <w:tcW w:w="1020" w:type="dxa"/>
            <w:vAlign w:val="bottom"/>
          </w:tcPr>
          <w:p>
            <w:pPr>
              <w:jc w:val="center"/>
              <w:spacing w:after="0" w:line="111" w:lineRule="exact"/>
              <w:rPr>
                <w:sz w:val="20"/>
                <w:szCs w:val="20"/>
                <w:color w:val="auto"/>
              </w:rPr>
            </w:pPr>
            <w:r>
              <w:rPr>
                <w:rFonts w:ascii="Arial" w:cs="Arial" w:eastAsia="Arial" w:hAnsi="Arial"/>
                <w:sz w:val="12"/>
                <w:szCs w:val="12"/>
                <w:color w:val="auto"/>
              </w:rPr>
              <w:t>-175 bps</w:t>
            </w:r>
          </w:p>
        </w:tc>
        <w:tc>
          <w:tcPr>
            <w:tcW w:w="10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-38 bps</w:t>
            </w:r>
          </w:p>
        </w:tc>
        <w:tc>
          <w:tcPr>
            <w:tcW w:w="0" w:type="dxa"/>
            <w:vAlign w:val="bottom"/>
          </w:tcPr>
          <w:p>
            <w:pPr>
              <w:spacing w:after="0"/>
              <w:rPr>
                <w:sz w:val="1"/>
                <w:szCs w:val="1"/>
                <w:color w:val="auto"/>
              </w:rPr>
            </w:pPr>
          </w:p>
        </w:tc>
      </w:tr>
      <w:tr>
        <w:trPr>
          <w:trHeight w:val="135"/>
        </w:trPr>
        <w:tc>
          <w:tcPr>
            <w:tcW w:w="466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b w:val="1"/>
                <w:bCs w:val="1"/>
                <w:color w:val="auto"/>
              </w:rPr>
              <w:t>Tier 1 Capital ratio</w:t>
            </w:r>
          </w:p>
        </w:tc>
        <w:tc>
          <w:tcPr>
            <w:tcW w:w="1280" w:type="dxa"/>
            <w:vAlign w:val="bottom"/>
          </w:tcPr>
          <w:p>
            <w:pPr>
              <w:jc w:val="center"/>
              <w:spacing w:after="0" w:line="135" w:lineRule="exact"/>
              <w:rPr>
                <w:sz w:val="20"/>
                <w:szCs w:val="20"/>
                <w:color w:val="auto"/>
              </w:rPr>
            </w:pPr>
            <w:r>
              <w:rPr>
                <w:rFonts w:ascii="Arial" w:cs="Arial" w:eastAsia="Arial" w:hAnsi="Arial"/>
                <w:sz w:val="13"/>
                <w:szCs w:val="13"/>
                <w:color w:val="auto"/>
                <w:w w:val="95"/>
              </w:rPr>
              <w:t>11.72%</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9"/>
              </w:rPr>
              <w:t>13.08%</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11.34%</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-175 bps</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-38 bps</w:t>
            </w:r>
          </w:p>
        </w:tc>
        <w:tc>
          <w:tcPr>
            <w:tcW w:w="0" w:type="dxa"/>
            <w:vAlign w:val="bottom"/>
          </w:tcPr>
          <w:p>
            <w:pPr>
              <w:spacing w:after="0"/>
              <w:rPr>
                <w:sz w:val="1"/>
                <w:szCs w:val="1"/>
                <w:color w:val="auto"/>
              </w:rPr>
            </w:pPr>
          </w:p>
        </w:tc>
      </w:tr>
      <w:tr>
        <w:trPr>
          <w:trHeight w:val="153"/>
        </w:trPr>
        <w:tc>
          <w:tcPr>
            <w:tcW w:w="46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Regulatory Global Capital ratio</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16.12%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18.71%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16.87%</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-184 bps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74 bps</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700" w:hanging="182"/>
        <w:spacing w:after="0"/>
        <w:tabs>
          <w:tab w:leader="none" w:pos="7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Up to 1.25% of total risk-weighted assets.</w:t>
      </w:r>
    </w:p>
    <w:p>
      <w:pPr>
        <w:spacing w:after="0" w:line="64" w:lineRule="exact"/>
        <w:rPr>
          <w:rFonts w:ascii="Arial" w:cs="Arial" w:eastAsia="Arial" w:hAnsi="Arial"/>
          <w:sz w:val="12"/>
          <w:szCs w:val="12"/>
          <w:color w:val="auto"/>
        </w:rPr>
      </w:pPr>
    </w:p>
    <w:p>
      <w:pPr>
        <w:ind w:left="700" w:right="100" w:hanging="182"/>
        <w:spacing w:after="0" w:line="243" w:lineRule="auto"/>
        <w:tabs>
          <w:tab w:leader="none" w:pos="7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Common Equity Tier 1 = Capital Stock + Reserves + Accumulated earnings – Unrealized profits or losses - 100% deductions (investment in subsidiaries, goodwill, intangible assets and deferred tax assets based on future returns).</w:t>
      </w:r>
    </w:p>
    <w:p>
      <w:pPr>
        <w:ind w:left="700" w:hanging="182"/>
        <w:spacing w:after="0"/>
        <w:tabs>
          <w:tab w:leader="none" w:pos="7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Regulatory Tier 1 Capital = Common Equity Tier 1 + Tier 1 Subordinated Debt (Perpetual).</w:t>
      </w:r>
    </w:p>
    <w:p>
      <w:pPr>
        <w:spacing w:after="0" w:line="54" w:lineRule="exact"/>
        <w:rPr>
          <w:rFonts w:ascii="Arial" w:cs="Arial" w:eastAsia="Arial" w:hAnsi="Arial"/>
          <w:sz w:val="12"/>
          <w:szCs w:val="12"/>
          <w:color w:val="auto"/>
        </w:rPr>
      </w:pPr>
    </w:p>
    <w:p>
      <w:pPr>
        <w:ind w:left="700" w:hanging="182"/>
        <w:spacing w:after="0"/>
        <w:tabs>
          <w:tab w:leader="none" w:pos="7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Regulatory Tier 2 Capital = Subordinated Debt + Loan loss reserves.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40640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20" w:top="314" w:right="339" w:bottom="1440" w:gutter="0" w:footer="0" w:header="0"/>
        </w:sectPr>
      </w:pPr>
    </w:p>
    <w:bookmarkStart w:id="58" w:name="page59"/>
    <w:bookmarkEnd w:id="58"/>
    <w:p>
      <w:pPr>
        <w:ind w:left="2420"/>
        <w:spacing w:after="0"/>
        <w:tabs>
          <w:tab w:leader="none" w:pos="2660" w:val="left"/>
          <w:tab w:leader="none" w:pos="73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158115</wp:posOffset>
            </wp:positionV>
            <wp:extent cx="71323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Regulatory Capital and Capital Adequacy Ratios at Mibanco</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4620" w:type="dxa"/>
            <w:vAlign w:val="bottom"/>
            <w:tcBorders>
              <w:top w:val="single" w:sz="8" w:color="auto"/>
              <w:left w:val="single" w:sz="8" w:color="auto"/>
              <w:right w:val="single" w:sz="8" w:color="auto"/>
            </w:tcBorders>
            <w:shd w:val="clear" w:color="auto" w:fill="33CCCC"/>
          </w:tcPr>
          <w:p>
            <w:pPr>
              <w:spacing w:after="0" w:line="131" w:lineRule="exact"/>
              <w:rPr>
                <w:sz w:val="20"/>
                <w:szCs w:val="20"/>
                <w:color w:val="auto"/>
              </w:rPr>
            </w:pPr>
            <w:r>
              <w:rPr>
                <w:rFonts w:ascii="Arial" w:cs="Arial" w:eastAsia="Arial" w:hAnsi="Arial"/>
                <w:sz w:val="13"/>
                <w:szCs w:val="13"/>
                <w:b w:val="1"/>
                <w:bCs w:val="1"/>
                <w:color w:val="FFFFFF"/>
              </w:rPr>
              <w:t>Regulatory Capital</w:t>
            </w:r>
          </w:p>
        </w:tc>
        <w:tc>
          <w:tcPr>
            <w:tcW w:w="1320" w:type="dxa"/>
            <w:vAlign w:val="bottom"/>
            <w:tcBorders>
              <w:top w:val="single" w:sz="8" w:color="auto"/>
            </w:tcBorders>
            <w:shd w:val="clear" w:color="auto" w:fill="33CCCC"/>
          </w:tcPr>
          <w:p>
            <w:pPr>
              <w:spacing w:after="0"/>
              <w:rPr>
                <w:sz w:val="11"/>
                <w:szCs w:val="11"/>
                <w:color w:val="auto"/>
              </w:rPr>
            </w:pPr>
          </w:p>
        </w:tc>
        <w:tc>
          <w:tcPr>
            <w:tcW w:w="1340" w:type="dxa"/>
            <w:vAlign w:val="bottom"/>
            <w:tcBorders>
              <w:top w:val="single" w:sz="8" w:color="auto"/>
            </w:tcBorders>
            <w:shd w:val="clear" w:color="auto" w:fill="33CCCC"/>
          </w:tcPr>
          <w:p>
            <w:pPr>
              <w:jc w:val="center"/>
              <w:spacing w:after="0" w:line="131" w:lineRule="exact"/>
              <w:rPr>
                <w:sz w:val="20"/>
                <w:szCs w:val="20"/>
                <w:color w:val="auto"/>
              </w:rPr>
            </w:pPr>
            <w:r>
              <w:rPr>
                <w:rFonts w:ascii="Arial" w:cs="Arial" w:eastAsia="Arial" w:hAnsi="Arial"/>
                <w:sz w:val="13"/>
                <w:szCs w:val="13"/>
                <w:b w:val="1"/>
                <w:bCs w:val="1"/>
                <w:color w:val="FFFFFF"/>
                <w:w w:val="98"/>
              </w:rPr>
              <w:t>As of</w:t>
            </w:r>
          </w:p>
        </w:tc>
        <w:tc>
          <w:tcPr>
            <w:tcW w:w="1340" w:type="dxa"/>
            <w:vAlign w:val="bottom"/>
            <w:tcBorders>
              <w:top w:val="single" w:sz="8" w:color="auto"/>
              <w:right w:val="single" w:sz="8" w:color="auto"/>
            </w:tcBorders>
            <w:shd w:val="clear" w:color="auto" w:fill="33CCCC"/>
          </w:tcPr>
          <w:p>
            <w:pPr>
              <w:spacing w:after="0"/>
              <w:rPr>
                <w:sz w:val="11"/>
                <w:szCs w:val="11"/>
                <w:color w:val="auto"/>
              </w:rPr>
            </w:pPr>
          </w:p>
        </w:tc>
        <w:tc>
          <w:tcPr>
            <w:tcW w:w="2040" w:type="dxa"/>
            <w:vAlign w:val="bottom"/>
            <w:tcBorders>
              <w:top w:val="single" w:sz="8" w:color="auto"/>
              <w:right w:val="single" w:sz="8" w:color="auto"/>
            </w:tcBorders>
            <w:gridSpan w:val="2"/>
            <w:shd w:val="clear" w:color="auto" w:fill="33CCCC"/>
          </w:tcPr>
          <w:p>
            <w:pPr>
              <w:ind w:left="700"/>
              <w:spacing w:after="0" w:line="131" w:lineRule="exact"/>
              <w:rPr>
                <w:sz w:val="20"/>
                <w:szCs w:val="20"/>
                <w:color w:val="auto"/>
              </w:rPr>
            </w:pPr>
            <w:r>
              <w:rPr>
                <w:rFonts w:ascii="Arial" w:cs="Arial" w:eastAsia="Arial" w:hAnsi="Arial"/>
                <w:sz w:val="13"/>
                <w:szCs w:val="13"/>
                <w:b w:val="1"/>
                <w:bCs w:val="1"/>
                <w:color w:val="FFFFFF"/>
              </w:rPr>
              <w:t>% Change</w:t>
            </w:r>
          </w:p>
        </w:tc>
      </w:tr>
      <w:tr>
        <w:trPr>
          <w:trHeight w:val="153"/>
        </w:trPr>
        <w:tc>
          <w:tcPr>
            <w:tcW w:w="4620" w:type="dxa"/>
            <w:vAlign w:val="bottom"/>
            <w:tcBorders>
              <w:left w:val="single" w:sz="8" w:color="auto"/>
              <w:bottom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3"/>
                <w:szCs w:val="13"/>
                <w:color w:val="FFFFFF"/>
              </w:rPr>
              <w:t>(S/ thousand)</w:t>
            </w:r>
          </w:p>
        </w:tc>
        <w:tc>
          <w:tcPr>
            <w:tcW w:w="1320" w:type="dxa"/>
            <w:vAlign w:val="bottom"/>
            <w:tcBorders>
              <w:bottom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Mar 24</w:t>
            </w:r>
          </w:p>
        </w:tc>
        <w:tc>
          <w:tcPr>
            <w:tcW w:w="13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5"/>
              </w:rPr>
              <w:t>Dec 24</w:t>
            </w:r>
          </w:p>
        </w:tc>
        <w:tc>
          <w:tcPr>
            <w:tcW w:w="134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Mar 25</w:t>
            </w:r>
          </w:p>
        </w:tc>
        <w:tc>
          <w:tcPr>
            <w:tcW w:w="10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86"/>
              </w:rPr>
              <w:t>YoY</w:t>
            </w:r>
          </w:p>
        </w:tc>
      </w:tr>
      <w:tr>
        <w:trPr>
          <w:trHeight w:val="111"/>
        </w:trPr>
        <w:tc>
          <w:tcPr>
            <w:tcW w:w="4620" w:type="dxa"/>
            <w:vAlign w:val="bottom"/>
            <w:tcBorders>
              <w:left w:val="single" w:sz="8" w:color="auto"/>
              <w:right w:val="single" w:sz="8" w:color="auto"/>
            </w:tcBorders>
          </w:tcPr>
          <w:p>
            <w:pPr>
              <w:ind w:left="160"/>
              <w:spacing w:after="0" w:line="111" w:lineRule="exact"/>
              <w:rPr>
                <w:sz w:val="20"/>
                <w:szCs w:val="20"/>
                <w:color w:val="auto"/>
              </w:rPr>
            </w:pPr>
            <w:r>
              <w:rPr>
                <w:rFonts w:ascii="Arial" w:cs="Arial" w:eastAsia="Arial" w:hAnsi="Arial"/>
                <w:sz w:val="12"/>
                <w:szCs w:val="12"/>
                <w:color w:val="auto"/>
              </w:rPr>
              <w:t>Capital Stock</w:t>
            </w:r>
          </w:p>
        </w:tc>
        <w:tc>
          <w:tcPr>
            <w:tcW w:w="1320" w:type="dxa"/>
            <w:vAlign w:val="bottom"/>
          </w:tcPr>
          <w:p>
            <w:pPr>
              <w:jc w:val="center"/>
              <w:spacing w:after="0" w:line="111" w:lineRule="exact"/>
              <w:rPr>
                <w:sz w:val="20"/>
                <w:szCs w:val="20"/>
                <w:color w:val="auto"/>
              </w:rPr>
            </w:pPr>
            <w:r>
              <w:rPr>
                <w:rFonts w:ascii="Arial" w:cs="Arial" w:eastAsia="Arial" w:hAnsi="Arial"/>
                <w:sz w:val="12"/>
                <w:szCs w:val="12"/>
                <w:color w:val="auto"/>
              </w:rPr>
              <w:t>1,840,606</w:t>
            </w:r>
          </w:p>
        </w:tc>
        <w:tc>
          <w:tcPr>
            <w:tcW w:w="1340" w:type="dxa"/>
            <w:vAlign w:val="bottom"/>
          </w:tcPr>
          <w:p>
            <w:pPr>
              <w:jc w:val="center"/>
              <w:spacing w:after="0" w:line="111" w:lineRule="exact"/>
              <w:rPr>
                <w:sz w:val="20"/>
                <w:szCs w:val="20"/>
                <w:color w:val="auto"/>
              </w:rPr>
            </w:pPr>
            <w:r>
              <w:rPr>
                <w:rFonts w:ascii="Arial" w:cs="Arial" w:eastAsia="Arial" w:hAnsi="Arial"/>
                <w:sz w:val="12"/>
                <w:szCs w:val="12"/>
                <w:color w:val="auto"/>
              </w:rPr>
              <w:t>1,840,606</w:t>
            </w:r>
          </w:p>
        </w:tc>
        <w:tc>
          <w:tcPr>
            <w:tcW w:w="13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1,840,606</w:t>
            </w:r>
          </w:p>
        </w:tc>
        <w:tc>
          <w:tcPr>
            <w:tcW w:w="1020" w:type="dxa"/>
            <w:vAlign w:val="bottom"/>
          </w:tcPr>
          <w:p>
            <w:pPr>
              <w:jc w:val="center"/>
              <w:spacing w:after="0" w:line="111" w:lineRule="exact"/>
              <w:rPr>
                <w:sz w:val="20"/>
                <w:szCs w:val="20"/>
                <w:color w:val="auto"/>
              </w:rPr>
            </w:pPr>
            <w:r>
              <w:rPr>
                <w:rFonts w:ascii="Arial" w:cs="Arial" w:eastAsia="Arial" w:hAnsi="Arial"/>
                <w:sz w:val="12"/>
                <w:szCs w:val="12"/>
                <w:color w:val="auto"/>
              </w:rPr>
              <w:t>0.0%</w:t>
            </w:r>
          </w:p>
        </w:tc>
        <w:tc>
          <w:tcPr>
            <w:tcW w:w="102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0.0%</w:t>
            </w:r>
          </w:p>
        </w:tc>
      </w:tr>
      <w:tr>
        <w:trPr>
          <w:trHeight w:val="135"/>
        </w:trPr>
        <w:tc>
          <w:tcPr>
            <w:tcW w:w="46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Reserves</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7"/>
              </w:rPr>
              <w:t>334,650</w:t>
            </w:r>
          </w:p>
        </w:tc>
        <w:tc>
          <w:tcPr>
            <w:tcW w:w="1340" w:type="dxa"/>
            <w:vAlign w:val="bottom"/>
          </w:tcPr>
          <w:p>
            <w:pPr>
              <w:jc w:val="center"/>
              <w:spacing w:after="0" w:line="135" w:lineRule="exact"/>
              <w:rPr>
                <w:sz w:val="20"/>
                <w:szCs w:val="20"/>
                <w:color w:val="auto"/>
              </w:rPr>
            </w:pPr>
            <w:r>
              <w:rPr>
                <w:rFonts w:ascii="Arial" w:cs="Arial" w:eastAsia="Arial" w:hAnsi="Arial"/>
                <w:sz w:val="13"/>
                <w:szCs w:val="13"/>
                <w:color w:val="auto"/>
                <w:w w:val="93"/>
              </w:rPr>
              <w:t>334,650</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365,847</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9.3%</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9.3%</w:t>
            </w:r>
          </w:p>
        </w:tc>
      </w:tr>
      <w:tr>
        <w:trPr>
          <w:trHeight w:val="129"/>
        </w:trPr>
        <w:tc>
          <w:tcPr>
            <w:tcW w:w="4620" w:type="dxa"/>
            <w:vAlign w:val="bottom"/>
            <w:tcBorders>
              <w:left w:val="single" w:sz="8" w:color="auto"/>
              <w:right w:val="single" w:sz="8" w:color="auto"/>
            </w:tcBorders>
          </w:tcPr>
          <w:p>
            <w:pPr>
              <w:ind w:left="160"/>
              <w:spacing w:after="0" w:line="129" w:lineRule="exact"/>
              <w:rPr>
                <w:sz w:val="20"/>
                <w:szCs w:val="20"/>
                <w:color w:val="auto"/>
              </w:rPr>
            </w:pPr>
            <w:r>
              <w:rPr>
                <w:rFonts w:ascii="Arial" w:cs="Arial" w:eastAsia="Arial" w:hAnsi="Arial"/>
                <w:sz w:val="13"/>
                <w:szCs w:val="13"/>
                <w:color w:val="auto"/>
              </w:rPr>
              <w:t>Accumulated earnings</w:t>
            </w:r>
          </w:p>
        </w:tc>
        <w:tc>
          <w:tcPr>
            <w:tcW w:w="1320" w:type="dxa"/>
            <w:vAlign w:val="bottom"/>
          </w:tcPr>
          <w:p>
            <w:pPr>
              <w:jc w:val="center"/>
              <w:spacing w:after="0" w:line="129" w:lineRule="exact"/>
              <w:rPr>
                <w:sz w:val="20"/>
                <w:szCs w:val="20"/>
                <w:color w:val="auto"/>
              </w:rPr>
            </w:pPr>
            <w:r>
              <w:rPr>
                <w:rFonts w:ascii="Arial" w:cs="Arial" w:eastAsia="Arial" w:hAnsi="Arial"/>
                <w:sz w:val="13"/>
                <w:szCs w:val="13"/>
                <w:color w:val="auto"/>
                <w:w w:val="97"/>
              </w:rPr>
              <w:t>310,119</w:t>
            </w:r>
          </w:p>
        </w:tc>
        <w:tc>
          <w:tcPr>
            <w:tcW w:w="1340" w:type="dxa"/>
            <w:vAlign w:val="bottom"/>
          </w:tcPr>
          <w:p>
            <w:pPr>
              <w:jc w:val="center"/>
              <w:spacing w:after="0" w:line="129" w:lineRule="exact"/>
              <w:rPr>
                <w:sz w:val="20"/>
                <w:szCs w:val="20"/>
                <w:color w:val="auto"/>
              </w:rPr>
            </w:pPr>
            <w:r>
              <w:rPr>
                <w:rFonts w:ascii="Arial" w:cs="Arial" w:eastAsia="Arial" w:hAnsi="Arial"/>
                <w:sz w:val="13"/>
                <w:szCs w:val="13"/>
                <w:color w:val="auto"/>
                <w:w w:val="93"/>
              </w:rPr>
              <w:t>369,573</w:t>
            </w:r>
          </w:p>
        </w:tc>
        <w:tc>
          <w:tcPr>
            <w:tcW w:w="13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7"/>
              </w:rPr>
              <w:t>168,090</w:t>
            </w:r>
          </w:p>
        </w:tc>
        <w:tc>
          <w:tcPr>
            <w:tcW w:w="1020" w:type="dxa"/>
            <w:vAlign w:val="bottom"/>
          </w:tcPr>
          <w:p>
            <w:pPr>
              <w:jc w:val="center"/>
              <w:spacing w:after="0" w:line="129" w:lineRule="exact"/>
              <w:rPr>
                <w:sz w:val="20"/>
                <w:szCs w:val="20"/>
                <w:color w:val="auto"/>
              </w:rPr>
            </w:pPr>
            <w:r>
              <w:rPr>
                <w:rFonts w:ascii="Arial" w:cs="Arial" w:eastAsia="Arial" w:hAnsi="Arial"/>
                <w:sz w:val="13"/>
                <w:szCs w:val="13"/>
                <w:color w:val="auto"/>
                <w:w w:val="97"/>
              </w:rPr>
              <w:t>-54.5%</w:t>
            </w:r>
          </w:p>
        </w:tc>
        <w:tc>
          <w:tcPr>
            <w:tcW w:w="10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2"/>
              </w:rPr>
              <w:t>-45.8%</w:t>
            </w:r>
          </w:p>
        </w:tc>
      </w:tr>
      <w:tr>
        <w:trPr>
          <w:trHeight w:val="141"/>
        </w:trPr>
        <w:tc>
          <w:tcPr>
            <w:tcW w:w="4620" w:type="dxa"/>
            <w:vAlign w:val="bottom"/>
            <w:tcBorders>
              <w:left w:val="single" w:sz="8" w:color="auto"/>
              <w:right w:val="single" w:sz="8" w:color="auto"/>
            </w:tcBorders>
          </w:tcPr>
          <w:p>
            <w:pPr>
              <w:ind w:left="160"/>
              <w:spacing w:after="0" w:line="141" w:lineRule="exact"/>
              <w:rPr>
                <w:sz w:val="20"/>
                <w:szCs w:val="20"/>
                <w:color w:val="auto"/>
              </w:rPr>
            </w:pPr>
            <w:r>
              <w:rPr>
                <w:rFonts w:ascii="Arial" w:cs="Arial" w:eastAsia="Arial" w:hAnsi="Arial"/>
                <w:sz w:val="10"/>
                <w:szCs w:val="10"/>
                <w:color w:val="auto"/>
              </w:rPr>
              <w:t xml:space="preserve">Loan loss reserves </w:t>
            </w:r>
            <w:r>
              <w:rPr>
                <w:rFonts w:ascii="Arial" w:cs="Arial" w:eastAsia="Arial" w:hAnsi="Arial"/>
                <w:sz w:val="16"/>
                <w:szCs w:val="16"/>
                <w:color w:val="auto"/>
                <w:vertAlign w:val="superscript"/>
              </w:rPr>
              <w:t>(1)</w:t>
            </w:r>
          </w:p>
        </w:tc>
        <w:tc>
          <w:tcPr>
            <w:tcW w:w="1320" w:type="dxa"/>
            <w:vAlign w:val="bottom"/>
          </w:tcPr>
          <w:p>
            <w:pPr>
              <w:jc w:val="center"/>
              <w:spacing w:after="0" w:line="141" w:lineRule="exact"/>
              <w:rPr>
                <w:sz w:val="20"/>
                <w:szCs w:val="20"/>
                <w:color w:val="auto"/>
              </w:rPr>
            </w:pPr>
            <w:r>
              <w:rPr>
                <w:rFonts w:ascii="Arial" w:cs="Arial" w:eastAsia="Arial" w:hAnsi="Arial"/>
                <w:sz w:val="13"/>
                <w:szCs w:val="13"/>
                <w:color w:val="auto"/>
                <w:w w:val="97"/>
              </w:rPr>
              <w:t>154,452</w:t>
            </w:r>
          </w:p>
        </w:tc>
        <w:tc>
          <w:tcPr>
            <w:tcW w:w="1340" w:type="dxa"/>
            <w:vAlign w:val="bottom"/>
          </w:tcPr>
          <w:p>
            <w:pPr>
              <w:jc w:val="center"/>
              <w:spacing w:after="0" w:line="141" w:lineRule="exact"/>
              <w:rPr>
                <w:sz w:val="20"/>
                <w:szCs w:val="20"/>
                <w:color w:val="auto"/>
              </w:rPr>
            </w:pPr>
            <w:r>
              <w:rPr>
                <w:rFonts w:ascii="Arial" w:cs="Arial" w:eastAsia="Arial" w:hAnsi="Arial"/>
                <w:sz w:val="13"/>
                <w:szCs w:val="13"/>
                <w:color w:val="auto"/>
                <w:w w:val="93"/>
              </w:rPr>
              <w:t>144,751</w:t>
            </w:r>
          </w:p>
        </w:tc>
        <w:tc>
          <w:tcPr>
            <w:tcW w:w="13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7"/>
              </w:rPr>
              <w:t>149,412</w:t>
            </w:r>
          </w:p>
        </w:tc>
        <w:tc>
          <w:tcPr>
            <w:tcW w:w="1020" w:type="dxa"/>
            <w:vAlign w:val="bottom"/>
          </w:tcPr>
          <w:p>
            <w:pPr>
              <w:jc w:val="center"/>
              <w:spacing w:after="0" w:line="141" w:lineRule="exact"/>
              <w:rPr>
                <w:sz w:val="20"/>
                <w:szCs w:val="20"/>
                <w:color w:val="auto"/>
              </w:rPr>
            </w:pPr>
            <w:r>
              <w:rPr>
                <w:rFonts w:ascii="Arial" w:cs="Arial" w:eastAsia="Arial" w:hAnsi="Arial"/>
                <w:sz w:val="13"/>
                <w:szCs w:val="13"/>
                <w:color w:val="auto"/>
                <w:w w:val="94"/>
              </w:rPr>
              <w:t>3.2%</w:t>
            </w:r>
          </w:p>
        </w:tc>
        <w:tc>
          <w:tcPr>
            <w:tcW w:w="10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9"/>
              </w:rPr>
              <w:t>-3.3%</w:t>
            </w:r>
          </w:p>
        </w:tc>
      </w:tr>
      <w:tr>
        <w:trPr>
          <w:trHeight w:val="135"/>
        </w:trPr>
        <w:tc>
          <w:tcPr>
            <w:tcW w:w="46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Perpetual subordinated debt</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3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88"/>
              </w:rPr>
              <w:t>n.a</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n.a.</w:t>
            </w:r>
          </w:p>
        </w:tc>
      </w:tr>
      <w:tr>
        <w:trPr>
          <w:trHeight w:val="135"/>
        </w:trPr>
        <w:tc>
          <w:tcPr>
            <w:tcW w:w="46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Subordinated debt</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7"/>
              </w:rPr>
              <w:t>173,000</w:t>
            </w:r>
          </w:p>
        </w:tc>
        <w:tc>
          <w:tcPr>
            <w:tcW w:w="1340" w:type="dxa"/>
            <w:vAlign w:val="bottom"/>
          </w:tcPr>
          <w:p>
            <w:pPr>
              <w:jc w:val="center"/>
              <w:spacing w:after="0" w:line="135" w:lineRule="exact"/>
              <w:rPr>
                <w:sz w:val="20"/>
                <w:szCs w:val="20"/>
                <w:color w:val="auto"/>
              </w:rPr>
            </w:pPr>
            <w:r>
              <w:rPr>
                <w:rFonts w:ascii="Arial" w:cs="Arial" w:eastAsia="Arial" w:hAnsi="Arial"/>
                <w:sz w:val="13"/>
                <w:szCs w:val="13"/>
                <w:color w:val="auto"/>
                <w:w w:val="93"/>
              </w:rPr>
              <w:t>167,000</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267,000</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7"/>
              </w:rPr>
              <w:t>59.9%</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54.3%</w:t>
            </w:r>
          </w:p>
        </w:tc>
      </w:tr>
      <w:tr>
        <w:trPr>
          <w:trHeight w:val="135"/>
        </w:trPr>
        <w:tc>
          <w:tcPr>
            <w:tcW w:w="46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Unrealidez Profit or Losses</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2"/>
              </w:rPr>
              <w:t>(4,984)</w:t>
            </w:r>
          </w:p>
        </w:tc>
        <w:tc>
          <w:tcPr>
            <w:tcW w:w="1340" w:type="dxa"/>
            <w:vAlign w:val="bottom"/>
          </w:tcPr>
          <w:p>
            <w:pPr>
              <w:jc w:val="center"/>
              <w:spacing w:after="0" w:line="135" w:lineRule="exact"/>
              <w:rPr>
                <w:sz w:val="20"/>
                <w:szCs w:val="20"/>
                <w:color w:val="auto"/>
              </w:rPr>
            </w:pPr>
            <w:r>
              <w:rPr>
                <w:rFonts w:ascii="Arial" w:cs="Arial" w:eastAsia="Arial" w:hAnsi="Arial"/>
                <w:sz w:val="13"/>
                <w:szCs w:val="13"/>
                <w:color w:val="auto"/>
                <w:w w:val="97"/>
              </w:rPr>
              <w:t>(3,728)</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(4,037)</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8.3%</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-19.0%</w:t>
            </w:r>
          </w:p>
        </w:tc>
      </w:tr>
      <w:tr>
        <w:trPr>
          <w:trHeight w:val="135"/>
        </w:trPr>
        <w:tc>
          <w:tcPr>
            <w:tcW w:w="46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w w:val="96"/>
              </w:rPr>
              <w:t>Investment in subsidiaries and others, net of unrealized profit and net income in</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8"/>
              </w:rPr>
              <w:t>(283)</w:t>
            </w:r>
          </w:p>
        </w:tc>
        <w:tc>
          <w:tcPr>
            <w:tcW w:w="1340" w:type="dxa"/>
            <w:vAlign w:val="bottom"/>
          </w:tcPr>
          <w:p>
            <w:pPr>
              <w:jc w:val="center"/>
              <w:spacing w:after="0" w:line="135" w:lineRule="exact"/>
              <w:rPr>
                <w:sz w:val="20"/>
                <w:szCs w:val="20"/>
                <w:color w:val="auto"/>
              </w:rPr>
            </w:pPr>
            <w:r>
              <w:rPr>
                <w:rFonts w:ascii="Arial" w:cs="Arial" w:eastAsia="Arial" w:hAnsi="Arial"/>
                <w:sz w:val="13"/>
                <w:szCs w:val="13"/>
                <w:color w:val="auto"/>
                <w:w w:val="92"/>
              </w:rPr>
              <w:t>(298)</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(295)</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-1.1%</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4.1%</w:t>
            </w:r>
          </w:p>
        </w:tc>
      </w:tr>
      <w:tr>
        <w:trPr>
          <w:trHeight w:val="135"/>
        </w:trPr>
        <w:tc>
          <w:tcPr>
            <w:tcW w:w="46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subsidiaries</w:t>
            </w:r>
          </w:p>
        </w:tc>
        <w:tc>
          <w:tcPr>
            <w:tcW w:w="1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r>
      <w:tr>
        <w:trPr>
          <w:trHeight w:val="135"/>
        </w:trPr>
        <w:tc>
          <w:tcPr>
            <w:tcW w:w="46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Intangibles</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6"/>
              </w:rPr>
              <w:t>(150,274)</w:t>
            </w:r>
          </w:p>
        </w:tc>
        <w:tc>
          <w:tcPr>
            <w:tcW w:w="1340" w:type="dxa"/>
            <w:vAlign w:val="bottom"/>
          </w:tcPr>
          <w:p>
            <w:pPr>
              <w:jc w:val="center"/>
              <w:spacing w:after="0" w:line="135" w:lineRule="exact"/>
              <w:rPr>
                <w:sz w:val="20"/>
                <w:szCs w:val="20"/>
                <w:color w:val="auto"/>
              </w:rPr>
            </w:pPr>
            <w:r>
              <w:rPr>
                <w:rFonts w:ascii="Arial" w:cs="Arial" w:eastAsia="Arial" w:hAnsi="Arial"/>
                <w:sz w:val="13"/>
                <w:szCs w:val="13"/>
                <w:color w:val="auto"/>
                <w:w w:val="93"/>
              </w:rPr>
              <w:t>(136,691)</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(119,759)</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7"/>
              </w:rPr>
              <w:t>-12.4%</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-20.3%</w:t>
            </w:r>
          </w:p>
        </w:tc>
      </w:tr>
      <w:tr>
        <w:trPr>
          <w:trHeight w:val="153"/>
        </w:trPr>
        <w:tc>
          <w:tcPr>
            <w:tcW w:w="46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Goodwill</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(139,180)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(139,180)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(139,180)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0.0%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0.0%</w:t>
            </w:r>
          </w:p>
        </w:tc>
      </w:tr>
      <w:tr>
        <w:trPr>
          <w:trHeight w:val="128"/>
        </w:trPr>
        <w:tc>
          <w:tcPr>
            <w:tcW w:w="46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Total Regulatory Capital</w:t>
            </w: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2,518,105</w:t>
            </w: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2,576,683</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2,527,685</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-1.9%</w:t>
            </w:r>
          </w:p>
        </w:tc>
        <w:tc>
          <w:tcPr>
            <w:tcW w:w="10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0.4%</w:t>
            </w:r>
          </w:p>
        </w:tc>
      </w:tr>
      <w:tr>
        <w:trPr>
          <w:trHeight w:val="129"/>
        </w:trPr>
        <w:tc>
          <w:tcPr>
            <w:tcW w:w="46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9"/>
                <w:szCs w:val="9"/>
                <w:b w:val="1"/>
                <w:bCs w:val="1"/>
                <w:color w:val="auto"/>
              </w:rPr>
              <w:t xml:space="preserve">Tier Common Equity </w:t>
            </w:r>
            <w:r>
              <w:rPr>
                <w:rFonts w:ascii="Arial" w:cs="Arial" w:eastAsia="Arial" w:hAnsi="Arial"/>
                <w:sz w:val="14"/>
                <w:szCs w:val="14"/>
                <w:b w:val="1"/>
                <w:bCs w:val="1"/>
                <w:color w:val="auto"/>
                <w:vertAlign w:val="superscript"/>
              </w:rPr>
              <w:t>(2)</w:t>
            </w: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2,190,653</w:t>
            </w: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2,264,932</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3"/>
              </w:rPr>
              <w:t>2,111,272</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-6.8%</w:t>
            </w:r>
          </w:p>
        </w:tc>
        <w:tc>
          <w:tcPr>
            <w:tcW w:w="10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9"/>
              </w:rPr>
              <w:t>-3.6%</w:t>
            </w:r>
          </w:p>
        </w:tc>
      </w:tr>
      <w:tr>
        <w:trPr>
          <w:trHeight w:val="128"/>
        </w:trPr>
        <w:tc>
          <w:tcPr>
            <w:tcW w:w="46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9"/>
                <w:szCs w:val="9"/>
                <w:b w:val="1"/>
                <w:bCs w:val="1"/>
                <w:color w:val="auto"/>
              </w:rPr>
              <w:t xml:space="preserve">Regulatory Tier 1 Capital </w:t>
            </w:r>
            <w:r>
              <w:rPr>
                <w:rFonts w:ascii="Arial" w:cs="Arial" w:eastAsia="Arial" w:hAnsi="Arial"/>
                <w:sz w:val="14"/>
                <w:szCs w:val="14"/>
                <w:b w:val="1"/>
                <w:bCs w:val="1"/>
                <w:color w:val="auto"/>
                <w:vertAlign w:val="superscript"/>
              </w:rPr>
              <w:t>(3)</w:t>
            </w: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2,190,653</w:t>
            </w: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2,264,932</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3"/>
              </w:rPr>
              <w:t>2,111,272</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-6.8%</w:t>
            </w:r>
          </w:p>
        </w:tc>
        <w:tc>
          <w:tcPr>
            <w:tcW w:w="10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9"/>
              </w:rPr>
              <w:t>-3.6%</w:t>
            </w:r>
          </w:p>
        </w:tc>
      </w:tr>
      <w:tr>
        <w:trPr>
          <w:trHeight w:val="128"/>
        </w:trPr>
        <w:tc>
          <w:tcPr>
            <w:tcW w:w="46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9"/>
                <w:szCs w:val="9"/>
                <w:b w:val="1"/>
                <w:bCs w:val="1"/>
                <w:color w:val="auto"/>
              </w:rPr>
              <w:t xml:space="preserve">Regulatory Tier 2 Capital </w:t>
            </w:r>
            <w:r>
              <w:rPr>
                <w:rFonts w:ascii="Arial" w:cs="Arial" w:eastAsia="Arial" w:hAnsi="Arial"/>
                <w:sz w:val="14"/>
                <w:szCs w:val="14"/>
                <w:b w:val="1"/>
                <w:bCs w:val="1"/>
                <w:color w:val="auto"/>
                <w:vertAlign w:val="superscript"/>
              </w:rPr>
              <w:t>(4)</w:t>
            </w: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327,452</w:t>
            </w: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3"/>
              </w:rPr>
              <w:t>311,751</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416,412</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33.6%</w:t>
            </w:r>
          </w:p>
        </w:tc>
        <w:tc>
          <w:tcPr>
            <w:tcW w:w="10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27.2%</w:t>
            </w:r>
          </w:p>
        </w:tc>
      </w:tr>
      <w:tr>
        <w:trPr>
          <w:trHeight w:val="183"/>
        </w:trPr>
        <w:tc>
          <w:tcPr>
            <w:tcW w:w="46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spacing w:after="0"/>
              <w:rPr>
                <w:sz w:val="15"/>
                <w:szCs w:val="15"/>
                <w:color w:val="auto"/>
              </w:rPr>
            </w:pPr>
          </w:p>
        </w:tc>
      </w:tr>
      <w:tr>
        <w:trPr>
          <w:trHeight w:val="111"/>
        </w:trPr>
        <w:tc>
          <w:tcPr>
            <w:tcW w:w="4620" w:type="dxa"/>
            <w:vAlign w:val="bottom"/>
            <w:tcBorders>
              <w:left w:val="single" w:sz="8" w:color="auto"/>
              <w:right w:val="single" w:sz="8" w:color="auto"/>
            </w:tcBorders>
            <w:shd w:val="clear" w:color="auto" w:fill="33CCCC"/>
          </w:tcPr>
          <w:p>
            <w:pPr>
              <w:spacing w:after="0" w:line="111" w:lineRule="exact"/>
              <w:rPr>
                <w:sz w:val="20"/>
                <w:szCs w:val="20"/>
                <w:color w:val="auto"/>
              </w:rPr>
            </w:pPr>
            <w:r>
              <w:rPr>
                <w:rFonts w:ascii="Arial" w:cs="Arial" w:eastAsia="Arial" w:hAnsi="Arial"/>
                <w:sz w:val="12"/>
                <w:szCs w:val="12"/>
                <w:b w:val="1"/>
                <w:bCs w:val="1"/>
                <w:color w:val="FFFFFF"/>
              </w:rPr>
              <w:t>Total risk-weighted assets</w:t>
            </w:r>
          </w:p>
        </w:tc>
        <w:tc>
          <w:tcPr>
            <w:tcW w:w="1320" w:type="dxa"/>
            <w:vAlign w:val="bottom"/>
            <w:shd w:val="clear" w:color="auto" w:fill="33CCCC"/>
          </w:tcPr>
          <w:p>
            <w:pPr>
              <w:spacing w:after="0"/>
              <w:rPr>
                <w:sz w:val="9"/>
                <w:szCs w:val="9"/>
                <w:color w:val="auto"/>
              </w:rPr>
            </w:pPr>
          </w:p>
        </w:tc>
        <w:tc>
          <w:tcPr>
            <w:tcW w:w="1340" w:type="dxa"/>
            <w:vAlign w:val="bottom"/>
            <w:shd w:val="clear" w:color="auto" w:fill="33CCCC"/>
          </w:tcPr>
          <w:p>
            <w:pPr>
              <w:jc w:val="center"/>
              <w:spacing w:after="0" w:line="111" w:lineRule="exact"/>
              <w:rPr>
                <w:sz w:val="20"/>
                <w:szCs w:val="20"/>
                <w:color w:val="auto"/>
              </w:rPr>
            </w:pPr>
            <w:r>
              <w:rPr>
                <w:rFonts w:ascii="Arial" w:cs="Arial" w:eastAsia="Arial" w:hAnsi="Arial"/>
                <w:sz w:val="12"/>
                <w:szCs w:val="12"/>
                <w:b w:val="1"/>
                <w:bCs w:val="1"/>
                <w:color w:val="FFFFFF"/>
              </w:rPr>
              <w:t>As of</w:t>
            </w:r>
          </w:p>
        </w:tc>
        <w:tc>
          <w:tcPr>
            <w:tcW w:w="1340" w:type="dxa"/>
            <w:vAlign w:val="bottom"/>
            <w:tcBorders>
              <w:right w:val="single" w:sz="8" w:color="auto"/>
            </w:tcBorders>
            <w:shd w:val="clear" w:color="auto" w:fill="33CCCC"/>
          </w:tcPr>
          <w:p>
            <w:pPr>
              <w:spacing w:after="0"/>
              <w:rPr>
                <w:sz w:val="9"/>
                <w:szCs w:val="9"/>
                <w:color w:val="auto"/>
              </w:rPr>
            </w:pPr>
          </w:p>
        </w:tc>
        <w:tc>
          <w:tcPr>
            <w:tcW w:w="2040" w:type="dxa"/>
            <w:vAlign w:val="bottom"/>
            <w:tcBorders>
              <w:right w:val="single" w:sz="8" w:color="auto"/>
            </w:tcBorders>
            <w:gridSpan w:val="2"/>
            <w:shd w:val="clear" w:color="auto" w:fill="33CCCC"/>
          </w:tcPr>
          <w:p>
            <w:pPr>
              <w:ind w:left="720"/>
              <w:spacing w:after="0" w:line="111" w:lineRule="exact"/>
              <w:rPr>
                <w:sz w:val="20"/>
                <w:szCs w:val="20"/>
                <w:color w:val="auto"/>
              </w:rPr>
            </w:pPr>
            <w:r>
              <w:rPr>
                <w:rFonts w:ascii="Arial" w:cs="Arial" w:eastAsia="Arial" w:hAnsi="Arial"/>
                <w:sz w:val="12"/>
                <w:szCs w:val="12"/>
                <w:b w:val="1"/>
                <w:bCs w:val="1"/>
                <w:color w:val="FFFFFF"/>
              </w:rPr>
              <w:t>% change</w:t>
            </w:r>
          </w:p>
        </w:tc>
      </w:tr>
      <w:tr>
        <w:trPr>
          <w:trHeight w:val="153"/>
        </w:trPr>
        <w:tc>
          <w:tcPr>
            <w:tcW w:w="4620" w:type="dxa"/>
            <w:vAlign w:val="bottom"/>
            <w:tcBorders>
              <w:left w:val="single" w:sz="8" w:color="auto"/>
              <w:bottom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3"/>
                <w:szCs w:val="13"/>
                <w:color w:val="FFFFFF"/>
              </w:rPr>
              <w:t>(S/ thousand)</w:t>
            </w:r>
          </w:p>
        </w:tc>
        <w:tc>
          <w:tcPr>
            <w:tcW w:w="1320" w:type="dxa"/>
            <w:vAlign w:val="bottom"/>
            <w:tcBorders>
              <w:bottom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Mar 24</w:t>
            </w:r>
          </w:p>
        </w:tc>
        <w:tc>
          <w:tcPr>
            <w:tcW w:w="13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5"/>
              </w:rPr>
              <w:t>Dec 24</w:t>
            </w:r>
          </w:p>
        </w:tc>
        <w:tc>
          <w:tcPr>
            <w:tcW w:w="134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Mar 25</w:t>
            </w:r>
          </w:p>
        </w:tc>
        <w:tc>
          <w:tcPr>
            <w:tcW w:w="10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86"/>
              </w:rPr>
              <w:t>YoY</w:t>
            </w:r>
          </w:p>
        </w:tc>
      </w:tr>
      <w:tr>
        <w:trPr>
          <w:trHeight w:val="111"/>
        </w:trPr>
        <w:tc>
          <w:tcPr>
            <w:tcW w:w="4620" w:type="dxa"/>
            <w:vAlign w:val="bottom"/>
            <w:tcBorders>
              <w:left w:val="single" w:sz="8" w:color="auto"/>
              <w:right w:val="single" w:sz="8" w:color="auto"/>
            </w:tcBorders>
          </w:tcPr>
          <w:p>
            <w:pPr>
              <w:ind w:left="160"/>
              <w:spacing w:after="0" w:line="111" w:lineRule="exact"/>
              <w:rPr>
                <w:sz w:val="20"/>
                <w:szCs w:val="20"/>
                <w:color w:val="auto"/>
              </w:rPr>
            </w:pPr>
            <w:r>
              <w:rPr>
                <w:rFonts w:ascii="Arial" w:cs="Arial" w:eastAsia="Arial" w:hAnsi="Arial"/>
                <w:sz w:val="12"/>
                <w:szCs w:val="12"/>
                <w:color w:val="auto"/>
              </w:rPr>
              <w:t>Market risk-weighted assets</w:t>
            </w:r>
          </w:p>
        </w:tc>
        <w:tc>
          <w:tcPr>
            <w:tcW w:w="1320" w:type="dxa"/>
            <w:vAlign w:val="bottom"/>
          </w:tcPr>
          <w:p>
            <w:pPr>
              <w:jc w:val="center"/>
              <w:spacing w:after="0" w:line="111" w:lineRule="exact"/>
              <w:rPr>
                <w:sz w:val="20"/>
                <w:szCs w:val="20"/>
                <w:color w:val="auto"/>
              </w:rPr>
            </w:pPr>
            <w:r>
              <w:rPr>
                <w:rFonts w:ascii="Arial" w:cs="Arial" w:eastAsia="Arial" w:hAnsi="Arial"/>
                <w:sz w:val="12"/>
                <w:szCs w:val="12"/>
                <w:color w:val="auto"/>
              </w:rPr>
              <w:t>252,255</w:t>
            </w:r>
          </w:p>
        </w:tc>
        <w:tc>
          <w:tcPr>
            <w:tcW w:w="1340" w:type="dxa"/>
            <w:vAlign w:val="bottom"/>
          </w:tcPr>
          <w:p>
            <w:pPr>
              <w:jc w:val="center"/>
              <w:spacing w:after="0" w:line="111" w:lineRule="exact"/>
              <w:rPr>
                <w:sz w:val="20"/>
                <w:szCs w:val="20"/>
                <w:color w:val="auto"/>
              </w:rPr>
            </w:pPr>
            <w:r>
              <w:rPr>
                <w:rFonts w:ascii="Arial" w:cs="Arial" w:eastAsia="Arial" w:hAnsi="Arial"/>
                <w:sz w:val="12"/>
                <w:szCs w:val="12"/>
                <w:color w:val="auto"/>
              </w:rPr>
              <w:t>241,964</w:t>
            </w:r>
          </w:p>
        </w:tc>
        <w:tc>
          <w:tcPr>
            <w:tcW w:w="13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225,498</w:t>
            </w:r>
          </w:p>
        </w:tc>
        <w:tc>
          <w:tcPr>
            <w:tcW w:w="1020" w:type="dxa"/>
            <w:vAlign w:val="bottom"/>
          </w:tcPr>
          <w:p>
            <w:pPr>
              <w:jc w:val="center"/>
              <w:spacing w:after="0" w:line="111" w:lineRule="exact"/>
              <w:rPr>
                <w:sz w:val="20"/>
                <w:szCs w:val="20"/>
                <w:color w:val="auto"/>
              </w:rPr>
            </w:pPr>
            <w:r>
              <w:rPr>
                <w:rFonts w:ascii="Arial" w:cs="Arial" w:eastAsia="Arial" w:hAnsi="Arial"/>
                <w:sz w:val="12"/>
                <w:szCs w:val="12"/>
                <w:color w:val="auto"/>
              </w:rPr>
              <w:t>-6.8%</w:t>
            </w:r>
          </w:p>
        </w:tc>
        <w:tc>
          <w:tcPr>
            <w:tcW w:w="102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w w:val="99"/>
              </w:rPr>
              <w:t>-10.6%</w:t>
            </w:r>
          </w:p>
        </w:tc>
      </w:tr>
      <w:tr>
        <w:trPr>
          <w:trHeight w:val="135"/>
        </w:trPr>
        <w:tc>
          <w:tcPr>
            <w:tcW w:w="46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Credit risk-weighted assets</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5"/>
              </w:rPr>
              <w:t>12,151,596</w:t>
            </w:r>
          </w:p>
        </w:tc>
        <w:tc>
          <w:tcPr>
            <w:tcW w:w="1340" w:type="dxa"/>
            <w:vAlign w:val="bottom"/>
          </w:tcPr>
          <w:p>
            <w:pPr>
              <w:jc w:val="center"/>
              <w:spacing w:after="0" w:line="135" w:lineRule="exact"/>
              <w:rPr>
                <w:sz w:val="20"/>
                <w:szCs w:val="20"/>
                <w:color w:val="auto"/>
              </w:rPr>
            </w:pPr>
            <w:r>
              <w:rPr>
                <w:rFonts w:ascii="Arial" w:cs="Arial" w:eastAsia="Arial" w:hAnsi="Arial"/>
                <w:sz w:val="13"/>
                <w:szCs w:val="13"/>
                <w:color w:val="auto"/>
                <w:w w:val="98"/>
              </w:rPr>
              <w:t>11,419,696</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11,793,102</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3.3%</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9"/>
              </w:rPr>
              <w:t>-3.0%</w:t>
            </w:r>
          </w:p>
        </w:tc>
      </w:tr>
      <w:tr>
        <w:trPr>
          <w:trHeight w:val="153"/>
        </w:trPr>
        <w:tc>
          <w:tcPr>
            <w:tcW w:w="46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Operational risk-weighted assets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1,559,737</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1,605,950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1,623,262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1.1%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4.1%</w:t>
            </w:r>
          </w:p>
        </w:tc>
      </w:tr>
      <w:tr>
        <w:trPr>
          <w:trHeight w:val="129"/>
        </w:trPr>
        <w:tc>
          <w:tcPr>
            <w:tcW w:w="46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Total</w:t>
            </w: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13,963,589</w:t>
            </w: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13,267,611</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13,641,862</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2.8%</w:t>
            </w:r>
          </w:p>
        </w:tc>
        <w:tc>
          <w:tcPr>
            <w:tcW w:w="10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9"/>
              </w:rPr>
              <w:t>-2.3%</w:t>
            </w:r>
          </w:p>
        </w:tc>
      </w:tr>
      <w:tr>
        <w:trPr>
          <w:trHeight w:val="183"/>
        </w:trPr>
        <w:tc>
          <w:tcPr>
            <w:tcW w:w="46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spacing w:after="0"/>
              <w:rPr>
                <w:sz w:val="15"/>
                <w:szCs w:val="15"/>
                <w:color w:val="auto"/>
              </w:rPr>
            </w:pPr>
          </w:p>
        </w:tc>
      </w:tr>
      <w:tr>
        <w:trPr>
          <w:trHeight w:val="111"/>
        </w:trPr>
        <w:tc>
          <w:tcPr>
            <w:tcW w:w="4620" w:type="dxa"/>
            <w:vAlign w:val="bottom"/>
            <w:tcBorders>
              <w:left w:val="single" w:sz="8" w:color="auto"/>
              <w:right w:val="single" w:sz="8" w:color="auto"/>
            </w:tcBorders>
            <w:shd w:val="clear" w:color="auto" w:fill="33CCCC"/>
          </w:tcPr>
          <w:p>
            <w:pPr>
              <w:spacing w:after="0" w:line="111" w:lineRule="exact"/>
              <w:rPr>
                <w:sz w:val="20"/>
                <w:szCs w:val="20"/>
                <w:color w:val="auto"/>
              </w:rPr>
            </w:pPr>
            <w:r>
              <w:rPr>
                <w:rFonts w:ascii="Arial" w:cs="Arial" w:eastAsia="Arial" w:hAnsi="Arial"/>
                <w:sz w:val="12"/>
                <w:szCs w:val="12"/>
                <w:b w:val="1"/>
                <w:bCs w:val="1"/>
                <w:color w:val="FFFFFF"/>
              </w:rPr>
              <w:t>Capital requirement</w:t>
            </w:r>
          </w:p>
        </w:tc>
        <w:tc>
          <w:tcPr>
            <w:tcW w:w="1320" w:type="dxa"/>
            <w:vAlign w:val="bottom"/>
            <w:shd w:val="clear" w:color="auto" w:fill="33CCCC"/>
          </w:tcPr>
          <w:p>
            <w:pPr>
              <w:spacing w:after="0"/>
              <w:rPr>
                <w:sz w:val="9"/>
                <w:szCs w:val="9"/>
                <w:color w:val="auto"/>
              </w:rPr>
            </w:pPr>
          </w:p>
        </w:tc>
        <w:tc>
          <w:tcPr>
            <w:tcW w:w="1340" w:type="dxa"/>
            <w:vAlign w:val="bottom"/>
            <w:shd w:val="clear" w:color="auto" w:fill="33CCCC"/>
          </w:tcPr>
          <w:p>
            <w:pPr>
              <w:jc w:val="center"/>
              <w:spacing w:after="0" w:line="111" w:lineRule="exact"/>
              <w:rPr>
                <w:sz w:val="20"/>
                <w:szCs w:val="20"/>
                <w:color w:val="auto"/>
              </w:rPr>
            </w:pPr>
            <w:r>
              <w:rPr>
                <w:rFonts w:ascii="Arial" w:cs="Arial" w:eastAsia="Arial" w:hAnsi="Arial"/>
                <w:sz w:val="12"/>
                <w:szCs w:val="12"/>
                <w:b w:val="1"/>
                <w:bCs w:val="1"/>
                <w:color w:val="FFFFFF"/>
              </w:rPr>
              <w:t>As of</w:t>
            </w:r>
          </w:p>
        </w:tc>
        <w:tc>
          <w:tcPr>
            <w:tcW w:w="1340" w:type="dxa"/>
            <w:vAlign w:val="bottom"/>
            <w:tcBorders>
              <w:right w:val="single" w:sz="8" w:color="auto"/>
            </w:tcBorders>
            <w:shd w:val="clear" w:color="auto" w:fill="33CCCC"/>
          </w:tcPr>
          <w:p>
            <w:pPr>
              <w:spacing w:after="0"/>
              <w:rPr>
                <w:sz w:val="9"/>
                <w:szCs w:val="9"/>
                <w:color w:val="auto"/>
              </w:rPr>
            </w:pPr>
          </w:p>
        </w:tc>
        <w:tc>
          <w:tcPr>
            <w:tcW w:w="2040" w:type="dxa"/>
            <w:vAlign w:val="bottom"/>
            <w:tcBorders>
              <w:right w:val="single" w:sz="8" w:color="auto"/>
            </w:tcBorders>
            <w:gridSpan w:val="2"/>
            <w:shd w:val="clear" w:color="auto" w:fill="33CCCC"/>
          </w:tcPr>
          <w:p>
            <w:pPr>
              <w:ind w:left="720"/>
              <w:spacing w:after="0" w:line="111" w:lineRule="exact"/>
              <w:rPr>
                <w:sz w:val="20"/>
                <w:szCs w:val="20"/>
                <w:color w:val="auto"/>
              </w:rPr>
            </w:pPr>
            <w:r>
              <w:rPr>
                <w:rFonts w:ascii="Arial" w:cs="Arial" w:eastAsia="Arial" w:hAnsi="Arial"/>
                <w:sz w:val="12"/>
                <w:szCs w:val="12"/>
                <w:b w:val="1"/>
                <w:bCs w:val="1"/>
                <w:color w:val="FFFFFF"/>
              </w:rPr>
              <w:t>% change</w:t>
            </w:r>
          </w:p>
        </w:tc>
      </w:tr>
      <w:tr>
        <w:trPr>
          <w:trHeight w:val="153"/>
        </w:trPr>
        <w:tc>
          <w:tcPr>
            <w:tcW w:w="4620" w:type="dxa"/>
            <w:vAlign w:val="bottom"/>
            <w:tcBorders>
              <w:left w:val="single" w:sz="8" w:color="auto"/>
              <w:bottom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3"/>
                <w:szCs w:val="13"/>
                <w:color w:val="FFFFFF"/>
              </w:rPr>
              <w:t>(S/ thousand)</w:t>
            </w:r>
          </w:p>
        </w:tc>
        <w:tc>
          <w:tcPr>
            <w:tcW w:w="1320" w:type="dxa"/>
            <w:vAlign w:val="bottom"/>
            <w:tcBorders>
              <w:bottom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Mar 24</w:t>
            </w:r>
          </w:p>
        </w:tc>
        <w:tc>
          <w:tcPr>
            <w:tcW w:w="13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5"/>
              </w:rPr>
              <w:t>Dec 24</w:t>
            </w:r>
          </w:p>
        </w:tc>
        <w:tc>
          <w:tcPr>
            <w:tcW w:w="134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Mar 25</w:t>
            </w:r>
          </w:p>
        </w:tc>
        <w:tc>
          <w:tcPr>
            <w:tcW w:w="10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86"/>
              </w:rPr>
              <w:t>YoY</w:t>
            </w:r>
          </w:p>
        </w:tc>
      </w:tr>
      <w:tr>
        <w:trPr>
          <w:trHeight w:val="111"/>
        </w:trPr>
        <w:tc>
          <w:tcPr>
            <w:tcW w:w="4620" w:type="dxa"/>
            <w:vAlign w:val="bottom"/>
            <w:tcBorders>
              <w:left w:val="single" w:sz="8" w:color="auto"/>
              <w:right w:val="single" w:sz="8" w:color="auto"/>
            </w:tcBorders>
          </w:tcPr>
          <w:p>
            <w:pPr>
              <w:ind w:left="160"/>
              <w:spacing w:after="0" w:line="111" w:lineRule="exact"/>
              <w:rPr>
                <w:sz w:val="20"/>
                <w:szCs w:val="20"/>
                <w:color w:val="auto"/>
              </w:rPr>
            </w:pPr>
            <w:r>
              <w:rPr>
                <w:rFonts w:ascii="Arial" w:cs="Arial" w:eastAsia="Arial" w:hAnsi="Arial"/>
                <w:sz w:val="12"/>
                <w:szCs w:val="12"/>
                <w:color w:val="auto"/>
              </w:rPr>
              <w:t>Market risk capital requirement</w:t>
            </w:r>
          </w:p>
        </w:tc>
        <w:tc>
          <w:tcPr>
            <w:tcW w:w="1320" w:type="dxa"/>
            <w:vAlign w:val="bottom"/>
          </w:tcPr>
          <w:p>
            <w:pPr>
              <w:jc w:val="center"/>
              <w:spacing w:after="0" w:line="111" w:lineRule="exact"/>
              <w:rPr>
                <w:sz w:val="20"/>
                <w:szCs w:val="20"/>
                <w:color w:val="auto"/>
              </w:rPr>
            </w:pPr>
            <w:r>
              <w:rPr>
                <w:rFonts w:ascii="Arial" w:cs="Arial" w:eastAsia="Arial" w:hAnsi="Arial"/>
                <w:sz w:val="12"/>
                <w:szCs w:val="12"/>
                <w:color w:val="auto"/>
              </w:rPr>
              <w:t>25,226</w:t>
            </w:r>
          </w:p>
        </w:tc>
        <w:tc>
          <w:tcPr>
            <w:tcW w:w="1340" w:type="dxa"/>
            <w:vAlign w:val="bottom"/>
          </w:tcPr>
          <w:p>
            <w:pPr>
              <w:jc w:val="center"/>
              <w:spacing w:after="0" w:line="111" w:lineRule="exact"/>
              <w:rPr>
                <w:sz w:val="20"/>
                <w:szCs w:val="20"/>
                <w:color w:val="auto"/>
              </w:rPr>
            </w:pPr>
            <w:r>
              <w:rPr>
                <w:rFonts w:ascii="Arial" w:cs="Arial" w:eastAsia="Arial" w:hAnsi="Arial"/>
                <w:sz w:val="12"/>
                <w:szCs w:val="12"/>
                <w:color w:val="auto"/>
              </w:rPr>
              <w:t>24,196</w:t>
            </w:r>
          </w:p>
        </w:tc>
        <w:tc>
          <w:tcPr>
            <w:tcW w:w="13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22,550</w:t>
            </w:r>
          </w:p>
        </w:tc>
        <w:tc>
          <w:tcPr>
            <w:tcW w:w="1020" w:type="dxa"/>
            <w:vAlign w:val="bottom"/>
          </w:tcPr>
          <w:p>
            <w:pPr>
              <w:jc w:val="center"/>
              <w:spacing w:after="0" w:line="111" w:lineRule="exact"/>
              <w:rPr>
                <w:sz w:val="20"/>
                <w:szCs w:val="20"/>
                <w:color w:val="auto"/>
              </w:rPr>
            </w:pPr>
            <w:r>
              <w:rPr>
                <w:rFonts w:ascii="Arial" w:cs="Arial" w:eastAsia="Arial" w:hAnsi="Arial"/>
                <w:sz w:val="12"/>
                <w:szCs w:val="12"/>
                <w:color w:val="auto"/>
              </w:rPr>
              <w:t>-6.8%</w:t>
            </w:r>
          </w:p>
        </w:tc>
        <w:tc>
          <w:tcPr>
            <w:tcW w:w="102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w w:val="99"/>
              </w:rPr>
              <w:t>-10.6%</w:t>
            </w:r>
          </w:p>
        </w:tc>
      </w:tr>
      <w:tr>
        <w:trPr>
          <w:trHeight w:val="135"/>
        </w:trPr>
        <w:tc>
          <w:tcPr>
            <w:tcW w:w="46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Credit risk capital requirement</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rPr>
              <w:t>1,093,644</w:t>
            </w:r>
          </w:p>
        </w:tc>
        <w:tc>
          <w:tcPr>
            <w:tcW w:w="1340" w:type="dxa"/>
            <w:vAlign w:val="bottom"/>
          </w:tcPr>
          <w:p>
            <w:pPr>
              <w:jc w:val="center"/>
              <w:spacing w:after="0" w:line="135" w:lineRule="exact"/>
              <w:rPr>
                <w:sz w:val="20"/>
                <w:szCs w:val="20"/>
                <w:color w:val="auto"/>
              </w:rPr>
            </w:pPr>
            <w:r>
              <w:rPr>
                <w:rFonts w:ascii="Arial" w:cs="Arial" w:eastAsia="Arial" w:hAnsi="Arial"/>
                <w:sz w:val="13"/>
                <w:szCs w:val="13"/>
                <w:color w:val="auto"/>
                <w:w w:val="96"/>
              </w:rPr>
              <w:t>1,084,871</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1,179,310</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8.7%</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7.8%</w:t>
            </w:r>
          </w:p>
        </w:tc>
      </w:tr>
      <w:tr>
        <w:trPr>
          <w:trHeight w:val="135"/>
        </w:trPr>
        <w:tc>
          <w:tcPr>
            <w:tcW w:w="46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Operational risk capital requirement</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7"/>
              </w:rPr>
              <w:t>155,974</w:t>
            </w:r>
          </w:p>
        </w:tc>
        <w:tc>
          <w:tcPr>
            <w:tcW w:w="1340" w:type="dxa"/>
            <w:vAlign w:val="bottom"/>
          </w:tcPr>
          <w:p>
            <w:pPr>
              <w:jc w:val="center"/>
              <w:spacing w:after="0" w:line="135" w:lineRule="exact"/>
              <w:rPr>
                <w:sz w:val="20"/>
                <w:szCs w:val="20"/>
                <w:color w:val="auto"/>
              </w:rPr>
            </w:pPr>
            <w:r>
              <w:rPr>
                <w:rFonts w:ascii="Arial" w:cs="Arial" w:eastAsia="Arial" w:hAnsi="Arial"/>
                <w:sz w:val="13"/>
                <w:szCs w:val="13"/>
                <w:color w:val="auto"/>
                <w:w w:val="93"/>
              </w:rPr>
              <w:t>160,595</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162,326</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1.1%</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4.1%</w:t>
            </w:r>
          </w:p>
        </w:tc>
      </w:tr>
      <w:tr>
        <w:trPr>
          <w:trHeight w:val="153"/>
        </w:trPr>
        <w:tc>
          <w:tcPr>
            <w:tcW w:w="46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Additional capital requirements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164,047</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184,428</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176,897</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-4.1%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7.8%</w:t>
            </w:r>
          </w:p>
        </w:tc>
      </w:tr>
      <w:tr>
        <w:trPr>
          <w:trHeight w:val="128"/>
        </w:trPr>
        <w:tc>
          <w:tcPr>
            <w:tcW w:w="46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Total</w:t>
            </w: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1,438,889</w:t>
            </w: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1,454,091</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1,541,083</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6.0%</w:t>
            </w:r>
          </w:p>
        </w:tc>
        <w:tc>
          <w:tcPr>
            <w:tcW w:w="10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7.1%</w:t>
            </w:r>
          </w:p>
        </w:tc>
      </w:tr>
      <w:tr>
        <w:trPr>
          <w:trHeight w:val="410"/>
        </w:trPr>
        <w:tc>
          <w:tcPr>
            <w:tcW w:w="7280" w:type="dxa"/>
            <w:vAlign w:val="bottom"/>
            <w:gridSpan w:val="3"/>
          </w:tcPr>
          <w:p>
            <w:pPr>
              <w:ind w:left="3700"/>
              <w:spacing w:after="0"/>
              <w:rPr>
                <w:sz w:val="20"/>
                <w:szCs w:val="20"/>
                <w:color w:val="auto"/>
              </w:rPr>
            </w:pPr>
            <w:r>
              <w:rPr>
                <w:rFonts w:ascii="Arial" w:cs="Arial" w:eastAsia="Arial" w:hAnsi="Arial"/>
                <w:sz w:val="18"/>
                <w:szCs w:val="18"/>
                <w:b w:val="1"/>
                <w:bCs w:val="1"/>
                <w:color w:val="auto"/>
              </w:rPr>
              <w:t>Capital Ratios under Local Regulation</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46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spacing w:after="0"/>
              <w:rPr>
                <w:sz w:val="15"/>
                <w:szCs w:val="15"/>
                <w:color w:val="auto"/>
              </w:rPr>
            </w:pPr>
          </w:p>
        </w:tc>
      </w:tr>
      <w:tr>
        <w:trPr>
          <w:trHeight w:val="111"/>
        </w:trPr>
        <w:tc>
          <w:tcPr>
            <w:tcW w:w="4620" w:type="dxa"/>
            <w:vAlign w:val="bottom"/>
            <w:tcBorders>
              <w:left w:val="single" w:sz="8" w:color="auto"/>
              <w:right w:val="single" w:sz="8" w:color="auto"/>
            </w:tcBorders>
            <w:shd w:val="clear" w:color="auto" w:fill="33CCCC"/>
          </w:tcPr>
          <w:p>
            <w:pPr>
              <w:spacing w:after="0" w:line="111" w:lineRule="exact"/>
              <w:rPr>
                <w:sz w:val="20"/>
                <w:szCs w:val="20"/>
                <w:color w:val="auto"/>
              </w:rPr>
            </w:pPr>
            <w:r>
              <w:rPr>
                <w:rFonts w:ascii="Arial" w:cs="Arial" w:eastAsia="Arial" w:hAnsi="Arial"/>
                <w:sz w:val="12"/>
                <w:szCs w:val="12"/>
                <w:b w:val="1"/>
                <w:bCs w:val="1"/>
                <w:color w:val="FFFFFF"/>
              </w:rPr>
              <w:t>Capital ratios under Local Regulation</w:t>
            </w:r>
          </w:p>
        </w:tc>
        <w:tc>
          <w:tcPr>
            <w:tcW w:w="1320" w:type="dxa"/>
            <w:vAlign w:val="bottom"/>
            <w:shd w:val="clear" w:color="auto" w:fill="33CCCC"/>
          </w:tcPr>
          <w:p>
            <w:pPr>
              <w:spacing w:after="0"/>
              <w:rPr>
                <w:sz w:val="9"/>
                <w:szCs w:val="9"/>
                <w:color w:val="auto"/>
              </w:rPr>
            </w:pPr>
          </w:p>
        </w:tc>
        <w:tc>
          <w:tcPr>
            <w:tcW w:w="1340" w:type="dxa"/>
            <w:vAlign w:val="bottom"/>
            <w:shd w:val="clear" w:color="auto" w:fill="33CCCC"/>
          </w:tcPr>
          <w:p>
            <w:pPr>
              <w:jc w:val="center"/>
              <w:spacing w:after="0" w:line="111" w:lineRule="exact"/>
              <w:rPr>
                <w:sz w:val="20"/>
                <w:szCs w:val="20"/>
                <w:color w:val="auto"/>
              </w:rPr>
            </w:pPr>
            <w:r>
              <w:rPr>
                <w:rFonts w:ascii="Arial" w:cs="Arial" w:eastAsia="Arial" w:hAnsi="Arial"/>
                <w:sz w:val="12"/>
                <w:szCs w:val="12"/>
                <w:b w:val="1"/>
                <w:bCs w:val="1"/>
                <w:color w:val="FFFFFF"/>
              </w:rPr>
              <w:t>As of</w:t>
            </w:r>
          </w:p>
        </w:tc>
        <w:tc>
          <w:tcPr>
            <w:tcW w:w="1340" w:type="dxa"/>
            <w:vAlign w:val="bottom"/>
            <w:tcBorders>
              <w:right w:val="single" w:sz="8" w:color="auto"/>
            </w:tcBorders>
            <w:shd w:val="clear" w:color="auto" w:fill="33CCCC"/>
          </w:tcPr>
          <w:p>
            <w:pPr>
              <w:spacing w:after="0"/>
              <w:rPr>
                <w:sz w:val="9"/>
                <w:szCs w:val="9"/>
                <w:color w:val="auto"/>
              </w:rPr>
            </w:pPr>
          </w:p>
        </w:tc>
        <w:tc>
          <w:tcPr>
            <w:tcW w:w="2040" w:type="dxa"/>
            <w:vAlign w:val="bottom"/>
            <w:tcBorders>
              <w:right w:val="single" w:sz="8" w:color="auto"/>
            </w:tcBorders>
            <w:gridSpan w:val="2"/>
            <w:shd w:val="clear" w:color="auto" w:fill="33CCCC"/>
          </w:tcPr>
          <w:p>
            <w:pPr>
              <w:ind w:left="720"/>
              <w:spacing w:after="0" w:line="111" w:lineRule="exact"/>
              <w:rPr>
                <w:sz w:val="20"/>
                <w:szCs w:val="20"/>
                <w:color w:val="auto"/>
              </w:rPr>
            </w:pPr>
            <w:r>
              <w:rPr>
                <w:rFonts w:ascii="Arial" w:cs="Arial" w:eastAsia="Arial" w:hAnsi="Arial"/>
                <w:sz w:val="12"/>
                <w:szCs w:val="12"/>
                <w:b w:val="1"/>
                <w:bCs w:val="1"/>
                <w:color w:val="FFFFFF"/>
              </w:rPr>
              <w:t>% change</w:t>
            </w:r>
          </w:p>
        </w:tc>
      </w:tr>
      <w:tr>
        <w:trPr>
          <w:trHeight w:val="153"/>
        </w:trPr>
        <w:tc>
          <w:tcPr>
            <w:tcW w:w="4620" w:type="dxa"/>
            <w:vAlign w:val="bottom"/>
            <w:tcBorders>
              <w:left w:val="single" w:sz="8" w:color="auto"/>
              <w:bottom w:val="single" w:sz="8" w:color="auto"/>
              <w:right w:val="single" w:sz="8" w:color="auto"/>
            </w:tcBorders>
            <w:shd w:val="clear" w:color="auto" w:fill="33CCCC"/>
          </w:tcPr>
          <w:p>
            <w:pPr>
              <w:spacing w:after="0"/>
              <w:rPr>
                <w:sz w:val="13"/>
                <w:szCs w:val="13"/>
                <w:color w:val="auto"/>
              </w:rPr>
            </w:pPr>
          </w:p>
        </w:tc>
        <w:tc>
          <w:tcPr>
            <w:tcW w:w="1320" w:type="dxa"/>
            <w:vAlign w:val="bottom"/>
            <w:tcBorders>
              <w:bottom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Mar 24</w:t>
            </w:r>
          </w:p>
        </w:tc>
        <w:tc>
          <w:tcPr>
            <w:tcW w:w="13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5"/>
              </w:rPr>
              <w:t>Dec 24</w:t>
            </w:r>
          </w:p>
        </w:tc>
        <w:tc>
          <w:tcPr>
            <w:tcW w:w="134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Mar 25</w:t>
            </w:r>
          </w:p>
        </w:tc>
        <w:tc>
          <w:tcPr>
            <w:tcW w:w="10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86"/>
              </w:rPr>
              <w:t>YoY</w:t>
            </w:r>
          </w:p>
        </w:tc>
      </w:tr>
      <w:tr>
        <w:trPr>
          <w:trHeight w:val="111"/>
        </w:trPr>
        <w:tc>
          <w:tcPr>
            <w:tcW w:w="4620" w:type="dxa"/>
            <w:vAlign w:val="bottom"/>
            <w:tcBorders>
              <w:left w:val="single" w:sz="8" w:color="auto"/>
              <w:right w:val="single" w:sz="8" w:color="auto"/>
            </w:tcBorders>
          </w:tcPr>
          <w:p>
            <w:pPr>
              <w:spacing w:after="0" w:line="111" w:lineRule="exact"/>
              <w:rPr>
                <w:sz w:val="20"/>
                <w:szCs w:val="20"/>
                <w:color w:val="auto"/>
              </w:rPr>
            </w:pPr>
            <w:r>
              <w:rPr>
                <w:rFonts w:ascii="Arial" w:cs="Arial" w:eastAsia="Arial" w:hAnsi="Arial"/>
                <w:sz w:val="12"/>
                <w:szCs w:val="12"/>
                <w:b w:val="1"/>
                <w:bCs w:val="1"/>
                <w:color w:val="auto"/>
              </w:rPr>
              <w:t>Common Equity Tier 1 Ratio</w:t>
            </w:r>
          </w:p>
        </w:tc>
        <w:tc>
          <w:tcPr>
            <w:tcW w:w="1320" w:type="dxa"/>
            <w:vAlign w:val="bottom"/>
          </w:tcPr>
          <w:p>
            <w:pPr>
              <w:jc w:val="center"/>
              <w:spacing w:after="0" w:line="111" w:lineRule="exact"/>
              <w:rPr>
                <w:sz w:val="20"/>
                <w:szCs w:val="20"/>
                <w:color w:val="auto"/>
              </w:rPr>
            </w:pPr>
            <w:r>
              <w:rPr>
                <w:rFonts w:ascii="Arial" w:cs="Arial" w:eastAsia="Arial" w:hAnsi="Arial"/>
                <w:sz w:val="12"/>
                <w:szCs w:val="12"/>
                <w:color w:val="auto"/>
              </w:rPr>
              <w:t>15.69%</w:t>
            </w:r>
          </w:p>
        </w:tc>
        <w:tc>
          <w:tcPr>
            <w:tcW w:w="1340" w:type="dxa"/>
            <w:vAlign w:val="bottom"/>
          </w:tcPr>
          <w:p>
            <w:pPr>
              <w:jc w:val="center"/>
              <w:spacing w:after="0" w:line="111" w:lineRule="exact"/>
              <w:rPr>
                <w:sz w:val="20"/>
                <w:szCs w:val="20"/>
                <w:color w:val="auto"/>
              </w:rPr>
            </w:pPr>
            <w:r>
              <w:rPr>
                <w:rFonts w:ascii="Arial" w:cs="Arial" w:eastAsia="Arial" w:hAnsi="Arial"/>
                <w:sz w:val="12"/>
                <w:szCs w:val="12"/>
                <w:color w:val="auto"/>
              </w:rPr>
              <w:t>17.07%</w:t>
            </w:r>
          </w:p>
        </w:tc>
        <w:tc>
          <w:tcPr>
            <w:tcW w:w="13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15.48%</w:t>
            </w:r>
          </w:p>
        </w:tc>
        <w:tc>
          <w:tcPr>
            <w:tcW w:w="1020" w:type="dxa"/>
            <w:vAlign w:val="bottom"/>
          </w:tcPr>
          <w:p>
            <w:pPr>
              <w:jc w:val="center"/>
              <w:spacing w:after="0" w:line="111" w:lineRule="exact"/>
              <w:rPr>
                <w:sz w:val="20"/>
                <w:szCs w:val="20"/>
                <w:color w:val="auto"/>
              </w:rPr>
            </w:pPr>
            <w:r>
              <w:rPr>
                <w:rFonts w:ascii="Arial" w:cs="Arial" w:eastAsia="Arial" w:hAnsi="Arial"/>
                <w:sz w:val="12"/>
                <w:szCs w:val="12"/>
                <w:color w:val="auto"/>
              </w:rPr>
              <w:t>-159 bps</w:t>
            </w:r>
          </w:p>
        </w:tc>
        <w:tc>
          <w:tcPr>
            <w:tcW w:w="102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-21 pbs</w:t>
            </w:r>
          </w:p>
        </w:tc>
      </w:tr>
      <w:tr>
        <w:trPr>
          <w:trHeight w:val="135"/>
        </w:trPr>
        <w:tc>
          <w:tcPr>
            <w:tcW w:w="462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b w:val="1"/>
                <w:bCs w:val="1"/>
                <w:color w:val="auto"/>
              </w:rPr>
              <w:t>Tier 1 Capital ratio</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5"/>
              </w:rPr>
              <w:t>15.69%</w:t>
            </w:r>
          </w:p>
        </w:tc>
        <w:tc>
          <w:tcPr>
            <w:tcW w:w="1340" w:type="dxa"/>
            <w:vAlign w:val="bottom"/>
          </w:tcPr>
          <w:p>
            <w:pPr>
              <w:jc w:val="center"/>
              <w:spacing w:after="0" w:line="135" w:lineRule="exact"/>
              <w:rPr>
                <w:sz w:val="20"/>
                <w:szCs w:val="20"/>
                <w:color w:val="auto"/>
              </w:rPr>
            </w:pPr>
            <w:r>
              <w:rPr>
                <w:rFonts w:ascii="Arial" w:cs="Arial" w:eastAsia="Arial" w:hAnsi="Arial"/>
                <w:sz w:val="13"/>
                <w:szCs w:val="13"/>
                <w:color w:val="auto"/>
                <w:w w:val="99"/>
              </w:rPr>
              <w:t>17.07%</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15.48%</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-159 bps</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-21 pbs</w:t>
            </w:r>
          </w:p>
        </w:tc>
      </w:tr>
      <w:tr>
        <w:trPr>
          <w:trHeight w:val="153"/>
        </w:trPr>
        <w:tc>
          <w:tcPr>
            <w:tcW w:w="46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Regulatory Global Capital Ratio</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18.03%</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19.42%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18.53%</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-89 bps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50 pbs</w:t>
            </w:r>
          </w:p>
        </w:tc>
      </w:tr>
    </w:tbl>
    <w:p>
      <w:pPr>
        <w:spacing w:after="0" w:line="181" w:lineRule="exact"/>
        <w:rPr>
          <w:sz w:val="20"/>
          <w:szCs w:val="20"/>
          <w:color w:val="auto"/>
        </w:rPr>
      </w:pPr>
    </w:p>
    <w:p>
      <w:pPr>
        <w:ind w:left="700" w:hanging="182"/>
        <w:spacing w:after="0"/>
        <w:tabs>
          <w:tab w:leader="none" w:pos="7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Up to 1.25% of total risk-weighted assets.</w:t>
      </w:r>
    </w:p>
    <w:p>
      <w:pPr>
        <w:spacing w:after="0" w:line="64" w:lineRule="exact"/>
        <w:rPr>
          <w:rFonts w:ascii="Arial" w:cs="Arial" w:eastAsia="Arial" w:hAnsi="Arial"/>
          <w:sz w:val="12"/>
          <w:szCs w:val="12"/>
          <w:color w:val="auto"/>
        </w:rPr>
      </w:pPr>
    </w:p>
    <w:p>
      <w:pPr>
        <w:ind w:left="700" w:right="100" w:hanging="182"/>
        <w:spacing w:after="0" w:line="243" w:lineRule="auto"/>
        <w:tabs>
          <w:tab w:leader="none" w:pos="7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Common Equity Tier 1 = Capital Stock + Reserves + Accumulated earnings – Unrealized profits or losses - 100% deductions (investment in subsidiaries, goodwill, intangible assets and deferred tax assets based on future returns).</w:t>
      </w:r>
    </w:p>
    <w:p>
      <w:pPr>
        <w:ind w:left="700" w:hanging="182"/>
        <w:spacing w:after="0"/>
        <w:tabs>
          <w:tab w:leader="none" w:pos="7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Regulatory Tier 1 Capital = Common Equity Tier 1 + Tier 1 Subordinated Debt (Perpetual).</w:t>
      </w:r>
    </w:p>
    <w:p>
      <w:pPr>
        <w:spacing w:after="0" w:line="41" w:lineRule="exact"/>
        <w:rPr>
          <w:rFonts w:ascii="Arial" w:cs="Arial" w:eastAsia="Arial" w:hAnsi="Arial"/>
          <w:sz w:val="12"/>
          <w:szCs w:val="12"/>
          <w:color w:val="auto"/>
        </w:rPr>
      </w:pPr>
    </w:p>
    <w:p>
      <w:pPr>
        <w:ind w:left="700" w:hanging="182"/>
        <w:spacing w:after="0"/>
        <w:tabs>
          <w:tab w:leader="none" w:pos="7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Regulatory Tier 2 Capital = Subordinated Debt + Loan loss reserves.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40640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20" w:top="314" w:right="339" w:bottom="1440" w:gutter="0" w:footer="0" w:header="0"/>
        </w:sectPr>
      </w:pPr>
    </w:p>
    <w:bookmarkStart w:id="59" w:name="page60"/>
    <w:bookmarkEnd w:id="59"/>
    <w:p>
      <w:pPr>
        <w:ind w:left="2420"/>
        <w:spacing w:after="0"/>
        <w:tabs>
          <w:tab w:leader="none" w:pos="2660" w:val="left"/>
          <w:tab w:leader="none" w:pos="73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158115</wp:posOffset>
            </wp:positionV>
            <wp:extent cx="713232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Common Equity Tier 1 IFRS</w:t>
      </w:r>
    </w:p>
    <w:p>
      <w:pPr>
        <w:spacing w:after="0" w:line="198"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BCP Stand-alone</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4620" w:type="dxa"/>
            <w:vAlign w:val="bottom"/>
            <w:tcBorders>
              <w:top w:val="single" w:sz="8" w:color="auto"/>
              <w:left w:val="single" w:sz="8" w:color="auto"/>
              <w:right w:val="single" w:sz="8" w:color="auto"/>
            </w:tcBorders>
            <w:shd w:val="clear" w:color="auto" w:fill="33CCCC"/>
          </w:tcPr>
          <w:p>
            <w:pPr>
              <w:spacing w:after="0" w:line="131" w:lineRule="exact"/>
              <w:rPr>
                <w:sz w:val="20"/>
                <w:szCs w:val="20"/>
                <w:color w:val="auto"/>
              </w:rPr>
            </w:pPr>
            <w:r>
              <w:rPr>
                <w:rFonts w:ascii="Arial" w:cs="Arial" w:eastAsia="Arial" w:hAnsi="Arial"/>
                <w:sz w:val="13"/>
                <w:szCs w:val="13"/>
                <w:b w:val="1"/>
                <w:bCs w:val="1"/>
                <w:color w:val="FFFFFF"/>
              </w:rPr>
              <w:t>Common Equity Tier 1 IFRS</w:t>
            </w:r>
          </w:p>
        </w:tc>
        <w:tc>
          <w:tcPr>
            <w:tcW w:w="1340" w:type="dxa"/>
            <w:vAlign w:val="bottom"/>
            <w:tcBorders>
              <w:top w:val="single" w:sz="8" w:color="auto"/>
            </w:tcBorders>
            <w:shd w:val="clear" w:color="auto" w:fill="33CCCC"/>
          </w:tcPr>
          <w:p>
            <w:pPr>
              <w:spacing w:after="0"/>
              <w:rPr>
                <w:sz w:val="11"/>
                <w:szCs w:val="11"/>
                <w:color w:val="auto"/>
              </w:rPr>
            </w:pPr>
          </w:p>
        </w:tc>
        <w:tc>
          <w:tcPr>
            <w:tcW w:w="1300" w:type="dxa"/>
            <w:vAlign w:val="bottom"/>
            <w:tcBorders>
              <w:top w:val="single" w:sz="8" w:color="auto"/>
            </w:tcBorders>
            <w:shd w:val="clear" w:color="auto" w:fill="33CCCC"/>
          </w:tcPr>
          <w:p>
            <w:pPr>
              <w:jc w:val="center"/>
              <w:spacing w:after="0" w:line="131" w:lineRule="exact"/>
              <w:rPr>
                <w:sz w:val="20"/>
                <w:szCs w:val="20"/>
                <w:color w:val="auto"/>
              </w:rPr>
            </w:pPr>
            <w:r>
              <w:rPr>
                <w:rFonts w:ascii="Arial" w:cs="Arial" w:eastAsia="Arial" w:hAnsi="Arial"/>
                <w:sz w:val="13"/>
                <w:szCs w:val="13"/>
                <w:b w:val="1"/>
                <w:bCs w:val="1"/>
                <w:color w:val="FFFFFF"/>
                <w:w w:val="98"/>
              </w:rPr>
              <w:t>As of</w:t>
            </w:r>
          </w:p>
        </w:tc>
        <w:tc>
          <w:tcPr>
            <w:tcW w:w="1360" w:type="dxa"/>
            <w:vAlign w:val="bottom"/>
            <w:tcBorders>
              <w:top w:val="single" w:sz="8" w:color="auto"/>
              <w:right w:val="single" w:sz="8" w:color="auto"/>
            </w:tcBorders>
            <w:shd w:val="clear" w:color="auto" w:fill="33CCCC"/>
          </w:tcPr>
          <w:p>
            <w:pPr>
              <w:spacing w:after="0"/>
              <w:rPr>
                <w:sz w:val="11"/>
                <w:szCs w:val="11"/>
                <w:color w:val="auto"/>
              </w:rPr>
            </w:pPr>
          </w:p>
        </w:tc>
        <w:tc>
          <w:tcPr>
            <w:tcW w:w="2060" w:type="dxa"/>
            <w:vAlign w:val="bottom"/>
            <w:tcBorders>
              <w:top w:val="single" w:sz="8" w:color="auto"/>
              <w:right w:val="single" w:sz="8" w:color="auto"/>
            </w:tcBorders>
            <w:gridSpan w:val="2"/>
            <w:shd w:val="clear" w:color="auto" w:fill="33CCCC"/>
          </w:tcPr>
          <w:p>
            <w:pPr>
              <w:ind w:left="700"/>
              <w:spacing w:after="0" w:line="131" w:lineRule="exact"/>
              <w:rPr>
                <w:sz w:val="20"/>
                <w:szCs w:val="20"/>
                <w:color w:val="auto"/>
              </w:rPr>
            </w:pPr>
            <w:r>
              <w:rPr>
                <w:rFonts w:ascii="Arial" w:cs="Arial" w:eastAsia="Arial" w:hAnsi="Arial"/>
                <w:sz w:val="13"/>
                <w:szCs w:val="13"/>
                <w:b w:val="1"/>
                <w:bCs w:val="1"/>
                <w:color w:val="FFFFFF"/>
              </w:rPr>
              <w:t>% Change</w:t>
            </w:r>
          </w:p>
        </w:tc>
      </w:tr>
      <w:tr>
        <w:trPr>
          <w:trHeight w:val="153"/>
        </w:trPr>
        <w:tc>
          <w:tcPr>
            <w:tcW w:w="462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3"/>
                <w:szCs w:val="13"/>
                <w:color w:val="FFFFFF"/>
              </w:rPr>
              <w:t>(S/ thousand)</w:t>
            </w:r>
          </w:p>
        </w:tc>
        <w:tc>
          <w:tcPr>
            <w:tcW w:w="1340" w:type="dxa"/>
            <w:vAlign w:val="bottom"/>
            <w:tcBorders>
              <w:bottom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Mar 24</w:t>
            </w:r>
          </w:p>
        </w:tc>
        <w:tc>
          <w:tcPr>
            <w:tcW w:w="13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5"/>
              </w:rPr>
              <w:t>Dec 24</w:t>
            </w:r>
          </w:p>
        </w:tc>
        <w:tc>
          <w:tcPr>
            <w:tcW w:w="1360" w:type="dxa"/>
            <w:vAlign w:val="bottom"/>
            <w:tcBorders>
              <w:bottom w:val="single" w:sz="8" w:color="auto"/>
              <w:right w:val="single" w:sz="8" w:color="auto"/>
            </w:tcBorders>
            <w:shd w:val="clear" w:color="auto" w:fill="33CCCC"/>
          </w:tcPr>
          <w:p>
            <w:pPr>
              <w:ind w:left="480"/>
              <w:spacing w:after="0"/>
              <w:rPr>
                <w:sz w:val="20"/>
                <w:szCs w:val="20"/>
                <w:color w:val="auto"/>
              </w:rPr>
            </w:pPr>
            <w:r>
              <w:rPr>
                <w:rFonts w:ascii="Arial" w:cs="Arial" w:eastAsia="Arial" w:hAnsi="Arial"/>
                <w:sz w:val="13"/>
                <w:szCs w:val="13"/>
                <w:b w:val="1"/>
                <w:bCs w:val="1"/>
                <w:color w:val="FFFFFF"/>
              </w:rPr>
              <w:t>Mar 25</w:t>
            </w:r>
          </w:p>
        </w:tc>
        <w:tc>
          <w:tcPr>
            <w:tcW w:w="10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86"/>
              </w:rPr>
              <w:t>YoY</w:t>
            </w:r>
          </w:p>
        </w:tc>
      </w:tr>
      <w:tr>
        <w:trPr>
          <w:trHeight w:val="111"/>
        </w:trPr>
        <w:tc>
          <w:tcPr>
            <w:tcW w:w="4620" w:type="dxa"/>
            <w:vAlign w:val="bottom"/>
            <w:tcBorders>
              <w:left w:val="single" w:sz="8" w:color="auto"/>
              <w:right w:val="single" w:sz="8" w:color="auto"/>
            </w:tcBorders>
          </w:tcPr>
          <w:p>
            <w:pPr>
              <w:ind w:left="160"/>
              <w:spacing w:after="0" w:line="111" w:lineRule="exact"/>
              <w:rPr>
                <w:sz w:val="20"/>
                <w:szCs w:val="20"/>
                <w:color w:val="auto"/>
              </w:rPr>
            </w:pPr>
            <w:r>
              <w:rPr>
                <w:rFonts w:ascii="Arial" w:cs="Arial" w:eastAsia="Arial" w:hAnsi="Arial"/>
                <w:sz w:val="12"/>
                <w:szCs w:val="12"/>
                <w:color w:val="auto"/>
              </w:rPr>
              <w:t>Capital and reserves</w:t>
            </w:r>
          </w:p>
        </w:tc>
        <w:tc>
          <w:tcPr>
            <w:tcW w:w="1340" w:type="dxa"/>
            <w:vAlign w:val="bottom"/>
          </w:tcPr>
          <w:p>
            <w:pPr>
              <w:jc w:val="center"/>
              <w:spacing w:after="0" w:line="111" w:lineRule="exact"/>
              <w:rPr>
                <w:sz w:val="20"/>
                <w:szCs w:val="20"/>
                <w:color w:val="auto"/>
              </w:rPr>
            </w:pPr>
            <w:r>
              <w:rPr>
                <w:rFonts w:ascii="Arial" w:cs="Arial" w:eastAsia="Arial" w:hAnsi="Arial"/>
                <w:sz w:val="12"/>
                <w:szCs w:val="12"/>
                <w:color w:val="auto"/>
              </w:rPr>
              <w:t>19,051,853</w:t>
            </w:r>
          </w:p>
        </w:tc>
        <w:tc>
          <w:tcPr>
            <w:tcW w:w="1300" w:type="dxa"/>
            <w:vAlign w:val="bottom"/>
          </w:tcPr>
          <w:p>
            <w:pPr>
              <w:jc w:val="center"/>
              <w:spacing w:after="0" w:line="111" w:lineRule="exact"/>
              <w:rPr>
                <w:sz w:val="20"/>
                <w:szCs w:val="20"/>
                <w:color w:val="auto"/>
              </w:rPr>
            </w:pPr>
            <w:r>
              <w:rPr>
                <w:rFonts w:ascii="Arial" w:cs="Arial" w:eastAsia="Arial" w:hAnsi="Arial"/>
                <w:sz w:val="12"/>
                <w:szCs w:val="12"/>
                <w:color w:val="auto"/>
              </w:rPr>
              <w:t>18,585,234</w:t>
            </w:r>
          </w:p>
        </w:tc>
        <w:tc>
          <w:tcPr>
            <w:tcW w:w="136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18,585,234</w:t>
            </w:r>
          </w:p>
        </w:tc>
        <w:tc>
          <w:tcPr>
            <w:tcW w:w="1020" w:type="dxa"/>
            <w:vAlign w:val="bottom"/>
          </w:tcPr>
          <w:p>
            <w:pPr>
              <w:jc w:val="center"/>
              <w:spacing w:after="0" w:line="111" w:lineRule="exact"/>
              <w:rPr>
                <w:sz w:val="20"/>
                <w:szCs w:val="20"/>
                <w:color w:val="auto"/>
              </w:rPr>
            </w:pPr>
            <w:r>
              <w:rPr>
                <w:rFonts w:ascii="Arial" w:cs="Arial" w:eastAsia="Arial" w:hAnsi="Arial"/>
                <w:sz w:val="12"/>
                <w:szCs w:val="12"/>
                <w:color w:val="auto"/>
              </w:rPr>
              <w:t>0.0%</w:t>
            </w:r>
          </w:p>
        </w:tc>
        <w:tc>
          <w:tcPr>
            <w:tcW w:w="10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-2.4%</w:t>
            </w:r>
          </w:p>
        </w:tc>
      </w:tr>
      <w:tr>
        <w:trPr>
          <w:trHeight w:val="135"/>
        </w:trPr>
        <w:tc>
          <w:tcPr>
            <w:tcW w:w="46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Retained earnings</w:t>
            </w:r>
          </w:p>
        </w:tc>
        <w:tc>
          <w:tcPr>
            <w:tcW w:w="1340" w:type="dxa"/>
            <w:vAlign w:val="bottom"/>
          </w:tcPr>
          <w:p>
            <w:pPr>
              <w:jc w:val="center"/>
              <w:spacing w:after="0" w:line="135" w:lineRule="exact"/>
              <w:rPr>
                <w:sz w:val="20"/>
                <w:szCs w:val="20"/>
                <w:color w:val="auto"/>
              </w:rPr>
            </w:pPr>
            <w:r>
              <w:rPr>
                <w:rFonts w:ascii="Arial" w:cs="Arial" w:eastAsia="Arial" w:hAnsi="Arial"/>
                <w:sz w:val="13"/>
                <w:szCs w:val="13"/>
                <w:color w:val="auto"/>
              </w:rPr>
              <w:t>3,429,163</w:t>
            </w:r>
          </w:p>
        </w:tc>
        <w:tc>
          <w:tcPr>
            <w:tcW w:w="1300" w:type="dxa"/>
            <w:vAlign w:val="bottom"/>
          </w:tcPr>
          <w:p>
            <w:pPr>
              <w:jc w:val="center"/>
              <w:spacing w:after="0" w:line="135" w:lineRule="exact"/>
              <w:rPr>
                <w:sz w:val="20"/>
                <w:szCs w:val="20"/>
                <w:color w:val="auto"/>
              </w:rPr>
            </w:pPr>
            <w:r>
              <w:rPr>
                <w:rFonts w:ascii="Arial" w:cs="Arial" w:eastAsia="Arial" w:hAnsi="Arial"/>
                <w:sz w:val="13"/>
                <w:szCs w:val="13"/>
                <w:color w:val="auto"/>
                <w:w w:val="96"/>
              </w:rPr>
              <w:t>7,345,245</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4,176,630</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7"/>
              </w:rPr>
              <w:t>-43.1%</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21.8%</w:t>
            </w:r>
          </w:p>
        </w:tc>
      </w:tr>
      <w:tr>
        <w:trPr>
          <w:trHeight w:val="135"/>
        </w:trPr>
        <w:tc>
          <w:tcPr>
            <w:tcW w:w="46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Unrealized gains (losses)</w:t>
            </w:r>
          </w:p>
        </w:tc>
        <w:tc>
          <w:tcPr>
            <w:tcW w:w="1340" w:type="dxa"/>
            <w:vAlign w:val="bottom"/>
          </w:tcPr>
          <w:p>
            <w:pPr>
              <w:jc w:val="center"/>
              <w:spacing w:after="0" w:line="135" w:lineRule="exact"/>
              <w:rPr>
                <w:sz w:val="20"/>
                <w:szCs w:val="20"/>
                <w:color w:val="auto"/>
              </w:rPr>
            </w:pPr>
            <w:r>
              <w:rPr>
                <w:rFonts w:ascii="Arial" w:cs="Arial" w:eastAsia="Arial" w:hAnsi="Arial"/>
                <w:sz w:val="13"/>
                <w:szCs w:val="13"/>
                <w:color w:val="auto"/>
                <w:w w:val="96"/>
              </w:rPr>
              <w:t>(161,369)</w:t>
            </w:r>
          </w:p>
        </w:tc>
        <w:tc>
          <w:tcPr>
            <w:tcW w:w="1300" w:type="dxa"/>
            <w:vAlign w:val="bottom"/>
          </w:tcPr>
          <w:p>
            <w:pPr>
              <w:jc w:val="center"/>
              <w:spacing w:after="0" w:line="135" w:lineRule="exact"/>
              <w:rPr>
                <w:sz w:val="20"/>
                <w:szCs w:val="20"/>
                <w:color w:val="auto"/>
              </w:rPr>
            </w:pPr>
            <w:r>
              <w:rPr>
                <w:rFonts w:ascii="Arial" w:cs="Arial" w:eastAsia="Arial" w:hAnsi="Arial"/>
                <w:sz w:val="13"/>
                <w:szCs w:val="13"/>
                <w:color w:val="auto"/>
              </w:rPr>
              <w:t>81,399</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140,002</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7"/>
              </w:rPr>
              <w:t>72.0%</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-186.8%</w:t>
            </w:r>
          </w:p>
        </w:tc>
      </w:tr>
      <w:tr>
        <w:trPr>
          <w:trHeight w:val="135"/>
        </w:trPr>
        <w:tc>
          <w:tcPr>
            <w:tcW w:w="46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Goodwill and intangibles</w:t>
            </w:r>
          </w:p>
        </w:tc>
        <w:tc>
          <w:tcPr>
            <w:tcW w:w="1340" w:type="dxa"/>
            <w:vAlign w:val="bottom"/>
          </w:tcPr>
          <w:p>
            <w:pPr>
              <w:jc w:val="center"/>
              <w:spacing w:after="0" w:line="135" w:lineRule="exact"/>
              <w:rPr>
                <w:sz w:val="20"/>
                <w:szCs w:val="20"/>
                <w:color w:val="auto"/>
              </w:rPr>
            </w:pPr>
            <w:r>
              <w:rPr>
                <w:rFonts w:ascii="Arial" w:cs="Arial" w:eastAsia="Arial" w:hAnsi="Arial"/>
                <w:sz w:val="13"/>
                <w:szCs w:val="13"/>
                <w:color w:val="auto"/>
                <w:w w:val="99"/>
              </w:rPr>
              <w:t>(1,650,626)</w:t>
            </w:r>
          </w:p>
        </w:tc>
        <w:tc>
          <w:tcPr>
            <w:tcW w:w="1300" w:type="dxa"/>
            <w:vAlign w:val="bottom"/>
          </w:tcPr>
          <w:p>
            <w:pPr>
              <w:jc w:val="center"/>
              <w:spacing w:after="0" w:line="135" w:lineRule="exact"/>
              <w:rPr>
                <w:sz w:val="20"/>
                <w:szCs w:val="20"/>
                <w:color w:val="auto"/>
              </w:rPr>
            </w:pPr>
            <w:r>
              <w:rPr>
                <w:rFonts w:ascii="Arial" w:cs="Arial" w:eastAsia="Arial" w:hAnsi="Arial"/>
                <w:sz w:val="13"/>
                <w:szCs w:val="13"/>
                <w:color w:val="auto"/>
                <w:w w:val="96"/>
              </w:rPr>
              <w:t>(1,741,267)</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(1,706,438)</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-2.0%</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3.4%</w:t>
            </w:r>
          </w:p>
        </w:tc>
      </w:tr>
      <w:tr>
        <w:trPr>
          <w:trHeight w:val="153"/>
        </w:trPr>
        <w:tc>
          <w:tcPr>
            <w:tcW w:w="46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Investments in subsidiaries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(2,570,974)</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(2,598,905)</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(2,416,979)</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-7.0%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-6.0%</w:t>
            </w:r>
          </w:p>
        </w:tc>
      </w:tr>
      <w:tr>
        <w:trPr>
          <w:trHeight w:val="128"/>
        </w:trPr>
        <w:tc>
          <w:tcPr>
            <w:tcW w:w="46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Total</w:t>
            </w: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18,098,046</w:t>
            </w:r>
          </w:p>
        </w:tc>
        <w:tc>
          <w:tcPr>
            <w:tcW w:w="13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21,671,706</w:t>
            </w:r>
          </w:p>
        </w:tc>
        <w:tc>
          <w:tcPr>
            <w:tcW w:w="13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18,778,449</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-13.4%</w:t>
            </w:r>
          </w:p>
        </w:tc>
        <w:tc>
          <w:tcPr>
            <w:tcW w:w="10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3.8%</w:t>
            </w:r>
          </w:p>
        </w:tc>
      </w:tr>
      <w:tr>
        <w:trPr>
          <w:trHeight w:val="128"/>
        </w:trPr>
        <w:tc>
          <w:tcPr>
            <w:tcW w:w="46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28"/>
        </w:trPr>
        <w:tc>
          <w:tcPr>
            <w:tcW w:w="46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Adjusted RWAs IFRS</w:t>
            </w: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152,645,988</w:t>
            </w:r>
          </w:p>
        </w:tc>
        <w:tc>
          <w:tcPr>
            <w:tcW w:w="13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162,676,386</w:t>
            </w:r>
          </w:p>
        </w:tc>
        <w:tc>
          <w:tcPr>
            <w:tcW w:w="13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161,628,694</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-0.6%</w:t>
            </w:r>
          </w:p>
        </w:tc>
        <w:tc>
          <w:tcPr>
            <w:tcW w:w="10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5.9%</w:t>
            </w:r>
          </w:p>
        </w:tc>
      </w:tr>
      <w:tr>
        <w:trPr>
          <w:trHeight w:val="111"/>
        </w:trPr>
        <w:tc>
          <w:tcPr>
            <w:tcW w:w="4620" w:type="dxa"/>
            <w:vAlign w:val="bottom"/>
            <w:tcBorders>
              <w:left w:val="single" w:sz="8" w:color="auto"/>
              <w:right w:val="single" w:sz="8" w:color="auto"/>
            </w:tcBorders>
          </w:tcPr>
          <w:p>
            <w:pPr>
              <w:ind w:left="160"/>
              <w:spacing w:after="0" w:line="111" w:lineRule="exact"/>
              <w:rPr>
                <w:sz w:val="20"/>
                <w:szCs w:val="20"/>
                <w:color w:val="auto"/>
              </w:rPr>
            </w:pPr>
            <w:r>
              <w:rPr>
                <w:rFonts w:ascii="Arial" w:cs="Arial" w:eastAsia="Arial" w:hAnsi="Arial"/>
                <w:sz w:val="12"/>
                <w:szCs w:val="12"/>
                <w:color w:val="auto"/>
              </w:rPr>
              <w:t>Adjusted Credit RWAs IFRS</w:t>
            </w:r>
          </w:p>
        </w:tc>
        <w:tc>
          <w:tcPr>
            <w:tcW w:w="1340" w:type="dxa"/>
            <w:vAlign w:val="bottom"/>
          </w:tcPr>
          <w:p>
            <w:pPr>
              <w:jc w:val="center"/>
              <w:spacing w:after="0" w:line="111" w:lineRule="exact"/>
              <w:rPr>
                <w:sz w:val="20"/>
                <w:szCs w:val="20"/>
                <w:color w:val="auto"/>
              </w:rPr>
            </w:pPr>
            <w:r>
              <w:rPr>
                <w:rFonts w:ascii="Arial" w:cs="Arial" w:eastAsia="Arial" w:hAnsi="Arial"/>
                <w:sz w:val="12"/>
                <w:szCs w:val="12"/>
                <w:color w:val="auto"/>
              </w:rPr>
              <w:t>132,771,383</w:t>
            </w:r>
          </w:p>
        </w:tc>
        <w:tc>
          <w:tcPr>
            <w:tcW w:w="1300" w:type="dxa"/>
            <w:vAlign w:val="bottom"/>
          </w:tcPr>
          <w:p>
            <w:pPr>
              <w:jc w:val="center"/>
              <w:spacing w:after="0" w:line="111" w:lineRule="exact"/>
              <w:rPr>
                <w:sz w:val="20"/>
                <w:szCs w:val="20"/>
                <w:color w:val="auto"/>
              </w:rPr>
            </w:pPr>
            <w:r>
              <w:rPr>
                <w:rFonts w:ascii="Arial" w:cs="Arial" w:eastAsia="Arial" w:hAnsi="Arial"/>
                <w:sz w:val="12"/>
                <w:szCs w:val="12"/>
                <w:color w:val="auto"/>
              </w:rPr>
              <w:t>140,344,978</w:t>
            </w:r>
          </w:p>
        </w:tc>
        <w:tc>
          <w:tcPr>
            <w:tcW w:w="136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138,830,109</w:t>
            </w:r>
          </w:p>
        </w:tc>
        <w:tc>
          <w:tcPr>
            <w:tcW w:w="1020" w:type="dxa"/>
            <w:vAlign w:val="bottom"/>
          </w:tcPr>
          <w:p>
            <w:pPr>
              <w:jc w:val="center"/>
              <w:spacing w:after="0" w:line="111" w:lineRule="exact"/>
              <w:rPr>
                <w:sz w:val="20"/>
                <w:szCs w:val="20"/>
                <w:color w:val="auto"/>
              </w:rPr>
            </w:pPr>
            <w:r>
              <w:rPr>
                <w:rFonts w:ascii="Arial" w:cs="Arial" w:eastAsia="Arial" w:hAnsi="Arial"/>
                <w:sz w:val="12"/>
                <w:szCs w:val="12"/>
                <w:color w:val="auto"/>
              </w:rPr>
              <w:t>-1.1%</w:t>
            </w:r>
          </w:p>
        </w:tc>
        <w:tc>
          <w:tcPr>
            <w:tcW w:w="10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4.6%</w:t>
            </w:r>
          </w:p>
        </w:tc>
      </w:tr>
      <w:tr>
        <w:trPr>
          <w:trHeight w:val="153"/>
        </w:trPr>
        <w:tc>
          <w:tcPr>
            <w:tcW w:w="46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Others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19,874,605</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22,331,409</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22,798,584</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2.1%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14.7%</w:t>
            </w:r>
          </w:p>
        </w:tc>
      </w:tr>
      <w:tr>
        <w:trPr>
          <w:trHeight w:val="196"/>
        </w:trPr>
        <w:tc>
          <w:tcPr>
            <w:tcW w:w="46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29"/>
        </w:trPr>
        <w:tc>
          <w:tcPr>
            <w:tcW w:w="46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CET1 ratio IFRS</w:t>
            </w: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11.86%</w:t>
            </w:r>
          </w:p>
        </w:tc>
        <w:tc>
          <w:tcPr>
            <w:tcW w:w="13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9"/>
              </w:rPr>
              <w:t>13.32%</w:t>
            </w:r>
          </w:p>
        </w:tc>
        <w:tc>
          <w:tcPr>
            <w:tcW w:w="13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11.62%</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-170 bps</w:t>
            </w:r>
          </w:p>
        </w:tc>
        <w:tc>
          <w:tcPr>
            <w:tcW w:w="10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-24 bps</w:t>
            </w:r>
          </w:p>
        </w:tc>
      </w:tr>
      <w:tr>
        <w:trPr>
          <w:trHeight w:val="410"/>
        </w:trPr>
        <w:tc>
          <w:tcPr>
            <w:tcW w:w="462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Arial" w:cs="Arial" w:eastAsia="Arial" w:hAnsi="Arial"/>
                <w:sz w:val="18"/>
                <w:szCs w:val="18"/>
                <w:b w:val="1"/>
                <w:bCs w:val="1"/>
                <w:color w:val="auto"/>
              </w:rPr>
              <w:t>Mibanco</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7"/>
        </w:trPr>
        <w:tc>
          <w:tcPr>
            <w:tcW w:w="46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spacing w:after="0"/>
              <w:rPr>
                <w:sz w:val="15"/>
                <w:szCs w:val="15"/>
                <w:color w:val="auto"/>
              </w:rPr>
            </w:pPr>
          </w:p>
        </w:tc>
      </w:tr>
      <w:tr>
        <w:trPr>
          <w:trHeight w:val="111"/>
        </w:trPr>
        <w:tc>
          <w:tcPr>
            <w:tcW w:w="4620" w:type="dxa"/>
            <w:vAlign w:val="bottom"/>
            <w:tcBorders>
              <w:left w:val="single" w:sz="8" w:color="auto"/>
              <w:right w:val="single" w:sz="8" w:color="auto"/>
            </w:tcBorders>
            <w:shd w:val="clear" w:color="auto" w:fill="33CCCC"/>
          </w:tcPr>
          <w:p>
            <w:pPr>
              <w:spacing w:after="0" w:line="111" w:lineRule="exact"/>
              <w:rPr>
                <w:sz w:val="20"/>
                <w:szCs w:val="20"/>
                <w:color w:val="auto"/>
              </w:rPr>
            </w:pPr>
            <w:r>
              <w:rPr>
                <w:rFonts w:ascii="Arial" w:cs="Arial" w:eastAsia="Arial" w:hAnsi="Arial"/>
                <w:sz w:val="12"/>
                <w:szCs w:val="12"/>
                <w:b w:val="1"/>
                <w:bCs w:val="1"/>
                <w:color w:val="FFFFFF"/>
              </w:rPr>
              <w:t>Common Equity Tier 1 IFRS</w:t>
            </w:r>
          </w:p>
        </w:tc>
        <w:tc>
          <w:tcPr>
            <w:tcW w:w="1340" w:type="dxa"/>
            <w:vAlign w:val="bottom"/>
            <w:shd w:val="clear" w:color="auto" w:fill="33CCCC"/>
          </w:tcPr>
          <w:p>
            <w:pPr>
              <w:spacing w:after="0"/>
              <w:rPr>
                <w:sz w:val="9"/>
                <w:szCs w:val="9"/>
                <w:color w:val="auto"/>
              </w:rPr>
            </w:pPr>
          </w:p>
        </w:tc>
        <w:tc>
          <w:tcPr>
            <w:tcW w:w="1300" w:type="dxa"/>
            <w:vAlign w:val="bottom"/>
            <w:shd w:val="clear" w:color="auto" w:fill="33CCCC"/>
          </w:tcPr>
          <w:p>
            <w:pPr>
              <w:jc w:val="center"/>
              <w:spacing w:after="0" w:line="111" w:lineRule="exact"/>
              <w:rPr>
                <w:sz w:val="20"/>
                <w:szCs w:val="20"/>
                <w:color w:val="auto"/>
              </w:rPr>
            </w:pPr>
            <w:r>
              <w:rPr>
                <w:rFonts w:ascii="Arial" w:cs="Arial" w:eastAsia="Arial" w:hAnsi="Arial"/>
                <w:sz w:val="12"/>
                <w:szCs w:val="12"/>
                <w:b w:val="1"/>
                <w:bCs w:val="1"/>
                <w:color w:val="FFFFFF"/>
              </w:rPr>
              <w:t>As of</w:t>
            </w:r>
          </w:p>
        </w:tc>
        <w:tc>
          <w:tcPr>
            <w:tcW w:w="1360" w:type="dxa"/>
            <w:vAlign w:val="bottom"/>
            <w:tcBorders>
              <w:right w:val="single" w:sz="8" w:color="auto"/>
            </w:tcBorders>
            <w:shd w:val="clear" w:color="auto" w:fill="33CCCC"/>
          </w:tcPr>
          <w:p>
            <w:pPr>
              <w:spacing w:after="0"/>
              <w:rPr>
                <w:sz w:val="9"/>
                <w:szCs w:val="9"/>
                <w:color w:val="auto"/>
              </w:rPr>
            </w:pPr>
          </w:p>
        </w:tc>
        <w:tc>
          <w:tcPr>
            <w:tcW w:w="2060" w:type="dxa"/>
            <w:vAlign w:val="bottom"/>
            <w:tcBorders>
              <w:right w:val="single" w:sz="8" w:color="auto"/>
            </w:tcBorders>
            <w:gridSpan w:val="2"/>
            <w:shd w:val="clear" w:color="auto" w:fill="33CCCC"/>
          </w:tcPr>
          <w:p>
            <w:pPr>
              <w:ind w:left="700"/>
              <w:spacing w:after="0" w:line="111" w:lineRule="exact"/>
              <w:rPr>
                <w:sz w:val="20"/>
                <w:szCs w:val="20"/>
                <w:color w:val="auto"/>
              </w:rPr>
            </w:pPr>
            <w:r>
              <w:rPr>
                <w:rFonts w:ascii="Arial" w:cs="Arial" w:eastAsia="Arial" w:hAnsi="Arial"/>
                <w:sz w:val="12"/>
                <w:szCs w:val="12"/>
                <w:b w:val="1"/>
                <w:bCs w:val="1"/>
                <w:color w:val="FFFFFF"/>
              </w:rPr>
              <w:t>% Change</w:t>
            </w:r>
          </w:p>
        </w:tc>
      </w:tr>
      <w:tr>
        <w:trPr>
          <w:trHeight w:val="153"/>
        </w:trPr>
        <w:tc>
          <w:tcPr>
            <w:tcW w:w="462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3"/>
                <w:szCs w:val="13"/>
                <w:color w:val="FFFFFF"/>
              </w:rPr>
              <w:t>(S/ thousand)</w:t>
            </w:r>
          </w:p>
        </w:tc>
        <w:tc>
          <w:tcPr>
            <w:tcW w:w="1340" w:type="dxa"/>
            <w:vAlign w:val="bottom"/>
            <w:tcBorders>
              <w:bottom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Mar 24</w:t>
            </w:r>
          </w:p>
        </w:tc>
        <w:tc>
          <w:tcPr>
            <w:tcW w:w="13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5"/>
              </w:rPr>
              <w:t>Dec 24</w:t>
            </w:r>
          </w:p>
        </w:tc>
        <w:tc>
          <w:tcPr>
            <w:tcW w:w="1360" w:type="dxa"/>
            <w:vAlign w:val="bottom"/>
            <w:tcBorders>
              <w:bottom w:val="single" w:sz="8" w:color="auto"/>
              <w:right w:val="single" w:sz="8" w:color="auto"/>
            </w:tcBorders>
            <w:shd w:val="clear" w:color="auto" w:fill="33CCCC"/>
          </w:tcPr>
          <w:p>
            <w:pPr>
              <w:ind w:left="480"/>
              <w:spacing w:after="0"/>
              <w:rPr>
                <w:sz w:val="20"/>
                <w:szCs w:val="20"/>
                <w:color w:val="auto"/>
              </w:rPr>
            </w:pPr>
            <w:r>
              <w:rPr>
                <w:rFonts w:ascii="Arial" w:cs="Arial" w:eastAsia="Arial" w:hAnsi="Arial"/>
                <w:sz w:val="13"/>
                <w:szCs w:val="13"/>
                <w:b w:val="1"/>
                <w:bCs w:val="1"/>
                <w:color w:val="FFFFFF"/>
              </w:rPr>
              <w:t>Mar 25</w:t>
            </w:r>
          </w:p>
        </w:tc>
        <w:tc>
          <w:tcPr>
            <w:tcW w:w="10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86"/>
              </w:rPr>
              <w:t>YoY</w:t>
            </w:r>
          </w:p>
        </w:tc>
      </w:tr>
      <w:tr>
        <w:trPr>
          <w:trHeight w:val="111"/>
        </w:trPr>
        <w:tc>
          <w:tcPr>
            <w:tcW w:w="4620" w:type="dxa"/>
            <w:vAlign w:val="bottom"/>
            <w:tcBorders>
              <w:left w:val="single" w:sz="8" w:color="auto"/>
              <w:right w:val="single" w:sz="8" w:color="auto"/>
            </w:tcBorders>
          </w:tcPr>
          <w:p>
            <w:pPr>
              <w:ind w:left="160"/>
              <w:spacing w:after="0" w:line="111" w:lineRule="exact"/>
              <w:rPr>
                <w:sz w:val="20"/>
                <w:szCs w:val="20"/>
                <w:color w:val="auto"/>
              </w:rPr>
            </w:pPr>
            <w:r>
              <w:rPr>
                <w:rFonts w:ascii="Arial" w:cs="Arial" w:eastAsia="Arial" w:hAnsi="Arial"/>
                <w:sz w:val="12"/>
                <w:szCs w:val="12"/>
                <w:color w:val="auto"/>
              </w:rPr>
              <w:t>Capital and reserves</w:t>
            </w:r>
          </w:p>
        </w:tc>
        <w:tc>
          <w:tcPr>
            <w:tcW w:w="1340" w:type="dxa"/>
            <w:vAlign w:val="bottom"/>
          </w:tcPr>
          <w:p>
            <w:pPr>
              <w:jc w:val="center"/>
              <w:spacing w:after="0" w:line="111" w:lineRule="exact"/>
              <w:rPr>
                <w:sz w:val="20"/>
                <w:szCs w:val="20"/>
                <w:color w:val="auto"/>
              </w:rPr>
            </w:pPr>
            <w:r>
              <w:rPr>
                <w:rFonts w:ascii="Arial" w:cs="Arial" w:eastAsia="Arial" w:hAnsi="Arial"/>
                <w:sz w:val="12"/>
                <w:szCs w:val="12"/>
                <w:color w:val="auto"/>
              </w:rPr>
              <w:t>2,703,385</w:t>
            </w:r>
          </w:p>
        </w:tc>
        <w:tc>
          <w:tcPr>
            <w:tcW w:w="1300" w:type="dxa"/>
            <w:vAlign w:val="bottom"/>
          </w:tcPr>
          <w:p>
            <w:pPr>
              <w:jc w:val="center"/>
              <w:spacing w:after="0" w:line="111" w:lineRule="exact"/>
              <w:rPr>
                <w:sz w:val="20"/>
                <w:szCs w:val="20"/>
                <w:color w:val="auto"/>
              </w:rPr>
            </w:pPr>
            <w:r>
              <w:rPr>
                <w:rFonts w:ascii="Arial" w:cs="Arial" w:eastAsia="Arial" w:hAnsi="Arial"/>
                <w:sz w:val="12"/>
                <w:szCs w:val="12"/>
                <w:color w:val="auto"/>
              </w:rPr>
              <w:t>2,703,385</w:t>
            </w:r>
          </w:p>
        </w:tc>
        <w:tc>
          <w:tcPr>
            <w:tcW w:w="136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2,734,582</w:t>
            </w:r>
          </w:p>
        </w:tc>
        <w:tc>
          <w:tcPr>
            <w:tcW w:w="1020" w:type="dxa"/>
            <w:vAlign w:val="bottom"/>
          </w:tcPr>
          <w:p>
            <w:pPr>
              <w:jc w:val="center"/>
              <w:spacing w:after="0" w:line="111" w:lineRule="exact"/>
              <w:rPr>
                <w:sz w:val="20"/>
                <w:szCs w:val="20"/>
                <w:color w:val="auto"/>
              </w:rPr>
            </w:pPr>
            <w:r>
              <w:rPr>
                <w:rFonts w:ascii="Arial" w:cs="Arial" w:eastAsia="Arial" w:hAnsi="Arial"/>
                <w:sz w:val="12"/>
                <w:szCs w:val="12"/>
                <w:color w:val="auto"/>
              </w:rPr>
              <w:t>1.2%</w:t>
            </w:r>
          </w:p>
        </w:tc>
        <w:tc>
          <w:tcPr>
            <w:tcW w:w="10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1.2%</w:t>
            </w:r>
          </w:p>
        </w:tc>
      </w:tr>
      <w:tr>
        <w:trPr>
          <w:trHeight w:val="135"/>
        </w:trPr>
        <w:tc>
          <w:tcPr>
            <w:tcW w:w="46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Retained earnings</w:t>
            </w:r>
          </w:p>
        </w:tc>
        <w:tc>
          <w:tcPr>
            <w:tcW w:w="1340" w:type="dxa"/>
            <w:vAlign w:val="bottom"/>
          </w:tcPr>
          <w:p>
            <w:pPr>
              <w:jc w:val="center"/>
              <w:spacing w:after="0" w:line="135" w:lineRule="exact"/>
              <w:rPr>
                <w:sz w:val="20"/>
                <w:szCs w:val="20"/>
                <w:color w:val="auto"/>
              </w:rPr>
            </w:pPr>
            <w:r>
              <w:rPr>
                <w:rFonts w:ascii="Arial" w:cs="Arial" w:eastAsia="Arial" w:hAnsi="Arial"/>
                <w:sz w:val="13"/>
                <w:szCs w:val="13"/>
                <w:color w:val="auto"/>
                <w:w w:val="94"/>
              </w:rPr>
              <w:t>(62,632)</w:t>
            </w:r>
          </w:p>
        </w:tc>
        <w:tc>
          <w:tcPr>
            <w:tcW w:w="1300" w:type="dxa"/>
            <w:vAlign w:val="bottom"/>
          </w:tcPr>
          <w:p>
            <w:pPr>
              <w:jc w:val="center"/>
              <w:spacing w:after="0" w:line="135" w:lineRule="exact"/>
              <w:rPr>
                <w:sz w:val="20"/>
                <w:szCs w:val="20"/>
                <w:color w:val="auto"/>
              </w:rPr>
            </w:pPr>
            <w:r>
              <w:rPr>
                <w:rFonts w:ascii="Arial" w:cs="Arial" w:eastAsia="Arial" w:hAnsi="Arial"/>
                <w:sz w:val="13"/>
                <w:szCs w:val="13"/>
                <w:color w:val="auto"/>
                <w:w w:val="99"/>
              </w:rPr>
              <w:t>(29,980)</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(247,483)</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9"/>
              </w:rPr>
              <w:t>725.5%</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295.1%</w:t>
            </w:r>
          </w:p>
        </w:tc>
      </w:tr>
      <w:tr>
        <w:trPr>
          <w:trHeight w:val="135"/>
        </w:trPr>
        <w:tc>
          <w:tcPr>
            <w:tcW w:w="46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Unrealized gains (losses)</w:t>
            </w:r>
          </w:p>
        </w:tc>
        <w:tc>
          <w:tcPr>
            <w:tcW w:w="1340" w:type="dxa"/>
            <w:vAlign w:val="bottom"/>
          </w:tcPr>
          <w:p>
            <w:pPr>
              <w:jc w:val="center"/>
              <w:spacing w:after="0" w:line="135" w:lineRule="exact"/>
              <w:rPr>
                <w:sz w:val="20"/>
                <w:szCs w:val="20"/>
                <w:color w:val="auto"/>
              </w:rPr>
            </w:pPr>
            <w:r>
              <w:rPr>
                <w:rFonts w:ascii="Arial" w:cs="Arial" w:eastAsia="Arial" w:hAnsi="Arial"/>
                <w:sz w:val="13"/>
                <w:szCs w:val="13"/>
                <w:color w:val="auto"/>
                <w:w w:val="92"/>
              </w:rPr>
              <w:t>(8,967)</w:t>
            </w:r>
          </w:p>
        </w:tc>
        <w:tc>
          <w:tcPr>
            <w:tcW w:w="1300" w:type="dxa"/>
            <w:vAlign w:val="bottom"/>
          </w:tcPr>
          <w:p>
            <w:pPr>
              <w:jc w:val="center"/>
              <w:spacing w:after="0" w:line="135" w:lineRule="exact"/>
              <w:rPr>
                <w:sz w:val="20"/>
                <w:szCs w:val="20"/>
                <w:color w:val="auto"/>
              </w:rPr>
            </w:pPr>
            <w:r>
              <w:rPr>
                <w:rFonts w:ascii="Arial" w:cs="Arial" w:eastAsia="Arial" w:hAnsi="Arial"/>
                <w:sz w:val="13"/>
                <w:szCs w:val="13"/>
                <w:color w:val="auto"/>
                <w:w w:val="97"/>
              </w:rPr>
              <w:t>(5,037)</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(4,257)</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7"/>
              </w:rPr>
              <w:t>-15.5%</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-52.5%</w:t>
            </w:r>
          </w:p>
        </w:tc>
      </w:tr>
      <w:tr>
        <w:trPr>
          <w:trHeight w:val="135"/>
        </w:trPr>
        <w:tc>
          <w:tcPr>
            <w:tcW w:w="46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Goodwill and intangibles</w:t>
            </w:r>
          </w:p>
        </w:tc>
        <w:tc>
          <w:tcPr>
            <w:tcW w:w="1340" w:type="dxa"/>
            <w:vAlign w:val="bottom"/>
          </w:tcPr>
          <w:p>
            <w:pPr>
              <w:jc w:val="center"/>
              <w:spacing w:after="0" w:line="135" w:lineRule="exact"/>
              <w:rPr>
                <w:sz w:val="20"/>
                <w:szCs w:val="20"/>
                <w:color w:val="auto"/>
              </w:rPr>
            </w:pPr>
            <w:r>
              <w:rPr>
                <w:rFonts w:ascii="Arial" w:cs="Arial" w:eastAsia="Arial" w:hAnsi="Arial"/>
                <w:sz w:val="13"/>
                <w:szCs w:val="13"/>
                <w:color w:val="auto"/>
                <w:w w:val="96"/>
              </w:rPr>
              <w:t>(352,162)</w:t>
            </w:r>
          </w:p>
        </w:tc>
        <w:tc>
          <w:tcPr>
            <w:tcW w:w="1300" w:type="dxa"/>
            <w:vAlign w:val="bottom"/>
          </w:tcPr>
          <w:p>
            <w:pPr>
              <w:jc w:val="center"/>
              <w:spacing w:after="0" w:line="135" w:lineRule="exact"/>
              <w:rPr>
                <w:sz w:val="20"/>
                <w:szCs w:val="20"/>
                <w:color w:val="auto"/>
              </w:rPr>
            </w:pPr>
            <w:r>
              <w:rPr>
                <w:rFonts w:ascii="Arial" w:cs="Arial" w:eastAsia="Arial" w:hAnsi="Arial"/>
                <w:sz w:val="13"/>
                <w:szCs w:val="13"/>
                <w:color w:val="auto"/>
                <w:w w:val="93"/>
              </w:rPr>
              <w:t>(310,730)</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(292,948)</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-5.7%</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-16.8%</w:t>
            </w:r>
          </w:p>
        </w:tc>
      </w:tr>
      <w:tr>
        <w:trPr>
          <w:trHeight w:val="153"/>
        </w:trPr>
        <w:tc>
          <w:tcPr>
            <w:tcW w:w="46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Investments in subsidiaries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(275)</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(302)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(299)</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-1.1%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8.4%</w:t>
            </w:r>
          </w:p>
        </w:tc>
      </w:tr>
      <w:tr>
        <w:trPr>
          <w:trHeight w:val="128"/>
        </w:trPr>
        <w:tc>
          <w:tcPr>
            <w:tcW w:w="46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Total</w:t>
            </w: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2,279,349</w:t>
            </w:r>
          </w:p>
        </w:tc>
        <w:tc>
          <w:tcPr>
            <w:tcW w:w="13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2,357,337</w:t>
            </w:r>
          </w:p>
        </w:tc>
        <w:tc>
          <w:tcPr>
            <w:tcW w:w="13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2,189,595</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-7.1%</w:t>
            </w:r>
          </w:p>
        </w:tc>
        <w:tc>
          <w:tcPr>
            <w:tcW w:w="10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9"/>
              </w:rPr>
              <w:t>-3.9%</w:t>
            </w:r>
          </w:p>
        </w:tc>
      </w:tr>
      <w:tr>
        <w:trPr>
          <w:trHeight w:val="196"/>
        </w:trPr>
        <w:tc>
          <w:tcPr>
            <w:tcW w:w="46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28"/>
        </w:trPr>
        <w:tc>
          <w:tcPr>
            <w:tcW w:w="46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Adjusted RWAs IFRS</w:t>
            </w: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14,188,737</w:t>
            </w:r>
          </w:p>
        </w:tc>
        <w:tc>
          <w:tcPr>
            <w:tcW w:w="13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13,449,807</w:t>
            </w:r>
          </w:p>
        </w:tc>
        <w:tc>
          <w:tcPr>
            <w:tcW w:w="13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13,782,186</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2.5%</w:t>
            </w:r>
          </w:p>
        </w:tc>
        <w:tc>
          <w:tcPr>
            <w:tcW w:w="10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9"/>
              </w:rPr>
              <w:t>-2.9%</w:t>
            </w:r>
          </w:p>
        </w:tc>
      </w:tr>
      <w:tr>
        <w:trPr>
          <w:trHeight w:val="111"/>
        </w:trPr>
        <w:tc>
          <w:tcPr>
            <w:tcW w:w="4620" w:type="dxa"/>
            <w:vAlign w:val="bottom"/>
            <w:tcBorders>
              <w:left w:val="single" w:sz="8" w:color="auto"/>
              <w:right w:val="single" w:sz="8" w:color="auto"/>
            </w:tcBorders>
          </w:tcPr>
          <w:p>
            <w:pPr>
              <w:ind w:left="160"/>
              <w:spacing w:after="0" w:line="111" w:lineRule="exact"/>
              <w:rPr>
                <w:sz w:val="20"/>
                <w:szCs w:val="20"/>
                <w:color w:val="auto"/>
              </w:rPr>
            </w:pPr>
            <w:r>
              <w:rPr>
                <w:rFonts w:ascii="Arial" w:cs="Arial" w:eastAsia="Arial" w:hAnsi="Arial"/>
                <w:sz w:val="12"/>
                <w:szCs w:val="12"/>
                <w:color w:val="auto"/>
              </w:rPr>
              <w:t>Adjusted Credit RWAs IFRS</w:t>
            </w:r>
          </w:p>
        </w:tc>
        <w:tc>
          <w:tcPr>
            <w:tcW w:w="1340" w:type="dxa"/>
            <w:vAlign w:val="bottom"/>
          </w:tcPr>
          <w:p>
            <w:pPr>
              <w:jc w:val="center"/>
              <w:spacing w:after="0" w:line="111" w:lineRule="exact"/>
              <w:rPr>
                <w:sz w:val="20"/>
                <w:szCs w:val="20"/>
                <w:color w:val="auto"/>
              </w:rPr>
            </w:pPr>
            <w:r>
              <w:rPr>
                <w:rFonts w:ascii="Arial" w:cs="Arial" w:eastAsia="Arial" w:hAnsi="Arial"/>
                <w:sz w:val="12"/>
                <w:szCs w:val="12"/>
                <w:color w:val="auto"/>
              </w:rPr>
              <w:t>12,366,207</w:t>
            </w:r>
          </w:p>
        </w:tc>
        <w:tc>
          <w:tcPr>
            <w:tcW w:w="1300" w:type="dxa"/>
            <w:vAlign w:val="bottom"/>
          </w:tcPr>
          <w:p>
            <w:pPr>
              <w:jc w:val="center"/>
              <w:spacing w:after="0" w:line="111" w:lineRule="exact"/>
              <w:rPr>
                <w:sz w:val="20"/>
                <w:szCs w:val="20"/>
                <w:color w:val="auto"/>
              </w:rPr>
            </w:pPr>
            <w:r>
              <w:rPr>
                <w:rFonts w:ascii="Arial" w:cs="Arial" w:eastAsia="Arial" w:hAnsi="Arial"/>
                <w:sz w:val="12"/>
                <w:szCs w:val="12"/>
                <w:color w:val="auto"/>
              </w:rPr>
              <w:t>11,597,881</w:t>
            </w:r>
          </w:p>
        </w:tc>
        <w:tc>
          <w:tcPr>
            <w:tcW w:w="136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11,933,425</w:t>
            </w:r>
          </w:p>
        </w:tc>
        <w:tc>
          <w:tcPr>
            <w:tcW w:w="1020" w:type="dxa"/>
            <w:vAlign w:val="bottom"/>
          </w:tcPr>
          <w:p>
            <w:pPr>
              <w:jc w:val="center"/>
              <w:spacing w:after="0" w:line="111" w:lineRule="exact"/>
              <w:rPr>
                <w:sz w:val="20"/>
                <w:szCs w:val="20"/>
                <w:color w:val="auto"/>
              </w:rPr>
            </w:pPr>
            <w:r>
              <w:rPr>
                <w:rFonts w:ascii="Arial" w:cs="Arial" w:eastAsia="Arial" w:hAnsi="Arial"/>
                <w:sz w:val="12"/>
                <w:szCs w:val="12"/>
                <w:color w:val="auto"/>
              </w:rPr>
              <w:t>2.9%</w:t>
            </w:r>
          </w:p>
        </w:tc>
        <w:tc>
          <w:tcPr>
            <w:tcW w:w="10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-3.5%</w:t>
            </w:r>
          </w:p>
        </w:tc>
      </w:tr>
      <w:tr>
        <w:trPr>
          <w:trHeight w:val="153"/>
        </w:trPr>
        <w:tc>
          <w:tcPr>
            <w:tcW w:w="46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Others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1,822,530</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1,851,926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1,848,760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-0.2%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1.4%</w:t>
            </w:r>
          </w:p>
        </w:tc>
      </w:tr>
      <w:tr>
        <w:trPr>
          <w:trHeight w:val="196"/>
        </w:trPr>
        <w:tc>
          <w:tcPr>
            <w:tcW w:w="46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28"/>
        </w:trPr>
        <w:tc>
          <w:tcPr>
            <w:tcW w:w="46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CET1 ratio IFRS</w:t>
            </w: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16.06%</w:t>
            </w:r>
          </w:p>
        </w:tc>
        <w:tc>
          <w:tcPr>
            <w:tcW w:w="13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9"/>
              </w:rPr>
              <w:t>17.53%</w:t>
            </w:r>
          </w:p>
        </w:tc>
        <w:tc>
          <w:tcPr>
            <w:tcW w:w="13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15.89%</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-164 bps</w:t>
            </w:r>
          </w:p>
        </w:tc>
        <w:tc>
          <w:tcPr>
            <w:tcW w:w="10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-18 bps</w:t>
            </w:r>
          </w:p>
        </w:tc>
      </w:tr>
    </w:tbl>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40640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20" w:top="314" w:right="339" w:bottom="1440" w:gutter="0" w:footer="0" w:header="0"/>
        </w:sectPr>
      </w:pPr>
    </w:p>
    <w:bookmarkStart w:id="60" w:name="page61"/>
    <w:bookmarkEnd w:id="60"/>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12.6.Financial Statements and Ratios by Business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12.6.1.Credicorp Consolidated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100" w:type="dxa"/>
            <w:vAlign w:val="bottom"/>
            <w:tcBorders>
              <w:top w:val="single" w:sz="8" w:color="auto"/>
              <w:left w:val="single" w:sz="8" w:color="auto"/>
              <w:right w:val="single" w:sz="8" w:color="auto"/>
            </w:tcBorders>
            <w:shd w:val="clear" w:color="auto" w:fill="33CCCC"/>
          </w:tcPr>
          <w:p>
            <w:pPr>
              <w:spacing w:after="0"/>
              <w:rPr>
                <w:sz w:val="14"/>
                <w:szCs w:val="14"/>
                <w:color w:val="auto"/>
              </w:rPr>
            </w:pPr>
          </w:p>
        </w:tc>
        <w:tc>
          <w:tcPr>
            <w:tcW w:w="1420" w:type="dxa"/>
            <w:vAlign w:val="bottom"/>
            <w:tcBorders>
              <w:top w:val="single" w:sz="8" w:color="auto"/>
            </w:tcBorders>
            <w:shd w:val="clear" w:color="auto" w:fill="33CCCC"/>
          </w:tcPr>
          <w:p>
            <w:pPr>
              <w:spacing w:after="0"/>
              <w:rPr>
                <w:sz w:val="14"/>
                <w:szCs w:val="14"/>
                <w:color w:val="auto"/>
              </w:rPr>
            </w:pPr>
          </w:p>
        </w:tc>
        <w:tc>
          <w:tcPr>
            <w:tcW w:w="134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As of</w:t>
            </w:r>
          </w:p>
        </w:tc>
        <w:tc>
          <w:tcPr>
            <w:tcW w:w="1360" w:type="dxa"/>
            <w:vAlign w:val="bottom"/>
            <w:tcBorders>
              <w:top w:val="single" w:sz="8" w:color="auto"/>
              <w:right w:val="single" w:sz="8" w:color="auto"/>
            </w:tcBorders>
            <w:shd w:val="clear" w:color="auto" w:fill="33CCCC"/>
          </w:tcPr>
          <w:p>
            <w:pPr>
              <w:spacing w:after="0"/>
              <w:rPr>
                <w:sz w:val="14"/>
                <w:szCs w:val="14"/>
                <w:color w:val="auto"/>
              </w:rPr>
            </w:pPr>
          </w:p>
        </w:tc>
        <w:tc>
          <w:tcPr>
            <w:tcW w:w="720" w:type="dxa"/>
            <w:vAlign w:val="bottom"/>
            <w:tcBorders>
              <w:top w:val="single" w:sz="8" w:color="auto"/>
            </w:tcBorders>
            <w:shd w:val="clear" w:color="auto" w:fill="33CCCC"/>
          </w:tcPr>
          <w:p>
            <w:pPr>
              <w:spacing w:after="0"/>
              <w:rPr>
                <w:sz w:val="14"/>
                <w:szCs w:val="14"/>
                <w:color w:val="auto"/>
              </w:rPr>
            </w:pPr>
          </w:p>
        </w:tc>
        <w:tc>
          <w:tcPr>
            <w:tcW w:w="1300" w:type="dxa"/>
            <w:vAlign w:val="bottom"/>
            <w:tcBorders>
              <w:top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 change</w:t>
            </w:r>
          </w:p>
        </w:tc>
      </w:tr>
      <w:tr>
        <w:trPr>
          <w:trHeight w:val="163"/>
        </w:trPr>
        <w:tc>
          <w:tcPr>
            <w:tcW w:w="5100" w:type="dxa"/>
            <w:vAlign w:val="bottom"/>
            <w:tcBorders>
              <w:left w:val="single" w:sz="8" w:color="auto"/>
              <w:bottom w:val="single" w:sz="8" w:color="auto"/>
              <w:right w:val="single" w:sz="8" w:color="auto"/>
            </w:tcBorders>
            <w:shd w:val="clear" w:color="auto" w:fill="33CCCC"/>
          </w:tcPr>
          <w:p>
            <w:pPr>
              <w:spacing w:after="0"/>
              <w:rPr>
                <w:sz w:val="14"/>
                <w:szCs w:val="14"/>
                <w:color w:val="auto"/>
              </w:rPr>
            </w:pPr>
          </w:p>
        </w:tc>
        <w:tc>
          <w:tcPr>
            <w:tcW w:w="1420" w:type="dxa"/>
            <w:vAlign w:val="bottom"/>
            <w:tcBorders>
              <w:bottom w:val="single" w:sz="8" w:color="auto"/>
            </w:tcBorders>
            <w:shd w:val="clear" w:color="auto" w:fill="33CCCC"/>
          </w:tcPr>
          <w:p>
            <w:pPr>
              <w:ind w:left="540"/>
              <w:spacing w:after="0"/>
              <w:rPr>
                <w:sz w:val="20"/>
                <w:szCs w:val="20"/>
                <w:color w:val="auto"/>
              </w:rPr>
            </w:pPr>
            <w:r>
              <w:rPr>
                <w:rFonts w:ascii="Arial" w:cs="Arial" w:eastAsia="Arial" w:hAnsi="Arial"/>
                <w:sz w:val="11"/>
                <w:szCs w:val="11"/>
                <w:b w:val="1"/>
                <w:bCs w:val="1"/>
                <w:color w:val="FFFFFF"/>
              </w:rPr>
              <w:t>Mar 24</w:t>
            </w:r>
          </w:p>
        </w:tc>
        <w:tc>
          <w:tcPr>
            <w:tcW w:w="13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Dec 24</w:t>
            </w:r>
          </w:p>
        </w:tc>
        <w:tc>
          <w:tcPr>
            <w:tcW w:w="1360" w:type="dxa"/>
            <w:vAlign w:val="bottom"/>
            <w:tcBorders>
              <w:bottom w:val="single" w:sz="8" w:color="auto"/>
              <w:right w:val="single" w:sz="8" w:color="auto"/>
            </w:tcBorders>
            <w:shd w:val="clear" w:color="auto" w:fill="33CCCC"/>
          </w:tcPr>
          <w:p>
            <w:pPr>
              <w:ind w:left="500"/>
              <w:spacing w:after="0"/>
              <w:rPr>
                <w:sz w:val="20"/>
                <w:szCs w:val="20"/>
                <w:color w:val="auto"/>
              </w:rPr>
            </w:pPr>
            <w:r>
              <w:rPr>
                <w:rFonts w:ascii="Arial" w:cs="Arial" w:eastAsia="Arial" w:hAnsi="Arial"/>
                <w:sz w:val="11"/>
                <w:szCs w:val="11"/>
                <w:b w:val="1"/>
                <w:bCs w:val="1"/>
                <w:color w:val="FFFFFF"/>
              </w:rPr>
              <w:t>Mar 25</w:t>
            </w:r>
          </w:p>
        </w:tc>
        <w:tc>
          <w:tcPr>
            <w:tcW w:w="720" w:type="dxa"/>
            <w:vAlign w:val="bottom"/>
            <w:tcBorders>
              <w:bottom w:val="single" w:sz="8" w:color="auto"/>
            </w:tcBorders>
            <w:shd w:val="clear" w:color="auto" w:fill="33CCCC"/>
          </w:tcPr>
          <w:p>
            <w:pPr>
              <w:ind w:left="380"/>
              <w:spacing w:after="0"/>
              <w:rPr>
                <w:sz w:val="20"/>
                <w:szCs w:val="20"/>
                <w:color w:val="auto"/>
              </w:rPr>
            </w:pPr>
            <w:r>
              <w:rPr>
                <w:rFonts w:ascii="Arial" w:cs="Arial" w:eastAsia="Arial" w:hAnsi="Arial"/>
                <w:sz w:val="11"/>
                <w:szCs w:val="11"/>
                <w:b w:val="1"/>
                <w:bCs w:val="1"/>
                <w:color w:val="FFFFFF"/>
              </w:rPr>
              <w:t>QoQ</w:t>
            </w:r>
          </w:p>
        </w:tc>
        <w:tc>
          <w:tcPr>
            <w:tcW w:w="1300" w:type="dxa"/>
            <w:vAlign w:val="bottom"/>
            <w:tcBorders>
              <w:bottom w:val="single" w:sz="8" w:color="auto"/>
              <w:right w:val="single" w:sz="8" w:color="auto"/>
            </w:tcBorders>
            <w:shd w:val="clear" w:color="auto" w:fill="33CCCC"/>
          </w:tcPr>
          <w:p>
            <w:pPr>
              <w:ind w:left="680"/>
              <w:spacing w:after="0"/>
              <w:rPr>
                <w:sz w:val="20"/>
                <w:szCs w:val="20"/>
                <w:color w:val="auto"/>
              </w:rPr>
            </w:pPr>
            <w:r>
              <w:rPr>
                <w:rFonts w:ascii="Arial" w:cs="Arial" w:eastAsia="Arial" w:hAnsi="Arial"/>
                <w:sz w:val="11"/>
                <w:szCs w:val="11"/>
                <w:b w:val="1"/>
                <w:bCs w:val="1"/>
                <w:color w:val="FFFFFF"/>
              </w:rPr>
              <w:t>YoY</w:t>
            </w:r>
          </w:p>
        </w:tc>
      </w:tr>
      <w:tr>
        <w:trPr>
          <w:trHeight w:val="102"/>
        </w:trPr>
        <w:tc>
          <w:tcPr>
            <w:tcW w:w="5100" w:type="dxa"/>
            <w:vAlign w:val="bottom"/>
            <w:tcBorders>
              <w:left w:val="single" w:sz="8" w:color="auto"/>
              <w:right w:val="single" w:sz="8" w:color="auto"/>
            </w:tcBorders>
          </w:tcPr>
          <w:p>
            <w:pPr>
              <w:ind w:left="20"/>
              <w:spacing w:after="0" w:line="102" w:lineRule="exact"/>
              <w:rPr>
                <w:sz w:val="20"/>
                <w:szCs w:val="20"/>
                <w:color w:val="auto"/>
              </w:rPr>
            </w:pPr>
            <w:r>
              <w:rPr>
                <w:rFonts w:ascii="Arial" w:cs="Arial" w:eastAsia="Arial" w:hAnsi="Arial"/>
                <w:sz w:val="11"/>
                <w:szCs w:val="11"/>
                <w:b w:val="1"/>
                <w:bCs w:val="1"/>
                <w:color w:val="auto"/>
              </w:rPr>
              <w:t>ASSETS</w:t>
            </w:r>
          </w:p>
        </w:tc>
        <w:tc>
          <w:tcPr>
            <w:tcW w:w="1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r>
      <w:tr>
        <w:trPr>
          <w:trHeight w:val="122"/>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b w:val="1"/>
                <w:bCs w:val="1"/>
                <w:color w:val="auto"/>
              </w:rPr>
              <w:t>Cash and due from banks</w:t>
            </w:r>
          </w:p>
        </w:tc>
        <w:tc>
          <w:tcPr>
            <w:tcW w:w="1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r>
      <w:tr>
        <w:trPr>
          <w:trHeight w:val="122"/>
        </w:trPr>
        <w:tc>
          <w:tcPr>
            <w:tcW w:w="510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Non-interest bearing</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w w:val="97"/>
              </w:rPr>
              <w:t>8,024,262</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7"/>
              </w:rPr>
              <w:t>7,535,259</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7,015,098</w:t>
            </w:r>
          </w:p>
        </w:tc>
        <w:tc>
          <w:tcPr>
            <w:tcW w:w="72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7"/>
              </w:rPr>
              <w:t>-6.9%</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-12.6%</w:t>
            </w:r>
          </w:p>
        </w:tc>
      </w:tr>
      <w:tr>
        <w:trPr>
          <w:trHeight w:val="121"/>
        </w:trPr>
        <w:tc>
          <w:tcPr>
            <w:tcW w:w="510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Interest bearing</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rPr>
              <w:t>31,134,572</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4"/>
              </w:rPr>
              <w:t>40,119,937</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37,521,839</w:t>
            </w:r>
          </w:p>
        </w:tc>
        <w:tc>
          <w:tcPr>
            <w:tcW w:w="72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7"/>
              </w:rPr>
              <w:t>-6.5%</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20.5%</w:t>
            </w:r>
          </w:p>
        </w:tc>
      </w:tr>
      <w:tr>
        <w:trPr>
          <w:trHeight w:val="148"/>
        </w:trPr>
        <w:tc>
          <w:tcPr>
            <w:tcW w:w="5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Total cash and due from banks</w:t>
            </w: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rPr>
              <w:t>39,158,834</w:t>
            </w: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8"/>
              </w:rPr>
              <w:t>47,655,196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44,536,937</w:t>
            </w:r>
          </w:p>
        </w:tc>
        <w:tc>
          <w:tcPr>
            <w:tcW w:w="720" w:type="dxa"/>
            <w:vAlign w:val="bottom"/>
          </w:tcPr>
          <w:p>
            <w:pPr>
              <w:jc w:val="center"/>
              <w:ind w:left="226"/>
              <w:spacing w:after="0"/>
              <w:rPr>
                <w:sz w:val="20"/>
                <w:szCs w:val="20"/>
                <w:color w:val="auto"/>
              </w:rPr>
            </w:pPr>
            <w:r>
              <w:rPr>
                <w:rFonts w:ascii="Arial" w:cs="Arial" w:eastAsia="Arial" w:hAnsi="Arial"/>
                <w:sz w:val="11"/>
                <w:szCs w:val="11"/>
                <w:b w:val="1"/>
                <w:bCs w:val="1"/>
                <w:color w:val="auto"/>
                <w:w w:val="97"/>
              </w:rPr>
              <w:t>-6.5%</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rPr>
              <w:t>13.7%</w:t>
            </w:r>
          </w:p>
        </w:tc>
      </w:tr>
      <w:tr>
        <w:trPr>
          <w:trHeight w:val="217"/>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Cash collateral, reverse repurchase agreements and securities borrowing</w:t>
            </w:r>
          </w:p>
        </w:tc>
        <w:tc>
          <w:tcPr>
            <w:tcW w:w="1420" w:type="dxa"/>
            <w:vAlign w:val="bottom"/>
          </w:tcPr>
          <w:p>
            <w:pPr>
              <w:jc w:val="center"/>
              <w:spacing w:after="0"/>
              <w:rPr>
                <w:sz w:val="20"/>
                <w:szCs w:val="20"/>
                <w:color w:val="auto"/>
              </w:rPr>
            </w:pPr>
            <w:r>
              <w:rPr>
                <w:rFonts w:ascii="Arial" w:cs="Arial" w:eastAsia="Arial" w:hAnsi="Arial"/>
                <w:sz w:val="11"/>
                <w:szCs w:val="11"/>
                <w:color w:val="auto"/>
                <w:w w:val="97"/>
              </w:rPr>
              <w:t>1,526,232</w:t>
            </w:r>
          </w:p>
        </w:tc>
        <w:tc>
          <w:tcPr>
            <w:tcW w:w="1340" w:type="dxa"/>
            <w:vAlign w:val="bottom"/>
          </w:tcPr>
          <w:p>
            <w:pPr>
              <w:jc w:val="center"/>
              <w:spacing w:after="0"/>
              <w:rPr>
                <w:sz w:val="20"/>
                <w:szCs w:val="20"/>
                <w:color w:val="auto"/>
              </w:rPr>
            </w:pPr>
            <w:r>
              <w:rPr>
                <w:rFonts w:ascii="Arial" w:cs="Arial" w:eastAsia="Arial" w:hAnsi="Arial"/>
                <w:sz w:val="11"/>
                <w:szCs w:val="11"/>
                <w:color w:val="auto"/>
                <w:w w:val="97"/>
              </w:rPr>
              <w:t>1,033,177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1,835,893</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w w:val="96"/>
              </w:rPr>
              <w:t>77.7%</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rPr>
              <w:t>20.3%</w:t>
            </w:r>
          </w:p>
        </w:tc>
      </w:tr>
      <w:tr>
        <w:trPr>
          <w:trHeight w:val="122"/>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Fair value through profit or loss investments</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w w:val="97"/>
              </w:rPr>
              <w:t>4,448,122</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7"/>
              </w:rPr>
              <w:t>4,715,343</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5,149,628</w:t>
            </w:r>
          </w:p>
        </w:tc>
        <w:tc>
          <w:tcPr>
            <w:tcW w:w="72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9.2%</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15.8%</w:t>
            </w:r>
          </w:p>
        </w:tc>
      </w:tr>
      <w:tr>
        <w:trPr>
          <w:trHeight w:val="121"/>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Fair value through other comprehensive income investments</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rPr>
              <w:t>38,047,888</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8"/>
              </w:rPr>
              <w:t>40,142,638</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41,705,253</w:t>
            </w:r>
          </w:p>
        </w:tc>
        <w:tc>
          <w:tcPr>
            <w:tcW w:w="72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3.9%</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5"/>
              </w:rPr>
              <w:t>9.6%</w:t>
            </w:r>
          </w:p>
        </w:tc>
      </w:tr>
      <w:tr>
        <w:trPr>
          <w:trHeight w:val="142"/>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Amortized cost investments</w:t>
            </w:r>
          </w:p>
        </w:tc>
        <w:tc>
          <w:tcPr>
            <w:tcW w:w="1420" w:type="dxa"/>
            <w:vAlign w:val="bottom"/>
          </w:tcPr>
          <w:p>
            <w:pPr>
              <w:jc w:val="center"/>
              <w:spacing w:after="0"/>
              <w:rPr>
                <w:sz w:val="20"/>
                <w:szCs w:val="20"/>
                <w:color w:val="auto"/>
              </w:rPr>
            </w:pPr>
            <w:r>
              <w:rPr>
                <w:rFonts w:ascii="Arial" w:cs="Arial" w:eastAsia="Arial" w:hAnsi="Arial"/>
                <w:sz w:val="11"/>
                <w:szCs w:val="11"/>
                <w:color w:val="auto"/>
              </w:rPr>
              <w:t>10,059,376</w:t>
            </w:r>
          </w:p>
        </w:tc>
        <w:tc>
          <w:tcPr>
            <w:tcW w:w="1340" w:type="dxa"/>
            <w:vAlign w:val="bottom"/>
          </w:tcPr>
          <w:p>
            <w:pPr>
              <w:jc w:val="center"/>
              <w:spacing w:after="0"/>
              <w:rPr>
                <w:sz w:val="20"/>
                <w:szCs w:val="20"/>
                <w:color w:val="auto"/>
              </w:rPr>
            </w:pPr>
            <w:r>
              <w:rPr>
                <w:rFonts w:ascii="Arial" w:cs="Arial" w:eastAsia="Arial" w:hAnsi="Arial"/>
                <w:sz w:val="11"/>
                <w:szCs w:val="11"/>
                <w:color w:val="auto"/>
                <w:w w:val="97"/>
              </w:rPr>
              <w:t>8,967,877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8,749,729</w:t>
            </w:r>
          </w:p>
        </w:tc>
        <w:tc>
          <w:tcPr>
            <w:tcW w:w="720" w:type="dxa"/>
            <w:vAlign w:val="bottom"/>
          </w:tcPr>
          <w:p>
            <w:pPr>
              <w:jc w:val="center"/>
              <w:ind w:left="226"/>
              <w:spacing w:after="0"/>
              <w:rPr>
                <w:sz w:val="20"/>
                <w:szCs w:val="20"/>
                <w:color w:val="auto"/>
              </w:rPr>
            </w:pPr>
            <w:r>
              <w:rPr>
                <w:rFonts w:ascii="Arial" w:cs="Arial" w:eastAsia="Arial" w:hAnsi="Arial"/>
                <w:sz w:val="11"/>
                <w:szCs w:val="11"/>
                <w:color w:val="auto"/>
                <w:w w:val="97"/>
              </w:rPr>
              <w:t>-2.4%</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rPr>
              <w:t>-13.0%</w:t>
            </w:r>
          </w:p>
        </w:tc>
      </w:tr>
      <w:tr>
        <w:trPr>
          <w:trHeight w:val="223"/>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Loans</w:t>
            </w:r>
          </w:p>
        </w:tc>
        <w:tc>
          <w:tcPr>
            <w:tcW w:w="1420" w:type="dxa"/>
            <w:vAlign w:val="bottom"/>
          </w:tcPr>
          <w:p>
            <w:pPr>
              <w:jc w:val="center"/>
              <w:spacing w:after="0"/>
              <w:rPr>
                <w:sz w:val="20"/>
                <w:szCs w:val="20"/>
                <w:color w:val="auto"/>
              </w:rPr>
            </w:pPr>
            <w:r>
              <w:rPr>
                <w:rFonts w:ascii="Arial" w:cs="Arial" w:eastAsia="Arial" w:hAnsi="Arial"/>
                <w:sz w:val="11"/>
                <w:szCs w:val="11"/>
                <w:color w:val="auto"/>
                <w:w w:val="98"/>
              </w:rPr>
              <w:t>140,798,083</w:t>
            </w:r>
          </w:p>
        </w:tc>
        <w:tc>
          <w:tcPr>
            <w:tcW w:w="1340" w:type="dxa"/>
            <w:vAlign w:val="bottom"/>
          </w:tcPr>
          <w:p>
            <w:pPr>
              <w:jc w:val="center"/>
              <w:spacing w:after="0"/>
              <w:rPr>
                <w:sz w:val="20"/>
                <w:szCs w:val="20"/>
                <w:color w:val="auto"/>
              </w:rPr>
            </w:pPr>
            <w:r>
              <w:rPr>
                <w:rFonts w:ascii="Arial" w:cs="Arial" w:eastAsia="Arial" w:hAnsi="Arial"/>
                <w:sz w:val="11"/>
                <w:szCs w:val="11"/>
                <w:color w:val="auto"/>
                <w:w w:val="98"/>
              </w:rPr>
              <w:t>145,732,273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141,196,646</w:t>
            </w:r>
          </w:p>
        </w:tc>
        <w:tc>
          <w:tcPr>
            <w:tcW w:w="720" w:type="dxa"/>
            <w:vAlign w:val="bottom"/>
          </w:tcPr>
          <w:p>
            <w:pPr>
              <w:jc w:val="center"/>
              <w:ind w:left="226"/>
              <w:spacing w:after="0"/>
              <w:rPr>
                <w:sz w:val="20"/>
                <w:szCs w:val="20"/>
                <w:color w:val="auto"/>
              </w:rPr>
            </w:pPr>
            <w:r>
              <w:rPr>
                <w:rFonts w:ascii="Arial" w:cs="Arial" w:eastAsia="Arial" w:hAnsi="Arial"/>
                <w:sz w:val="11"/>
                <w:szCs w:val="11"/>
                <w:color w:val="auto"/>
                <w:w w:val="97"/>
              </w:rPr>
              <w:t>-3.1%</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0.3%</w:t>
            </w:r>
          </w:p>
        </w:tc>
      </w:tr>
      <w:tr>
        <w:trPr>
          <w:trHeight w:val="121"/>
        </w:trPr>
        <w:tc>
          <w:tcPr>
            <w:tcW w:w="510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Current</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w w:val="98"/>
              </w:rPr>
              <w:t>134,593,059</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8"/>
              </w:rPr>
              <w:t>140,309,061</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135,990,251</w:t>
            </w:r>
          </w:p>
        </w:tc>
        <w:tc>
          <w:tcPr>
            <w:tcW w:w="72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7"/>
              </w:rPr>
              <w:t>-3.1%</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5"/>
              </w:rPr>
              <w:t>1.0%</w:t>
            </w:r>
          </w:p>
        </w:tc>
      </w:tr>
      <w:tr>
        <w:trPr>
          <w:trHeight w:val="122"/>
        </w:trPr>
        <w:tc>
          <w:tcPr>
            <w:tcW w:w="510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Internal overdue loans</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w w:val="97"/>
              </w:rPr>
              <w:t>6,205,024</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7"/>
              </w:rPr>
              <w:t>5,423,212</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5,206,395</w:t>
            </w:r>
          </w:p>
        </w:tc>
        <w:tc>
          <w:tcPr>
            <w:tcW w:w="72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7"/>
              </w:rPr>
              <w:t>-4.0%</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-16.1%</w:t>
            </w:r>
          </w:p>
        </w:tc>
      </w:tr>
      <w:tr>
        <w:trPr>
          <w:trHeight w:val="122"/>
        </w:trPr>
        <w:tc>
          <w:tcPr>
            <w:tcW w:w="510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Less - allowance for loan losses</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w w:val="99"/>
              </w:rPr>
              <w:t>(8,190,343)</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9"/>
              </w:rPr>
              <w:t>(7,994,977)</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(7,742,792)</w:t>
            </w:r>
          </w:p>
        </w:tc>
        <w:tc>
          <w:tcPr>
            <w:tcW w:w="72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7"/>
              </w:rPr>
              <w:t>-3.2%</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7"/>
              </w:rPr>
              <w:t>-5.5%</w:t>
            </w:r>
          </w:p>
        </w:tc>
      </w:tr>
      <w:tr>
        <w:trPr>
          <w:trHeight w:val="142"/>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Loans, net</w:t>
            </w:r>
          </w:p>
        </w:tc>
        <w:tc>
          <w:tcPr>
            <w:tcW w:w="1420" w:type="dxa"/>
            <w:vAlign w:val="bottom"/>
          </w:tcPr>
          <w:p>
            <w:pPr>
              <w:jc w:val="center"/>
              <w:spacing w:after="0"/>
              <w:rPr>
                <w:sz w:val="20"/>
                <w:szCs w:val="20"/>
                <w:color w:val="auto"/>
              </w:rPr>
            </w:pPr>
            <w:r>
              <w:rPr>
                <w:rFonts w:ascii="Arial" w:cs="Arial" w:eastAsia="Arial" w:hAnsi="Arial"/>
                <w:sz w:val="11"/>
                <w:szCs w:val="11"/>
                <w:color w:val="auto"/>
                <w:w w:val="98"/>
              </w:rPr>
              <w:t>132,607,740</w:t>
            </w:r>
          </w:p>
        </w:tc>
        <w:tc>
          <w:tcPr>
            <w:tcW w:w="1340" w:type="dxa"/>
            <w:vAlign w:val="bottom"/>
          </w:tcPr>
          <w:p>
            <w:pPr>
              <w:jc w:val="center"/>
              <w:spacing w:after="0"/>
              <w:rPr>
                <w:sz w:val="20"/>
                <w:szCs w:val="20"/>
                <w:color w:val="auto"/>
              </w:rPr>
            </w:pPr>
            <w:r>
              <w:rPr>
                <w:rFonts w:ascii="Arial" w:cs="Arial" w:eastAsia="Arial" w:hAnsi="Arial"/>
                <w:sz w:val="11"/>
                <w:szCs w:val="11"/>
                <w:color w:val="auto"/>
                <w:w w:val="98"/>
              </w:rPr>
              <w:t>137,737,296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133,453,854</w:t>
            </w:r>
          </w:p>
        </w:tc>
        <w:tc>
          <w:tcPr>
            <w:tcW w:w="720" w:type="dxa"/>
            <w:vAlign w:val="bottom"/>
          </w:tcPr>
          <w:p>
            <w:pPr>
              <w:jc w:val="center"/>
              <w:ind w:left="226"/>
              <w:spacing w:after="0"/>
              <w:rPr>
                <w:sz w:val="20"/>
                <w:szCs w:val="20"/>
                <w:color w:val="auto"/>
              </w:rPr>
            </w:pPr>
            <w:r>
              <w:rPr>
                <w:rFonts w:ascii="Arial" w:cs="Arial" w:eastAsia="Arial" w:hAnsi="Arial"/>
                <w:sz w:val="11"/>
                <w:szCs w:val="11"/>
                <w:color w:val="auto"/>
                <w:w w:val="97"/>
              </w:rPr>
              <w:t>-3.1%</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0.6%</w:t>
            </w:r>
          </w:p>
        </w:tc>
      </w:tr>
      <w:tr>
        <w:trPr>
          <w:trHeight w:val="223"/>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Financial assets designated at fair value through profit or loss</w:t>
            </w:r>
          </w:p>
        </w:tc>
        <w:tc>
          <w:tcPr>
            <w:tcW w:w="1420" w:type="dxa"/>
            <w:vAlign w:val="bottom"/>
          </w:tcPr>
          <w:p>
            <w:pPr>
              <w:jc w:val="center"/>
              <w:spacing w:after="0"/>
              <w:rPr>
                <w:sz w:val="20"/>
                <w:szCs w:val="20"/>
                <w:color w:val="auto"/>
              </w:rPr>
            </w:pPr>
            <w:r>
              <w:rPr>
                <w:rFonts w:ascii="Arial" w:cs="Arial" w:eastAsia="Arial" w:hAnsi="Arial"/>
                <w:sz w:val="11"/>
                <w:szCs w:val="11"/>
                <w:color w:val="auto"/>
              </w:rPr>
              <w:t>868,239</w:t>
            </w:r>
          </w:p>
        </w:tc>
        <w:tc>
          <w:tcPr>
            <w:tcW w:w="1340" w:type="dxa"/>
            <w:vAlign w:val="bottom"/>
          </w:tcPr>
          <w:p>
            <w:pPr>
              <w:jc w:val="center"/>
              <w:spacing w:after="0"/>
              <w:rPr>
                <w:sz w:val="20"/>
                <w:szCs w:val="20"/>
                <w:color w:val="auto"/>
              </w:rPr>
            </w:pPr>
            <w:r>
              <w:rPr>
                <w:rFonts w:ascii="Arial" w:cs="Arial" w:eastAsia="Arial" w:hAnsi="Arial"/>
                <w:sz w:val="11"/>
                <w:szCs w:val="11"/>
                <w:color w:val="auto"/>
              </w:rPr>
              <w:t>932,734</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871,626</w:t>
            </w:r>
          </w:p>
        </w:tc>
        <w:tc>
          <w:tcPr>
            <w:tcW w:w="720" w:type="dxa"/>
            <w:vAlign w:val="bottom"/>
          </w:tcPr>
          <w:p>
            <w:pPr>
              <w:jc w:val="center"/>
              <w:ind w:left="226"/>
              <w:spacing w:after="0"/>
              <w:rPr>
                <w:sz w:val="20"/>
                <w:szCs w:val="20"/>
                <w:color w:val="auto"/>
              </w:rPr>
            </w:pPr>
            <w:r>
              <w:rPr>
                <w:rFonts w:ascii="Arial" w:cs="Arial" w:eastAsia="Arial" w:hAnsi="Arial"/>
                <w:sz w:val="11"/>
                <w:szCs w:val="11"/>
                <w:color w:val="auto"/>
                <w:w w:val="97"/>
              </w:rPr>
              <w:t>-6.6%</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0.4%</w:t>
            </w:r>
          </w:p>
        </w:tc>
      </w:tr>
      <w:tr>
        <w:trPr>
          <w:trHeight w:val="122"/>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Property, plant and equipment, net</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w w:val="97"/>
              </w:rPr>
              <w:t>1,815,570</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7"/>
              </w:rPr>
              <w:t>1,841,147</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2,681,862</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6"/>
              </w:rPr>
              <w:t>45.7%</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47.7%</w:t>
            </w:r>
          </w:p>
        </w:tc>
      </w:tr>
      <w:tr>
        <w:trPr>
          <w:trHeight w:val="122"/>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Due from customers on acceptances</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rPr>
              <w:t>322,346</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rPr>
              <w:t>528,184</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639,749</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6"/>
              </w:rPr>
              <w:t>21.1%</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98.5%</w:t>
            </w:r>
          </w:p>
        </w:tc>
      </w:tr>
      <w:tr>
        <w:trPr>
          <w:trHeight w:val="122"/>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Investments in associates</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rPr>
              <w:t>691,908</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rPr>
              <w:t>763,918</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1,002</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7"/>
              </w:rPr>
              <w:t>-99.9%</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-99.9%</w:t>
            </w:r>
          </w:p>
        </w:tc>
      </w:tr>
      <w:tr>
        <w:trPr>
          <w:trHeight w:val="122"/>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Intangible assets and goodwill, net</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w w:val="97"/>
              </w:rPr>
              <w:t>3,161,382</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7"/>
              </w:rPr>
              <w:t>3,289,157</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4,420,422</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6"/>
              </w:rPr>
              <w:t>34.4%</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39.8%</w:t>
            </w:r>
          </w:p>
        </w:tc>
      </w:tr>
      <w:tr>
        <w:trPr>
          <w:trHeight w:val="113"/>
        </w:trPr>
        <w:tc>
          <w:tcPr>
            <w:tcW w:w="5100" w:type="dxa"/>
            <w:vAlign w:val="bottom"/>
            <w:tcBorders>
              <w:left w:val="single" w:sz="8" w:color="auto"/>
              <w:right w:val="single" w:sz="8" w:color="auto"/>
            </w:tcBorders>
          </w:tcPr>
          <w:p>
            <w:pPr>
              <w:ind w:left="20"/>
              <w:spacing w:after="0" w:line="113" w:lineRule="exact"/>
              <w:rPr>
                <w:sz w:val="20"/>
                <w:szCs w:val="20"/>
                <w:color w:val="auto"/>
              </w:rPr>
            </w:pPr>
            <w:r>
              <w:rPr>
                <w:rFonts w:ascii="Arial" w:cs="Arial" w:eastAsia="Arial" w:hAnsi="Arial"/>
                <w:sz w:val="11"/>
                <w:szCs w:val="11"/>
                <w:color w:val="auto"/>
              </w:rPr>
              <w:t>Reinsurance contract assets</w:t>
            </w:r>
          </w:p>
        </w:tc>
        <w:tc>
          <w:tcPr>
            <w:tcW w:w="1420" w:type="dxa"/>
            <w:vAlign w:val="bottom"/>
          </w:tcPr>
          <w:p>
            <w:pPr>
              <w:jc w:val="center"/>
              <w:spacing w:after="0" w:line="113" w:lineRule="exact"/>
              <w:rPr>
                <w:sz w:val="20"/>
                <w:szCs w:val="20"/>
                <w:color w:val="auto"/>
              </w:rPr>
            </w:pPr>
            <w:r>
              <w:rPr>
                <w:rFonts w:ascii="Arial" w:cs="Arial" w:eastAsia="Arial" w:hAnsi="Arial"/>
                <w:sz w:val="11"/>
                <w:szCs w:val="11"/>
                <w:color w:val="auto"/>
              </w:rPr>
              <w:t>957,474</w:t>
            </w:r>
          </w:p>
        </w:tc>
        <w:tc>
          <w:tcPr>
            <w:tcW w:w="1340" w:type="dxa"/>
            <w:vAlign w:val="bottom"/>
          </w:tcPr>
          <w:p>
            <w:pPr>
              <w:jc w:val="center"/>
              <w:spacing w:after="0" w:line="113" w:lineRule="exact"/>
              <w:rPr>
                <w:sz w:val="20"/>
                <w:szCs w:val="20"/>
                <w:color w:val="auto"/>
              </w:rPr>
            </w:pPr>
            <w:r>
              <w:rPr>
                <w:rFonts w:ascii="Arial" w:cs="Arial" w:eastAsia="Arial" w:hAnsi="Arial"/>
                <w:sz w:val="11"/>
                <w:szCs w:val="11"/>
                <w:color w:val="auto"/>
              </w:rPr>
              <w:t>841,170</w:t>
            </w:r>
          </w:p>
        </w:tc>
        <w:tc>
          <w:tcPr>
            <w:tcW w:w="136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color w:val="auto"/>
                <w:w w:val="97"/>
              </w:rPr>
              <w:t>1,126,512</w:t>
            </w:r>
          </w:p>
        </w:tc>
        <w:tc>
          <w:tcPr>
            <w:tcW w:w="720" w:type="dxa"/>
            <w:vAlign w:val="bottom"/>
          </w:tcPr>
          <w:p>
            <w:pPr>
              <w:jc w:val="center"/>
              <w:ind w:left="206"/>
              <w:spacing w:after="0" w:line="113" w:lineRule="exact"/>
              <w:rPr>
                <w:sz w:val="20"/>
                <w:szCs w:val="20"/>
                <w:color w:val="auto"/>
              </w:rPr>
            </w:pPr>
            <w:r>
              <w:rPr>
                <w:rFonts w:ascii="Arial" w:cs="Arial" w:eastAsia="Arial" w:hAnsi="Arial"/>
                <w:sz w:val="11"/>
                <w:szCs w:val="11"/>
                <w:color w:val="auto"/>
                <w:w w:val="96"/>
              </w:rPr>
              <w:t>33.9%</w:t>
            </w:r>
          </w:p>
        </w:tc>
        <w:tc>
          <w:tcPr>
            <w:tcW w:w="1300" w:type="dxa"/>
            <w:vAlign w:val="bottom"/>
            <w:tcBorders>
              <w:right w:val="single" w:sz="8" w:color="auto"/>
            </w:tcBorders>
          </w:tcPr>
          <w:p>
            <w:pPr>
              <w:jc w:val="center"/>
              <w:ind w:left="206"/>
              <w:spacing w:after="0" w:line="113" w:lineRule="exact"/>
              <w:rPr>
                <w:sz w:val="20"/>
                <w:szCs w:val="20"/>
                <w:color w:val="auto"/>
              </w:rPr>
            </w:pPr>
            <w:r>
              <w:rPr>
                <w:rFonts w:ascii="Arial" w:cs="Arial" w:eastAsia="Arial" w:hAnsi="Arial"/>
                <w:sz w:val="11"/>
                <w:szCs w:val="11"/>
                <w:color w:val="auto"/>
              </w:rPr>
              <w:t>17.7%</w:t>
            </w:r>
          </w:p>
        </w:tc>
      </w:tr>
      <w:tr>
        <w:trPr>
          <w:trHeight w:val="239"/>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 xml:space="preserve">Other assets </w:t>
            </w:r>
            <w:r>
              <w:rPr>
                <w:rFonts w:ascii="Arial" w:cs="Arial" w:eastAsia="Arial" w:hAnsi="Arial"/>
                <w:sz w:val="17"/>
                <w:szCs w:val="17"/>
                <w:color w:val="auto"/>
                <w:vertAlign w:val="superscript"/>
              </w:rPr>
              <w:t>(1)</w:t>
            </w:r>
          </w:p>
        </w:tc>
        <w:tc>
          <w:tcPr>
            <w:tcW w:w="1420" w:type="dxa"/>
            <w:vAlign w:val="bottom"/>
          </w:tcPr>
          <w:p>
            <w:pPr>
              <w:jc w:val="center"/>
              <w:spacing w:after="0"/>
              <w:rPr>
                <w:sz w:val="20"/>
                <w:szCs w:val="20"/>
                <w:color w:val="auto"/>
              </w:rPr>
            </w:pPr>
            <w:r>
              <w:rPr>
                <w:rFonts w:ascii="Arial" w:cs="Arial" w:eastAsia="Arial" w:hAnsi="Arial"/>
                <w:sz w:val="11"/>
                <w:szCs w:val="11"/>
                <w:color w:val="auto"/>
                <w:w w:val="97"/>
              </w:rPr>
              <w:t>7,506,630</w:t>
            </w:r>
          </w:p>
        </w:tc>
        <w:tc>
          <w:tcPr>
            <w:tcW w:w="1340" w:type="dxa"/>
            <w:vAlign w:val="bottom"/>
          </w:tcPr>
          <w:p>
            <w:pPr>
              <w:jc w:val="center"/>
              <w:spacing w:after="0"/>
              <w:rPr>
                <w:sz w:val="20"/>
                <w:szCs w:val="20"/>
                <w:color w:val="auto"/>
              </w:rPr>
            </w:pPr>
            <w:r>
              <w:rPr>
                <w:rFonts w:ascii="Arial" w:cs="Arial" w:eastAsia="Arial" w:hAnsi="Arial"/>
                <w:sz w:val="11"/>
                <w:szCs w:val="11"/>
                <w:color w:val="auto"/>
                <w:w w:val="97"/>
              </w:rPr>
              <w:t>7,641,103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9,049,787</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w w:val="96"/>
              </w:rPr>
              <w:t>18.4%</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rPr>
              <w:t>20.6%</w:t>
            </w:r>
          </w:p>
        </w:tc>
      </w:tr>
      <w:tr>
        <w:trPr>
          <w:trHeight w:val="160"/>
        </w:trPr>
        <w:tc>
          <w:tcPr>
            <w:tcW w:w="5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Total Assets</w:t>
            </w: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w w:val="98"/>
              </w:rPr>
              <w:t>241,171,741</w:t>
            </w: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8"/>
              </w:rPr>
              <w:t>256,088,940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254,222,254</w:t>
            </w:r>
          </w:p>
        </w:tc>
        <w:tc>
          <w:tcPr>
            <w:tcW w:w="720" w:type="dxa"/>
            <w:vAlign w:val="bottom"/>
          </w:tcPr>
          <w:p>
            <w:pPr>
              <w:jc w:val="center"/>
              <w:ind w:left="226"/>
              <w:spacing w:after="0"/>
              <w:rPr>
                <w:sz w:val="20"/>
                <w:szCs w:val="20"/>
                <w:color w:val="auto"/>
              </w:rPr>
            </w:pPr>
            <w:r>
              <w:rPr>
                <w:rFonts w:ascii="Arial" w:cs="Arial" w:eastAsia="Arial" w:hAnsi="Arial"/>
                <w:sz w:val="11"/>
                <w:szCs w:val="11"/>
                <w:b w:val="1"/>
                <w:bCs w:val="1"/>
                <w:color w:val="auto"/>
                <w:w w:val="97"/>
              </w:rPr>
              <w:t>-0.7%</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5.4%</w:t>
            </w:r>
          </w:p>
        </w:tc>
      </w:tr>
      <w:tr>
        <w:trPr>
          <w:trHeight w:val="217"/>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LIABILITIES AND EQUITY</w:t>
            </w: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122"/>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b w:val="1"/>
                <w:bCs w:val="1"/>
                <w:color w:val="auto"/>
              </w:rPr>
              <w:t>Deposits and obligations</w:t>
            </w:r>
          </w:p>
        </w:tc>
        <w:tc>
          <w:tcPr>
            <w:tcW w:w="1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r>
      <w:tr>
        <w:trPr>
          <w:trHeight w:val="122"/>
        </w:trPr>
        <w:tc>
          <w:tcPr>
            <w:tcW w:w="510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Non-interest bearing</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rPr>
              <w:t>41,706,139</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8"/>
              </w:rPr>
              <w:t>47,160,191</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49,620,679</w:t>
            </w:r>
          </w:p>
        </w:tc>
        <w:tc>
          <w:tcPr>
            <w:tcW w:w="72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5.2%</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19.0%</w:t>
            </w:r>
          </w:p>
        </w:tc>
      </w:tr>
      <w:tr>
        <w:trPr>
          <w:trHeight w:val="122"/>
        </w:trPr>
        <w:tc>
          <w:tcPr>
            <w:tcW w:w="510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Interest bearing</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w w:val="98"/>
              </w:rPr>
              <w:t>106,150,988</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8"/>
              </w:rPr>
              <w:t>114,681,875</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107,998,403</w:t>
            </w:r>
          </w:p>
        </w:tc>
        <w:tc>
          <w:tcPr>
            <w:tcW w:w="72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7"/>
              </w:rPr>
              <w:t>-5.8%</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5"/>
              </w:rPr>
              <w:t>1.7%</w:t>
            </w:r>
          </w:p>
        </w:tc>
      </w:tr>
      <w:tr>
        <w:trPr>
          <w:trHeight w:val="142"/>
        </w:trPr>
        <w:tc>
          <w:tcPr>
            <w:tcW w:w="51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Total deposits and obligations</w:t>
            </w:r>
          </w:p>
        </w:tc>
        <w:tc>
          <w:tcPr>
            <w:tcW w:w="1420" w:type="dxa"/>
            <w:vAlign w:val="bottom"/>
          </w:tcPr>
          <w:p>
            <w:pPr>
              <w:jc w:val="center"/>
              <w:spacing w:after="0"/>
              <w:rPr>
                <w:sz w:val="20"/>
                <w:szCs w:val="20"/>
                <w:color w:val="auto"/>
              </w:rPr>
            </w:pPr>
            <w:r>
              <w:rPr>
                <w:rFonts w:ascii="Arial" w:cs="Arial" w:eastAsia="Arial" w:hAnsi="Arial"/>
                <w:sz w:val="11"/>
                <w:szCs w:val="11"/>
                <w:color w:val="auto"/>
                <w:w w:val="98"/>
              </w:rPr>
              <w:t>147,857,127</w:t>
            </w:r>
          </w:p>
        </w:tc>
        <w:tc>
          <w:tcPr>
            <w:tcW w:w="1340" w:type="dxa"/>
            <w:vAlign w:val="bottom"/>
          </w:tcPr>
          <w:p>
            <w:pPr>
              <w:jc w:val="center"/>
              <w:spacing w:after="0"/>
              <w:rPr>
                <w:sz w:val="20"/>
                <w:szCs w:val="20"/>
                <w:color w:val="auto"/>
              </w:rPr>
            </w:pPr>
            <w:r>
              <w:rPr>
                <w:rFonts w:ascii="Arial" w:cs="Arial" w:eastAsia="Arial" w:hAnsi="Arial"/>
                <w:sz w:val="11"/>
                <w:szCs w:val="11"/>
                <w:color w:val="auto"/>
                <w:w w:val="98"/>
              </w:rPr>
              <w:t>161,842,066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157,619,082</w:t>
            </w:r>
          </w:p>
        </w:tc>
        <w:tc>
          <w:tcPr>
            <w:tcW w:w="720" w:type="dxa"/>
            <w:vAlign w:val="bottom"/>
          </w:tcPr>
          <w:p>
            <w:pPr>
              <w:jc w:val="center"/>
              <w:ind w:left="226"/>
              <w:spacing w:after="0"/>
              <w:rPr>
                <w:sz w:val="20"/>
                <w:szCs w:val="20"/>
                <w:color w:val="auto"/>
              </w:rPr>
            </w:pPr>
            <w:r>
              <w:rPr>
                <w:rFonts w:ascii="Arial" w:cs="Arial" w:eastAsia="Arial" w:hAnsi="Arial"/>
                <w:sz w:val="11"/>
                <w:szCs w:val="11"/>
                <w:color w:val="auto"/>
                <w:w w:val="97"/>
              </w:rPr>
              <w:t>-2.6%</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6.6%</w:t>
            </w:r>
          </w:p>
        </w:tc>
      </w:tr>
      <w:tr>
        <w:trPr>
          <w:trHeight w:val="223"/>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Payables from repurchase agreements and securities lending</w:t>
            </w:r>
          </w:p>
        </w:tc>
        <w:tc>
          <w:tcPr>
            <w:tcW w:w="1420" w:type="dxa"/>
            <w:vAlign w:val="bottom"/>
          </w:tcPr>
          <w:p>
            <w:pPr>
              <w:jc w:val="center"/>
              <w:spacing w:after="0"/>
              <w:rPr>
                <w:sz w:val="20"/>
                <w:szCs w:val="20"/>
                <w:color w:val="auto"/>
              </w:rPr>
            </w:pPr>
            <w:r>
              <w:rPr>
                <w:rFonts w:ascii="Arial" w:cs="Arial" w:eastAsia="Arial" w:hAnsi="Arial"/>
                <w:sz w:val="11"/>
                <w:szCs w:val="11"/>
                <w:color w:val="auto"/>
                <w:w w:val="97"/>
              </w:rPr>
              <w:t>9,491,276</w:t>
            </w:r>
          </w:p>
        </w:tc>
        <w:tc>
          <w:tcPr>
            <w:tcW w:w="1340" w:type="dxa"/>
            <w:vAlign w:val="bottom"/>
          </w:tcPr>
          <w:p>
            <w:pPr>
              <w:jc w:val="center"/>
              <w:spacing w:after="0"/>
              <w:rPr>
                <w:sz w:val="20"/>
                <w:szCs w:val="20"/>
                <w:color w:val="auto"/>
              </w:rPr>
            </w:pPr>
            <w:r>
              <w:rPr>
                <w:rFonts w:ascii="Arial" w:cs="Arial" w:eastAsia="Arial" w:hAnsi="Arial"/>
                <w:sz w:val="11"/>
                <w:szCs w:val="11"/>
                <w:color w:val="auto"/>
                <w:w w:val="97"/>
              </w:rPr>
              <w:t>9,060,710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10,158,614</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w w:val="96"/>
              </w:rPr>
              <w:t>12.1%</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7.0%</w:t>
            </w:r>
          </w:p>
        </w:tc>
      </w:tr>
      <w:tr>
        <w:trPr>
          <w:trHeight w:val="122"/>
        </w:trPr>
        <w:tc>
          <w:tcPr>
            <w:tcW w:w="510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BCRP instruments</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w w:val="97"/>
              </w:rPr>
              <w:t>6,854,368</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7"/>
              </w:rPr>
              <w:t>6,646,830</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7,064,476</w:t>
            </w:r>
          </w:p>
        </w:tc>
        <w:tc>
          <w:tcPr>
            <w:tcW w:w="72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6.3%</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5"/>
              </w:rPr>
              <w:t>3.1%</w:t>
            </w:r>
          </w:p>
        </w:tc>
      </w:tr>
      <w:tr>
        <w:trPr>
          <w:trHeight w:val="121"/>
        </w:trPr>
        <w:tc>
          <w:tcPr>
            <w:tcW w:w="510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Repurchase agreements with third parties</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w w:val="97"/>
              </w:rPr>
              <w:t>2,527,339</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7"/>
              </w:rPr>
              <w:t>2,298,494</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2,872,797</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6"/>
              </w:rPr>
              <w:t>25.0%</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13.7%</w:t>
            </w:r>
          </w:p>
        </w:tc>
      </w:tr>
      <w:tr>
        <w:trPr>
          <w:trHeight w:val="142"/>
        </w:trPr>
        <w:tc>
          <w:tcPr>
            <w:tcW w:w="51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Repurchase agreements with customers</w:t>
            </w:r>
          </w:p>
        </w:tc>
        <w:tc>
          <w:tcPr>
            <w:tcW w:w="1420" w:type="dxa"/>
            <w:vAlign w:val="bottom"/>
          </w:tcPr>
          <w:p>
            <w:pPr>
              <w:jc w:val="center"/>
              <w:spacing w:after="0"/>
              <w:rPr>
                <w:sz w:val="20"/>
                <w:szCs w:val="20"/>
                <w:color w:val="auto"/>
              </w:rPr>
            </w:pPr>
            <w:r>
              <w:rPr>
                <w:rFonts w:ascii="Arial" w:cs="Arial" w:eastAsia="Arial" w:hAnsi="Arial"/>
                <w:sz w:val="11"/>
                <w:szCs w:val="11"/>
                <w:color w:val="auto"/>
              </w:rPr>
              <w:t>109,569</w:t>
            </w:r>
          </w:p>
        </w:tc>
        <w:tc>
          <w:tcPr>
            <w:tcW w:w="1340" w:type="dxa"/>
            <w:vAlign w:val="bottom"/>
          </w:tcPr>
          <w:p>
            <w:pPr>
              <w:jc w:val="center"/>
              <w:spacing w:after="0"/>
              <w:rPr>
                <w:sz w:val="20"/>
                <w:szCs w:val="20"/>
                <w:color w:val="auto"/>
              </w:rPr>
            </w:pPr>
            <w:r>
              <w:rPr>
                <w:rFonts w:ascii="Arial" w:cs="Arial" w:eastAsia="Arial" w:hAnsi="Arial"/>
                <w:sz w:val="11"/>
                <w:szCs w:val="11"/>
                <w:color w:val="auto"/>
                <w:w w:val="95"/>
              </w:rPr>
              <w:t>115,386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221,341</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w w:val="96"/>
              </w:rPr>
              <w:t>91.8%</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6"/>
              </w:rPr>
              <w:t>102.0%</w:t>
            </w:r>
          </w:p>
        </w:tc>
      </w:tr>
      <w:tr>
        <w:trPr>
          <w:trHeight w:val="223"/>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Due to banks and correspondents</w:t>
            </w:r>
          </w:p>
        </w:tc>
        <w:tc>
          <w:tcPr>
            <w:tcW w:w="1420" w:type="dxa"/>
            <w:vAlign w:val="bottom"/>
          </w:tcPr>
          <w:p>
            <w:pPr>
              <w:jc w:val="center"/>
              <w:spacing w:after="0"/>
              <w:rPr>
                <w:sz w:val="20"/>
                <w:szCs w:val="20"/>
                <w:color w:val="auto"/>
              </w:rPr>
            </w:pPr>
            <w:r>
              <w:rPr>
                <w:rFonts w:ascii="Arial" w:cs="Arial" w:eastAsia="Arial" w:hAnsi="Arial"/>
                <w:sz w:val="11"/>
                <w:szCs w:val="11"/>
                <w:color w:val="auto"/>
              </w:rPr>
              <w:t>10,684,673</w:t>
            </w:r>
          </w:p>
        </w:tc>
        <w:tc>
          <w:tcPr>
            <w:tcW w:w="1340" w:type="dxa"/>
            <w:vAlign w:val="bottom"/>
          </w:tcPr>
          <w:p>
            <w:pPr>
              <w:jc w:val="center"/>
              <w:spacing w:after="0"/>
              <w:rPr>
                <w:sz w:val="20"/>
                <w:szCs w:val="20"/>
                <w:color w:val="auto"/>
              </w:rPr>
            </w:pPr>
            <w:r>
              <w:rPr>
                <w:rFonts w:ascii="Arial" w:cs="Arial" w:eastAsia="Arial" w:hAnsi="Arial"/>
                <w:sz w:val="11"/>
                <w:szCs w:val="11"/>
                <w:color w:val="auto"/>
                <w:w w:val="98"/>
              </w:rPr>
              <w:t>10,754,385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10,899,579</w:t>
            </w:r>
          </w:p>
        </w:tc>
        <w:tc>
          <w:tcPr>
            <w:tcW w:w="720" w:type="dxa"/>
            <w:vAlign w:val="bottom"/>
          </w:tcPr>
          <w:p>
            <w:pPr>
              <w:jc w:val="center"/>
              <w:ind w:left="226"/>
              <w:spacing w:after="0"/>
              <w:rPr>
                <w:sz w:val="20"/>
                <w:szCs w:val="20"/>
                <w:color w:val="auto"/>
              </w:rPr>
            </w:pPr>
            <w:r>
              <w:rPr>
                <w:rFonts w:ascii="Arial" w:cs="Arial" w:eastAsia="Arial" w:hAnsi="Arial"/>
                <w:sz w:val="11"/>
                <w:szCs w:val="11"/>
                <w:color w:val="auto"/>
                <w:w w:val="95"/>
              </w:rPr>
              <w:t>1.4%</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2.0%</w:t>
            </w:r>
          </w:p>
        </w:tc>
      </w:tr>
      <w:tr>
        <w:trPr>
          <w:trHeight w:val="122"/>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Bonds and notes issued</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rPr>
              <w:t>17,541,121</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8"/>
              </w:rPr>
              <w:t>17,268,443</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14,391,733</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7"/>
              </w:rPr>
              <w:t>-16.7%</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-18.0%</w:t>
            </w:r>
          </w:p>
        </w:tc>
      </w:tr>
      <w:tr>
        <w:trPr>
          <w:trHeight w:val="121"/>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Banker’s acceptances outstanding</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rPr>
              <w:t>322,346</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rPr>
              <w:t>528,184</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639,749</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6"/>
              </w:rPr>
              <w:t>21.1%</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98.5%</w:t>
            </w:r>
          </w:p>
        </w:tc>
      </w:tr>
      <w:tr>
        <w:trPr>
          <w:trHeight w:val="122"/>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Insurance contract liability</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rPr>
              <w:t>12,343,975</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8"/>
              </w:rPr>
              <w:t>13,422,285</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13,874,732</w:t>
            </w:r>
          </w:p>
        </w:tc>
        <w:tc>
          <w:tcPr>
            <w:tcW w:w="72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3.4%</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12.4%</w:t>
            </w:r>
          </w:p>
        </w:tc>
      </w:tr>
      <w:tr>
        <w:trPr>
          <w:trHeight w:val="121"/>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Financial liabilities at fair value through profit or loss</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rPr>
              <w:t>309,228</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rPr>
              <w:t>151,485</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736,192</w:t>
            </w:r>
          </w:p>
        </w:tc>
        <w:tc>
          <w:tcPr>
            <w:tcW w:w="72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6"/>
              </w:rPr>
              <w:t>386.0%</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6"/>
              </w:rPr>
              <w:t>138.1%</w:t>
            </w:r>
          </w:p>
        </w:tc>
      </w:tr>
      <w:tr>
        <w:trPr>
          <w:trHeight w:val="142"/>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Other liabilities</w:t>
            </w:r>
          </w:p>
        </w:tc>
        <w:tc>
          <w:tcPr>
            <w:tcW w:w="1420" w:type="dxa"/>
            <w:vAlign w:val="bottom"/>
          </w:tcPr>
          <w:p>
            <w:pPr>
              <w:jc w:val="center"/>
              <w:spacing w:after="0"/>
              <w:rPr>
                <w:sz w:val="20"/>
                <w:szCs w:val="20"/>
                <w:color w:val="auto"/>
              </w:rPr>
            </w:pPr>
            <w:r>
              <w:rPr>
                <w:rFonts w:ascii="Arial" w:cs="Arial" w:eastAsia="Arial" w:hAnsi="Arial"/>
                <w:sz w:val="11"/>
                <w:szCs w:val="11"/>
                <w:color w:val="auto"/>
                <w:w w:val="97"/>
              </w:rPr>
              <w:t>8,185,785</w:t>
            </w:r>
          </w:p>
        </w:tc>
        <w:tc>
          <w:tcPr>
            <w:tcW w:w="1340" w:type="dxa"/>
            <w:vAlign w:val="bottom"/>
          </w:tcPr>
          <w:p>
            <w:pPr>
              <w:jc w:val="center"/>
              <w:spacing w:after="0"/>
              <w:rPr>
                <w:sz w:val="20"/>
                <w:szCs w:val="20"/>
                <w:color w:val="auto"/>
              </w:rPr>
            </w:pPr>
            <w:r>
              <w:rPr>
                <w:rFonts w:ascii="Arial" w:cs="Arial" w:eastAsia="Arial" w:hAnsi="Arial"/>
                <w:sz w:val="11"/>
                <w:szCs w:val="11"/>
                <w:color w:val="auto"/>
                <w:w w:val="97"/>
              </w:rPr>
              <w:t>8,084,148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9,487,673</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w w:val="96"/>
              </w:rPr>
              <w:t>17.4%</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rPr>
              <w:t>15.9%</w:t>
            </w:r>
          </w:p>
        </w:tc>
      </w:tr>
      <w:tr>
        <w:trPr>
          <w:trHeight w:val="249"/>
        </w:trPr>
        <w:tc>
          <w:tcPr>
            <w:tcW w:w="5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Total Liabilities</w:t>
            </w: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w w:val="98"/>
              </w:rPr>
              <w:t>206,735,531</w:t>
            </w: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8"/>
              </w:rPr>
              <w:t>221,111,706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217,807,354</w:t>
            </w:r>
          </w:p>
        </w:tc>
        <w:tc>
          <w:tcPr>
            <w:tcW w:w="720" w:type="dxa"/>
            <w:vAlign w:val="bottom"/>
          </w:tcPr>
          <w:p>
            <w:pPr>
              <w:jc w:val="center"/>
              <w:ind w:left="226"/>
              <w:spacing w:after="0"/>
              <w:rPr>
                <w:sz w:val="20"/>
                <w:szCs w:val="20"/>
                <w:color w:val="auto"/>
              </w:rPr>
            </w:pPr>
            <w:r>
              <w:rPr>
                <w:rFonts w:ascii="Arial" w:cs="Arial" w:eastAsia="Arial" w:hAnsi="Arial"/>
                <w:sz w:val="11"/>
                <w:szCs w:val="11"/>
                <w:b w:val="1"/>
                <w:bCs w:val="1"/>
                <w:color w:val="auto"/>
                <w:w w:val="97"/>
              </w:rPr>
              <w:t>-1.5%</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5.4%</w:t>
            </w:r>
          </w:p>
        </w:tc>
      </w:tr>
      <w:tr>
        <w:trPr>
          <w:trHeight w:val="33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equity</w:t>
            </w: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rPr>
              <w:t>33,853,460</w:t>
            </w: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8"/>
              </w:rPr>
              <w:t>34,346,451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35,843,202</w:t>
            </w:r>
          </w:p>
        </w:tc>
        <w:tc>
          <w:tcPr>
            <w:tcW w:w="720" w:type="dxa"/>
            <w:vAlign w:val="bottom"/>
          </w:tcPr>
          <w:p>
            <w:pPr>
              <w:jc w:val="center"/>
              <w:ind w:left="226"/>
              <w:spacing w:after="0"/>
              <w:rPr>
                <w:sz w:val="20"/>
                <w:szCs w:val="20"/>
                <w:color w:val="auto"/>
              </w:rPr>
            </w:pPr>
            <w:r>
              <w:rPr>
                <w:rFonts w:ascii="Arial" w:cs="Arial" w:eastAsia="Arial" w:hAnsi="Arial"/>
                <w:sz w:val="11"/>
                <w:szCs w:val="11"/>
                <w:b w:val="1"/>
                <w:bCs w:val="1"/>
                <w:color w:val="auto"/>
                <w:w w:val="95"/>
              </w:rPr>
              <w:t>4.4%</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5.9%</w:t>
            </w:r>
          </w:p>
        </w:tc>
      </w:tr>
      <w:tr>
        <w:trPr>
          <w:trHeight w:val="121"/>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Capital stock</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w w:val="97"/>
              </w:rPr>
              <w:t>1,318,993</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7"/>
              </w:rPr>
              <w:t>1,318,993</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1,318,993</w:t>
            </w:r>
          </w:p>
        </w:tc>
        <w:tc>
          <w:tcPr>
            <w:tcW w:w="72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0.0%</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5"/>
              </w:rPr>
              <w:t>0.0%</w:t>
            </w:r>
          </w:p>
        </w:tc>
      </w:tr>
      <w:tr>
        <w:trPr>
          <w:trHeight w:val="122"/>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Treasury stock</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rPr>
              <w:t>(208,343)</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7"/>
              </w:rPr>
              <w:t>(208,879)</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(209,845)</w:t>
            </w:r>
          </w:p>
        </w:tc>
        <w:tc>
          <w:tcPr>
            <w:tcW w:w="72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0.5%</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5"/>
              </w:rPr>
              <w:t>0.7%</w:t>
            </w:r>
          </w:p>
        </w:tc>
      </w:tr>
      <w:tr>
        <w:trPr>
          <w:trHeight w:val="121"/>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Capital surplus</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rPr>
              <w:t>201,965</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rPr>
              <w:t>176,307</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124,149</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7"/>
              </w:rPr>
              <w:t>-29.6%</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-38.5%</w:t>
            </w:r>
          </w:p>
        </w:tc>
      </w:tr>
      <w:tr>
        <w:trPr>
          <w:trHeight w:val="122"/>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Reserves</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rPr>
              <w:t>26,213,432</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8"/>
              </w:rPr>
              <w:t>27,202,665</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32,792,830</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6"/>
              </w:rPr>
              <w:t>20.6%</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25.1%</w:t>
            </w:r>
          </w:p>
        </w:tc>
      </w:tr>
      <w:tr>
        <w:trPr>
          <w:trHeight w:val="122"/>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Other reserves</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rPr>
              <w:t>243,405</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rPr>
              <w:t>214,627</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33,460</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7"/>
              </w:rPr>
              <w:t>-84.4%</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-86.3%</w:t>
            </w:r>
          </w:p>
        </w:tc>
      </w:tr>
      <w:tr>
        <w:trPr>
          <w:trHeight w:val="142"/>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Retained earnings</w:t>
            </w:r>
          </w:p>
        </w:tc>
        <w:tc>
          <w:tcPr>
            <w:tcW w:w="1420" w:type="dxa"/>
            <w:vAlign w:val="bottom"/>
          </w:tcPr>
          <w:p>
            <w:pPr>
              <w:jc w:val="center"/>
              <w:spacing w:after="0"/>
              <w:rPr>
                <w:sz w:val="20"/>
                <w:szCs w:val="20"/>
                <w:color w:val="auto"/>
              </w:rPr>
            </w:pPr>
            <w:r>
              <w:rPr>
                <w:rFonts w:ascii="Arial" w:cs="Arial" w:eastAsia="Arial" w:hAnsi="Arial"/>
                <w:sz w:val="11"/>
                <w:szCs w:val="11"/>
                <w:color w:val="auto"/>
                <w:w w:val="97"/>
              </w:rPr>
              <w:t>6,084,008</w:t>
            </w:r>
          </w:p>
        </w:tc>
        <w:tc>
          <w:tcPr>
            <w:tcW w:w="1340" w:type="dxa"/>
            <w:vAlign w:val="bottom"/>
          </w:tcPr>
          <w:p>
            <w:pPr>
              <w:jc w:val="center"/>
              <w:spacing w:after="0"/>
              <w:rPr>
                <w:sz w:val="20"/>
                <w:szCs w:val="20"/>
                <w:color w:val="auto"/>
              </w:rPr>
            </w:pPr>
            <w:r>
              <w:rPr>
                <w:rFonts w:ascii="Arial" w:cs="Arial" w:eastAsia="Arial" w:hAnsi="Arial"/>
                <w:sz w:val="11"/>
                <w:szCs w:val="11"/>
                <w:color w:val="auto"/>
                <w:w w:val="97"/>
              </w:rPr>
              <w:t>5,642,738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1,783,615</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w w:val="97"/>
              </w:rPr>
              <w:t>-68.4%</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rPr>
              <w:t>-70.7%</w:t>
            </w:r>
          </w:p>
        </w:tc>
      </w:tr>
      <w:tr>
        <w:trPr>
          <w:trHeight w:val="243"/>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Non-controlling interest</w:t>
            </w:r>
          </w:p>
        </w:tc>
        <w:tc>
          <w:tcPr>
            <w:tcW w:w="1420" w:type="dxa"/>
            <w:vAlign w:val="bottom"/>
          </w:tcPr>
          <w:p>
            <w:pPr>
              <w:jc w:val="center"/>
              <w:spacing w:after="0"/>
              <w:rPr>
                <w:sz w:val="20"/>
                <w:szCs w:val="20"/>
                <w:color w:val="auto"/>
              </w:rPr>
            </w:pPr>
            <w:r>
              <w:rPr>
                <w:rFonts w:ascii="Arial" w:cs="Arial" w:eastAsia="Arial" w:hAnsi="Arial"/>
                <w:sz w:val="11"/>
                <w:szCs w:val="11"/>
                <w:color w:val="auto"/>
              </w:rPr>
              <w:t>582,750</w:t>
            </w:r>
          </w:p>
        </w:tc>
        <w:tc>
          <w:tcPr>
            <w:tcW w:w="1340" w:type="dxa"/>
            <w:vAlign w:val="bottom"/>
          </w:tcPr>
          <w:p>
            <w:pPr>
              <w:jc w:val="center"/>
              <w:spacing w:after="0"/>
              <w:rPr>
                <w:sz w:val="20"/>
                <w:szCs w:val="20"/>
                <w:color w:val="auto"/>
              </w:rPr>
            </w:pPr>
            <w:r>
              <w:rPr>
                <w:rFonts w:ascii="Arial" w:cs="Arial" w:eastAsia="Arial" w:hAnsi="Arial"/>
                <w:sz w:val="11"/>
                <w:szCs w:val="11"/>
                <w:color w:val="auto"/>
              </w:rPr>
              <w:t>630,783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571,698</w:t>
            </w:r>
          </w:p>
        </w:tc>
        <w:tc>
          <w:tcPr>
            <w:tcW w:w="720" w:type="dxa"/>
            <w:vAlign w:val="bottom"/>
          </w:tcPr>
          <w:p>
            <w:pPr>
              <w:jc w:val="center"/>
              <w:ind w:left="226"/>
              <w:spacing w:after="0"/>
              <w:rPr>
                <w:sz w:val="20"/>
                <w:szCs w:val="20"/>
                <w:color w:val="auto"/>
              </w:rPr>
            </w:pPr>
            <w:r>
              <w:rPr>
                <w:rFonts w:ascii="Arial" w:cs="Arial" w:eastAsia="Arial" w:hAnsi="Arial"/>
                <w:sz w:val="11"/>
                <w:szCs w:val="11"/>
                <w:color w:val="auto"/>
                <w:w w:val="97"/>
              </w:rPr>
              <w:t>-9.4%</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-1.9%</w:t>
            </w:r>
          </w:p>
        </w:tc>
      </w:tr>
      <w:tr>
        <w:trPr>
          <w:trHeight w:val="249"/>
        </w:trPr>
        <w:tc>
          <w:tcPr>
            <w:tcW w:w="5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Total Net Equity</w:t>
            </w: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rPr>
              <w:t>34,436,210</w:t>
            </w: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8"/>
              </w:rPr>
              <w:t>34,977,234</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36,414,900</w:t>
            </w:r>
          </w:p>
        </w:tc>
        <w:tc>
          <w:tcPr>
            <w:tcW w:w="720" w:type="dxa"/>
            <w:vAlign w:val="bottom"/>
          </w:tcPr>
          <w:p>
            <w:pPr>
              <w:jc w:val="center"/>
              <w:ind w:left="226"/>
              <w:spacing w:after="0"/>
              <w:rPr>
                <w:sz w:val="20"/>
                <w:szCs w:val="20"/>
                <w:color w:val="auto"/>
              </w:rPr>
            </w:pPr>
            <w:r>
              <w:rPr>
                <w:rFonts w:ascii="Arial" w:cs="Arial" w:eastAsia="Arial" w:hAnsi="Arial"/>
                <w:sz w:val="11"/>
                <w:szCs w:val="11"/>
                <w:b w:val="1"/>
                <w:bCs w:val="1"/>
                <w:color w:val="auto"/>
                <w:w w:val="95"/>
              </w:rPr>
              <w:t>4.1%</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5.7%</w:t>
            </w:r>
          </w:p>
        </w:tc>
      </w:tr>
      <w:tr>
        <w:trPr>
          <w:trHeight w:val="243"/>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liabilities and equity</w:t>
            </w: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w w:val="98"/>
              </w:rPr>
              <w:t>241,171,741</w:t>
            </w: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8"/>
              </w:rPr>
              <w:t>256,088,940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254,222,254</w:t>
            </w:r>
          </w:p>
        </w:tc>
        <w:tc>
          <w:tcPr>
            <w:tcW w:w="720" w:type="dxa"/>
            <w:vAlign w:val="bottom"/>
          </w:tcPr>
          <w:p>
            <w:pPr>
              <w:jc w:val="center"/>
              <w:ind w:left="226"/>
              <w:spacing w:after="0"/>
              <w:rPr>
                <w:sz w:val="20"/>
                <w:szCs w:val="20"/>
                <w:color w:val="auto"/>
              </w:rPr>
            </w:pPr>
            <w:r>
              <w:rPr>
                <w:rFonts w:ascii="Arial" w:cs="Arial" w:eastAsia="Arial" w:hAnsi="Arial"/>
                <w:sz w:val="11"/>
                <w:szCs w:val="11"/>
                <w:b w:val="1"/>
                <w:bCs w:val="1"/>
                <w:color w:val="auto"/>
                <w:w w:val="97"/>
              </w:rPr>
              <w:t>-0.7%</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5"/>
              </w:rPr>
              <w:t>5.4%</w:t>
            </w:r>
          </w:p>
        </w:tc>
      </w:tr>
      <w:tr>
        <w:trPr>
          <w:trHeight w:val="217"/>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Off-balance sheet</w:t>
            </w: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w w:val="98"/>
              </w:rPr>
              <w:t>162,365,717</w:t>
            </w: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8"/>
              </w:rPr>
              <w:t>151,223,851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144,439,635</w:t>
            </w:r>
          </w:p>
        </w:tc>
        <w:tc>
          <w:tcPr>
            <w:tcW w:w="720" w:type="dxa"/>
            <w:vAlign w:val="bottom"/>
          </w:tcPr>
          <w:p>
            <w:pPr>
              <w:jc w:val="center"/>
              <w:ind w:left="226"/>
              <w:spacing w:after="0"/>
              <w:rPr>
                <w:sz w:val="20"/>
                <w:szCs w:val="20"/>
                <w:color w:val="auto"/>
              </w:rPr>
            </w:pPr>
            <w:r>
              <w:rPr>
                <w:rFonts w:ascii="Arial" w:cs="Arial" w:eastAsia="Arial" w:hAnsi="Arial"/>
                <w:sz w:val="11"/>
                <w:szCs w:val="11"/>
                <w:b w:val="1"/>
                <w:bCs w:val="1"/>
                <w:color w:val="auto"/>
                <w:w w:val="97"/>
              </w:rPr>
              <w:t>-4.5%</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1"/>
              </w:rPr>
              <w:t>-11.0%</w:t>
            </w:r>
          </w:p>
        </w:tc>
      </w:tr>
      <w:tr>
        <w:trPr>
          <w:trHeight w:val="121"/>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Total performance bonds, stand-by and L/Cs.</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rPr>
              <w:t>20,466,103</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8"/>
              </w:rPr>
              <w:t>22,139,322</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20,843,657</w:t>
            </w:r>
          </w:p>
        </w:tc>
        <w:tc>
          <w:tcPr>
            <w:tcW w:w="72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7"/>
              </w:rPr>
              <w:t>-5.9%</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5"/>
              </w:rPr>
              <w:t>1.8%</w:t>
            </w:r>
          </w:p>
        </w:tc>
      </w:tr>
      <w:tr>
        <w:trPr>
          <w:trHeight w:val="122"/>
        </w:trPr>
        <w:tc>
          <w:tcPr>
            <w:tcW w:w="51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Undrawn credit lines, advised but not committed</w:t>
            </w:r>
          </w:p>
        </w:tc>
        <w:tc>
          <w:tcPr>
            <w:tcW w:w="1420" w:type="dxa"/>
            <w:vAlign w:val="bottom"/>
          </w:tcPr>
          <w:p>
            <w:pPr>
              <w:jc w:val="center"/>
              <w:spacing w:after="0" w:line="122" w:lineRule="exact"/>
              <w:rPr>
                <w:sz w:val="20"/>
                <w:szCs w:val="20"/>
                <w:color w:val="auto"/>
              </w:rPr>
            </w:pPr>
            <w:r>
              <w:rPr>
                <w:rFonts w:ascii="Arial" w:cs="Arial" w:eastAsia="Arial" w:hAnsi="Arial"/>
                <w:sz w:val="11"/>
                <w:szCs w:val="11"/>
                <w:color w:val="auto"/>
              </w:rPr>
              <w:t>88,546,531</w:t>
            </w:r>
          </w:p>
        </w:tc>
        <w:tc>
          <w:tcPr>
            <w:tcW w:w="1340" w:type="dxa"/>
            <w:vAlign w:val="bottom"/>
          </w:tcPr>
          <w:p>
            <w:pPr>
              <w:jc w:val="center"/>
              <w:spacing w:after="0" w:line="122" w:lineRule="exact"/>
              <w:rPr>
                <w:sz w:val="20"/>
                <w:szCs w:val="20"/>
                <w:color w:val="auto"/>
              </w:rPr>
            </w:pPr>
            <w:r>
              <w:rPr>
                <w:rFonts w:ascii="Arial" w:cs="Arial" w:eastAsia="Arial" w:hAnsi="Arial"/>
                <w:sz w:val="11"/>
                <w:szCs w:val="11"/>
                <w:color w:val="auto"/>
                <w:w w:val="98"/>
              </w:rPr>
              <w:t>85,269,774</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79,021,358</w:t>
            </w:r>
          </w:p>
        </w:tc>
        <w:tc>
          <w:tcPr>
            <w:tcW w:w="72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7"/>
              </w:rPr>
              <w:t>-7.3%</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-10.8%</w:t>
            </w:r>
          </w:p>
        </w:tc>
      </w:tr>
      <w:tr>
        <w:trPr>
          <w:trHeight w:val="135"/>
        </w:trPr>
        <w:tc>
          <w:tcPr>
            <w:tcW w:w="5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Total derivatives (notional) and others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53,353,083</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43,814,755</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8"/>
              </w:rPr>
              <w:t>44,574,620</w:t>
            </w:r>
          </w:p>
        </w:tc>
        <w:tc>
          <w:tcPr>
            <w:tcW w:w="720" w:type="dxa"/>
            <w:vAlign w:val="bottom"/>
            <w:tcBorders>
              <w:bottom w:val="single" w:sz="8" w:color="auto"/>
            </w:tcBorders>
          </w:tcPr>
          <w:p>
            <w:pPr>
              <w:jc w:val="center"/>
              <w:ind w:left="226"/>
              <w:spacing w:after="0"/>
              <w:rPr>
                <w:sz w:val="20"/>
                <w:szCs w:val="20"/>
                <w:color w:val="auto"/>
              </w:rPr>
            </w:pPr>
            <w:r>
              <w:rPr>
                <w:rFonts w:ascii="Arial" w:cs="Arial" w:eastAsia="Arial" w:hAnsi="Arial"/>
                <w:sz w:val="11"/>
                <w:szCs w:val="11"/>
                <w:color w:val="auto"/>
                <w:w w:val="95"/>
              </w:rPr>
              <w:t>1.7%</w:t>
            </w:r>
          </w:p>
        </w:tc>
        <w:tc>
          <w:tcPr>
            <w:tcW w:w="1300" w:type="dxa"/>
            <w:vAlign w:val="bottom"/>
            <w:tcBorders>
              <w:bottom w:val="single" w:sz="8" w:color="auto"/>
              <w:right w:val="single" w:sz="8" w:color="auto"/>
            </w:tcBorders>
          </w:tcPr>
          <w:p>
            <w:pPr>
              <w:jc w:val="center"/>
              <w:ind w:left="206"/>
              <w:spacing w:after="0"/>
              <w:rPr>
                <w:sz w:val="20"/>
                <w:szCs w:val="20"/>
                <w:color w:val="auto"/>
              </w:rPr>
            </w:pPr>
            <w:r>
              <w:rPr>
                <w:rFonts w:ascii="Arial" w:cs="Arial" w:eastAsia="Arial" w:hAnsi="Arial"/>
                <w:sz w:val="11"/>
                <w:szCs w:val="11"/>
                <w:color w:val="auto"/>
              </w:rPr>
              <w:t>-16.5%</w:t>
            </w:r>
          </w:p>
        </w:tc>
      </w:tr>
    </w:tbl>
    <w:p>
      <w:pPr>
        <w:spacing w:after="0" w:line="168" w:lineRule="exact"/>
        <w:rPr>
          <w:sz w:val="20"/>
          <w:szCs w:val="20"/>
          <w:color w:val="auto"/>
        </w:rPr>
      </w:pPr>
    </w:p>
    <w:p>
      <w:pPr>
        <w:ind w:left="820"/>
        <w:spacing w:after="0"/>
        <w:rPr>
          <w:sz w:val="20"/>
          <w:szCs w:val="20"/>
          <w:color w:val="auto"/>
        </w:rPr>
      </w:pPr>
      <w:r>
        <w:rPr>
          <w:rFonts w:ascii="Arial" w:cs="Arial" w:eastAsia="Arial" w:hAnsi="Arial"/>
          <w:sz w:val="12"/>
          <w:szCs w:val="12"/>
          <w:color w:val="auto"/>
        </w:rPr>
        <w:t>(1) Includes mainly accounts receivables from brokerage and others</w:t>
      </w:r>
    </w:p>
    <w:p>
      <w:pPr>
        <w:spacing w:after="0" w:line="65" w:lineRule="exact"/>
        <w:rPr>
          <w:sz w:val="20"/>
          <w:szCs w:val="20"/>
          <w:color w:val="auto"/>
        </w:rPr>
      </w:pPr>
    </w:p>
    <w:p>
      <w:pPr>
        <w:ind w:left="820"/>
        <w:spacing w:after="0"/>
        <w:rPr>
          <w:sz w:val="20"/>
          <w:szCs w:val="20"/>
          <w:color w:val="auto"/>
        </w:rPr>
      </w:pPr>
      <w:r>
        <w:rPr>
          <w:rFonts w:ascii="Arial" w:cs="Arial" w:eastAsia="Arial" w:hAnsi="Arial"/>
          <w:sz w:val="12"/>
          <w:szCs w:val="12"/>
          <w:color w:val="auto"/>
        </w:rPr>
        <w:t>*Due to reclassifications, the Balance Sheet may differ from those reported in previous quarters.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403"/>
        </w:trPr>
        <w:tc>
          <w:tcPr>
            <w:tcW w:w="2860" w:type="dxa"/>
            <w:vAlign w:val="bottom"/>
            <w:tcBorders>
              <w:left w:val="single" w:sz="8" w:color="auto"/>
            </w:tcBorders>
            <w:shd w:val="clear" w:color="auto" w:fill="000000"/>
          </w:tcPr>
          <w:p>
            <w:pPr>
              <w:ind w:left="2720"/>
              <w:spacing w:after="0"/>
              <w:rPr>
                <w:sz w:val="20"/>
                <w:szCs w:val="20"/>
                <w:color w:val="auto"/>
              </w:rPr>
            </w:pPr>
            <w:r>
              <w:rPr>
                <w:rFonts w:ascii="Arial" w:cs="Arial" w:eastAsia="Arial" w:hAnsi="Arial"/>
                <w:sz w:val="16"/>
                <w:szCs w:val="16"/>
                <w:color w:val="A6A6A6"/>
              </w:rPr>
              <w:t>|</w:t>
            </w:r>
          </w:p>
        </w:tc>
        <w:tc>
          <w:tcPr>
            <w:tcW w:w="236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16"/>
                <w:szCs w:val="16"/>
                <w:color w:val="FFFFFF"/>
              </w:rPr>
              <w:t>Earnings Release 1Q / 2025</w:t>
            </w:r>
          </w:p>
        </w:tc>
        <w:tc>
          <w:tcPr>
            <w:tcW w:w="1440" w:type="dxa"/>
            <w:vAlign w:val="bottom"/>
            <w:shd w:val="clear" w:color="auto" w:fill="000000"/>
          </w:tcPr>
          <w:p>
            <w:pPr>
              <w:spacing w:after="0"/>
              <w:rPr>
                <w:sz w:val="24"/>
                <w:szCs w:val="24"/>
                <w:color w:val="auto"/>
              </w:rPr>
            </w:pPr>
          </w:p>
        </w:tc>
        <w:tc>
          <w:tcPr>
            <w:tcW w:w="940" w:type="dxa"/>
            <w:vAlign w:val="bottom"/>
            <w:shd w:val="clear" w:color="auto" w:fill="000000"/>
          </w:tcPr>
          <w:p>
            <w:pPr>
              <w:spacing w:after="0"/>
              <w:rPr>
                <w:sz w:val="24"/>
                <w:szCs w:val="24"/>
                <w:color w:val="auto"/>
              </w:rPr>
            </w:pPr>
          </w:p>
        </w:tc>
        <w:tc>
          <w:tcPr>
            <w:tcW w:w="2880" w:type="dxa"/>
            <w:vAlign w:val="bottom"/>
            <w:gridSpan w:val="2"/>
            <w:shd w:val="clear" w:color="auto" w:fill="000000"/>
          </w:tcPr>
          <w:p>
            <w:pPr>
              <w:ind w:left="40"/>
              <w:spacing w:after="0"/>
              <w:rPr>
                <w:sz w:val="20"/>
                <w:szCs w:val="20"/>
                <w:color w:val="auto"/>
              </w:rPr>
            </w:pPr>
            <w:r>
              <w:rPr>
                <w:rFonts w:ascii="Arial" w:cs="Arial" w:eastAsia="Arial" w:hAnsi="Arial"/>
                <w:sz w:val="16"/>
                <w:szCs w:val="16"/>
                <w:color w:val="ED3FA8"/>
              </w:rPr>
              <w:t>Analysis of 1Q25 Consolidated Results</w:t>
            </w:r>
          </w:p>
        </w:tc>
        <w:tc>
          <w:tcPr>
            <w:tcW w:w="760" w:type="dxa"/>
            <w:vAlign w:val="bottom"/>
            <w:tcBorders>
              <w:right w:val="single" w:sz="8" w:color="auto"/>
            </w:tcBorders>
            <w:shd w:val="clear" w:color="auto" w:fill="000000"/>
          </w:tcPr>
          <w:p>
            <w:pPr>
              <w:spacing w:after="0"/>
              <w:rPr>
                <w:sz w:val="24"/>
                <w:szCs w:val="24"/>
                <w:color w:val="auto"/>
              </w:rPr>
            </w:pPr>
          </w:p>
        </w:tc>
      </w:tr>
      <w:tr>
        <w:trPr>
          <w:trHeight w:val="205"/>
        </w:trPr>
        <w:tc>
          <w:tcPr>
            <w:tcW w:w="2860" w:type="dxa"/>
            <w:vAlign w:val="bottom"/>
            <w:tcBorders>
              <w:left w:val="single" w:sz="8" w:color="auto"/>
            </w:tcBorders>
            <w:shd w:val="clear" w:color="auto" w:fill="000000"/>
          </w:tcPr>
          <w:p>
            <w:pPr>
              <w:spacing w:after="0"/>
              <w:rPr>
                <w:sz w:val="17"/>
                <w:szCs w:val="17"/>
                <w:color w:val="auto"/>
              </w:rPr>
            </w:pPr>
          </w:p>
        </w:tc>
        <w:tc>
          <w:tcPr>
            <w:tcW w:w="2360" w:type="dxa"/>
            <w:vAlign w:val="bottom"/>
            <w:tcBorders>
              <w:right w:val="single" w:sz="8" w:color="auto"/>
            </w:tcBorders>
            <w:shd w:val="clear" w:color="auto" w:fill="000000"/>
          </w:tcPr>
          <w:p>
            <w:pPr>
              <w:spacing w:after="0"/>
              <w:rPr>
                <w:sz w:val="17"/>
                <w:szCs w:val="17"/>
                <w:color w:val="auto"/>
              </w:rPr>
            </w:pPr>
          </w:p>
        </w:tc>
        <w:tc>
          <w:tcPr>
            <w:tcW w:w="2380" w:type="dxa"/>
            <w:vAlign w:val="bottom"/>
            <w:gridSpan w:val="2"/>
            <w:shd w:val="clear" w:color="auto" w:fill="000000"/>
          </w:tcPr>
          <w:p>
            <w:pPr>
              <w:spacing w:after="0"/>
              <w:rPr>
                <w:sz w:val="17"/>
                <w:szCs w:val="17"/>
                <w:color w:val="auto"/>
              </w:rPr>
            </w:pPr>
          </w:p>
        </w:tc>
        <w:tc>
          <w:tcPr>
            <w:tcW w:w="1660" w:type="dxa"/>
            <w:vAlign w:val="bottom"/>
            <w:tcBorders>
              <w:right w:val="single" w:sz="8" w:color="auto"/>
            </w:tcBorders>
            <w:shd w:val="clear" w:color="auto" w:fill="000000"/>
          </w:tcPr>
          <w:p>
            <w:pPr>
              <w:spacing w:after="0"/>
              <w:rPr>
                <w:sz w:val="17"/>
                <w:szCs w:val="17"/>
                <w:color w:val="auto"/>
              </w:rPr>
            </w:pPr>
          </w:p>
        </w:tc>
        <w:tc>
          <w:tcPr>
            <w:tcW w:w="1220" w:type="dxa"/>
            <w:vAlign w:val="bottom"/>
            <w:shd w:val="clear" w:color="auto" w:fill="000000"/>
          </w:tcPr>
          <w:p>
            <w:pPr>
              <w:spacing w:after="0"/>
              <w:rPr>
                <w:sz w:val="17"/>
                <w:szCs w:val="17"/>
                <w:color w:val="auto"/>
              </w:rPr>
            </w:pPr>
          </w:p>
        </w:tc>
        <w:tc>
          <w:tcPr>
            <w:tcW w:w="760" w:type="dxa"/>
            <w:vAlign w:val="bottom"/>
            <w:tcBorders>
              <w:right w:val="single" w:sz="8" w:color="auto"/>
            </w:tcBorders>
            <w:shd w:val="clear" w:color="auto" w:fill="000000"/>
          </w:tcPr>
          <w:p>
            <w:pPr>
              <w:spacing w:after="0"/>
              <w:rPr>
                <w:sz w:val="17"/>
                <w:szCs w:val="17"/>
                <w:color w:val="auto"/>
              </w:rPr>
            </w:pPr>
          </w:p>
        </w:tc>
      </w:tr>
      <w:tr>
        <w:trPr>
          <w:trHeight w:val="243"/>
        </w:trPr>
        <w:tc>
          <w:tcPr>
            <w:tcW w:w="2860" w:type="dxa"/>
            <w:vAlign w:val="bottom"/>
            <w:tcBorders>
              <w:left w:val="single" w:sz="8" w:color="E93BAC"/>
            </w:tcBorders>
            <w:shd w:val="clear" w:color="auto" w:fill="E93BAC"/>
          </w:tcPr>
          <w:p>
            <w:pPr>
              <w:spacing w:after="0"/>
              <w:rPr>
                <w:sz w:val="21"/>
                <w:szCs w:val="21"/>
                <w:color w:val="auto"/>
              </w:rPr>
            </w:pPr>
          </w:p>
        </w:tc>
        <w:tc>
          <w:tcPr>
            <w:tcW w:w="2360" w:type="dxa"/>
            <w:vAlign w:val="bottom"/>
            <w:tcBorders>
              <w:right w:val="single" w:sz="8" w:color="E93BAC"/>
            </w:tcBorders>
            <w:shd w:val="clear" w:color="auto" w:fill="E93BAC"/>
          </w:tcPr>
          <w:p>
            <w:pPr>
              <w:spacing w:after="0"/>
              <w:rPr>
                <w:sz w:val="21"/>
                <w:szCs w:val="21"/>
                <w:color w:val="auto"/>
              </w:rPr>
            </w:pPr>
          </w:p>
        </w:tc>
        <w:tc>
          <w:tcPr>
            <w:tcW w:w="2380" w:type="dxa"/>
            <w:vAlign w:val="bottom"/>
            <w:gridSpan w:val="2"/>
            <w:shd w:val="clear" w:color="auto" w:fill="E93BAC"/>
          </w:tcPr>
          <w:p>
            <w:pPr>
              <w:spacing w:after="0"/>
              <w:rPr>
                <w:sz w:val="21"/>
                <w:szCs w:val="21"/>
                <w:color w:val="auto"/>
              </w:rPr>
            </w:pPr>
          </w:p>
        </w:tc>
        <w:tc>
          <w:tcPr>
            <w:tcW w:w="1660" w:type="dxa"/>
            <w:vAlign w:val="bottom"/>
            <w:tcBorders>
              <w:right w:val="single" w:sz="8" w:color="E93BAC"/>
            </w:tcBorders>
            <w:shd w:val="clear" w:color="auto" w:fill="E93BAC"/>
          </w:tcPr>
          <w:p>
            <w:pPr>
              <w:spacing w:after="0"/>
              <w:rPr>
                <w:sz w:val="21"/>
                <w:szCs w:val="21"/>
                <w:color w:val="auto"/>
              </w:rPr>
            </w:pPr>
          </w:p>
        </w:tc>
        <w:tc>
          <w:tcPr>
            <w:tcW w:w="1220" w:type="dxa"/>
            <w:vAlign w:val="bottom"/>
            <w:shd w:val="clear" w:color="auto" w:fill="E93BAC"/>
          </w:tcPr>
          <w:p>
            <w:pPr>
              <w:spacing w:after="0"/>
              <w:rPr>
                <w:sz w:val="21"/>
                <w:szCs w:val="21"/>
                <w:color w:val="auto"/>
              </w:rPr>
            </w:pPr>
          </w:p>
        </w:tc>
        <w:tc>
          <w:tcPr>
            <w:tcW w:w="760" w:type="dxa"/>
            <w:vAlign w:val="bottom"/>
            <w:tcBorders>
              <w:right w:val="single" w:sz="8" w:color="E93BAC"/>
            </w:tcBorders>
            <w:shd w:val="clear" w:color="auto" w:fill="E93BAC"/>
          </w:tcPr>
          <w:p>
            <w:pPr>
              <w:spacing w:after="0"/>
              <w:rPr>
                <w:sz w:val="21"/>
                <w:szCs w:val="21"/>
                <w:color w:val="auto"/>
              </w:rPr>
            </w:pPr>
          </w:p>
        </w:tc>
      </w:tr>
      <w:tr>
        <w:trPr>
          <w:trHeight w:val="364"/>
        </w:trPr>
        <w:tc>
          <w:tcPr>
            <w:tcW w:w="2860" w:type="dxa"/>
            <w:vAlign w:val="bottom"/>
          </w:tcPr>
          <w:p>
            <w:pPr>
              <w:spacing w:after="0"/>
              <w:rPr>
                <w:sz w:val="24"/>
                <w:szCs w:val="24"/>
                <w:color w:val="auto"/>
              </w:rPr>
            </w:pPr>
          </w:p>
        </w:tc>
        <w:tc>
          <w:tcPr>
            <w:tcW w:w="4740" w:type="dxa"/>
            <w:vAlign w:val="bottom"/>
            <w:gridSpan w:val="3"/>
          </w:tcPr>
          <w:p>
            <w:pPr>
              <w:jc w:val="center"/>
              <w:ind w:left="719"/>
              <w:spacing w:after="0"/>
              <w:rPr>
                <w:sz w:val="20"/>
                <w:szCs w:val="20"/>
                <w:color w:val="auto"/>
              </w:rPr>
            </w:pPr>
            <w:r>
              <w:rPr>
                <w:rFonts w:ascii="Arial" w:cs="Arial" w:eastAsia="Arial" w:hAnsi="Arial"/>
                <w:sz w:val="16"/>
                <w:szCs w:val="16"/>
                <w:b w:val="1"/>
                <w:bCs w:val="1"/>
                <w:color w:val="auto"/>
              </w:rPr>
              <w:t>Consolidated Statement of Income</w:t>
            </w: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3"/>
        </w:trPr>
        <w:tc>
          <w:tcPr>
            <w:tcW w:w="2860" w:type="dxa"/>
            <w:vAlign w:val="bottom"/>
          </w:tcPr>
          <w:p>
            <w:pPr>
              <w:spacing w:after="0"/>
              <w:rPr>
                <w:sz w:val="19"/>
                <w:szCs w:val="19"/>
                <w:color w:val="auto"/>
              </w:rPr>
            </w:pPr>
          </w:p>
        </w:tc>
        <w:tc>
          <w:tcPr>
            <w:tcW w:w="3800" w:type="dxa"/>
            <w:vAlign w:val="bottom"/>
            <w:gridSpan w:val="2"/>
          </w:tcPr>
          <w:p>
            <w:pPr>
              <w:jc w:val="center"/>
              <w:ind w:left="1639"/>
              <w:spacing w:after="0"/>
              <w:rPr>
                <w:sz w:val="20"/>
                <w:szCs w:val="20"/>
                <w:color w:val="auto"/>
              </w:rPr>
            </w:pPr>
            <w:r>
              <w:rPr>
                <w:rFonts w:ascii="Arial" w:cs="Arial" w:eastAsia="Arial" w:hAnsi="Arial"/>
                <w:sz w:val="16"/>
                <w:szCs w:val="16"/>
                <w:b w:val="1"/>
                <w:bCs w:val="1"/>
                <w:color w:val="auto"/>
              </w:rPr>
              <w:t>(S/ Thousands, IFRS)</w:t>
            </w:r>
          </w:p>
        </w:tc>
        <w:tc>
          <w:tcPr>
            <w:tcW w:w="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70"/>
        </w:trPr>
        <w:tc>
          <w:tcPr>
            <w:tcW w:w="28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spacing w:after="0"/>
              <w:rPr>
                <w:sz w:val="14"/>
                <w:szCs w:val="14"/>
                <w:color w:val="auto"/>
              </w:rPr>
            </w:pPr>
          </w:p>
        </w:tc>
      </w:tr>
      <w:tr>
        <w:trPr>
          <w:trHeight w:val="111"/>
        </w:trPr>
        <w:tc>
          <w:tcPr>
            <w:tcW w:w="2860" w:type="dxa"/>
            <w:vAlign w:val="bottom"/>
            <w:tcBorders>
              <w:left w:val="single" w:sz="8" w:color="auto"/>
            </w:tcBorders>
            <w:shd w:val="clear" w:color="auto" w:fill="33CCCC"/>
          </w:tcPr>
          <w:p>
            <w:pPr>
              <w:spacing w:after="0"/>
              <w:rPr>
                <w:sz w:val="9"/>
                <w:szCs w:val="9"/>
                <w:color w:val="auto"/>
              </w:rPr>
            </w:pPr>
          </w:p>
        </w:tc>
        <w:tc>
          <w:tcPr>
            <w:tcW w:w="2360" w:type="dxa"/>
            <w:vAlign w:val="bottom"/>
            <w:tcBorders>
              <w:right w:val="single" w:sz="8" w:color="auto"/>
            </w:tcBorders>
            <w:shd w:val="clear" w:color="auto" w:fill="33CCCC"/>
          </w:tcPr>
          <w:p>
            <w:pPr>
              <w:spacing w:after="0"/>
              <w:rPr>
                <w:sz w:val="9"/>
                <w:szCs w:val="9"/>
                <w:color w:val="auto"/>
              </w:rPr>
            </w:pPr>
          </w:p>
        </w:tc>
        <w:tc>
          <w:tcPr>
            <w:tcW w:w="1440" w:type="dxa"/>
            <w:vAlign w:val="bottom"/>
            <w:shd w:val="clear" w:color="auto" w:fill="33CCCC"/>
          </w:tcPr>
          <w:p>
            <w:pPr>
              <w:spacing w:after="0"/>
              <w:rPr>
                <w:sz w:val="9"/>
                <w:szCs w:val="9"/>
                <w:color w:val="auto"/>
              </w:rPr>
            </w:pPr>
          </w:p>
        </w:tc>
        <w:tc>
          <w:tcPr>
            <w:tcW w:w="940" w:type="dxa"/>
            <w:vAlign w:val="bottom"/>
            <w:shd w:val="clear" w:color="auto" w:fill="33CCCC"/>
          </w:tcPr>
          <w:p>
            <w:pPr>
              <w:ind w:left="320"/>
              <w:spacing w:after="0" w:line="111" w:lineRule="exact"/>
              <w:rPr>
                <w:sz w:val="20"/>
                <w:szCs w:val="20"/>
                <w:color w:val="auto"/>
              </w:rPr>
            </w:pPr>
            <w:r>
              <w:rPr>
                <w:rFonts w:ascii="Arial" w:cs="Arial" w:eastAsia="Arial" w:hAnsi="Arial"/>
                <w:sz w:val="12"/>
                <w:szCs w:val="12"/>
                <w:b w:val="1"/>
                <w:bCs w:val="1"/>
                <w:color w:val="FFFFFF"/>
              </w:rPr>
              <w:t>Quarter</w:t>
            </w:r>
          </w:p>
        </w:tc>
        <w:tc>
          <w:tcPr>
            <w:tcW w:w="1660" w:type="dxa"/>
            <w:vAlign w:val="bottom"/>
            <w:tcBorders>
              <w:right w:val="single" w:sz="8" w:color="auto"/>
            </w:tcBorders>
            <w:shd w:val="clear" w:color="auto" w:fill="33CCCC"/>
          </w:tcPr>
          <w:p>
            <w:pPr>
              <w:spacing w:after="0"/>
              <w:rPr>
                <w:sz w:val="9"/>
                <w:szCs w:val="9"/>
                <w:color w:val="auto"/>
              </w:rPr>
            </w:pPr>
          </w:p>
        </w:tc>
        <w:tc>
          <w:tcPr>
            <w:tcW w:w="1980" w:type="dxa"/>
            <w:vAlign w:val="bottom"/>
            <w:tcBorders>
              <w:right w:val="single" w:sz="8" w:color="auto"/>
            </w:tcBorders>
            <w:gridSpan w:val="2"/>
            <w:shd w:val="clear" w:color="auto" w:fill="33CCCC"/>
          </w:tcPr>
          <w:p>
            <w:pPr>
              <w:ind w:left="680"/>
              <w:spacing w:after="0" w:line="111" w:lineRule="exact"/>
              <w:rPr>
                <w:sz w:val="20"/>
                <w:szCs w:val="20"/>
                <w:color w:val="auto"/>
              </w:rPr>
            </w:pPr>
            <w:r>
              <w:rPr>
                <w:rFonts w:ascii="Arial" w:cs="Arial" w:eastAsia="Arial" w:hAnsi="Arial"/>
                <w:sz w:val="12"/>
                <w:szCs w:val="12"/>
                <w:b w:val="1"/>
                <w:bCs w:val="1"/>
                <w:color w:val="FFFFFF"/>
              </w:rPr>
              <w:t>% change</w:t>
            </w:r>
          </w:p>
        </w:tc>
      </w:tr>
      <w:tr>
        <w:trPr>
          <w:trHeight w:val="153"/>
        </w:trPr>
        <w:tc>
          <w:tcPr>
            <w:tcW w:w="2860" w:type="dxa"/>
            <w:vAlign w:val="bottom"/>
            <w:tcBorders>
              <w:left w:val="single" w:sz="8" w:color="auto"/>
              <w:bottom w:val="single" w:sz="8" w:color="auto"/>
            </w:tcBorders>
            <w:shd w:val="clear" w:color="auto" w:fill="33CCCC"/>
          </w:tcPr>
          <w:p>
            <w:pPr>
              <w:spacing w:after="0"/>
              <w:rPr>
                <w:sz w:val="13"/>
                <w:szCs w:val="13"/>
                <w:color w:val="auto"/>
              </w:rPr>
            </w:pPr>
          </w:p>
        </w:tc>
        <w:tc>
          <w:tcPr>
            <w:tcW w:w="2360" w:type="dxa"/>
            <w:vAlign w:val="bottom"/>
            <w:tcBorders>
              <w:bottom w:val="single" w:sz="8" w:color="auto"/>
              <w:right w:val="single" w:sz="8" w:color="auto"/>
            </w:tcBorders>
            <w:shd w:val="clear" w:color="auto" w:fill="33CCCC"/>
          </w:tcPr>
          <w:p>
            <w:pPr>
              <w:spacing w:after="0"/>
              <w:rPr>
                <w:sz w:val="13"/>
                <w:szCs w:val="13"/>
                <w:color w:val="auto"/>
              </w:rPr>
            </w:pPr>
          </w:p>
        </w:tc>
        <w:tc>
          <w:tcPr>
            <w:tcW w:w="1440" w:type="dxa"/>
            <w:vAlign w:val="bottom"/>
            <w:tcBorders>
              <w:bottom w:val="single" w:sz="8" w:color="auto"/>
            </w:tcBorders>
            <w:shd w:val="clear" w:color="auto" w:fill="33CCCC"/>
          </w:tcPr>
          <w:p>
            <w:pPr>
              <w:jc w:val="center"/>
              <w:ind w:right="57"/>
              <w:spacing w:after="0"/>
              <w:rPr>
                <w:sz w:val="20"/>
                <w:szCs w:val="20"/>
                <w:color w:val="auto"/>
              </w:rPr>
            </w:pPr>
            <w:r>
              <w:rPr>
                <w:rFonts w:ascii="Arial" w:cs="Arial" w:eastAsia="Arial" w:hAnsi="Arial"/>
                <w:sz w:val="13"/>
                <w:szCs w:val="13"/>
                <w:b w:val="1"/>
                <w:bCs w:val="1"/>
                <w:color w:val="FFFFFF"/>
              </w:rPr>
              <w:t>1Q24</w:t>
            </w:r>
          </w:p>
        </w:tc>
        <w:tc>
          <w:tcPr>
            <w:tcW w:w="940" w:type="dxa"/>
            <w:vAlign w:val="bottom"/>
            <w:tcBorders>
              <w:bottom w:val="single" w:sz="8" w:color="auto"/>
            </w:tcBorders>
            <w:shd w:val="clear" w:color="auto" w:fill="33CCCC"/>
          </w:tcPr>
          <w:p>
            <w:pPr>
              <w:jc w:val="center"/>
              <w:ind w:left="117"/>
              <w:spacing w:after="0"/>
              <w:rPr>
                <w:sz w:val="20"/>
                <w:szCs w:val="20"/>
                <w:color w:val="auto"/>
              </w:rPr>
            </w:pPr>
            <w:r>
              <w:rPr>
                <w:rFonts w:ascii="Arial" w:cs="Arial" w:eastAsia="Arial" w:hAnsi="Arial"/>
                <w:sz w:val="13"/>
                <w:szCs w:val="13"/>
                <w:b w:val="1"/>
                <w:bCs w:val="1"/>
                <w:color w:val="FFFFFF"/>
              </w:rPr>
              <w:t>4Q24</w:t>
            </w:r>
          </w:p>
        </w:tc>
        <w:tc>
          <w:tcPr>
            <w:tcW w:w="1660" w:type="dxa"/>
            <w:vAlign w:val="bottom"/>
            <w:tcBorders>
              <w:bottom w:val="single" w:sz="8" w:color="auto"/>
              <w:right w:val="single" w:sz="8" w:color="auto"/>
            </w:tcBorders>
            <w:shd w:val="clear" w:color="auto" w:fill="33CCCC"/>
          </w:tcPr>
          <w:p>
            <w:pPr>
              <w:jc w:val="center"/>
              <w:ind w:left="217"/>
              <w:spacing w:after="0"/>
              <w:rPr>
                <w:sz w:val="20"/>
                <w:szCs w:val="20"/>
                <w:color w:val="auto"/>
              </w:rPr>
            </w:pPr>
            <w:r>
              <w:rPr>
                <w:rFonts w:ascii="Arial" w:cs="Arial" w:eastAsia="Arial" w:hAnsi="Arial"/>
                <w:sz w:val="13"/>
                <w:szCs w:val="13"/>
                <w:b w:val="1"/>
                <w:bCs w:val="1"/>
                <w:color w:val="FFFFFF"/>
                <w:w w:val="94"/>
              </w:rPr>
              <w:t>1Q25</w:t>
            </w:r>
          </w:p>
        </w:tc>
        <w:tc>
          <w:tcPr>
            <w:tcW w:w="1220" w:type="dxa"/>
            <w:vAlign w:val="bottom"/>
            <w:tcBorders>
              <w:bottom w:val="single" w:sz="8" w:color="auto"/>
            </w:tcBorders>
            <w:shd w:val="clear" w:color="auto" w:fill="33CCCC"/>
          </w:tcPr>
          <w:p>
            <w:pPr>
              <w:jc w:val="center"/>
              <w:ind w:right="157"/>
              <w:spacing w:after="0"/>
              <w:rPr>
                <w:sz w:val="20"/>
                <w:szCs w:val="20"/>
                <w:color w:val="auto"/>
              </w:rPr>
            </w:pPr>
            <w:r>
              <w:rPr>
                <w:rFonts w:ascii="Arial" w:cs="Arial" w:eastAsia="Arial" w:hAnsi="Arial"/>
                <w:sz w:val="13"/>
                <w:szCs w:val="13"/>
                <w:b w:val="1"/>
                <w:bCs w:val="1"/>
                <w:color w:val="FFFFFF"/>
                <w:w w:val="99"/>
              </w:rPr>
              <w:t>QoQ</w:t>
            </w:r>
          </w:p>
        </w:tc>
        <w:tc>
          <w:tcPr>
            <w:tcW w:w="760" w:type="dxa"/>
            <w:vAlign w:val="bottom"/>
            <w:tcBorders>
              <w:bottom w:val="single" w:sz="8" w:color="auto"/>
              <w:right w:val="single" w:sz="8" w:color="auto"/>
            </w:tcBorders>
            <w:shd w:val="clear" w:color="auto" w:fill="33CCCC"/>
          </w:tcPr>
          <w:p>
            <w:pPr>
              <w:ind w:left="140"/>
              <w:spacing w:after="0"/>
              <w:rPr>
                <w:sz w:val="20"/>
                <w:szCs w:val="20"/>
                <w:color w:val="auto"/>
              </w:rPr>
            </w:pPr>
            <w:r>
              <w:rPr>
                <w:rFonts w:ascii="Arial" w:cs="Arial" w:eastAsia="Arial" w:hAnsi="Arial"/>
                <w:sz w:val="13"/>
                <w:szCs w:val="13"/>
                <w:b w:val="1"/>
                <w:bCs w:val="1"/>
                <w:color w:val="FFFFFF"/>
              </w:rPr>
              <w:t>YoY</w:t>
            </w:r>
          </w:p>
        </w:tc>
      </w:tr>
      <w:tr>
        <w:trPr>
          <w:trHeight w:val="111"/>
        </w:trPr>
        <w:tc>
          <w:tcPr>
            <w:tcW w:w="2860" w:type="dxa"/>
            <w:vAlign w:val="bottom"/>
            <w:tcBorders>
              <w:left w:val="single" w:sz="8" w:color="auto"/>
            </w:tcBorders>
          </w:tcPr>
          <w:p>
            <w:pPr>
              <w:ind w:left="20"/>
              <w:spacing w:after="0" w:line="111" w:lineRule="exact"/>
              <w:rPr>
                <w:sz w:val="20"/>
                <w:szCs w:val="20"/>
                <w:color w:val="auto"/>
              </w:rPr>
            </w:pPr>
            <w:r>
              <w:rPr>
                <w:rFonts w:ascii="Arial" w:cs="Arial" w:eastAsia="Arial" w:hAnsi="Arial"/>
                <w:sz w:val="12"/>
                <w:szCs w:val="12"/>
                <w:b w:val="1"/>
                <w:bCs w:val="1"/>
                <w:color w:val="auto"/>
              </w:rPr>
              <w:t>Interest income and expense</w:t>
            </w:r>
          </w:p>
        </w:tc>
        <w:tc>
          <w:tcPr>
            <w:tcW w:w="2360" w:type="dxa"/>
            <w:vAlign w:val="bottom"/>
            <w:tcBorders>
              <w:right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Interest and similar income</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6"/>
              </w:rPr>
              <w:t>4,925,926</w:t>
            </w:r>
          </w:p>
        </w:tc>
        <w:tc>
          <w:tcPr>
            <w:tcW w:w="94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6"/>
              </w:rPr>
              <w:t>5,012,121</w:t>
            </w:r>
          </w:p>
        </w:tc>
        <w:tc>
          <w:tcPr>
            <w:tcW w:w="1660" w:type="dxa"/>
            <w:vAlign w:val="bottom"/>
            <w:tcBorders>
              <w:right w:val="single" w:sz="8" w:color="auto"/>
            </w:tcBorders>
          </w:tcPr>
          <w:p>
            <w:pPr>
              <w:jc w:val="center"/>
              <w:ind w:left="197"/>
              <w:spacing w:after="0" w:line="135" w:lineRule="exact"/>
              <w:rPr>
                <w:sz w:val="20"/>
                <w:szCs w:val="20"/>
                <w:color w:val="auto"/>
              </w:rPr>
            </w:pPr>
            <w:r>
              <w:rPr>
                <w:rFonts w:ascii="Arial" w:cs="Arial" w:eastAsia="Arial" w:hAnsi="Arial"/>
                <w:sz w:val="13"/>
                <w:szCs w:val="13"/>
                <w:color w:val="auto"/>
                <w:w w:val="96"/>
              </w:rPr>
              <w:t>4,894,790</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4"/>
              </w:rPr>
              <w:t>-2.3%</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4"/>
              </w:rPr>
              <w:t>-0.6%</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Interest and similar expenses</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6"/>
              </w:rPr>
              <w:t>(1,499,803)</w:t>
            </w:r>
          </w:p>
        </w:tc>
        <w:tc>
          <w:tcPr>
            <w:tcW w:w="94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6"/>
              </w:rPr>
              <w:t>(1,382,327)</w:t>
            </w:r>
          </w:p>
        </w:tc>
        <w:tc>
          <w:tcPr>
            <w:tcW w:w="1660" w:type="dxa"/>
            <w:vAlign w:val="bottom"/>
            <w:tcBorders>
              <w:right w:val="single" w:sz="8" w:color="auto"/>
            </w:tcBorders>
          </w:tcPr>
          <w:p>
            <w:pPr>
              <w:jc w:val="center"/>
              <w:ind w:left="197"/>
              <w:spacing w:after="0" w:line="135" w:lineRule="exact"/>
              <w:rPr>
                <w:sz w:val="20"/>
                <w:szCs w:val="20"/>
                <w:color w:val="auto"/>
              </w:rPr>
            </w:pPr>
            <w:r>
              <w:rPr>
                <w:rFonts w:ascii="Arial" w:cs="Arial" w:eastAsia="Arial" w:hAnsi="Arial"/>
                <w:sz w:val="13"/>
                <w:szCs w:val="13"/>
                <w:color w:val="auto"/>
                <w:w w:val="96"/>
              </w:rPr>
              <w:t>(1,322,778)</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4"/>
              </w:rPr>
              <w:t>-4.3%</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7"/>
              </w:rPr>
              <w:t>-11.8%</w:t>
            </w:r>
          </w:p>
        </w:tc>
      </w:tr>
      <w:tr>
        <w:trPr>
          <w:trHeight w:val="172"/>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3"/>
                <w:szCs w:val="13"/>
                <w:b w:val="1"/>
                <w:bCs w:val="1"/>
                <w:color w:val="auto"/>
              </w:rPr>
              <w:t>Net interest, similar income and expenses</w:t>
            </w:r>
          </w:p>
        </w:tc>
        <w:tc>
          <w:tcPr>
            <w:tcW w:w="2360" w:type="dxa"/>
            <w:vAlign w:val="bottom"/>
            <w:tcBorders>
              <w:right w:val="single" w:sz="8" w:color="auto"/>
            </w:tcBorders>
          </w:tcPr>
          <w:p>
            <w:pPr>
              <w:spacing w:after="0"/>
              <w:rPr>
                <w:sz w:val="14"/>
                <w:szCs w:val="14"/>
                <w:color w:val="auto"/>
              </w:rPr>
            </w:pPr>
          </w:p>
        </w:tc>
        <w:tc>
          <w:tcPr>
            <w:tcW w:w="144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3,426,123</w:t>
            </w:r>
          </w:p>
        </w:tc>
        <w:tc>
          <w:tcPr>
            <w:tcW w:w="940" w:type="dxa"/>
            <w:vAlign w:val="bottom"/>
          </w:tcPr>
          <w:p>
            <w:pPr>
              <w:jc w:val="center"/>
              <w:ind w:left="117"/>
              <w:spacing w:after="0"/>
              <w:rPr>
                <w:sz w:val="20"/>
                <w:szCs w:val="20"/>
                <w:color w:val="auto"/>
              </w:rPr>
            </w:pPr>
            <w:r>
              <w:rPr>
                <w:rFonts w:ascii="Arial" w:cs="Arial" w:eastAsia="Arial" w:hAnsi="Arial"/>
                <w:sz w:val="13"/>
                <w:szCs w:val="13"/>
                <w:b w:val="1"/>
                <w:bCs w:val="1"/>
                <w:color w:val="auto"/>
                <w:w w:val="96"/>
              </w:rPr>
              <w:t>3,629,794</w:t>
            </w:r>
          </w:p>
        </w:tc>
        <w:tc>
          <w:tcPr>
            <w:tcW w:w="166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b w:val="1"/>
                <w:bCs w:val="1"/>
                <w:color w:val="auto"/>
                <w:w w:val="96"/>
              </w:rPr>
              <w:t>3,572,012</w:t>
            </w:r>
          </w:p>
        </w:tc>
        <w:tc>
          <w:tcPr>
            <w:tcW w:w="1220" w:type="dxa"/>
            <w:vAlign w:val="bottom"/>
          </w:tcPr>
          <w:p>
            <w:pPr>
              <w:jc w:val="center"/>
              <w:ind w:right="157"/>
              <w:spacing w:after="0"/>
              <w:rPr>
                <w:sz w:val="20"/>
                <w:szCs w:val="20"/>
                <w:color w:val="auto"/>
              </w:rPr>
            </w:pPr>
            <w:r>
              <w:rPr>
                <w:rFonts w:ascii="Arial" w:cs="Arial" w:eastAsia="Arial" w:hAnsi="Arial"/>
                <w:sz w:val="13"/>
                <w:szCs w:val="13"/>
                <w:b w:val="1"/>
                <w:bCs w:val="1"/>
                <w:color w:val="auto"/>
                <w:w w:val="94"/>
              </w:rPr>
              <w:t>-1.6%</w:t>
            </w:r>
          </w:p>
        </w:tc>
        <w:tc>
          <w:tcPr>
            <w:tcW w:w="760" w:type="dxa"/>
            <w:vAlign w:val="bottom"/>
            <w:tcBorders>
              <w:right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94"/>
              </w:rPr>
              <w:t>4.3%</w:t>
            </w:r>
          </w:p>
        </w:tc>
      </w:tr>
      <w:tr>
        <w:trPr>
          <w:trHeight w:val="233"/>
        </w:trPr>
        <w:tc>
          <w:tcPr>
            <w:tcW w:w="286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Provision for credit losses on loan portfolio</w:t>
            </w:r>
          </w:p>
        </w:tc>
        <w:tc>
          <w:tcPr>
            <w:tcW w:w="2360" w:type="dxa"/>
            <w:vAlign w:val="bottom"/>
            <w:tcBorders>
              <w:right w:val="single" w:sz="8" w:color="auto"/>
            </w:tcBorders>
          </w:tcPr>
          <w:p>
            <w:pPr>
              <w:spacing w:after="0"/>
              <w:rPr>
                <w:sz w:val="20"/>
                <w:szCs w:val="20"/>
                <w:color w:val="auto"/>
              </w:rPr>
            </w:pPr>
          </w:p>
        </w:tc>
        <w:tc>
          <w:tcPr>
            <w:tcW w:w="1440" w:type="dxa"/>
            <w:vAlign w:val="bottom"/>
          </w:tcPr>
          <w:p>
            <w:pPr>
              <w:jc w:val="center"/>
              <w:ind w:right="37"/>
              <w:spacing w:after="0"/>
              <w:rPr>
                <w:sz w:val="20"/>
                <w:szCs w:val="20"/>
                <w:color w:val="auto"/>
              </w:rPr>
            </w:pPr>
            <w:r>
              <w:rPr>
                <w:rFonts w:ascii="Arial" w:cs="Arial" w:eastAsia="Arial" w:hAnsi="Arial"/>
                <w:sz w:val="13"/>
                <w:szCs w:val="13"/>
                <w:color w:val="auto"/>
                <w:w w:val="96"/>
              </w:rPr>
              <w:t>(910,189)</w:t>
            </w:r>
          </w:p>
        </w:tc>
        <w:tc>
          <w:tcPr>
            <w:tcW w:w="940" w:type="dxa"/>
            <w:vAlign w:val="bottom"/>
          </w:tcPr>
          <w:p>
            <w:pPr>
              <w:jc w:val="center"/>
              <w:ind w:left="97"/>
              <w:spacing w:after="0"/>
              <w:rPr>
                <w:sz w:val="20"/>
                <w:szCs w:val="20"/>
                <w:color w:val="auto"/>
              </w:rPr>
            </w:pPr>
            <w:r>
              <w:rPr>
                <w:rFonts w:ascii="Arial" w:cs="Arial" w:eastAsia="Arial" w:hAnsi="Arial"/>
                <w:sz w:val="13"/>
                <w:szCs w:val="13"/>
                <w:color w:val="auto"/>
                <w:w w:val="96"/>
              </w:rPr>
              <w:t>(857,694)</w:t>
            </w:r>
          </w:p>
        </w:tc>
        <w:tc>
          <w:tcPr>
            <w:tcW w:w="1660" w:type="dxa"/>
            <w:vAlign w:val="bottom"/>
            <w:tcBorders>
              <w:right w:val="single" w:sz="8" w:color="auto"/>
            </w:tcBorders>
          </w:tcPr>
          <w:p>
            <w:pPr>
              <w:jc w:val="center"/>
              <w:ind w:left="217"/>
              <w:spacing w:after="0"/>
              <w:rPr>
                <w:sz w:val="20"/>
                <w:szCs w:val="20"/>
                <w:color w:val="auto"/>
              </w:rPr>
            </w:pPr>
            <w:r>
              <w:rPr>
                <w:rFonts w:ascii="Arial" w:cs="Arial" w:eastAsia="Arial" w:hAnsi="Arial"/>
                <w:sz w:val="13"/>
                <w:szCs w:val="13"/>
                <w:color w:val="auto"/>
                <w:w w:val="96"/>
              </w:rPr>
              <w:t>(695,733)</w:t>
            </w:r>
          </w:p>
        </w:tc>
        <w:tc>
          <w:tcPr>
            <w:tcW w:w="1220" w:type="dxa"/>
            <w:vAlign w:val="bottom"/>
          </w:tcPr>
          <w:p>
            <w:pPr>
              <w:jc w:val="center"/>
              <w:ind w:right="157"/>
              <w:spacing w:after="0"/>
              <w:rPr>
                <w:sz w:val="20"/>
                <w:szCs w:val="20"/>
                <w:color w:val="auto"/>
              </w:rPr>
            </w:pPr>
            <w:r>
              <w:rPr>
                <w:rFonts w:ascii="Arial" w:cs="Arial" w:eastAsia="Arial" w:hAnsi="Arial"/>
                <w:sz w:val="13"/>
                <w:szCs w:val="13"/>
                <w:color w:val="auto"/>
                <w:w w:val="97"/>
              </w:rPr>
              <w:t>-18.9%</w:t>
            </w:r>
          </w:p>
        </w:tc>
        <w:tc>
          <w:tcPr>
            <w:tcW w:w="760" w:type="dxa"/>
            <w:vAlign w:val="bottom"/>
            <w:tcBorders>
              <w:right w:val="single" w:sz="8" w:color="auto"/>
            </w:tcBorders>
          </w:tcPr>
          <w:p>
            <w:pPr>
              <w:jc w:val="center"/>
              <w:ind w:right="177"/>
              <w:spacing w:after="0"/>
              <w:rPr>
                <w:sz w:val="20"/>
                <w:szCs w:val="20"/>
                <w:color w:val="auto"/>
              </w:rPr>
            </w:pPr>
            <w:r>
              <w:rPr>
                <w:rFonts w:ascii="Arial" w:cs="Arial" w:eastAsia="Arial" w:hAnsi="Arial"/>
                <w:sz w:val="13"/>
                <w:szCs w:val="13"/>
                <w:color w:val="auto"/>
                <w:w w:val="97"/>
              </w:rPr>
              <w:t>-23.6%</w:t>
            </w:r>
          </w:p>
        </w:tc>
      </w:tr>
      <w:tr>
        <w:trPr>
          <w:trHeight w:val="135"/>
        </w:trPr>
        <w:tc>
          <w:tcPr>
            <w:tcW w:w="2860" w:type="dxa"/>
            <w:vAlign w:val="bottom"/>
            <w:tcBorders>
              <w:left w:val="single" w:sz="8" w:color="auto"/>
            </w:tcBorders>
          </w:tcPr>
          <w:p>
            <w:pPr>
              <w:ind w:left="20"/>
              <w:spacing w:after="0" w:line="135" w:lineRule="exact"/>
              <w:rPr>
                <w:sz w:val="20"/>
                <w:szCs w:val="20"/>
                <w:color w:val="auto"/>
              </w:rPr>
            </w:pPr>
            <w:r>
              <w:rPr>
                <w:rFonts w:ascii="Arial" w:cs="Arial" w:eastAsia="Arial" w:hAnsi="Arial"/>
                <w:sz w:val="13"/>
                <w:szCs w:val="13"/>
                <w:color w:val="auto"/>
              </w:rPr>
              <w:t>Recoveries of written-off loans</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color w:val="auto"/>
              </w:rPr>
              <w:t>95,490</w:t>
            </w:r>
          </w:p>
        </w:tc>
        <w:tc>
          <w:tcPr>
            <w:tcW w:w="94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3"/>
              </w:rPr>
              <w:t>114,398</w:t>
            </w:r>
          </w:p>
        </w:tc>
        <w:tc>
          <w:tcPr>
            <w:tcW w:w="1660" w:type="dxa"/>
            <w:vAlign w:val="bottom"/>
            <w:tcBorders>
              <w:right w:val="single" w:sz="8" w:color="auto"/>
            </w:tcBorders>
          </w:tcPr>
          <w:p>
            <w:pPr>
              <w:jc w:val="center"/>
              <w:ind w:left="197"/>
              <w:spacing w:after="0" w:line="135" w:lineRule="exact"/>
              <w:rPr>
                <w:sz w:val="20"/>
                <w:szCs w:val="20"/>
                <w:color w:val="auto"/>
              </w:rPr>
            </w:pPr>
            <w:r>
              <w:rPr>
                <w:rFonts w:ascii="Arial" w:cs="Arial" w:eastAsia="Arial" w:hAnsi="Arial"/>
                <w:sz w:val="13"/>
                <w:szCs w:val="13"/>
                <w:color w:val="auto"/>
                <w:w w:val="93"/>
              </w:rPr>
              <w:t>113,840</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4"/>
              </w:rPr>
              <w:t>-0.5%</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7"/>
              </w:rPr>
              <w:t>19.2%</w:t>
            </w:r>
          </w:p>
        </w:tc>
      </w:tr>
      <w:tr>
        <w:trPr>
          <w:trHeight w:val="172"/>
        </w:trPr>
        <w:tc>
          <w:tcPr>
            <w:tcW w:w="52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Provision for credit losses on loan portfolio, net of recoveries</w:t>
            </w:r>
          </w:p>
        </w:tc>
        <w:tc>
          <w:tcPr>
            <w:tcW w:w="144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(814,699)</w:t>
            </w:r>
          </w:p>
        </w:tc>
        <w:tc>
          <w:tcPr>
            <w:tcW w:w="940" w:type="dxa"/>
            <w:vAlign w:val="bottom"/>
          </w:tcPr>
          <w:p>
            <w:pPr>
              <w:jc w:val="center"/>
              <w:ind w:left="97"/>
              <w:spacing w:after="0"/>
              <w:rPr>
                <w:sz w:val="20"/>
                <w:szCs w:val="20"/>
                <w:color w:val="auto"/>
              </w:rPr>
            </w:pPr>
            <w:r>
              <w:rPr>
                <w:rFonts w:ascii="Arial" w:cs="Arial" w:eastAsia="Arial" w:hAnsi="Arial"/>
                <w:sz w:val="13"/>
                <w:szCs w:val="13"/>
                <w:b w:val="1"/>
                <w:bCs w:val="1"/>
                <w:color w:val="auto"/>
                <w:w w:val="96"/>
              </w:rPr>
              <w:t>(743,296)</w:t>
            </w:r>
          </w:p>
        </w:tc>
        <w:tc>
          <w:tcPr>
            <w:tcW w:w="1660" w:type="dxa"/>
            <w:vAlign w:val="bottom"/>
            <w:tcBorders>
              <w:right w:val="single" w:sz="8" w:color="auto"/>
            </w:tcBorders>
          </w:tcPr>
          <w:p>
            <w:pPr>
              <w:jc w:val="center"/>
              <w:ind w:left="217"/>
              <w:spacing w:after="0"/>
              <w:rPr>
                <w:sz w:val="20"/>
                <w:szCs w:val="20"/>
                <w:color w:val="auto"/>
              </w:rPr>
            </w:pPr>
            <w:r>
              <w:rPr>
                <w:rFonts w:ascii="Arial" w:cs="Arial" w:eastAsia="Arial" w:hAnsi="Arial"/>
                <w:sz w:val="13"/>
                <w:szCs w:val="13"/>
                <w:b w:val="1"/>
                <w:bCs w:val="1"/>
                <w:color w:val="auto"/>
                <w:w w:val="96"/>
              </w:rPr>
              <w:t>(581,893)</w:t>
            </w:r>
          </w:p>
        </w:tc>
        <w:tc>
          <w:tcPr>
            <w:tcW w:w="1220" w:type="dxa"/>
            <w:vAlign w:val="bottom"/>
          </w:tcPr>
          <w:p>
            <w:pPr>
              <w:jc w:val="center"/>
              <w:ind w:right="157"/>
              <w:spacing w:after="0"/>
              <w:rPr>
                <w:sz w:val="20"/>
                <w:szCs w:val="20"/>
                <w:color w:val="auto"/>
              </w:rPr>
            </w:pPr>
            <w:r>
              <w:rPr>
                <w:rFonts w:ascii="Arial" w:cs="Arial" w:eastAsia="Arial" w:hAnsi="Arial"/>
                <w:sz w:val="13"/>
                <w:szCs w:val="13"/>
                <w:b w:val="1"/>
                <w:bCs w:val="1"/>
                <w:color w:val="auto"/>
                <w:w w:val="97"/>
              </w:rPr>
              <w:t>-21.7%</w:t>
            </w:r>
          </w:p>
        </w:tc>
        <w:tc>
          <w:tcPr>
            <w:tcW w:w="760" w:type="dxa"/>
            <w:vAlign w:val="bottom"/>
            <w:tcBorders>
              <w:right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97"/>
              </w:rPr>
              <w:t>-28.6%</w:t>
            </w:r>
          </w:p>
        </w:tc>
      </w:tr>
      <w:tr>
        <w:trPr>
          <w:trHeight w:val="233"/>
        </w:trPr>
        <w:tc>
          <w:tcPr>
            <w:tcW w:w="52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Net interest, similar income and expenses, after provision for credit losses on loan</w:t>
            </w:r>
          </w:p>
        </w:tc>
        <w:tc>
          <w:tcPr>
            <w:tcW w:w="144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2,611,424</w:t>
            </w:r>
          </w:p>
        </w:tc>
        <w:tc>
          <w:tcPr>
            <w:tcW w:w="940" w:type="dxa"/>
            <w:vAlign w:val="bottom"/>
          </w:tcPr>
          <w:p>
            <w:pPr>
              <w:jc w:val="center"/>
              <w:ind w:left="117"/>
              <w:spacing w:after="0"/>
              <w:rPr>
                <w:sz w:val="20"/>
                <w:szCs w:val="20"/>
                <w:color w:val="auto"/>
              </w:rPr>
            </w:pPr>
            <w:r>
              <w:rPr>
                <w:rFonts w:ascii="Arial" w:cs="Arial" w:eastAsia="Arial" w:hAnsi="Arial"/>
                <w:sz w:val="13"/>
                <w:szCs w:val="13"/>
                <w:b w:val="1"/>
                <w:bCs w:val="1"/>
                <w:color w:val="auto"/>
                <w:w w:val="96"/>
              </w:rPr>
              <w:t>2,886,498</w:t>
            </w:r>
          </w:p>
        </w:tc>
        <w:tc>
          <w:tcPr>
            <w:tcW w:w="1660" w:type="dxa"/>
            <w:vAlign w:val="bottom"/>
            <w:tcBorders>
              <w:right w:val="single" w:sz="8" w:color="auto"/>
            </w:tcBorders>
          </w:tcPr>
          <w:p>
            <w:pPr>
              <w:jc w:val="center"/>
              <w:ind w:left="217"/>
              <w:spacing w:after="0"/>
              <w:rPr>
                <w:sz w:val="20"/>
                <w:szCs w:val="20"/>
                <w:color w:val="auto"/>
              </w:rPr>
            </w:pPr>
            <w:r>
              <w:rPr>
                <w:rFonts w:ascii="Arial" w:cs="Arial" w:eastAsia="Arial" w:hAnsi="Arial"/>
                <w:sz w:val="13"/>
                <w:szCs w:val="13"/>
                <w:b w:val="1"/>
                <w:bCs w:val="1"/>
                <w:color w:val="auto"/>
                <w:w w:val="93"/>
              </w:rPr>
              <w:t>2,990,119</w:t>
            </w:r>
          </w:p>
        </w:tc>
        <w:tc>
          <w:tcPr>
            <w:tcW w:w="1220" w:type="dxa"/>
            <w:vAlign w:val="bottom"/>
          </w:tcPr>
          <w:p>
            <w:pPr>
              <w:jc w:val="center"/>
              <w:ind w:right="157"/>
              <w:spacing w:after="0"/>
              <w:rPr>
                <w:sz w:val="20"/>
                <w:szCs w:val="20"/>
                <w:color w:val="auto"/>
              </w:rPr>
            </w:pPr>
            <w:r>
              <w:rPr>
                <w:rFonts w:ascii="Arial" w:cs="Arial" w:eastAsia="Arial" w:hAnsi="Arial"/>
                <w:sz w:val="13"/>
                <w:szCs w:val="13"/>
                <w:b w:val="1"/>
                <w:bCs w:val="1"/>
                <w:color w:val="auto"/>
                <w:w w:val="94"/>
              </w:rPr>
              <w:t>3.6%</w:t>
            </w:r>
          </w:p>
        </w:tc>
        <w:tc>
          <w:tcPr>
            <w:tcW w:w="760" w:type="dxa"/>
            <w:vAlign w:val="bottom"/>
            <w:tcBorders>
              <w:right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97"/>
              </w:rPr>
              <w:t>14.5%</w:t>
            </w:r>
          </w:p>
        </w:tc>
      </w:tr>
      <w:tr>
        <w:trPr>
          <w:trHeight w:val="172"/>
        </w:trPr>
        <w:tc>
          <w:tcPr>
            <w:tcW w:w="2860" w:type="dxa"/>
            <w:vAlign w:val="bottom"/>
            <w:tcBorders>
              <w:left w:val="single" w:sz="8" w:color="auto"/>
            </w:tcBorders>
          </w:tcPr>
          <w:p>
            <w:pPr>
              <w:ind w:left="20"/>
              <w:spacing w:after="0"/>
              <w:rPr>
                <w:sz w:val="20"/>
                <w:szCs w:val="20"/>
                <w:color w:val="auto"/>
              </w:rPr>
            </w:pPr>
            <w:r>
              <w:rPr>
                <w:rFonts w:ascii="Arial" w:cs="Arial" w:eastAsia="Arial" w:hAnsi="Arial"/>
                <w:sz w:val="13"/>
                <w:szCs w:val="13"/>
                <w:b w:val="1"/>
                <w:bCs w:val="1"/>
                <w:color w:val="auto"/>
              </w:rPr>
              <w:t>portfolio</w:t>
            </w:r>
          </w:p>
        </w:tc>
        <w:tc>
          <w:tcPr>
            <w:tcW w:w="2360" w:type="dxa"/>
            <w:vAlign w:val="bottom"/>
            <w:tcBorders>
              <w:right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r>
      <w:tr>
        <w:trPr>
          <w:trHeight w:val="233"/>
        </w:trPr>
        <w:tc>
          <w:tcPr>
            <w:tcW w:w="2860" w:type="dxa"/>
            <w:vAlign w:val="bottom"/>
            <w:tcBorders>
              <w:left w:val="single" w:sz="8" w:color="auto"/>
            </w:tcBorders>
          </w:tcPr>
          <w:p>
            <w:pPr>
              <w:ind w:left="20"/>
              <w:spacing w:after="0"/>
              <w:rPr>
                <w:sz w:val="20"/>
                <w:szCs w:val="20"/>
                <w:color w:val="auto"/>
              </w:rPr>
            </w:pPr>
            <w:r>
              <w:rPr>
                <w:rFonts w:ascii="Arial" w:cs="Arial" w:eastAsia="Arial" w:hAnsi="Arial"/>
                <w:sz w:val="13"/>
                <w:szCs w:val="13"/>
                <w:b w:val="1"/>
                <w:bCs w:val="1"/>
                <w:color w:val="auto"/>
              </w:rPr>
              <w:t>Other income</w:t>
            </w:r>
          </w:p>
        </w:tc>
        <w:tc>
          <w:tcPr>
            <w:tcW w:w="2360" w:type="dxa"/>
            <w:vAlign w:val="bottom"/>
            <w:tcBorders>
              <w:righ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Fee income</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3"/>
              </w:rPr>
              <w:t>856,565</w:t>
            </w:r>
          </w:p>
        </w:tc>
        <w:tc>
          <w:tcPr>
            <w:tcW w:w="94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7"/>
              </w:rPr>
              <w:t>973,338</w:t>
            </w:r>
          </w:p>
        </w:tc>
        <w:tc>
          <w:tcPr>
            <w:tcW w:w="1660" w:type="dxa"/>
            <w:vAlign w:val="bottom"/>
            <w:tcBorders>
              <w:right w:val="single" w:sz="8" w:color="auto"/>
            </w:tcBorders>
          </w:tcPr>
          <w:p>
            <w:pPr>
              <w:jc w:val="center"/>
              <w:ind w:left="217"/>
              <w:spacing w:after="0" w:line="135" w:lineRule="exact"/>
              <w:rPr>
                <w:sz w:val="20"/>
                <w:szCs w:val="20"/>
                <w:color w:val="auto"/>
              </w:rPr>
            </w:pPr>
            <w:r>
              <w:rPr>
                <w:rFonts w:ascii="Arial" w:cs="Arial" w:eastAsia="Arial" w:hAnsi="Arial"/>
                <w:sz w:val="13"/>
                <w:szCs w:val="13"/>
                <w:color w:val="auto"/>
                <w:w w:val="97"/>
              </w:rPr>
              <w:t>994,024</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4"/>
              </w:rPr>
              <w:t>2.1%</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7"/>
              </w:rPr>
              <w:t>16.0%</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Net gain on foreign exchange transactions</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3"/>
              </w:rPr>
              <w:t>305,370</w:t>
            </w:r>
          </w:p>
        </w:tc>
        <w:tc>
          <w:tcPr>
            <w:tcW w:w="94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7"/>
              </w:rPr>
              <w:t>385,230</w:t>
            </w:r>
          </w:p>
        </w:tc>
        <w:tc>
          <w:tcPr>
            <w:tcW w:w="1660" w:type="dxa"/>
            <w:vAlign w:val="bottom"/>
            <w:tcBorders>
              <w:right w:val="single" w:sz="8" w:color="auto"/>
            </w:tcBorders>
          </w:tcPr>
          <w:p>
            <w:pPr>
              <w:jc w:val="center"/>
              <w:ind w:left="217"/>
              <w:spacing w:after="0" w:line="135" w:lineRule="exact"/>
              <w:rPr>
                <w:sz w:val="20"/>
                <w:szCs w:val="20"/>
                <w:color w:val="auto"/>
              </w:rPr>
            </w:pPr>
            <w:r>
              <w:rPr>
                <w:rFonts w:ascii="Arial" w:cs="Arial" w:eastAsia="Arial" w:hAnsi="Arial"/>
                <w:sz w:val="13"/>
                <w:szCs w:val="13"/>
                <w:color w:val="auto"/>
                <w:w w:val="97"/>
              </w:rPr>
              <w:t>343,814</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7"/>
              </w:rPr>
              <w:t>-10.8%</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7"/>
              </w:rPr>
              <w:t>12.6%</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Net loss on securities</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color w:val="auto"/>
              </w:rPr>
              <w:t>61,745</w:t>
            </w:r>
          </w:p>
        </w:tc>
        <w:tc>
          <w:tcPr>
            <w:tcW w:w="94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9"/>
              </w:rPr>
              <w:t>(47,377)</w:t>
            </w:r>
          </w:p>
        </w:tc>
        <w:tc>
          <w:tcPr>
            <w:tcW w:w="1660" w:type="dxa"/>
            <w:vAlign w:val="bottom"/>
            <w:tcBorders>
              <w:right w:val="single" w:sz="8" w:color="auto"/>
            </w:tcBorders>
          </w:tcPr>
          <w:p>
            <w:pPr>
              <w:jc w:val="center"/>
              <w:ind w:left="217"/>
              <w:spacing w:after="0" w:line="135" w:lineRule="exact"/>
              <w:rPr>
                <w:sz w:val="20"/>
                <w:szCs w:val="20"/>
                <w:color w:val="auto"/>
              </w:rPr>
            </w:pPr>
            <w:r>
              <w:rPr>
                <w:rFonts w:ascii="Arial" w:cs="Arial" w:eastAsia="Arial" w:hAnsi="Arial"/>
                <w:sz w:val="13"/>
                <w:szCs w:val="13"/>
                <w:color w:val="auto"/>
                <w:w w:val="94"/>
              </w:rPr>
              <w:t>(28,149)</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7"/>
              </w:rPr>
              <w:t>-40.6%</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9"/>
              </w:rPr>
              <w:t>-145.6%</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Net gain from associates</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color w:val="auto"/>
              </w:rPr>
              <w:t>32,295</w:t>
            </w:r>
          </w:p>
        </w:tc>
        <w:tc>
          <w:tcPr>
            <w:tcW w:w="94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5"/>
              </w:rPr>
              <w:t>38,560</w:t>
            </w:r>
          </w:p>
        </w:tc>
        <w:tc>
          <w:tcPr>
            <w:tcW w:w="1660" w:type="dxa"/>
            <w:vAlign w:val="bottom"/>
            <w:tcBorders>
              <w:right w:val="single" w:sz="8" w:color="auto"/>
            </w:tcBorders>
          </w:tcPr>
          <w:p>
            <w:pPr>
              <w:jc w:val="center"/>
              <w:ind w:left="217"/>
              <w:spacing w:after="0" w:line="135" w:lineRule="exact"/>
              <w:rPr>
                <w:sz w:val="20"/>
                <w:szCs w:val="20"/>
                <w:color w:val="auto"/>
              </w:rPr>
            </w:pPr>
            <w:r>
              <w:rPr>
                <w:rFonts w:ascii="Arial" w:cs="Arial" w:eastAsia="Arial" w:hAnsi="Arial"/>
                <w:sz w:val="13"/>
                <w:szCs w:val="13"/>
                <w:color w:val="auto"/>
                <w:w w:val="95"/>
              </w:rPr>
              <w:t>24,068</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7"/>
              </w:rPr>
              <w:t>-37.6%</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7"/>
              </w:rPr>
              <w:t>-25.5%</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Net gain (loss) on derivatives held for trading</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color w:val="auto"/>
              </w:rPr>
              <w:t>39,984</w:t>
            </w:r>
          </w:p>
        </w:tc>
        <w:tc>
          <w:tcPr>
            <w:tcW w:w="94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5"/>
              </w:rPr>
              <w:t>77,962</w:t>
            </w:r>
          </w:p>
        </w:tc>
        <w:tc>
          <w:tcPr>
            <w:tcW w:w="1660" w:type="dxa"/>
            <w:vAlign w:val="bottom"/>
            <w:tcBorders>
              <w:right w:val="single" w:sz="8" w:color="auto"/>
            </w:tcBorders>
          </w:tcPr>
          <w:p>
            <w:pPr>
              <w:jc w:val="center"/>
              <w:ind w:left="217"/>
              <w:spacing w:after="0" w:line="135" w:lineRule="exact"/>
              <w:rPr>
                <w:sz w:val="20"/>
                <w:szCs w:val="20"/>
                <w:color w:val="auto"/>
              </w:rPr>
            </w:pPr>
            <w:r>
              <w:rPr>
                <w:rFonts w:ascii="Arial" w:cs="Arial" w:eastAsia="Arial" w:hAnsi="Arial"/>
                <w:sz w:val="13"/>
                <w:szCs w:val="13"/>
                <w:color w:val="auto"/>
                <w:w w:val="95"/>
              </w:rPr>
              <w:t>18,499</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7"/>
              </w:rPr>
              <w:t>-76.3%</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7"/>
              </w:rPr>
              <w:t>-53.7%</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Net gain (loss) from exchange differences</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7"/>
              </w:rPr>
              <w:t>(5,621)</w:t>
            </w:r>
          </w:p>
        </w:tc>
        <w:tc>
          <w:tcPr>
            <w:tcW w:w="94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9"/>
              </w:rPr>
              <w:t>(21,365)</w:t>
            </w:r>
          </w:p>
        </w:tc>
        <w:tc>
          <w:tcPr>
            <w:tcW w:w="1660" w:type="dxa"/>
            <w:vAlign w:val="bottom"/>
            <w:tcBorders>
              <w:right w:val="single" w:sz="8" w:color="auto"/>
            </w:tcBorders>
          </w:tcPr>
          <w:p>
            <w:pPr>
              <w:jc w:val="center"/>
              <w:ind w:left="217"/>
              <w:spacing w:after="0" w:line="135" w:lineRule="exact"/>
              <w:rPr>
                <w:sz w:val="20"/>
                <w:szCs w:val="20"/>
                <w:color w:val="auto"/>
              </w:rPr>
            </w:pPr>
            <w:r>
              <w:rPr>
                <w:rFonts w:ascii="Arial" w:cs="Arial" w:eastAsia="Arial" w:hAnsi="Arial"/>
                <w:sz w:val="13"/>
                <w:szCs w:val="13"/>
                <w:color w:val="auto"/>
                <w:w w:val="95"/>
              </w:rPr>
              <w:t>15,959</w:t>
            </w:r>
          </w:p>
        </w:tc>
        <w:tc>
          <w:tcPr>
            <w:tcW w:w="1220" w:type="dxa"/>
            <w:vAlign w:val="bottom"/>
          </w:tcPr>
          <w:p>
            <w:pPr>
              <w:jc w:val="center"/>
              <w:ind w:right="177"/>
              <w:spacing w:after="0" w:line="135" w:lineRule="exact"/>
              <w:rPr>
                <w:sz w:val="20"/>
                <w:szCs w:val="20"/>
                <w:color w:val="auto"/>
              </w:rPr>
            </w:pPr>
            <w:r>
              <w:rPr>
                <w:rFonts w:ascii="Arial" w:cs="Arial" w:eastAsia="Arial" w:hAnsi="Arial"/>
                <w:sz w:val="13"/>
                <w:szCs w:val="13"/>
                <w:color w:val="auto"/>
                <w:w w:val="94"/>
              </w:rPr>
              <w:t>-174.7%</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9"/>
              </w:rPr>
              <w:t>-383.9%</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Others</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3"/>
              </w:rPr>
              <w:t>102,221</w:t>
            </w:r>
          </w:p>
        </w:tc>
        <w:tc>
          <w:tcPr>
            <w:tcW w:w="94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7"/>
              </w:rPr>
              <w:t>176,384</w:t>
            </w:r>
          </w:p>
        </w:tc>
        <w:tc>
          <w:tcPr>
            <w:tcW w:w="1660" w:type="dxa"/>
            <w:vAlign w:val="bottom"/>
            <w:tcBorders>
              <w:right w:val="single" w:sz="8" w:color="auto"/>
            </w:tcBorders>
          </w:tcPr>
          <w:p>
            <w:pPr>
              <w:jc w:val="center"/>
              <w:ind w:left="217"/>
              <w:spacing w:after="0" w:line="135" w:lineRule="exact"/>
              <w:rPr>
                <w:sz w:val="20"/>
                <w:szCs w:val="20"/>
                <w:color w:val="auto"/>
              </w:rPr>
            </w:pPr>
            <w:r>
              <w:rPr>
                <w:rFonts w:ascii="Arial" w:cs="Arial" w:eastAsia="Arial" w:hAnsi="Arial"/>
                <w:sz w:val="13"/>
                <w:szCs w:val="13"/>
                <w:color w:val="auto"/>
                <w:w w:val="97"/>
              </w:rPr>
              <w:t>322,001</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7"/>
              </w:rPr>
              <w:t>82.6%</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9"/>
              </w:rPr>
              <w:t>215.0%</w:t>
            </w:r>
          </w:p>
        </w:tc>
      </w:tr>
      <w:tr>
        <w:trPr>
          <w:trHeight w:val="172"/>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3"/>
                <w:szCs w:val="13"/>
                <w:b w:val="1"/>
                <w:bCs w:val="1"/>
                <w:color w:val="auto"/>
              </w:rPr>
              <w:t>Total other income</w:t>
            </w:r>
          </w:p>
        </w:tc>
        <w:tc>
          <w:tcPr>
            <w:tcW w:w="2360" w:type="dxa"/>
            <w:vAlign w:val="bottom"/>
            <w:tcBorders>
              <w:right w:val="single" w:sz="8" w:color="auto"/>
            </w:tcBorders>
          </w:tcPr>
          <w:p>
            <w:pPr>
              <w:spacing w:after="0"/>
              <w:rPr>
                <w:sz w:val="14"/>
                <w:szCs w:val="14"/>
                <w:color w:val="auto"/>
              </w:rPr>
            </w:pPr>
          </w:p>
        </w:tc>
        <w:tc>
          <w:tcPr>
            <w:tcW w:w="144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1,392,559</w:t>
            </w:r>
          </w:p>
        </w:tc>
        <w:tc>
          <w:tcPr>
            <w:tcW w:w="940" w:type="dxa"/>
            <w:vAlign w:val="bottom"/>
          </w:tcPr>
          <w:p>
            <w:pPr>
              <w:jc w:val="center"/>
              <w:ind w:left="117"/>
              <w:spacing w:after="0"/>
              <w:rPr>
                <w:sz w:val="20"/>
                <w:szCs w:val="20"/>
                <w:color w:val="auto"/>
              </w:rPr>
            </w:pPr>
            <w:r>
              <w:rPr>
                <w:rFonts w:ascii="Arial" w:cs="Arial" w:eastAsia="Arial" w:hAnsi="Arial"/>
                <w:sz w:val="13"/>
                <w:szCs w:val="13"/>
                <w:b w:val="1"/>
                <w:bCs w:val="1"/>
                <w:color w:val="auto"/>
                <w:w w:val="96"/>
              </w:rPr>
              <w:t>1,582,732</w:t>
            </w:r>
          </w:p>
        </w:tc>
        <w:tc>
          <w:tcPr>
            <w:tcW w:w="166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b w:val="1"/>
                <w:bCs w:val="1"/>
                <w:color w:val="auto"/>
                <w:w w:val="96"/>
              </w:rPr>
              <w:t>1,690,216</w:t>
            </w:r>
          </w:p>
        </w:tc>
        <w:tc>
          <w:tcPr>
            <w:tcW w:w="1220" w:type="dxa"/>
            <w:vAlign w:val="bottom"/>
          </w:tcPr>
          <w:p>
            <w:pPr>
              <w:jc w:val="center"/>
              <w:ind w:right="157"/>
              <w:spacing w:after="0"/>
              <w:rPr>
                <w:sz w:val="20"/>
                <w:szCs w:val="20"/>
                <w:color w:val="auto"/>
              </w:rPr>
            </w:pPr>
            <w:r>
              <w:rPr>
                <w:rFonts w:ascii="Arial" w:cs="Arial" w:eastAsia="Arial" w:hAnsi="Arial"/>
                <w:sz w:val="13"/>
                <w:szCs w:val="13"/>
                <w:b w:val="1"/>
                <w:bCs w:val="1"/>
                <w:color w:val="auto"/>
                <w:w w:val="94"/>
              </w:rPr>
              <w:t>6.8%</w:t>
            </w:r>
          </w:p>
        </w:tc>
        <w:tc>
          <w:tcPr>
            <w:tcW w:w="760" w:type="dxa"/>
            <w:vAlign w:val="bottom"/>
            <w:tcBorders>
              <w:right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97"/>
              </w:rPr>
              <w:t>21.4%</w:t>
            </w:r>
          </w:p>
        </w:tc>
      </w:tr>
      <w:tr>
        <w:trPr>
          <w:trHeight w:val="233"/>
        </w:trPr>
        <w:tc>
          <w:tcPr>
            <w:tcW w:w="2860" w:type="dxa"/>
            <w:vAlign w:val="bottom"/>
            <w:tcBorders>
              <w:left w:val="single" w:sz="8" w:color="auto"/>
            </w:tcBorders>
          </w:tcPr>
          <w:p>
            <w:pPr>
              <w:ind w:left="20"/>
              <w:spacing w:after="0"/>
              <w:rPr>
                <w:sz w:val="20"/>
                <w:szCs w:val="20"/>
                <w:color w:val="auto"/>
              </w:rPr>
            </w:pPr>
            <w:r>
              <w:rPr>
                <w:rFonts w:ascii="Arial" w:cs="Arial" w:eastAsia="Arial" w:hAnsi="Arial"/>
                <w:sz w:val="13"/>
                <w:szCs w:val="13"/>
                <w:b w:val="1"/>
                <w:bCs w:val="1"/>
                <w:color w:val="auto"/>
              </w:rPr>
              <w:t>Insurance underwriting result</w:t>
            </w:r>
          </w:p>
        </w:tc>
        <w:tc>
          <w:tcPr>
            <w:tcW w:w="2360" w:type="dxa"/>
            <w:vAlign w:val="bottom"/>
            <w:tcBorders>
              <w:right w:val="single" w:sz="8" w:color="auto"/>
            </w:tcBorders>
          </w:tcPr>
          <w:p>
            <w:pPr>
              <w:spacing w:after="0"/>
              <w:rPr>
                <w:sz w:val="20"/>
                <w:szCs w:val="20"/>
                <w:color w:val="auto"/>
              </w:rPr>
            </w:pPr>
          </w:p>
        </w:tc>
        <w:tc>
          <w:tcPr>
            <w:tcW w:w="1440" w:type="dxa"/>
            <w:vAlign w:val="bottom"/>
          </w:tcPr>
          <w:p>
            <w:pPr>
              <w:jc w:val="center"/>
              <w:ind w:right="57"/>
              <w:spacing w:after="0"/>
              <w:rPr>
                <w:sz w:val="20"/>
                <w:szCs w:val="20"/>
                <w:color w:val="auto"/>
              </w:rPr>
            </w:pPr>
            <w:r>
              <w:rPr>
                <w:rFonts w:ascii="Arial" w:cs="Arial" w:eastAsia="Arial" w:hAnsi="Arial"/>
                <w:sz w:val="13"/>
                <w:szCs w:val="13"/>
                <w:color w:val="auto"/>
                <w:w w:val="93"/>
              </w:rPr>
              <w:t>458,997</w:t>
            </w:r>
          </w:p>
        </w:tc>
        <w:tc>
          <w:tcPr>
            <w:tcW w:w="940" w:type="dxa"/>
            <w:vAlign w:val="bottom"/>
          </w:tcPr>
          <w:p>
            <w:pPr>
              <w:jc w:val="center"/>
              <w:ind w:left="97"/>
              <w:spacing w:after="0"/>
              <w:rPr>
                <w:sz w:val="20"/>
                <w:szCs w:val="20"/>
                <w:color w:val="auto"/>
              </w:rPr>
            </w:pPr>
            <w:r>
              <w:rPr>
                <w:rFonts w:ascii="Arial" w:cs="Arial" w:eastAsia="Arial" w:hAnsi="Arial"/>
                <w:sz w:val="13"/>
                <w:szCs w:val="13"/>
                <w:color w:val="auto"/>
                <w:w w:val="97"/>
              </w:rPr>
              <w:t>407,149</w:t>
            </w:r>
          </w:p>
        </w:tc>
        <w:tc>
          <w:tcPr>
            <w:tcW w:w="1660" w:type="dxa"/>
            <w:vAlign w:val="bottom"/>
            <w:tcBorders>
              <w:right w:val="single" w:sz="8" w:color="auto"/>
            </w:tcBorders>
          </w:tcPr>
          <w:p>
            <w:pPr>
              <w:jc w:val="center"/>
              <w:ind w:left="217"/>
              <w:spacing w:after="0"/>
              <w:rPr>
                <w:sz w:val="20"/>
                <w:szCs w:val="20"/>
                <w:color w:val="auto"/>
              </w:rPr>
            </w:pPr>
            <w:r>
              <w:rPr>
                <w:rFonts w:ascii="Arial" w:cs="Arial" w:eastAsia="Arial" w:hAnsi="Arial"/>
                <w:sz w:val="13"/>
                <w:szCs w:val="13"/>
                <w:color w:val="auto"/>
                <w:w w:val="97"/>
              </w:rPr>
              <w:t>416,106</w:t>
            </w:r>
          </w:p>
        </w:tc>
        <w:tc>
          <w:tcPr>
            <w:tcW w:w="1220" w:type="dxa"/>
            <w:vAlign w:val="bottom"/>
          </w:tcPr>
          <w:p>
            <w:pPr>
              <w:jc w:val="center"/>
              <w:ind w:right="157"/>
              <w:spacing w:after="0"/>
              <w:rPr>
                <w:sz w:val="20"/>
                <w:szCs w:val="20"/>
                <w:color w:val="auto"/>
              </w:rPr>
            </w:pPr>
            <w:r>
              <w:rPr>
                <w:rFonts w:ascii="Arial" w:cs="Arial" w:eastAsia="Arial" w:hAnsi="Arial"/>
                <w:sz w:val="13"/>
                <w:szCs w:val="13"/>
                <w:color w:val="auto"/>
                <w:w w:val="94"/>
              </w:rPr>
              <w:t>2.2%</w:t>
            </w:r>
          </w:p>
        </w:tc>
        <w:tc>
          <w:tcPr>
            <w:tcW w:w="760" w:type="dxa"/>
            <w:vAlign w:val="bottom"/>
            <w:tcBorders>
              <w:right w:val="single" w:sz="8" w:color="auto"/>
            </w:tcBorders>
          </w:tcPr>
          <w:p>
            <w:pPr>
              <w:jc w:val="center"/>
              <w:ind w:right="177"/>
              <w:spacing w:after="0"/>
              <w:rPr>
                <w:sz w:val="20"/>
                <w:szCs w:val="20"/>
                <w:color w:val="auto"/>
              </w:rPr>
            </w:pPr>
            <w:r>
              <w:rPr>
                <w:rFonts w:ascii="Arial" w:cs="Arial" w:eastAsia="Arial" w:hAnsi="Arial"/>
                <w:sz w:val="13"/>
                <w:szCs w:val="13"/>
                <w:color w:val="auto"/>
                <w:w w:val="94"/>
              </w:rPr>
              <w:t>-9.3%</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Insurance Service Result</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6"/>
              </w:rPr>
              <w:t>(179,935)</w:t>
            </w:r>
          </w:p>
        </w:tc>
        <w:tc>
          <w:tcPr>
            <w:tcW w:w="94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9"/>
              </w:rPr>
              <w:t>(94,466)</w:t>
            </w:r>
          </w:p>
        </w:tc>
        <w:tc>
          <w:tcPr>
            <w:tcW w:w="1660" w:type="dxa"/>
            <w:vAlign w:val="bottom"/>
            <w:tcBorders>
              <w:right w:val="single" w:sz="8" w:color="auto"/>
            </w:tcBorders>
          </w:tcPr>
          <w:p>
            <w:pPr>
              <w:jc w:val="center"/>
              <w:ind w:left="217"/>
              <w:spacing w:after="0" w:line="135" w:lineRule="exact"/>
              <w:rPr>
                <w:sz w:val="20"/>
                <w:szCs w:val="20"/>
                <w:color w:val="auto"/>
              </w:rPr>
            </w:pPr>
            <w:r>
              <w:rPr>
                <w:rFonts w:ascii="Arial" w:cs="Arial" w:eastAsia="Arial" w:hAnsi="Arial"/>
                <w:sz w:val="13"/>
                <w:szCs w:val="13"/>
                <w:color w:val="auto"/>
                <w:w w:val="94"/>
              </w:rPr>
              <w:t>(86,972)</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4"/>
              </w:rPr>
              <w:t>-7.9%</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7"/>
              </w:rPr>
              <w:t>-51.7%</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Reinsurance Result</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3"/>
              </w:rPr>
              <w:t>279,062</w:t>
            </w:r>
          </w:p>
        </w:tc>
        <w:tc>
          <w:tcPr>
            <w:tcW w:w="940" w:type="dxa"/>
            <w:vAlign w:val="bottom"/>
          </w:tcPr>
          <w:p>
            <w:pPr>
              <w:jc w:val="center"/>
              <w:ind w:left="97"/>
              <w:spacing w:after="0" w:line="135" w:lineRule="exact"/>
              <w:rPr>
                <w:sz w:val="20"/>
                <w:szCs w:val="20"/>
                <w:color w:val="auto"/>
              </w:rPr>
            </w:pPr>
            <w:r>
              <w:rPr>
                <w:rFonts w:ascii="Arial" w:cs="Arial" w:eastAsia="Arial" w:hAnsi="Arial"/>
                <w:sz w:val="13"/>
                <w:szCs w:val="13"/>
                <w:b w:val="1"/>
                <w:bCs w:val="1"/>
                <w:color w:val="auto"/>
                <w:w w:val="97"/>
              </w:rPr>
              <w:t>312,683</w:t>
            </w:r>
          </w:p>
        </w:tc>
        <w:tc>
          <w:tcPr>
            <w:tcW w:w="1660" w:type="dxa"/>
            <w:vAlign w:val="bottom"/>
            <w:tcBorders>
              <w:right w:val="single" w:sz="8" w:color="auto"/>
            </w:tcBorders>
          </w:tcPr>
          <w:p>
            <w:pPr>
              <w:jc w:val="center"/>
              <w:ind w:left="217"/>
              <w:spacing w:after="0" w:line="135" w:lineRule="exact"/>
              <w:rPr>
                <w:sz w:val="20"/>
                <w:szCs w:val="20"/>
                <w:color w:val="auto"/>
              </w:rPr>
            </w:pPr>
            <w:r>
              <w:rPr>
                <w:rFonts w:ascii="Arial" w:cs="Arial" w:eastAsia="Arial" w:hAnsi="Arial"/>
                <w:sz w:val="13"/>
                <w:szCs w:val="13"/>
                <w:b w:val="1"/>
                <w:bCs w:val="1"/>
                <w:color w:val="auto"/>
                <w:w w:val="97"/>
              </w:rPr>
              <w:t>329,134</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94"/>
              </w:rPr>
              <w:t>5.3%</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b w:val="1"/>
                <w:bCs w:val="1"/>
                <w:color w:val="auto"/>
                <w:w w:val="97"/>
              </w:rPr>
              <w:t>17.9%</w:t>
            </w:r>
          </w:p>
        </w:tc>
      </w:tr>
      <w:tr>
        <w:trPr>
          <w:trHeight w:val="172"/>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3"/>
                <w:szCs w:val="13"/>
                <w:b w:val="1"/>
                <w:bCs w:val="1"/>
                <w:color w:val="auto"/>
              </w:rPr>
              <w:t>Total insurance underwriting result</w:t>
            </w:r>
          </w:p>
        </w:tc>
        <w:tc>
          <w:tcPr>
            <w:tcW w:w="2360" w:type="dxa"/>
            <w:vAlign w:val="bottom"/>
            <w:tcBorders>
              <w:right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r>
      <w:tr>
        <w:trPr>
          <w:trHeight w:val="233"/>
        </w:trPr>
        <w:tc>
          <w:tcPr>
            <w:tcW w:w="2860" w:type="dxa"/>
            <w:vAlign w:val="bottom"/>
            <w:tcBorders>
              <w:left w:val="single" w:sz="8" w:color="auto"/>
            </w:tcBorders>
          </w:tcPr>
          <w:p>
            <w:pPr>
              <w:ind w:left="20"/>
              <w:spacing w:after="0"/>
              <w:rPr>
                <w:sz w:val="20"/>
                <w:szCs w:val="20"/>
                <w:color w:val="auto"/>
              </w:rPr>
            </w:pPr>
            <w:r>
              <w:rPr>
                <w:rFonts w:ascii="Arial" w:cs="Arial" w:eastAsia="Arial" w:hAnsi="Arial"/>
                <w:sz w:val="13"/>
                <w:szCs w:val="13"/>
                <w:b w:val="1"/>
                <w:bCs w:val="1"/>
                <w:color w:val="auto"/>
              </w:rPr>
              <w:t>Medical services result</w:t>
            </w:r>
          </w:p>
        </w:tc>
        <w:tc>
          <w:tcPr>
            <w:tcW w:w="2360" w:type="dxa"/>
            <w:vAlign w:val="bottom"/>
            <w:tcBorders>
              <w:right w:val="single" w:sz="8" w:color="auto"/>
            </w:tcBorders>
          </w:tcPr>
          <w:p>
            <w:pPr>
              <w:spacing w:after="0"/>
              <w:rPr>
                <w:sz w:val="20"/>
                <w:szCs w:val="20"/>
                <w:color w:val="auto"/>
              </w:rPr>
            </w:pPr>
          </w:p>
        </w:tc>
        <w:tc>
          <w:tcPr>
            <w:tcW w:w="1440" w:type="dxa"/>
            <w:vAlign w:val="bottom"/>
          </w:tcPr>
          <w:p>
            <w:pPr>
              <w:jc w:val="center"/>
              <w:ind w:right="57"/>
              <w:spacing w:after="0"/>
              <w:rPr>
                <w:sz w:val="20"/>
                <w:szCs w:val="20"/>
                <w:color w:val="auto"/>
              </w:rPr>
            </w:pPr>
            <w:r>
              <w:rPr>
                <w:rFonts w:ascii="Arial" w:cs="Arial" w:eastAsia="Arial" w:hAnsi="Arial"/>
                <w:sz w:val="13"/>
                <w:szCs w:val="13"/>
                <w:color w:val="auto"/>
              </w:rPr>
              <w:t>0</w:t>
            </w:r>
          </w:p>
        </w:tc>
        <w:tc>
          <w:tcPr>
            <w:tcW w:w="940" w:type="dxa"/>
            <w:vAlign w:val="bottom"/>
          </w:tcPr>
          <w:p>
            <w:pPr>
              <w:jc w:val="center"/>
              <w:ind w:left="117"/>
              <w:spacing w:after="0"/>
              <w:rPr>
                <w:sz w:val="20"/>
                <w:szCs w:val="20"/>
                <w:color w:val="auto"/>
              </w:rPr>
            </w:pPr>
            <w:r>
              <w:rPr>
                <w:rFonts w:ascii="Arial" w:cs="Arial" w:eastAsia="Arial" w:hAnsi="Arial"/>
                <w:sz w:val="13"/>
                <w:szCs w:val="13"/>
                <w:color w:val="auto"/>
              </w:rPr>
              <w:t>0</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78,121</w:t>
            </w:r>
          </w:p>
        </w:tc>
        <w:tc>
          <w:tcPr>
            <w:tcW w:w="1220" w:type="dxa"/>
            <w:vAlign w:val="bottom"/>
          </w:tcPr>
          <w:p>
            <w:pPr>
              <w:jc w:val="center"/>
              <w:ind w:right="157"/>
              <w:spacing w:after="0"/>
              <w:rPr>
                <w:sz w:val="20"/>
                <w:szCs w:val="20"/>
                <w:color w:val="auto"/>
              </w:rPr>
            </w:pPr>
            <w:r>
              <w:rPr>
                <w:rFonts w:ascii="Arial" w:cs="Arial" w:eastAsia="Arial" w:hAnsi="Arial"/>
                <w:sz w:val="13"/>
                <w:szCs w:val="13"/>
                <w:color w:val="auto"/>
                <w:w w:val="92"/>
              </w:rPr>
              <w:t>n.a.</w:t>
            </w:r>
          </w:p>
        </w:tc>
        <w:tc>
          <w:tcPr>
            <w:tcW w:w="76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n.a.</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Sales of medical services</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color w:val="auto"/>
              </w:rPr>
              <w:t>0</w:t>
            </w:r>
          </w:p>
        </w:tc>
        <w:tc>
          <w:tcPr>
            <w:tcW w:w="940" w:type="dxa"/>
            <w:vAlign w:val="bottom"/>
          </w:tcPr>
          <w:p>
            <w:pPr>
              <w:jc w:val="center"/>
              <w:ind w:left="117"/>
              <w:spacing w:after="0" w:line="135" w:lineRule="exact"/>
              <w:rPr>
                <w:sz w:val="20"/>
                <w:szCs w:val="20"/>
                <w:color w:val="auto"/>
              </w:rPr>
            </w:pPr>
            <w:r>
              <w:rPr>
                <w:rFonts w:ascii="Arial" w:cs="Arial" w:eastAsia="Arial" w:hAnsi="Arial"/>
                <w:sz w:val="13"/>
                <w:szCs w:val="13"/>
                <w:color w:val="auto"/>
              </w:rPr>
              <w:t>0</w:t>
            </w:r>
          </w:p>
        </w:tc>
        <w:tc>
          <w:tcPr>
            <w:tcW w:w="166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color w:val="auto"/>
              </w:rPr>
              <w:t>(35,432)</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2"/>
              </w:rPr>
              <w:t>n.a.</w:t>
            </w:r>
          </w:p>
        </w:tc>
        <w:tc>
          <w:tcPr>
            <w:tcW w:w="760" w:type="dxa"/>
            <w:vAlign w:val="bottom"/>
            <w:tcBorders>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n.a.</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Cost of sales of medical services</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rPr>
              <w:t>0</w:t>
            </w:r>
          </w:p>
        </w:tc>
        <w:tc>
          <w:tcPr>
            <w:tcW w:w="940" w:type="dxa"/>
            <w:vAlign w:val="bottom"/>
          </w:tcPr>
          <w:p>
            <w:pPr>
              <w:jc w:val="center"/>
              <w:ind w:left="117"/>
              <w:spacing w:after="0" w:line="135" w:lineRule="exact"/>
              <w:rPr>
                <w:sz w:val="20"/>
                <w:szCs w:val="20"/>
                <w:color w:val="auto"/>
              </w:rPr>
            </w:pPr>
            <w:r>
              <w:rPr>
                <w:rFonts w:ascii="Arial" w:cs="Arial" w:eastAsia="Arial" w:hAnsi="Arial"/>
                <w:sz w:val="13"/>
                <w:szCs w:val="13"/>
                <w:b w:val="1"/>
                <w:bCs w:val="1"/>
                <w:color w:val="auto"/>
              </w:rPr>
              <w:t>0</w:t>
            </w:r>
          </w:p>
        </w:tc>
        <w:tc>
          <w:tcPr>
            <w:tcW w:w="166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42,689</w:t>
            </w:r>
          </w:p>
        </w:tc>
        <w:tc>
          <w:tcPr>
            <w:tcW w:w="122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auto"/>
                <w:w w:val="97"/>
              </w:rPr>
              <w:t>n.a.</w:t>
            </w:r>
          </w:p>
        </w:tc>
        <w:tc>
          <w:tcPr>
            <w:tcW w:w="760" w:type="dxa"/>
            <w:vAlign w:val="bottom"/>
            <w:tcBorders>
              <w:right w:val="single" w:sz="8" w:color="auto"/>
            </w:tcBorders>
          </w:tcPr>
          <w:p>
            <w:pPr>
              <w:ind w:left="160"/>
              <w:spacing w:after="0" w:line="135" w:lineRule="exact"/>
              <w:rPr>
                <w:sz w:val="20"/>
                <w:szCs w:val="20"/>
                <w:color w:val="auto"/>
              </w:rPr>
            </w:pPr>
            <w:r>
              <w:rPr>
                <w:rFonts w:ascii="Arial" w:cs="Arial" w:eastAsia="Arial" w:hAnsi="Arial"/>
                <w:sz w:val="13"/>
                <w:szCs w:val="13"/>
                <w:b w:val="1"/>
                <w:bCs w:val="1"/>
                <w:color w:val="auto"/>
              </w:rPr>
              <w:t>n.a.</w:t>
            </w:r>
          </w:p>
        </w:tc>
      </w:tr>
      <w:tr>
        <w:trPr>
          <w:trHeight w:val="172"/>
        </w:trPr>
        <w:tc>
          <w:tcPr>
            <w:tcW w:w="2860" w:type="dxa"/>
            <w:vAlign w:val="bottom"/>
            <w:tcBorders>
              <w:left w:val="single" w:sz="8" w:color="auto"/>
            </w:tcBorders>
          </w:tcPr>
          <w:p>
            <w:pPr>
              <w:ind w:left="20"/>
              <w:spacing w:after="0"/>
              <w:rPr>
                <w:sz w:val="20"/>
                <w:szCs w:val="20"/>
                <w:color w:val="auto"/>
              </w:rPr>
            </w:pPr>
            <w:r>
              <w:rPr>
                <w:rFonts w:ascii="Arial" w:cs="Arial" w:eastAsia="Arial" w:hAnsi="Arial"/>
                <w:sz w:val="13"/>
                <w:szCs w:val="13"/>
                <w:b w:val="1"/>
                <w:bCs w:val="1"/>
                <w:color w:val="auto"/>
              </w:rPr>
              <w:t>Total medical services result</w:t>
            </w:r>
          </w:p>
        </w:tc>
        <w:tc>
          <w:tcPr>
            <w:tcW w:w="2360" w:type="dxa"/>
            <w:vAlign w:val="bottom"/>
            <w:tcBorders>
              <w:right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r>
      <w:tr>
        <w:trPr>
          <w:trHeight w:val="233"/>
        </w:trPr>
        <w:tc>
          <w:tcPr>
            <w:tcW w:w="2860" w:type="dxa"/>
            <w:vAlign w:val="bottom"/>
            <w:tcBorders>
              <w:left w:val="single" w:sz="8" w:color="auto"/>
            </w:tcBorders>
          </w:tcPr>
          <w:p>
            <w:pPr>
              <w:ind w:left="20"/>
              <w:spacing w:after="0"/>
              <w:rPr>
                <w:sz w:val="20"/>
                <w:szCs w:val="20"/>
                <w:color w:val="auto"/>
              </w:rPr>
            </w:pPr>
            <w:r>
              <w:rPr>
                <w:rFonts w:ascii="Arial" w:cs="Arial" w:eastAsia="Arial" w:hAnsi="Arial"/>
                <w:sz w:val="13"/>
                <w:szCs w:val="13"/>
                <w:b w:val="1"/>
                <w:bCs w:val="1"/>
                <w:color w:val="auto"/>
              </w:rPr>
              <w:t>Total Expenses</w:t>
            </w:r>
          </w:p>
        </w:tc>
        <w:tc>
          <w:tcPr>
            <w:tcW w:w="2360" w:type="dxa"/>
            <w:vAlign w:val="bottom"/>
            <w:tcBorders>
              <w:righ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Salaries and employee benefits</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6"/>
              </w:rPr>
              <w:t>(1,107,069)</w:t>
            </w:r>
          </w:p>
        </w:tc>
        <w:tc>
          <w:tcPr>
            <w:tcW w:w="94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6"/>
              </w:rPr>
              <w:t>(1,271,578)</w:t>
            </w:r>
          </w:p>
        </w:tc>
        <w:tc>
          <w:tcPr>
            <w:tcW w:w="1660" w:type="dxa"/>
            <w:vAlign w:val="bottom"/>
            <w:tcBorders>
              <w:right w:val="single" w:sz="8" w:color="auto"/>
            </w:tcBorders>
          </w:tcPr>
          <w:p>
            <w:pPr>
              <w:jc w:val="center"/>
              <w:ind w:left="197"/>
              <w:spacing w:after="0" w:line="135" w:lineRule="exact"/>
              <w:rPr>
                <w:sz w:val="20"/>
                <w:szCs w:val="20"/>
                <w:color w:val="auto"/>
              </w:rPr>
            </w:pPr>
            <w:r>
              <w:rPr>
                <w:rFonts w:ascii="Arial" w:cs="Arial" w:eastAsia="Arial" w:hAnsi="Arial"/>
                <w:sz w:val="13"/>
                <w:szCs w:val="13"/>
                <w:color w:val="auto"/>
                <w:w w:val="96"/>
              </w:rPr>
              <w:t>(1,361,690)</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4"/>
              </w:rPr>
              <w:t>7.1%</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7"/>
              </w:rPr>
              <w:t>23.0%</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Administrative, general and tax expenses</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6"/>
              </w:rPr>
              <w:t>(821,748)</w:t>
            </w:r>
          </w:p>
        </w:tc>
        <w:tc>
          <w:tcPr>
            <w:tcW w:w="94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6"/>
              </w:rPr>
              <w:t>(1,150,867)</w:t>
            </w:r>
          </w:p>
        </w:tc>
        <w:tc>
          <w:tcPr>
            <w:tcW w:w="1660" w:type="dxa"/>
            <w:vAlign w:val="bottom"/>
            <w:tcBorders>
              <w:right w:val="single" w:sz="8" w:color="auto"/>
            </w:tcBorders>
          </w:tcPr>
          <w:p>
            <w:pPr>
              <w:jc w:val="center"/>
              <w:ind w:left="217"/>
              <w:spacing w:after="0" w:line="135" w:lineRule="exact"/>
              <w:rPr>
                <w:sz w:val="20"/>
                <w:szCs w:val="20"/>
                <w:color w:val="auto"/>
              </w:rPr>
            </w:pPr>
            <w:r>
              <w:rPr>
                <w:rFonts w:ascii="Arial" w:cs="Arial" w:eastAsia="Arial" w:hAnsi="Arial"/>
                <w:sz w:val="13"/>
                <w:szCs w:val="13"/>
                <w:color w:val="auto"/>
                <w:w w:val="96"/>
              </w:rPr>
              <w:t>(869,834)</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7"/>
              </w:rPr>
              <w:t>-24.4%</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4"/>
              </w:rPr>
              <w:t>5.9%</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Depreciation and amortization</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6"/>
              </w:rPr>
              <w:t>(175,146)</w:t>
            </w:r>
          </w:p>
        </w:tc>
        <w:tc>
          <w:tcPr>
            <w:tcW w:w="94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6"/>
              </w:rPr>
              <w:t>(186,625)</w:t>
            </w:r>
          </w:p>
        </w:tc>
        <w:tc>
          <w:tcPr>
            <w:tcW w:w="1660" w:type="dxa"/>
            <w:vAlign w:val="bottom"/>
            <w:tcBorders>
              <w:right w:val="single" w:sz="8" w:color="auto"/>
            </w:tcBorders>
          </w:tcPr>
          <w:p>
            <w:pPr>
              <w:jc w:val="center"/>
              <w:ind w:left="217"/>
              <w:spacing w:after="0" w:line="135" w:lineRule="exact"/>
              <w:rPr>
                <w:sz w:val="20"/>
                <w:szCs w:val="20"/>
                <w:color w:val="auto"/>
              </w:rPr>
            </w:pPr>
            <w:r>
              <w:rPr>
                <w:rFonts w:ascii="Arial" w:cs="Arial" w:eastAsia="Arial" w:hAnsi="Arial"/>
                <w:sz w:val="13"/>
                <w:szCs w:val="13"/>
                <w:color w:val="auto"/>
                <w:w w:val="96"/>
              </w:rPr>
              <w:t>(203,766)</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4"/>
              </w:rPr>
              <w:t>9.2%</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7"/>
              </w:rPr>
              <w:t>16.3%</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Impairment loss on goodwill</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color w:val="auto"/>
              </w:rPr>
              <w:t>0</w:t>
            </w:r>
          </w:p>
        </w:tc>
        <w:tc>
          <w:tcPr>
            <w:tcW w:w="94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7"/>
              </w:rPr>
              <w:t>(4,300)</w:t>
            </w:r>
          </w:p>
        </w:tc>
        <w:tc>
          <w:tcPr>
            <w:tcW w:w="1660" w:type="dxa"/>
            <w:vAlign w:val="bottom"/>
            <w:tcBorders>
              <w:right w:val="single" w:sz="8" w:color="auto"/>
            </w:tcBorders>
          </w:tcPr>
          <w:p>
            <w:pPr>
              <w:jc w:val="center"/>
              <w:ind w:left="217"/>
              <w:spacing w:after="0" w:line="135" w:lineRule="exact"/>
              <w:rPr>
                <w:sz w:val="20"/>
                <w:szCs w:val="20"/>
                <w:color w:val="auto"/>
              </w:rPr>
            </w:pPr>
            <w:r>
              <w:rPr>
                <w:rFonts w:ascii="Arial" w:cs="Arial" w:eastAsia="Arial" w:hAnsi="Arial"/>
                <w:sz w:val="13"/>
                <w:szCs w:val="13"/>
                <w:color w:val="auto"/>
                <w:w w:val="82"/>
              </w:rPr>
              <w:t>0</w:t>
            </w:r>
          </w:p>
        </w:tc>
        <w:tc>
          <w:tcPr>
            <w:tcW w:w="1220" w:type="dxa"/>
            <w:vAlign w:val="bottom"/>
          </w:tcPr>
          <w:p>
            <w:pPr>
              <w:jc w:val="center"/>
              <w:ind w:right="177"/>
              <w:spacing w:after="0" w:line="135" w:lineRule="exact"/>
              <w:rPr>
                <w:sz w:val="20"/>
                <w:szCs w:val="20"/>
                <w:color w:val="auto"/>
              </w:rPr>
            </w:pPr>
            <w:r>
              <w:rPr>
                <w:rFonts w:ascii="Arial" w:cs="Arial" w:eastAsia="Arial" w:hAnsi="Arial"/>
                <w:sz w:val="13"/>
                <w:szCs w:val="13"/>
                <w:color w:val="auto"/>
                <w:w w:val="94"/>
              </w:rPr>
              <w:t>-100.0%</w:t>
            </w:r>
          </w:p>
        </w:tc>
        <w:tc>
          <w:tcPr>
            <w:tcW w:w="760" w:type="dxa"/>
            <w:vAlign w:val="bottom"/>
            <w:tcBorders>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n.a.</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Association in participation</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7"/>
              </w:rPr>
              <w:t>(8,847)</w:t>
            </w:r>
          </w:p>
        </w:tc>
        <w:tc>
          <w:tcPr>
            <w:tcW w:w="94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7"/>
              </w:rPr>
              <w:t>(3,808)</w:t>
            </w:r>
          </w:p>
        </w:tc>
        <w:tc>
          <w:tcPr>
            <w:tcW w:w="1660" w:type="dxa"/>
            <w:vAlign w:val="bottom"/>
            <w:tcBorders>
              <w:right w:val="single" w:sz="8" w:color="auto"/>
            </w:tcBorders>
          </w:tcPr>
          <w:p>
            <w:pPr>
              <w:jc w:val="center"/>
              <w:ind w:left="197"/>
              <w:spacing w:after="0" w:line="135" w:lineRule="exact"/>
              <w:rPr>
                <w:sz w:val="20"/>
                <w:szCs w:val="20"/>
                <w:color w:val="auto"/>
              </w:rPr>
            </w:pPr>
            <w:r>
              <w:rPr>
                <w:rFonts w:ascii="Arial" w:cs="Arial" w:eastAsia="Arial" w:hAnsi="Arial"/>
                <w:sz w:val="13"/>
                <w:szCs w:val="13"/>
                <w:color w:val="auto"/>
                <w:w w:val="97"/>
              </w:rPr>
              <w:t>(6,799)</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7"/>
              </w:rPr>
              <w:t>78.5%</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7"/>
              </w:rPr>
              <w:t>-23.1%</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3"/>
                <w:szCs w:val="13"/>
                <w:color w:val="auto"/>
              </w:rPr>
              <w:t>Other expenses</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9"/>
              </w:rPr>
              <w:t>(99,672)</w:t>
            </w:r>
          </w:p>
        </w:tc>
        <w:tc>
          <w:tcPr>
            <w:tcW w:w="94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6"/>
              </w:rPr>
              <w:t>(409,049)</w:t>
            </w:r>
          </w:p>
        </w:tc>
        <w:tc>
          <w:tcPr>
            <w:tcW w:w="1660" w:type="dxa"/>
            <w:vAlign w:val="bottom"/>
            <w:tcBorders>
              <w:right w:val="single" w:sz="8" w:color="auto"/>
            </w:tcBorders>
          </w:tcPr>
          <w:p>
            <w:pPr>
              <w:jc w:val="center"/>
              <w:ind w:left="217"/>
              <w:spacing w:after="0" w:line="135" w:lineRule="exact"/>
              <w:rPr>
                <w:sz w:val="20"/>
                <w:szCs w:val="20"/>
                <w:color w:val="auto"/>
              </w:rPr>
            </w:pPr>
            <w:r>
              <w:rPr>
                <w:rFonts w:ascii="Arial" w:cs="Arial" w:eastAsia="Arial" w:hAnsi="Arial"/>
                <w:sz w:val="13"/>
                <w:szCs w:val="13"/>
                <w:color w:val="auto"/>
                <w:w w:val="94"/>
              </w:rPr>
              <w:t>(90,785)</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7"/>
              </w:rPr>
              <w:t>-77.8%</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4"/>
              </w:rPr>
              <w:t>-8.9%</w:t>
            </w:r>
          </w:p>
        </w:tc>
      </w:tr>
      <w:tr>
        <w:trPr>
          <w:trHeight w:val="172"/>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3"/>
                <w:szCs w:val="13"/>
                <w:b w:val="1"/>
                <w:bCs w:val="1"/>
                <w:color w:val="auto"/>
              </w:rPr>
              <w:t>Total expenses</w:t>
            </w:r>
          </w:p>
        </w:tc>
        <w:tc>
          <w:tcPr>
            <w:tcW w:w="2360" w:type="dxa"/>
            <w:vAlign w:val="bottom"/>
            <w:tcBorders>
              <w:right w:val="single" w:sz="8" w:color="auto"/>
            </w:tcBorders>
          </w:tcPr>
          <w:p>
            <w:pPr>
              <w:spacing w:after="0"/>
              <w:rPr>
                <w:sz w:val="14"/>
                <w:szCs w:val="14"/>
                <w:color w:val="auto"/>
              </w:rPr>
            </w:pPr>
          </w:p>
        </w:tc>
        <w:tc>
          <w:tcPr>
            <w:tcW w:w="144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(2,212,482)</w:t>
            </w:r>
          </w:p>
        </w:tc>
        <w:tc>
          <w:tcPr>
            <w:tcW w:w="940" w:type="dxa"/>
            <w:vAlign w:val="bottom"/>
          </w:tcPr>
          <w:p>
            <w:pPr>
              <w:jc w:val="center"/>
              <w:ind w:left="117"/>
              <w:spacing w:after="0"/>
              <w:rPr>
                <w:sz w:val="20"/>
                <w:szCs w:val="20"/>
                <w:color w:val="auto"/>
              </w:rPr>
            </w:pPr>
            <w:r>
              <w:rPr>
                <w:rFonts w:ascii="Arial" w:cs="Arial" w:eastAsia="Arial" w:hAnsi="Arial"/>
                <w:sz w:val="13"/>
                <w:szCs w:val="13"/>
                <w:b w:val="1"/>
                <w:bCs w:val="1"/>
                <w:color w:val="auto"/>
                <w:w w:val="96"/>
              </w:rPr>
              <w:t>(3,026,227)</w:t>
            </w:r>
          </w:p>
        </w:tc>
        <w:tc>
          <w:tcPr>
            <w:tcW w:w="166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b w:val="1"/>
                <w:bCs w:val="1"/>
                <w:color w:val="auto"/>
                <w:w w:val="96"/>
              </w:rPr>
              <w:t>(2,532,874)</w:t>
            </w:r>
          </w:p>
        </w:tc>
        <w:tc>
          <w:tcPr>
            <w:tcW w:w="1220" w:type="dxa"/>
            <w:vAlign w:val="bottom"/>
          </w:tcPr>
          <w:p>
            <w:pPr>
              <w:jc w:val="center"/>
              <w:ind w:right="157"/>
              <w:spacing w:after="0"/>
              <w:rPr>
                <w:sz w:val="20"/>
                <w:szCs w:val="20"/>
                <w:color w:val="auto"/>
              </w:rPr>
            </w:pPr>
            <w:r>
              <w:rPr>
                <w:rFonts w:ascii="Arial" w:cs="Arial" w:eastAsia="Arial" w:hAnsi="Arial"/>
                <w:sz w:val="13"/>
                <w:szCs w:val="13"/>
                <w:b w:val="1"/>
                <w:bCs w:val="1"/>
                <w:color w:val="auto"/>
                <w:w w:val="97"/>
              </w:rPr>
              <w:t>-16.3%</w:t>
            </w:r>
          </w:p>
        </w:tc>
        <w:tc>
          <w:tcPr>
            <w:tcW w:w="760" w:type="dxa"/>
            <w:vAlign w:val="bottom"/>
            <w:tcBorders>
              <w:right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97"/>
              </w:rPr>
              <w:t>14.5%</w:t>
            </w:r>
          </w:p>
        </w:tc>
      </w:tr>
      <w:tr>
        <w:trPr>
          <w:trHeight w:val="270"/>
        </w:trPr>
        <w:tc>
          <w:tcPr>
            <w:tcW w:w="2860" w:type="dxa"/>
            <w:vAlign w:val="bottom"/>
            <w:tcBorders>
              <w:left w:val="single" w:sz="8" w:color="auto"/>
            </w:tcBorders>
          </w:tcPr>
          <w:p>
            <w:pPr>
              <w:ind w:left="20"/>
              <w:spacing w:after="0"/>
              <w:rPr>
                <w:sz w:val="20"/>
                <w:szCs w:val="20"/>
                <w:color w:val="auto"/>
              </w:rPr>
            </w:pPr>
            <w:r>
              <w:rPr>
                <w:rFonts w:ascii="Arial" w:cs="Arial" w:eastAsia="Arial" w:hAnsi="Arial"/>
                <w:sz w:val="13"/>
                <w:szCs w:val="13"/>
                <w:b w:val="1"/>
                <w:bCs w:val="1"/>
                <w:color w:val="auto"/>
              </w:rPr>
              <w:t>Profit before income tax</w:t>
            </w:r>
          </w:p>
        </w:tc>
        <w:tc>
          <w:tcPr>
            <w:tcW w:w="2360" w:type="dxa"/>
            <w:vAlign w:val="bottom"/>
            <w:tcBorders>
              <w:right w:val="single" w:sz="8" w:color="auto"/>
            </w:tcBorders>
          </w:tcPr>
          <w:p>
            <w:pPr>
              <w:spacing w:after="0"/>
              <w:rPr>
                <w:sz w:val="23"/>
                <w:szCs w:val="23"/>
                <w:color w:val="auto"/>
              </w:rPr>
            </w:pPr>
          </w:p>
        </w:tc>
        <w:tc>
          <w:tcPr>
            <w:tcW w:w="144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2,070,563</w:t>
            </w:r>
          </w:p>
        </w:tc>
        <w:tc>
          <w:tcPr>
            <w:tcW w:w="940" w:type="dxa"/>
            <w:vAlign w:val="bottom"/>
          </w:tcPr>
          <w:p>
            <w:pPr>
              <w:jc w:val="center"/>
              <w:ind w:left="117"/>
              <w:spacing w:after="0"/>
              <w:rPr>
                <w:sz w:val="20"/>
                <w:szCs w:val="20"/>
                <w:color w:val="auto"/>
              </w:rPr>
            </w:pPr>
            <w:r>
              <w:rPr>
                <w:rFonts w:ascii="Arial" w:cs="Arial" w:eastAsia="Arial" w:hAnsi="Arial"/>
                <w:sz w:val="13"/>
                <w:szCs w:val="13"/>
                <w:b w:val="1"/>
                <w:bCs w:val="1"/>
                <w:color w:val="auto"/>
                <w:w w:val="96"/>
              </w:rPr>
              <w:t>1,755,686</w:t>
            </w:r>
          </w:p>
        </w:tc>
        <w:tc>
          <w:tcPr>
            <w:tcW w:w="166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b w:val="1"/>
                <w:bCs w:val="1"/>
                <w:color w:val="auto"/>
                <w:w w:val="96"/>
              </w:rPr>
              <w:t>2,519,284</w:t>
            </w:r>
          </w:p>
        </w:tc>
        <w:tc>
          <w:tcPr>
            <w:tcW w:w="1220" w:type="dxa"/>
            <w:vAlign w:val="bottom"/>
          </w:tcPr>
          <w:p>
            <w:pPr>
              <w:jc w:val="center"/>
              <w:ind w:right="157"/>
              <w:spacing w:after="0"/>
              <w:rPr>
                <w:sz w:val="20"/>
                <w:szCs w:val="20"/>
                <w:color w:val="auto"/>
              </w:rPr>
            </w:pPr>
            <w:r>
              <w:rPr>
                <w:rFonts w:ascii="Arial" w:cs="Arial" w:eastAsia="Arial" w:hAnsi="Arial"/>
                <w:sz w:val="13"/>
                <w:szCs w:val="13"/>
                <w:b w:val="1"/>
                <w:bCs w:val="1"/>
                <w:color w:val="auto"/>
                <w:w w:val="97"/>
              </w:rPr>
              <w:t>43.5%</w:t>
            </w:r>
          </w:p>
        </w:tc>
        <w:tc>
          <w:tcPr>
            <w:tcW w:w="760" w:type="dxa"/>
            <w:vAlign w:val="bottom"/>
            <w:tcBorders>
              <w:right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97"/>
              </w:rPr>
              <w:t>21.7%</w:t>
            </w:r>
          </w:p>
        </w:tc>
      </w:tr>
      <w:tr>
        <w:trPr>
          <w:trHeight w:val="264"/>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3"/>
                <w:szCs w:val="13"/>
                <w:color w:val="auto"/>
              </w:rPr>
              <w:t>Income tax</w:t>
            </w:r>
          </w:p>
        </w:tc>
        <w:tc>
          <w:tcPr>
            <w:tcW w:w="2360" w:type="dxa"/>
            <w:vAlign w:val="bottom"/>
            <w:tcBorders>
              <w:right w:val="single" w:sz="8" w:color="auto"/>
            </w:tcBorders>
          </w:tcPr>
          <w:p>
            <w:pPr>
              <w:spacing w:after="0"/>
              <w:rPr>
                <w:sz w:val="22"/>
                <w:szCs w:val="22"/>
                <w:color w:val="auto"/>
              </w:rPr>
            </w:pPr>
          </w:p>
        </w:tc>
        <w:tc>
          <w:tcPr>
            <w:tcW w:w="1440" w:type="dxa"/>
            <w:vAlign w:val="bottom"/>
          </w:tcPr>
          <w:p>
            <w:pPr>
              <w:jc w:val="center"/>
              <w:ind w:right="37"/>
              <w:spacing w:after="0"/>
              <w:rPr>
                <w:sz w:val="20"/>
                <w:szCs w:val="20"/>
                <w:color w:val="auto"/>
              </w:rPr>
            </w:pPr>
            <w:r>
              <w:rPr>
                <w:rFonts w:ascii="Arial" w:cs="Arial" w:eastAsia="Arial" w:hAnsi="Arial"/>
                <w:sz w:val="13"/>
                <w:szCs w:val="13"/>
                <w:color w:val="auto"/>
                <w:w w:val="96"/>
              </w:rPr>
              <w:t>(528,466)</w:t>
            </w:r>
          </w:p>
        </w:tc>
        <w:tc>
          <w:tcPr>
            <w:tcW w:w="940" w:type="dxa"/>
            <w:vAlign w:val="bottom"/>
          </w:tcPr>
          <w:p>
            <w:pPr>
              <w:jc w:val="center"/>
              <w:ind w:left="97"/>
              <w:spacing w:after="0"/>
              <w:rPr>
                <w:sz w:val="20"/>
                <w:szCs w:val="20"/>
                <w:color w:val="auto"/>
              </w:rPr>
            </w:pPr>
            <w:r>
              <w:rPr>
                <w:rFonts w:ascii="Arial" w:cs="Arial" w:eastAsia="Arial" w:hAnsi="Arial"/>
                <w:sz w:val="13"/>
                <w:szCs w:val="13"/>
                <w:color w:val="auto"/>
                <w:w w:val="96"/>
              </w:rPr>
              <w:t>(598,348)</w:t>
            </w:r>
          </w:p>
        </w:tc>
        <w:tc>
          <w:tcPr>
            <w:tcW w:w="1660" w:type="dxa"/>
            <w:vAlign w:val="bottom"/>
            <w:tcBorders>
              <w:right w:val="single" w:sz="8" w:color="auto"/>
            </w:tcBorders>
          </w:tcPr>
          <w:p>
            <w:pPr>
              <w:jc w:val="center"/>
              <w:ind w:left="217"/>
              <w:spacing w:after="0"/>
              <w:rPr>
                <w:sz w:val="20"/>
                <w:szCs w:val="20"/>
                <w:color w:val="auto"/>
              </w:rPr>
            </w:pPr>
            <w:r>
              <w:rPr>
                <w:rFonts w:ascii="Arial" w:cs="Arial" w:eastAsia="Arial" w:hAnsi="Arial"/>
                <w:sz w:val="13"/>
                <w:szCs w:val="13"/>
                <w:color w:val="auto"/>
                <w:w w:val="96"/>
              </w:rPr>
              <w:t>(704,469)</w:t>
            </w:r>
          </w:p>
        </w:tc>
        <w:tc>
          <w:tcPr>
            <w:tcW w:w="1220" w:type="dxa"/>
            <w:vAlign w:val="bottom"/>
          </w:tcPr>
          <w:p>
            <w:pPr>
              <w:jc w:val="center"/>
              <w:ind w:right="157"/>
              <w:spacing w:after="0"/>
              <w:rPr>
                <w:sz w:val="20"/>
                <w:szCs w:val="20"/>
                <w:color w:val="auto"/>
              </w:rPr>
            </w:pPr>
            <w:r>
              <w:rPr>
                <w:rFonts w:ascii="Arial" w:cs="Arial" w:eastAsia="Arial" w:hAnsi="Arial"/>
                <w:sz w:val="13"/>
                <w:szCs w:val="13"/>
                <w:color w:val="auto"/>
                <w:w w:val="97"/>
              </w:rPr>
              <w:t>17.7%</w:t>
            </w:r>
          </w:p>
        </w:tc>
        <w:tc>
          <w:tcPr>
            <w:tcW w:w="760" w:type="dxa"/>
            <w:vAlign w:val="bottom"/>
            <w:tcBorders>
              <w:right w:val="single" w:sz="8" w:color="auto"/>
            </w:tcBorders>
          </w:tcPr>
          <w:p>
            <w:pPr>
              <w:jc w:val="center"/>
              <w:ind w:right="177"/>
              <w:spacing w:after="0"/>
              <w:rPr>
                <w:sz w:val="20"/>
                <w:szCs w:val="20"/>
                <w:color w:val="auto"/>
              </w:rPr>
            </w:pPr>
            <w:r>
              <w:rPr>
                <w:rFonts w:ascii="Arial" w:cs="Arial" w:eastAsia="Arial" w:hAnsi="Arial"/>
                <w:sz w:val="13"/>
                <w:szCs w:val="13"/>
                <w:color w:val="auto"/>
                <w:w w:val="97"/>
              </w:rPr>
              <w:t>33.3%</w:t>
            </w:r>
          </w:p>
        </w:tc>
      </w:tr>
      <w:tr>
        <w:trPr>
          <w:trHeight w:val="239"/>
        </w:trPr>
        <w:tc>
          <w:tcPr>
            <w:tcW w:w="2860" w:type="dxa"/>
            <w:vAlign w:val="bottom"/>
            <w:tcBorders>
              <w:left w:val="single" w:sz="8" w:color="auto"/>
            </w:tcBorders>
          </w:tcPr>
          <w:p>
            <w:pPr>
              <w:ind w:left="20"/>
              <w:spacing w:after="0"/>
              <w:rPr>
                <w:sz w:val="20"/>
                <w:szCs w:val="20"/>
                <w:color w:val="auto"/>
              </w:rPr>
            </w:pPr>
            <w:r>
              <w:rPr>
                <w:rFonts w:ascii="Arial" w:cs="Arial" w:eastAsia="Arial" w:hAnsi="Arial"/>
                <w:sz w:val="13"/>
                <w:szCs w:val="13"/>
                <w:b w:val="1"/>
                <w:bCs w:val="1"/>
                <w:color w:val="auto"/>
              </w:rPr>
              <w:t>Net profit</w:t>
            </w:r>
          </w:p>
        </w:tc>
        <w:tc>
          <w:tcPr>
            <w:tcW w:w="2360" w:type="dxa"/>
            <w:vAlign w:val="bottom"/>
            <w:tcBorders>
              <w:right w:val="single" w:sz="8" w:color="auto"/>
            </w:tcBorders>
          </w:tcPr>
          <w:p>
            <w:pPr>
              <w:spacing w:after="0"/>
              <w:rPr>
                <w:sz w:val="20"/>
                <w:szCs w:val="20"/>
                <w:color w:val="auto"/>
              </w:rPr>
            </w:pPr>
          </w:p>
        </w:tc>
        <w:tc>
          <w:tcPr>
            <w:tcW w:w="144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1,542,097</w:t>
            </w:r>
          </w:p>
        </w:tc>
        <w:tc>
          <w:tcPr>
            <w:tcW w:w="940" w:type="dxa"/>
            <w:vAlign w:val="bottom"/>
          </w:tcPr>
          <w:p>
            <w:pPr>
              <w:jc w:val="center"/>
              <w:ind w:left="117"/>
              <w:spacing w:after="0"/>
              <w:rPr>
                <w:sz w:val="20"/>
                <w:szCs w:val="20"/>
                <w:color w:val="auto"/>
              </w:rPr>
            </w:pPr>
            <w:r>
              <w:rPr>
                <w:rFonts w:ascii="Arial" w:cs="Arial" w:eastAsia="Arial" w:hAnsi="Arial"/>
                <w:sz w:val="13"/>
                <w:szCs w:val="13"/>
                <w:b w:val="1"/>
                <w:bCs w:val="1"/>
                <w:color w:val="auto"/>
                <w:w w:val="96"/>
              </w:rPr>
              <w:t>1,157,338</w:t>
            </w:r>
          </w:p>
        </w:tc>
        <w:tc>
          <w:tcPr>
            <w:tcW w:w="1660" w:type="dxa"/>
            <w:vAlign w:val="bottom"/>
            <w:tcBorders>
              <w:right w:val="single" w:sz="8" w:color="auto"/>
            </w:tcBorders>
          </w:tcPr>
          <w:p>
            <w:pPr>
              <w:jc w:val="center"/>
              <w:ind w:left="197"/>
              <w:spacing w:after="0"/>
              <w:rPr>
                <w:sz w:val="20"/>
                <w:szCs w:val="20"/>
                <w:color w:val="auto"/>
              </w:rPr>
            </w:pPr>
            <w:r>
              <w:rPr>
                <w:rFonts w:ascii="Arial" w:cs="Arial" w:eastAsia="Arial" w:hAnsi="Arial"/>
                <w:sz w:val="13"/>
                <w:szCs w:val="13"/>
                <w:b w:val="1"/>
                <w:bCs w:val="1"/>
                <w:color w:val="auto"/>
                <w:w w:val="96"/>
              </w:rPr>
              <w:t>1,814,815</w:t>
            </w:r>
          </w:p>
        </w:tc>
        <w:tc>
          <w:tcPr>
            <w:tcW w:w="1220" w:type="dxa"/>
            <w:vAlign w:val="bottom"/>
          </w:tcPr>
          <w:p>
            <w:pPr>
              <w:jc w:val="center"/>
              <w:ind w:right="157"/>
              <w:spacing w:after="0"/>
              <w:rPr>
                <w:sz w:val="20"/>
                <w:szCs w:val="20"/>
                <w:color w:val="auto"/>
              </w:rPr>
            </w:pPr>
            <w:r>
              <w:rPr>
                <w:rFonts w:ascii="Arial" w:cs="Arial" w:eastAsia="Arial" w:hAnsi="Arial"/>
                <w:sz w:val="13"/>
                <w:szCs w:val="13"/>
                <w:b w:val="1"/>
                <w:bCs w:val="1"/>
                <w:color w:val="auto"/>
                <w:w w:val="97"/>
              </w:rPr>
              <w:t>56.8%</w:t>
            </w:r>
          </w:p>
        </w:tc>
        <w:tc>
          <w:tcPr>
            <w:tcW w:w="760" w:type="dxa"/>
            <w:vAlign w:val="bottom"/>
            <w:tcBorders>
              <w:right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97"/>
              </w:rPr>
              <w:t>17.7%</w:t>
            </w:r>
          </w:p>
        </w:tc>
      </w:tr>
      <w:tr>
        <w:trPr>
          <w:trHeight w:val="135"/>
        </w:trPr>
        <w:tc>
          <w:tcPr>
            <w:tcW w:w="2860" w:type="dxa"/>
            <w:vAlign w:val="bottom"/>
            <w:tcBorders>
              <w:left w:val="single" w:sz="8" w:color="auto"/>
            </w:tcBorders>
          </w:tcPr>
          <w:p>
            <w:pPr>
              <w:ind w:left="20"/>
              <w:spacing w:after="0" w:line="135" w:lineRule="exact"/>
              <w:rPr>
                <w:sz w:val="20"/>
                <w:szCs w:val="20"/>
                <w:color w:val="auto"/>
              </w:rPr>
            </w:pPr>
            <w:r>
              <w:rPr>
                <w:rFonts w:ascii="Arial" w:cs="Arial" w:eastAsia="Arial" w:hAnsi="Arial"/>
                <w:sz w:val="13"/>
                <w:szCs w:val="13"/>
                <w:color w:val="auto"/>
              </w:rPr>
              <w:t>Non-controlling interest</w:t>
            </w:r>
          </w:p>
        </w:tc>
        <w:tc>
          <w:tcPr>
            <w:tcW w:w="2360" w:type="dxa"/>
            <w:vAlign w:val="bottom"/>
            <w:tcBorders>
              <w:right w:val="single" w:sz="8" w:color="auto"/>
            </w:tcBorders>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color w:val="auto"/>
              </w:rPr>
              <w:t>30,440</w:t>
            </w:r>
          </w:p>
        </w:tc>
        <w:tc>
          <w:tcPr>
            <w:tcW w:w="94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5"/>
              </w:rPr>
              <w:t>30,625</w:t>
            </w:r>
          </w:p>
        </w:tc>
        <w:tc>
          <w:tcPr>
            <w:tcW w:w="1660" w:type="dxa"/>
            <w:vAlign w:val="bottom"/>
            <w:tcBorders>
              <w:right w:val="single" w:sz="8" w:color="auto"/>
            </w:tcBorders>
          </w:tcPr>
          <w:p>
            <w:pPr>
              <w:jc w:val="center"/>
              <w:ind w:left="217"/>
              <w:spacing w:after="0" w:line="135" w:lineRule="exact"/>
              <w:rPr>
                <w:sz w:val="20"/>
                <w:szCs w:val="20"/>
                <w:color w:val="auto"/>
              </w:rPr>
            </w:pPr>
            <w:r>
              <w:rPr>
                <w:rFonts w:ascii="Arial" w:cs="Arial" w:eastAsia="Arial" w:hAnsi="Arial"/>
                <w:sz w:val="13"/>
                <w:szCs w:val="13"/>
                <w:color w:val="auto"/>
                <w:w w:val="95"/>
              </w:rPr>
              <w:t>37,118</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97"/>
              </w:rPr>
              <w:t>21.2%</w:t>
            </w:r>
          </w:p>
        </w:tc>
        <w:tc>
          <w:tcPr>
            <w:tcW w:w="76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color w:val="auto"/>
                <w:w w:val="97"/>
              </w:rPr>
              <w:t>21.9%</w:t>
            </w:r>
          </w:p>
        </w:tc>
      </w:tr>
      <w:tr>
        <w:trPr>
          <w:trHeight w:val="153"/>
        </w:trPr>
        <w:tc>
          <w:tcPr>
            <w:tcW w:w="2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profit attributable to Credicorp</w:t>
            </w:r>
          </w:p>
        </w:tc>
        <w:tc>
          <w:tcPr>
            <w:tcW w:w="236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1,511,657</w:t>
            </w:r>
          </w:p>
        </w:tc>
        <w:tc>
          <w:tcPr>
            <w:tcW w:w="94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b w:val="1"/>
                <w:bCs w:val="1"/>
                <w:color w:val="auto"/>
                <w:w w:val="96"/>
              </w:rPr>
              <w:t>1,126,713</w:t>
            </w:r>
          </w:p>
        </w:tc>
        <w:tc>
          <w:tcPr>
            <w:tcW w:w="1660" w:type="dxa"/>
            <w:vAlign w:val="bottom"/>
            <w:tcBorders>
              <w:bottom w:val="single" w:sz="8" w:color="auto"/>
              <w:right w:val="single" w:sz="8" w:color="auto"/>
            </w:tcBorders>
          </w:tcPr>
          <w:p>
            <w:pPr>
              <w:jc w:val="center"/>
              <w:ind w:left="197"/>
              <w:spacing w:after="0"/>
              <w:rPr>
                <w:sz w:val="20"/>
                <w:szCs w:val="20"/>
                <w:color w:val="auto"/>
              </w:rPr>
            </w:pPr>
            <w:r>
              <w:rPr>
                <w:rFonts w:ascii="Arial" w:cs="Arial" w:eastAsia="Arial" w:hAnsi="Arial"/>
                <w:sz w:val="13"/>
                <w:szCs w:val="13"/>
                <w:b w:val="1"/>
                <w:bCs w:val="1"/>
                <w:color w:val="auto"/>
                <w:w w:val="96"/>
              </w:rPr>
              <w:t>1,777,697</w:t>
            </w:r>
          </w:p>
        </w:tc>
        <w:tc>
          <w:tcPr>
            <w:tcW w:w="12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97"/>
              </w:rPr>
              <w:t>57.8%</w:t>
            </w:r>
          </w:p>
        </w:tc>
        <w:tc>
          <w:tcPr>
            <w:tcW w:w="760" w:type="dxa"/>
            <w:vAlign w:val="bottom"/>
            <w:tcBorders>
              <w:bottom w:val="single" w:sz="8" w:color="auto"/>
              <w:right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97"/>
              </w:rPr>
              <w:t>17.6%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-5211445</wp:posOffset>
            </wp:positionV>
            <wp:extent cx="1045845"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45845" cy="146050"/>
                    </a:xfrm>
                    <a:prstGeom prst="rect">
                      <a:avLst/>
                    </a:prstGeom>
                    <a:noFill/>
                  </pic:spPr>
                </pic:pic>
              </a:graphicData>
            </a:graphic>
          </wp:anchor>
        </w:drawing>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12.6.2.Credicorp Stand-alone</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Statement of Financial Position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 Thousands, IFRS)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5220" w:type="dxa"/>
            <w:vAlign w:val="bottom"/>
            <w:tcBorders>
              <w:top w:val="single" w:sz="8" w:color="auto"/>
              <w:left w:val="single" w:sz="8" w:color="auto"/>
              <w:right w:val="single" w:sz="8" w:color="auto"/>
            </w:tcBorders>
            <w:shd w:val="clear" w:color="auto" w:fill="33CCCC"/>
          </w:tcPr>
          <w:p>
            <w:pPr>
              <w:spacing w:after="0"/>
              <w:rPr>
                <w:sz w:val="15"/>
                <w:szCs w:val="15"/>
                <w:color w:val="auto"/>
              </w:rPr>
            </w:pPr>
          </w:p>
        </w:tc>
        <w:tc>
          <w:tcPr>
            <w:tcW w:w="1320" w:type="dxa"/>
            <w:vAlign w:val="bottom"/>
            <w:tcBorders>
              <w:top w:val="single" w:sz="8" w:color="auto"/>
            </w:tcBorders>
            <w:shd w:val="clear" w:color="auto" w:fill="33CCCC"/>
          </w:tcPr>
          <w:p>
            <w:pPr>
              <w:spacing w:after="0"/>
              <w:rPr>
                <w:sz w:val="15"/>
                <w:szCs w:val="15"/>
                <w:color w:val="auto"/>
              </w:rPr>
            </w:pPr>
          </w:p>
        </w:tc>
        <w:tc>
          <w:tcPr>
            <w:tcW w:w="136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As of</w:t>
            </w:r>
          </w:p>
        </w:tc>
        <w:tc>
          <w:tcPr>
            <w:tcW w:w="1360" w:type="dxa"/>
            <w:vAlign w:val="bottom"/>
            <w:tcBorders>
              <w:top w:val="single" w:sz="8" w:color="auto"/>
              <w:right w:val="single" w:sz="8" w:color="auto"/>
            </w:tcBorders>
            <w:shd w:val="clear" w:color="auto" w:fill="33CCCC"/>
          </w:tcPr>
          <w:p>
            <w:pPr>
              <w:spacing w:after="0"/>
              <w:rPr>
                <w:sz w:val="15"/>
                <w:szCs w:val="15"/>
                <w:color w:val="auto"/>
              </w:rPr>
            </w:pPr>
          </w:p>
        </w:tc>
        <w:tc>
          <w:tcPr>
            <w:tcW w:w="1980" w:type="dxa"/>
            <w:vAlign w:val="bottom"/>
            <w:tcBorders>
              <w:top w:val="single" w:sz="8" w:color="auto"/>
              <w:right w:val="single" w:sz="8" w:color="auto"/>
            </w:tcBorders>
            <w:gridSpan w:val="2"/>
            <w:shd w:val="clear" w:color="auto" w:fill="33CCCC"/>
          </w:tcPr>
          <w:p>
            <w:pPr>
              <w:ind w:left="640"/>
              <w:spacing w:after="0"/>
              <w:rPr>
                <w:sz w:val="20"/>
                <w:szCs w:val="20"/>
                <w:color w:val="auto"/>
              </w:rPr>
            </w:pPr>
            <w:r>
              <w:rPr>
                <w:rFonts w:ascii="Arial" w:cs="Arial" w:eastAsia="Arial" w:hAnsi="Arial"/>
                <w:sz w:val="14"/>
                <w:szCs w:val="14"/>
                <w:b w:val="1"/>
                <w:bCs w:val="1"/>
                <w:color w:val="FFFFFF"/>
              </w:rPr>
              <w:t>% change</w:t>
            </w:r>
          </w:p>
        </w:tc>
      </w:tr>
      <w:tr>
        <w:trPr>
          <w:trHeight w:val="162"/>
        </w:trPr>
        <w:tc>
          <w:tcPr>
            <w:tcW w:w="5220" w:type="dxa"/>
            <w:vAlign w:val="bottom"/>
            <w:tcBorders>
              <w:left w:val="single" w:sz="8" w:color="auto"/>
              <w:bottom w:val="single" w:sz="8" w:color="auto"/>
              <w:right w:val="single" w:sz="8" w:color="auto"/>
            </w:tcBorders>
            <w:shd w:val="clear" w:color="auto" w:fill="33CCCC"/>
          </w:tcPr>
          <w:p>
            <w:pPr>
              <w:spacing w:after="0"/>
              <w:rPr>
                <w:sz w:val="14"/>
                <w:szCs w:val="14"/>
                <w:color w:val="auto"/>
              </w:rPr>
            </w:pPr>
          </w:p>
        </w:tc>
        <w:tc>
          <w:tcPr>
            <w:tcW w:w="1320" w:type="dxa"/>
            <w:vAlign w:val="bottom"/>
            <w:tcBorders>
              <w:bottom w:val="single" w:sz="8" w:color="auto"/>
            </w:tcBorders>
            <w:shd w:val="clear" w:color="auto" w:fill="33CCCC"/>
          </w:tcPr>
          <w:p>
            <w:pPr>
              <w:ind w:left="440"/>
              <w:spacing w:after="0"/>
              <w:rPr>
                <w:sz w:val="20"/>
                <w:szCs w:val="20"/>
                <w:color w:val="auto"/>
              </w:rPr>
            </w:pPr>
            <w:r>
              <w:rPr>
                <w:rFonts w:ascii="Arial" w:cs="Arial" w:eastAsia="Arial" w:hAnsi="Arial"/>
                <w:sz w:val="14"/>
                <w:szCs w:val="14"/>
                <w:b w:val="1"/>
                <w:bCs w:val="1"/>
                <w:color w:val="FFFFFF"/>
              </w:rPr>
              <w:t>Mar 24</w:t>
            </w:r>
          </w:p>
        </w:tc>
        <w:tc>
          <w:tcPr>
            <w:tcW w:w="13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Dec 24</w:t>
            </w:r>
          </w:p>
        </w:tc>
        <w:tc>
          <w:tcPr>
            <w:tcW w:w="1360" w:type="dxa"/>
            <w:vAlign w:val="bottom"/>
            <w:tcBorders>
              <w:bottom w:val="single" w:sz="8" w:color="auto"/>
              <w:right w:val="single" w:sz="8" w:color="auto"/>
            </w:tcBorders>
            <w:shd w:val="clear" w:color="auto" w:fill="33CCCC"/>
          </w:tcPr>
          <w:p>
            <w:pPr>
              <w:ind w:left="440"/>
              <w:spacing w:after="0"/>
              <w:rPr>
                <w:sz w:val="20"/>
                <w:szCs w:val="20"/>
                <w:color w:val="auto"/>
              </w:rPr>
            </w:pPr>
            <w:r>
              <w:rPr>
                <w:rFonts w:ascii="Arial" w:cs="Arial" w:eastAsia="Arial" w:hAnsi="Arial"/>
                <w:sz w:val="14"/>
                <w:szCs w:val="14"/>
                <w:b w:val="1"/>
                <w:bCs w:val="1"/>
                <w:color w:val="FFFFFF"/>
              </w:rPr>
              <w:t>Mar 25</w:t>
            </w:r>
          </w:p>
        </w:tc>
        <w:tc>
          <w:tcPr>
            <w:tcW w:w="9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QoQ</w:t>
            </w:r>
          </w:p>
        </w:tc>
        <w:tc>
          <w:tcPr>
            <w:tcW w:w="1000" w:type="dxa"/>
            <w:vAlign w:val="bottom"/>
            <w:tcBorders>
              <w:bottom w:val="single" w:sz="8" w:color="auto"/>
              <w:right w:val="single" w:sz="8" w:color="auto"/>
            </w:tcBorders>
            <w:shd w:val="clear" w:color="auto" w:fill="33CCCC"/>
          </w:tcPr>
          <w:p>
            <w:pPr>
              <w:ind w:left="360"/>
              <w:spacing w:after="0"/>
              <w:rPr>
                <w:sz w:val="20"/>
                <w:szCs w:val="20"/>
                <w:color w:val="auto"/>
              </w:rPr>
            </w:pPr>
            <w:r>
              <w:rPr>
                <w:rFonts w:ascii="Arial" w:cs="Arial" w:eastAsia="Arial" w:hAnsi="Arial"/>
                <w:sz w:val="14"/>
                <w:szCs w:val="14"/>
                <w:b w:val="1"/>
                <w:bCs w:val="1"/>
                <w:color w:val="FFFFFF"/>
              </w:rPr>
              <w:t>YoY</w:t>
            </w:r>
          </w:p>
        </w:tc>
      </w:tr>
      <w:tr>
        <w:trPr>
          <w:trHeight w:val="146"/>
        </w:trPr>
        <w:tc>
          <w:tcPr>
            <w:tcW w:w="5220" w:type="dxa"/>
            <w:vAlign w:val="bottom"/>
            <w:tcBorders>
              <w:left w:val="single" w:sz="8" w:color="auto"/>
              <w:right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ASSETS</w:t>
            </w: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r>
      <w:tr>
        <w:trPr>
          <w:trHeight w:val="16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Cash and cash equivalents</w:t>
            </w:r>
          </w:p>
        </w:tc>
        <w:tc>
          <w:tcPr>
            <w:tcW w:w="1320" w:type="dxa"/>
            <w:vAlign w:val="bottom"/>
          </w:tcPr>
          <w:p>
            <w:pPr>
              <w:jc w:val="center"/>
              <w:spacing w:after="0"/>
              <w:rPr>
                <w:sz w:val="20"/>
                <w:szCs w:val="20"/>
                <w:color w:val="auto"/>
              </w:rPr>
            </w:pPr>
            <w:r>
              <w:rPr>
                <w:rFonts w:ascii="Arial" w:cs="Arial" w:eastAsia="Arial" w:hAnsi="Arial"/>
                <w:sz w:val="14"/>
                <w:szCs w:val="14"/>
                <w:color w:val="auto"/>
              </w:rPr>
              <w:t>510,036</w:t>
            </w:r>
          </w:p>
        </w:tc>
        <w:tc>
          <w:tcPr>
            <w:tcW w:w="1360" w:type="dxa"/>
            <w:vAlign w:val="bottom"/>
          </w:tcPr>
          <w:p>
            <w:pPr>
              <w:jc w:val="center"/>
              <w:spacing w:after="0"/>
              <w:rPr>
                <w:sz w:val="20"/>
                <w:szCs w:val="20"/>
                <w:color w:val="auto"/>
              </w:rPr>
            </w:pPr>
            <w:r>
              <w:rPr>
                <w:rFonts w:ascii="Arial" w:cs="Arial" w:eastAsia="Arial" w:hAnsi="Arial"/>
                <w:sz w:val="14"/>
                <w:szCs w:val="14"/>
                <w:color w:val="auto"/>
              </w:rPr>
              <w:t>399,943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399,817</w:t>
            </w:r>
          </w:p>
        </w:tc>
        <w:tc>
          <w:tcPr>
            <w:tcW w:w="980" w:type="dxa"/>
            <w:vAlign w:val="bottom"/>
          </w:tcPr>
          <w:p>
            <w:pPr>
              <w:jc w:val="center"/>
              <w:spacing w:after="0"/>
              <w:rPr>
                <w:sz w:val="20"/>
                <w:szCs w:val="20"/>
                <w:color w:val="auto"/>
              </w:rPr>
            </w:pPr>
            <w:r>
              <w:rPr>
                <w:rFonts w:ascii="Arial" w:cs="Arial" w:eastAsia="Arial" w:hAnsi="Arial"/>
                <w:sz w:val="14"/>
                <w:szCs w:val="14"/>
                <w:color w:val="auto"/>
              </w:rPr>
              <w:t>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-21.6%</w:t>
            </w:r>
          </w:p>
        </w:tc>
      </w:tr>
      <w:tr>
        <w:trPr>
          <w:trHeight w:val="16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At fair value through profit or loss</w:t>
            </w:r>
          </w:p>
        </w:tc>
        <w:tc>
          <w:tcPr>
            <w:tcW w:w="13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3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n.a.</w:t>
            </w:r>
          </w:p>
        </w:tc>
        <w:tc>
          <w:tcPr>
            <w:tcW w:w="10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n.a.</w:t>
            </w:r>
          </w:p>
        </w:tc>
      </w:tr>
      <w:tr>
        <w:trPr>
          <w:trHeight w:val="16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Fair value through other comprehensive income investments</w:t>
            </w:r>
          </w:p>
        </w:tc>
        <w:tc>
          <w:tcPr>
            <w:tcW w:w="1320" w:type="dxa"/>
            <w:vAlign w:val="bottom"/>
          </w:tcPr>
          <w:p>
            <w:pPr>
              <w:jc w:val="center"/>
              <w:spacing w:after="0"/>
              <w:rPr>
                <w:sz w:val="20"/>
                <w:szCs w:val="20"/>
                <w:color w:val="auto"/>
              </w:rPr>
            </w:pPr>
            <w:r>
              <w:rPr>
                <w:rFonts w:ascii="Arial" w:cs="Arial" w:eastAsia="Arial" w:hAnsi="Arial"/>
                <w:sz w:val="14"/>
                <w:szCs w:val="14"/>
                <w:color w:val="auto"/>
              </w:rPr>
              <w:t>1,427,450</w:t>
            </w:r>
          </w:p>
        </w:tc>
        <w:tc>
          <w:tcPr>
            <w:tcW w:w="1360" w:type="dxa"/>
            <w:vAlign w:val="bottom"/>
          </w:tcPr>
          <w:p>
            <w:pPr>
              <w:jc w:val="center"/>
              <w:spacing w:after="0"/>
              <w:rPr>
                <w:sz w:val="20"/>
                <w:szCs w:val="20"/>
                <w:color w:val="auto"/>
              </w:rPr>
            </w:pPr>
            <w:r>
              <w:rPr>
                <w:rFonts w:ascii="Arial" w:cs="Arial" w:eastAsia="Arial" w:hAnsi="Arial"/>
                <w:sz w:val="14"/>
                <w:szCs w:val="14"/>
                <w:color w:val="auto"/>
              </w:rPr>
              <w:t>1,262,327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1,232,139</w:t>
            </w:r>
          </w:p>
        </w:tc>
        <w:tc>
          <w:tcPr>
            <w:tcW w:w="980" w:type="dxa"/>
            <w:vAlign w:val="bottom"/>
          </w:tcPr>
          <w:p>
            <w:pPr>
              <w:jc w:val="center"/>
              <w:spacing w:after="0"/>
              <w:rPr>
                <w:sz w:val="20"/>
                <w:szCs w:val="20"/>
                <w:color w:val="auto"/>
              </w:rPr>
            </w:pPr>
            <w:r>
              <w:rPr>
                <w:rFonts w:ascii="Arial" w:cs="Arial" w:eastAsia="Arial" w:hAnsi="Arial"/>
                <w:sz w:val="14"/>
                <w:szCs w:val="14"/>
                <w:color w:val="auto"/>
              </w:rPr>
              <w:t>-2.4%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-13.7%</w:t>
            </w:r>
          </w:p>
        </w:tc>
      </w:tr>
      <w:tr>
        <w:trPr>
          <w:trHeight w:val="16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subsidiaries and associates investments</w:t>
            </w:r>
          </w:p>
        </w:tc>
        <w:tc>
          <w:tcPr>
            <w:tcW w:w="1320" w:type="dxa"/>
            <w:vAlign w:val="bottom"/>
          </w:tcPr>
          <w:p>
            <w:pPr>
              <w:jc w:val="center"/>
              <w:spacing w:after="0"/>
              <w:rPr>
                <w:sz w:val="20"/>
                <w:szCs w:val="20"/>
                <w:color w:val="auto"/>
              </w:rPr>
            </w:pPr>
            <w:r>
              <w:rPr>
                <w:rFonts w:ascii="Arial" w:cs="Arial" w:eastAsia="Arial" w:hAnsi="Arial"/>
                <w:sz w:val="14"/>
                <w:szCs w:val="14"/>
                <w:color w:val="auto"/>
              </w:rPr>
              <w:t>37,392,797</w:t>
            </w:r>
          </w:p>
        </w:tc>
        <w:tc>
          <w:tcPr>
            <w:tcW w:w="1360" w:type="dxa"/>
            <w:vAlign w:val="bottom"/>
          </w:tcPr>
          <w:p>
            <w:pPr>
              <w:jc w:val="center"/>
              <w:spacing w:after="0"/>
              <w:rPr>
                <w:sz w:val="20"/>
                <w:szCs w:val="20"/>
                <w:color w:val="auto"/>
              </w:rPr>
            </w:pPr>
            <w:r>
              <w:rPr>
                <w:rFonts w:ascii="Arial" w:cs="Arial" w:eastAsia="Arial" w:hAnsi="Arial"/>
                <w:sz w:val="14"/>
                <w:szCs w:val="14"/>
                <w:color w:val="auto"/>
              </w:rPr>
              <w:t>38,291,133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39,435,439</w:t>
            </w:r>
          </w:p>
        </w:tc>
        <w:tc>
          <w:tcPr>
            <w:tcW w:w="980" w:type="dxa"/>
            <w:vAlign w:val="bottom"/>
          </w:tcPr>
          <w:p>
            <w:pPr>
              <w:jc w:val="center"/>
              <w:spacing w:after="0"/>
              <w:rPr>
                <w:sz w:val="20"/>
                <w:szCs w:val="20"/>
                <w:color w:val="auto"/>
              </w:rPr>
            </w:pPr>
            <w:r>
              <w:rPr>
                <w:rFonts w:ascii="Arial" w:cs="Arial" w:eastAsia="Arial" w:hAnsi="Arial"/>
                <w:sz w:val="14"/>
                <w:szCs w:val="14"/>
                <w:color w:val="auto"/>
              </w:rPr>
              <w:t>3.0%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5.5%</w:t>
            </w:r>
          </w:p>
        </w:tc>
      </w:tr>
      <w:tr>
        <w:trPr>
          <w:trHeight w:val="16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Investments at amortized cost</w:t>
            </w:r>
          </w:p>
        </w:tc>
        <w:tc>
          <w:tcPr>
            <w:tcW w:w="1320" w:type="dxa"/>
            <w:vAlign w:val="bottom"/>
          </w:tcPr>
          <w:p>
            <w:pPr>
              <w:jc w:val="center"/>
              <w:spacing w:after="0"/>
              <w:rPr>
                <w:sz w:val="20"/>
                <w:szCs w:val="20"/>
                <w:color w:val="auto"/>
              </w:rPr>
            </w:pPr>
            <w:r>
              <w:rPr>
                <w:rFonts w:ascii="Arial" w:cs="Arial" w:eastAsia="Arial" w:hAnsi="Arial"/>
                <w:sz w:val="14"/>
                <w:szCs w:val="14"/>
                <w:color w:val="auto"/>
              </w:rPr>
              <w:t>640,723</w:t>
            </w:r>
          </w:p>
        </w:tc>
        <w:tc>
          <w:tcPr>
            <w:tcW w:w="1360" w:type="dxa"/>
            <w:vAlign w:val="bottom"/>
          </w:tcPr>
          <w:p>
            <w:pPr>
              <w:jc w:val="center"/>
              <w:spacing w:after="0"/>
              <w:rPr>
                <w:sz w:val="20"/>
                <w:szCs w:val="20"/>
                <w:color w:val="auto"/>
              </w:rPr>
            </w:pPr>
            <w:r>
              <w:rPr>
                <w:rFonts w:ascii="Arial" w:cs="Arial" w:eastAsia="Arial" w:hAnsi="Arial"/>
                <w:sz w:val="14"/>
                <w:szCs w:val="14"/>
                <w:color w:val="auto"/>
              </w:rPr>
              <w:t>695,652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686,418</w:t>
            </w:r>
          </w:p>
        </w:tc>
        <w:tc>
          <w:tcPr>
            <w:tcW w:w="980" w:type="dxa"/>
            <w:vAlign w:val="bottom"/>
          </w:tcPr>
          <w:p>
            <w:pPr>
              <w:jc w:val="center"/>
              <w:spacing w:after="0"/>
              <w:rPr>
                <w:sz w:val="20"/>
                <w:szCs w:val="20"/>
                <w:color w:val="auto"/>
              </w:rPr>
            </w:pPr>
            <w:r>
              <w:rPr>
                <w:rFonts w:ascii="Arial" w:cs="Arial" w:eastAsia="Arial" w:hAnsi="Arial"/>
                <w:sz w:val="14"/>
                <w:szCs w:val="14"/>
                <w:color w:val="auto"/>
              </w:rPr>
              <w:t>-1.3%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7.1%</w:t>
            </w:r>
          </w:p>
        </w:tc>
      </w:tr>
      <w:tr>
        <w:trPr>
          <w:trHeight w:val="16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Other assets</w:t>
            </w:r>
          </w:p>
        </w:tc>
        <w:tc>
          <w:tcPr>
            <w:tcW w:w="1320" w:type="dxa"/>
            <w:vAlign w:val="bottom"/>
          </w:tcPr>
          <w:p>
            <w:pPr>
              <w:jc w:val="center"/>
              <w:spacing w:after="0"/>
              <w:rPr>
                <w:sz w:val="20"/>
                <w:szCs w:val="20"/>
                <w:color w:val="auto"/>
              </w:rPr>
            </w:pPr>
            <w:r>
              <w:rPr>
                <w:rFonts w:ascii="Arial" w:cs="Arial" w:eastAsia="Arial" w:hAnsi="Arial"/>
                <w:sz w:val="14"/>
                <w:szCs w:val="14"/>
                <w:color w:val="auto"/>
              </w:rPr>
              <w:t>294,639</w:t>
            </w:r>
          </w:p>
        </w:tc>
        <w:tc>
          <w:tcPr>
            <w:tcW w:w="1360" w:type="dxa"/>
            <w:vAlign w:val="bottom"/>
          </w:tcPr>
          <w:p>
            <w:pPr>
              <w:jc w:val="center"/>
              <w:spacing w:after="0"/>
              <w:rPr>
                <w:sz w:val="20"/>
                <w:szCs w:val="20"/>
                <w:color w:val="auto"/>
              </w:rPr>
            </w:pPr>
            <w:r>
              <w:rPr>
                <w:rFonts w:ascii="Arial" w:cs="Arial" w:eastAsia="Arial" w:hAnsi="Arial"/>
                <w:sz w:val="14"/>
                <w:szCs w:val="14"/>
                <w:color w:val="auto"/>
              </w:rPr>
              <w:t>6,777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250,990</w:t>
            </w:r>
          </w:p>
        </w:tc>
        <w:tc>
          <w:tcPr>
            <w:tcW w:w="980" w:type="dxa"/>
            <w:vAlign w:val="bottom"/>
          </w:tcPr>
          <w:p>
            <w:pPr>
              <w:jc w:val="center"/>
              <w:spacing w:after="0"/>
              <w:rPr>
                <w:sz w:val="20"/>
                <w:szCs w:val="20"/>
                <w:color w:val="auto"/>
              </w:rPr>
            </w:pPr>
            <w:r>
              <w:rPr>
                <w:rFonts w:ascii="Arial" w:cs="Arial" w:eastAsia="Arial" w:hAnsi="Arial"/>
                <w:sz w:val="14"/>
                <w:szCs w:val="14"/>
                <w:color w:val="auto"/>
              </w:rPr>
              <w:t>n.a.</w:t>
            </w:r>
          </w:p>
        </w:tc>
        <w:tc>
          <w:tcPr>
            <w:tcW w:w="10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n.a.</w:t>
            </w:r>
          </w:p>
        </w:tc>
      </w:tr>
      <w:tr>
        <w:trPr>
          <w:trHeight w:val="196"/>
        </w:trPr>
        <w:tc>
          <w:tcPr>
            <w:tcW w:w="5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Total Assets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40,265,645</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40,655,832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42,004,803</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3.3%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4.3%</w:t>
            </w:r>
          </w:p>
        </w:tc>
      </w:tr>
      <w:tr>
        <w:trPr>
          <w:trHeight w:val="290"/>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LIABILITIES AND NET SHAREHOLDERS’ EQUITY</w:t>
            </w: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6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Due to banks, correspondents and other entities</w:t>
            </w:r>
          </w:p>
        </w:tc>
        <w:tc>
          <w:tcPr>
            <w:tcW w:w="13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3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n.a.</w:t>
            </w:r>
          </w:p>
        </w:tc>
        <w:tc>
          <w:tcPr>
            <w:tcW w:w="10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n.a.</w:t>
            </w:r>
          </w:p>
        </w:tc>
      </w:tr>
      <w:tr>
        <w:trPr>
          <w:trHeight w:val="16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Bonds and notes issued</w:t>
            </w:r>
          </w:p>
        </w:tc>
        <w:tc>
          <w:tcPr>
            <w:tcW w:w="1320" w:type="dxa"/>
            <w:vAlign w:val="bottom"/>
          </w:tcPr>
          <w:p>
            <w:pPr>
              <w:jc w:val="center"/>
              <w:spacing w:after="0"/>
              <w:rPr>
                <w:sz w:val="20"/>
                <w:szCs w:val="20"/>
                <w:color w:val="auto"/>
              </w:rPr>
            </w:pPr>
            <w:r>
              <w:rPr>
                <w:rFonts w:ascii="Arial" w:cs="Arial" w:eastAsia="Arial" w:hAnsi="Arial"/>
                <w:sz w:val="14"/>
                <w:szCs w:val="14"/>
                <w:color w:val="auto"/>
              </w:rPr>
              <w:t>1,816,584</w:t>
            </w:r>
          </w:p>
        </w:tc>
        <w:tc>
          <w:tcPr>
            <w:tcW w:w="1360" w:type="dxa"/>
            <w:vAlign w:val="bottom"/>
          </w:tcPr>
          <w:p>
            <w:pPr>
              <w:jc w:val="center"/>
              <w:spacing w:after="0"/>
              <w:rPr>
                <w:sz w:val="20"/>
                <w:szCs w:val="20"/>
                <w:color w:val="auto"/>
              </w:rPr>
            </w:pPr>
            <w:r>
              <w:rPr>
                <w:rFonts w:ascii="Arial" w:cs="Arial" w:eastAsia="Arial" w:hAnsi="Arial"/>
                <w:sz w:val="14"/>
                <w:szCs w:val="14"/>
                <w:color w:val="auto"/>
              </w:rPr>
              <w:t>1,829,657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1,796,058</w:t>
            </w:r>
          </w:p>
        </w:tc>
        <w:tc>
          <w:tcPr>
            <w:tcW w:w="980" w:type="dxa"/>
            <w:vAlign w:val="bottom"/>
          </w:tcPr>
          <w:p>
            <w:pPr>
              <w:jc w:val="center"/>
              <w:spacing w:after="0"/>
              <w:rPr>
                <w:sz w:val="20"/>
                <w:szCs w:val="20"/>
                <w:color w:val="auto"/>
              </w:rPr>
            </w:pPr>
            <w:r>
              <w:rPr>
                <w:rFonts w:ascii="Arial" w:cs="Arial" w:eastAsia="Arial" w:hAnsi="Arial"/>
                <w:sz w:val="14"/>
                <w:szCs w:val="14"/>
                <w:color w:val="auto"/>
              </w:rPr>
              <w:t>-1.8%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-1.1%</w:t>
            </w:r>
          </w:p>
        </w:tc>
      </w:tr>
      <w:tr>
        <w:trPr>
          <w:trHeight w:val="16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Other liabilities</w:t>
            </w:r>
          </w:p>
        </w:tc>
        <w:tc>
          <w:tcPr>
            <w:tcW w:w="1320" w:type="dxa"/>
            <w:vAlign w:val="bottom"/>
          </w:tcPr>
          <w:p>
            <w:pPr>
              <w:jc w:val="center"/>
              <w:spacing w:after="0"/>
              <w:rPr>
                <w:sz w:val="20"/>
                <w:szCs w:val="20"/>
                <w:color w:val="auto"/>
              </w:rPr>
            </w:pPr>
            <w:r>
              <w:rPr>
                <w:rFonts w:ascii="Arial" w:cs="Arial" w:eastAsia="Arial" w:hAnsi="Arial"/>
                <w:sz w:val="14"/>
                <w:szCs w:val="14"/>
                <w:color w:val="auto"/>
              </w:rPr>
              <w:t>296,682</w:t>
            </w:r>
          </w:p>
        </w:tc>
        <w:tc>
          <w:tcPr>
            <w:tcW w:w="1360" w:type="dxa"/>
            <w:vAlign w:val="bottom"/>
          </w:tcPr>
          <w:p>
            <w:pPr>
              <w:jc w:val="center"/>
              <w:spacing w:after="0"/>
              <w:rPr>
                <w:sz w:val="20"/>
                <w:szCs w:val="20"/>
                <w:color w:val="auto"/>
              </w:rPr>
            </w:pPr>
            <w:r>
              <w:rPr>
                <w:rFonts w:ascii="Arial" w:cs="Arial" w:eastAsia="Arial" w:hAnsi="Arial"/>
                <w:sz w:val="14"/>
                <w:szCs w:val="14"/>
                <w:color w:val="auto"/>
              </w:rPr>
              <w:t>230,660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276,279</w:t>
            </w:r>
          </w:p>
        </w:tc>
        <w:tc>
          <w:tcPr>
            <w:tcW w:w="980" w:type="dxa"/>
            <w:vAlign w:val="bottom"/>
          </w:tcPr>
          <w:p>
            <w:pPr>
              <w:jc w:val="center"/>
              <w:spacing w:after="0"/>
              <w:rPr>
                <w:sz w:val="20"/>
                <w:szCs w:val="20"/>
                <w:color w:val="auto"/>
              </w:rPr>
            </w:pPr>
            <w:r>
              <w:rPr>
                <w:rFonts w:ascii="Arial" w:cs="Arial" w:eastAsia="Arial" w:hAnsi="Arial"/>
                <w:sz w:val="14"/>
                <w:szCs w:val="14"/>
                <w:color w:val="auto"/>
              </w:rPr>
              <w:t>19.8%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-6.9%</w:t>
            </w:r>
          </w:p>
        </w:tc>
      </w:tr>
      <w:tr>
        <w:trPr>
          <w:trHeight w:val="196"/>
        </w:trPr>
        <w:tc>
          <w:tcPr>
            <w:tcW w:w="5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Total Liabilities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2,113,266</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2,060,317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2,072,337</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0.6%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-1.9%</w:t>
            </w:r>
          </w:p>
        </w:tc>
      </w:tr>
      <w:tr>
        <w:trPr>
          <w:trHeight w:val="290"/>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NET EQUITY</w:t>
            </w: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6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Capital stock</w:t>
            </w:r>
          </w:p>
        </w:tc>
        <w:tc>
          <w:tcPr>
            <w:tcW w:w="1320" w:type="dxa"/>
            <w:vAlign w:val="bottom"/>
          </w:tcPr>
          <w:p>
            <w:pPr>
              <w:jc w:val="center"/>
              <w:spacing w:after="0"/>
              <w:rPr>
                <w:sz w:val="20"/>
                <w:szCs w:val="20"/>
                <w:color w:val="auto"/>
              </w:rPr>
            </w:pPr>
            <w:r>
              <w:rPr>
                <w:rFonts w:ascii="Arial" w:cs="Arial" w:eastAsia="Arial" w:hAnsi="Arial"/>
                <w:sz w:val="14"/>
                <w:szCs w:val="14"/>
                <w:color w:val="auto"/>
              </w:rPr>
              <w:t>1,318,993</w:t>
            </w:r>
          </w:p>
        </w:tc>
        <w:tc>
          <w:tcPr>
            <w:tcW w:w="1360" w:type="dxa"/>
            <w:vAlign w:val="bottom"/>
          </w:tcPr>
          <w:p>
            <w:pPr>
              <w:jc w:val="center"/>
              <w:spacing w:after="0"/>
              <w:rPr>
                <w:sz w:val="20"/>
                <w:szCs w:val="20"/>
                <w:color w:val="auto"/>
              </w:rPr>
            </w:pPr>
            <w:r>
              <w:rPr>
                <w:rFonts w:ascii="Arial" w:cs="Arial" w:eastAsia="Arial" w:hAnsi="Arial"/>
                <w:sz w:val="14"/>
                <w:szCs w:val="14"/>
                <w:color w:val="auto"/>
              </w:rPr>
              <w:t>1,318,993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1,318,993</w:t>
            </w:r>
          </w:p>
        </w:tc>
        <w:tc>
          <w:tcPr>
            <w:tcW w:w="980" w:type="dxa"/>
            <w:vAlign w:val="bottom"/>
          </w:tcPr>
          <w:p>
            <w:pPr>
              <w:jc w:val="center"/>
              <w:spacing w:after="0"/>
              <w:rPr>
                <w:sz w:val="20"/>
                <w:szCs w:val="20"/>
                <w:color w:val="auto"/>
              </w:rPr>
            </w:pPr>
            <w:r>
              <w:rPr>
                <w:rFonts w:ascii="Arial" w:cs="Arial" w:eastAsia="Arial" w:hAnsi="Arial"/>
                <w:sz w:val="14"/>
                <w:szCs w:val="14"/>
                <w:color w:val="auto"/>
              </w:rPr>
              <w:t>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0.0%</w:t>
            </w:r>
          </w:p>
        </w:tc>
      </w:tr>
      <w:tr>
        <w:trPr>
          <w:trHeight w:val="16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Capital Surplus</w:t>
            </w:r>
          </w:p>
        </w:tc>
        <w:tc>
          <w:tcPr>
            <w:tcW w:w="1320" w:type="dxa"/>
            <w:vAlign w:val="bottom"/>
          </w:tcPr>
          <w:p>
            <w:pPr>
              <w:jc w:val="center"/>
              <w:spacing w:after="0"/>
              <w:rPr>
                <w:sz w:val="20"/>
                <w:szCs w:val="20"/>
                <w:color w:val="auto"/>
              </w:rPr>
            </w:pPr>
            <w:r>
              <w:rPr>
                <w:rFonts w:ascii="Arial" w:cs="Arial" w:eastAsia="Arial" w:hAnsi="Arial"/>
                <w:sz w:val="14"/>
                <w:szCs w:val="14"/>
                <w:color w:val="auto"/>
              </w:rPr>
              <w:t>384,542</w:t>
            </w:r>
          </w:p>
        </w:tc>
        <w:tc>
          <w:tcPr>
            <w:tcW w:w="1360" w:type="dxa"/>
            <w:vAlign w:val="bottom"/>
          </w:tcPr>
          <w:p>
            <w:pPr>
              <w:jc w:val="center"/>
              <w:spacing w:after="0"/>
              <w:rPr>
                <w:sz w:val="20"/>
                <w:szCs w:val="20"/>
                <w:color w:val="auto"/>
              </w:rPr>
            </w:pPr>
            <w:r>
              <w:rPr>
                <w:rFonts w:ascii="Arial" w:cs="Arial" w:eastAsia="Arial" w:hAnsi="Arial"/>
                <w:sz w:val="14"/>
                <w:szCs w:val="14"/>
                <w:color w:val="auto"/>
              </w:rPr>
              <w:t>384,542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384,542</w:t>
            </w:r>
          </w:p>
        </w:tc>
        <w:tc>
          <w:tcPr>
            <w:tcW w:w="980" w:type="dxa"/>
            <w:vAlign w:val="bottom"/>
          </w:tcPr>
          <w:p>
            <w:pPr>
              <w:jc w:val="center"/>
              <w:spacing w:after="0"/>
              <w:rPr>
                <w:sz w:val="20"/>
                <w:szCs w:val="20"/>
                <w:color w:val="auto"/>
              </w:rPr>
            </w:pPr>
            <w:r>
              <w:rPr>
                <w:rFonts w:ascii="Arial" w:cs="Arial" w:eastAsia="Arial" w:hAnsi="Arial"/>
                <w:sz w:val="14"/>
                <w:szCs w:val="14"/>
                <w:color w:val="auto"/>
              </w:rPr>
              <w:t>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0.0%</w:t>
            </w:r>
          </w:p>
        </w:tc>
      </w:tr>
      <w:tr>
        <w:trPr>
          <w:trHeight w:val="16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Reserve</w:t>
            </w:r>
          </w:p>
        </w:tc>
        <w:tc>
          <w:tcPr>
            <w:tcW w:w="1320" w:type="dxa"/>
            <w:vAlign w:val="bottom"/>
          </w:tcPr>
          <w:p>
            <w:pPr>
              <w:jc w:val="center"/>
              <w:spacing w:after="0"/>
              <w:rPr>
                <w:sz w:val="20"/>
                <w:szCs w:val="20"/>
                <w:color w:val="auto"/>
              </w:rPr>
            </w:pPr>
            <w:r>
              <w:rPr>
                <w:rFonts w:ascii="Arial" w:cs="Arial" w:eastAsia="Arial" w:hAnsi="Arial"/>
                <w:sz w:val="14"/>
                <w:szCs w:val="14"/>
                <w:color w:val="auto"/>
              </w:rPr>
              <w:t>25,910,975</w:t>
            </w:r>
          </w:p>
        </w:tc>
        <w:tc>
          <w:tcPr>
            <w:tcW w:w="1360" w:type="dxa"/>
            <w:vAlign w:val="bottom"/>
          </w:tcPr>
          <w:p>
            <w:pPr>
              <w:jc w:val="center"/>
              <w:spacing w:after="0"/>
              <w:rPr>
                <w:sz w:val="20"/>
                <w:szCs w:val="20"/>
                <w:color w:val="auto"/>
              </w:rPr>
            </w:pPr>
            <w:r>
              <w:rPr>
                <w:rFonts w:ascii="Arial" w:cs="Arial" w:eastAsia="Arial" w:hAnsi="Arial"/>
                <w:sz w:val="14"/>
                <w:szCs w:val="14"/>
                <w:color w:val="auto"/>
              </w:rPr>
              <w:t>26,651,390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32,291,005</w:t>
            </w:r>
          </w:p>
        </w:tc>
        <w:tc>
          <w:tcPr>
            <w:tcW w:w="980" w:type="dxa"/>
            <w:vAlign w:val="bottom"/>
          </w:tcPr>
          <w:p>
            <w:pPr>
              <w:jc w:val="center"/>
              <w:spacing w:after="0"/>
              <w:rPr>
                <w:sz w:val="20"/>
                <w:szCs w:val="20"/>
                <w:color w:val="auto"/>
              </w:rPr>
            </w:pPr>
            <w:r>
              <w:rPr>
                <w:rFonts w:ascii="Arial" w:cs="Arial" w:eastAsia="Arial" w:hAnsi="Arial"/>
                <w:sz w:val="14"/>
                <w:szCs w:val="14"/>
                <w:color w:val="auto"/>
              </w:rPr>
              <w:t>21.2%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24.6%</w:t>
            </w:r>
          </w:p>
        </w:tc>
      </w:tr>
      <w:tr>
        <w:trPr>
          <w:trHeight w:val="16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Unrealized results</w:t>
            </w:r>
          </w:p>
        </w:tc>
        <w:tc>
          <w:tcPr>
            <w:tcW w:w="1320" w:type="dxa"/>
            <w:vAlign w:val="bottom"/>
          </w:tcPr>
          <w:p>
            <w:pPr>
              <w:jc w:val="center"/>
              <w:spacing w:after="0"/>
              <w:rPr>
                <w:sz w:val="20"/>
                <w:szCs w:val="20"/>
                <w:color w:val="auto"/>
              </w:rPr>
            </w:pPr>
            <w:r>
              <w:rPr>
                <w:rFonts w:ascii="Arial" w:cs="Arial" w:eastAsia="Arial" w:hAnsi="Arial"/>
                <w:sz w:val="14"/>
                <w:szCs w:val="14"/>
                <w:color w:val="auto"/>
              </w:rPr>
              <w:t>17,616</w:t>
            </w:r>
          </w:p>
        </w:tc>
        <w:tc>
          <w:tcPr>
            <w:tcW w:w="1360" w:type="dxa"/>
            <w:vAlign w:val="bottom"/>
          </w:tcPr>
          <w:p>
            <w:pPr>
              <w:jc w:val="center"/>
              <w:spacing w:after="0"/>
              <w:rPr>
                <w:sz w:val="20"/>
                <w:szCs w:val="20"/>
                <w:color w:val="auto"/>
              </w:rPr>
            </w:pPr>
            <w:r>
              <w:rPr>
                <w:rFonts w:ascii="Arial" w:cs="Arial" w:eastAsia="Arial" w:hAnsi="Arial"/>
                <w:sz w:val="14"/>
                <w:szCs w:val="14"/>
                <w:color w:val="auto"/>
              </w:rPr>
              <w:t>35,535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(245,864)</w:t>
            </w:r>
          </w:p>
        </w:tc>
        <w:tc>
          <w:tcPr>
            <w:tcW w:w="980" w:type="dxa"/>
            <w:vAlign w:val="bottom"/>
          </w:tcPr>
          <w:p>
            <w:pPr>
              <w:jc w:val="center"/>
              <w:spacing w:after="0"/>
              <w:rPr>
                <w:sz w:val="20"/>
                <w:szCs w:val="20"/>
                <w:color w:val="auto"/>
              </w:rPr>
            </w:pPr>
            <w:r>
              <w:rPr>
                <w:rFonts w:ascii="Arial" w:cs="Arial" w:eastAsia="Arial" w:hAnsi="Arial"/>
                <w:sz w:val="14"/>
                <w:szCs w:val="14"/>
                <w:color w:val="auto"/>
              </w:rPr>
              <w:t>n.a.</w:t>
            </w:r>
          </w:p>
        </w:tc>
        <w:tc>
          <w:tcPr>
            <w:tcW w:w="10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n.a.</w:t>
            </w:r>
          </w:p>
        </w:tc>
      </w:tr>
      <w:tr>
        <w:trPr>
          <w:trHeight w:val="16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Retained earnings</w:t>
            </w:r>
          </w:p>
        </w:tc>
        <w:tc>
          <w:tcPr>
            <w:tcW w:w="1320" w:type="dxa"/>
            <w:vAlign w:val="bottom"/>
          </w:tcPr>
          <w:p>
            <w:pPr>
              <w:jc w:val="center"/>
              <w:spacing w:after="0"/>
              <w:rPr>
                <w:sz w:val="20"/>
                <w:szCs w:val="20"/>
                <w:color w:val="auto"/>
              </w:rPr>
            </w:pPr>
            <w:r>
              <w:rPr>
                <w:rFonts w:ascii="Arial" w:cs="Arial" w:eastAsia="Arial" w:hAnsi="Arial"/>
                <w:sz w:val="14"/>
                <w:szCs w:val="14"/>
                <w:color w:val="auto"/>
              </w:rPr>
              <w:t>10,520,253</w:t>
            </w:r>
          </w:p>
        </w:tc>
        <w:tc>
          <w:tcPr>
            <w:tcW w:w="1360" w:type="dxa"/>
            <w:vAlign w:val="bottom"/>
          </w:tcPr>
          <w:p>
            <w:pPr>
              <w:jc w:val="center"/>
              <w:spacing w:after="0"/>
              <w:rPr>
                <w:sz w:val="20"/>
                <w:szCs w:val="20"/>
                <w:color w:val="auto"/>
              </w:rPr>
            </w:pPr>
            <w:r>
              <w:rPr>
                <w:rFonts w:ascii="Arial" w:cs="Arial" w:eastAsia="Arial" w:hAnsi="Arial"/>
                <w:sz w:val="14"/>
                <w:szCs w:val="14"/>
                <w:color w:val="auto"/>
              </w:rPr>
              <w:t>10,205,055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6,183,790</w:t>
            </w:r>
          </w:p>
        </w:tc>
        <w:tc>
          <w:tcPr>
            <w:tcW w:w="980" w:type="dxa"/>
            <w:vAlign w:val="bottom"/>
          </w:tcPr>
          <w:p>
            <w:pPr>
              <w:jc w:val="center"/>
              <w:spacing w:after="0"/>
              <w:rPr>
                <w:sz w:val="20"/>
                <w:szCs w:val="20"/>
                <w:color w:val="auto"/>
              </w:rPr>
            </w:pPr>
            <w:r>
              <w:rPr>
                <w:rFonts w:ascii="Arial" w:cs="Arial" w:eastAsia="Arial" w:hAnsi="Arial"/>
                <w:sz w:val="14"/>
                <w:szCs w:val="14"/>
                <w:color w:val="auto"/>
              </w:rPr>
              <w:t>-39.4%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-41.2%</w:t>
            </w:r>
          </w:p>
        </w:tc>
      </w:tr>
      <w:tr>
        <w:trPr>
          <w:trHeight w:val="196"/>
        </w:trPr>
        <w:tc>
          <w:tcPr>
            <w:tcW w:w="5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Total net equity</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38,152,379</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38,595,515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39,932,466</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3.5%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4.7%</w:t>
            </w:r>
          </w:p>
        </w:tc>
      </w:tr>
      <w:tr>
        <w:trPr>
          <w:trHeight w:val="299"/>
        </w:trPr>
        <w:tc>
          <w:tcPr>
            <w:tcW w:w="5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40,265,645</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40,655,832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42,004,803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4.3%</w:t>
            </w:r>
          </w:p>
        </w:tc>
      </w:tr>
    </w:tbl>
    <w:p>
      <w:pPr>
        <w:spacing w:after="0" w:line="175"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Statement of Income</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(S/ Thousands, IFRS)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240" w:type="dxa"/>
            <w:vAlign w:val="bottom"/>
            <w:tcBorders>
              <w:top w:val="single" w:sz="8" w:color="auto"/>
              <w:left w:val="single" w:sz="8" w:color="auto"/>
              <w:right w:val="single" w:sz="8" w:color="auto"/>
            </w:tcBorders>
            <w:shd w:val="clear" w:color="auto" w:fill="33CCCC"/>
          </w:tcPr>
          <w:p>
            <w:pPr>
              <w:spacing w:after="0"/>
              <w:rPr>
                <w:sz w:val="17"/>
                <w:szCs w:val="17"/>
                <w:color w:val="auto"/>
              </w:rPr>
            </w:pPr>
          </w:p>
        </w:tc>
        <w:tc>
          <w:tcPr>
            <w:tcW w:w="1320" w:type="dxa"/>
            <w:vAlign w:val="bottom"/>
            <w:tcBorders>
              <w:top w:val="single" w:sz="8" w:color="auto"/>
            </w:tcBorders>
            <w:shd w:val="clear" w:color="auto" w:fill="33CCCC"/>
          </w:tcPr>
          <w:p>
            <w:pPr>
              <w:spacing w:after="0"/>
              <w:rPr>
                <w:sz w:val="17"/>
                <w:szCs w:val="17"/>
                <w:color w:val="auto"/>
              </w:rPr>
            </w:pPr>
          </w:p>
        </w:tc>
        <w:tc>
          <w:tcPr>
            <w:tcW w:w="1340" w:type="dxa"/>
            <w:vAlign w:val="bottom"/>
            <w:tcBorders>
              <w:top w:val="single" w:sz="8" w:color="auto"/>
            </w:tcBorders>
            <w:shd w:val="clear" w:color="auto" w:fill="33CCCC"/>
          </w:tcPr>
          <w:p>
            <w:pPr>
              <w:ind w:left="420"/>
              <w:spacing w:after="0"/>
              <w:rPr>
                <w:sz w:val="20"/>
                <w:szCs w:val="20"/>
                <w:color w:val="auto"/>
              </w:rPr>
            </w:pPr>
            <w:r>
              <w:rPr>
                <w:rFonts w:ascii="Arial" w:cs="Arial" w:eastAsia="Arial" w:hAnsi="Arial"/>
                <w:sz w:val="14"/>
                <w:szCs w:val="14"/>
                <w:b w:val="1"/>
                <w:bCs w:val="1"/>
                <w:color w:val="FFFFFF"/>
              </w:rPr>
              <w:t>Quarter</w:t>
            </w:r>
          </w:p>
        </w:tc>
        <w:tc>
          <w:tcPr>
            <w:tcW w:w="1380" w:type="dxa"/>
            <w:vAlign w:val="bottom"/>
            <w:tcBorders>
              <w:top w:val="single" w:sz="8" w:color="auto"/>
              <w:right w:val="single" w:sz="8" w:color="auto"/>
            </w:tcBorders>
            <w:shd w:val="clear" w:color="auto" w:fill="33CCCC"/>
          </w:tcPr>
          <w:p>
            <w:pPr>
              <w:spacing w:after="0"/>
              <w:rPr>
                <w:sz w:val="17"/>
                <w:szCs w:val="17"/>
                <w:color w:val="auto"/>
              </w:rPr>
            </w:pPr>
          </w:p>
        </w:tc>
        <w:tc>
          <w:tcPr>
            <w:tcW w:w="1980" w:type="dxa"/>
            <w:vAlign w:val="bottom"/>
            <w:tcBorders>
              <w:top w:val="single" w:sz="8" w:color="auto"/>
              <w:right w:val="single" w:sz="8" w:color="33CCCC"/>
            </w:tcBorders>
            <w:gridSpan w:val="2"/>
            <w:shd w:val="clear" w:color="auto" w:fill="33CCCC"/>
          </w:tcPr>
          <w:p>
            <w:pPr>
              <w:ind w:left="620"/>
              <w:spacing w:after="0"/>
              <w:rPr>
                <w:sz w:val="20"/>
                <w:szCs w:val="20"/>
                <w:color w:val="auto"/>
              </w:rPr>
            </w:pPr>
            <w:r>
              <w:rPr>
                <w:rFonts w:ascii="Arial" w:cs="Arial" w:eastAsia="Arial" w:hAnsi="Arial"/>
                <w:sz w:val="14"/>
                <w:szCs w:val="14"/>
                <w:b w:val="1"/>
                <w:bCs w:val="1"/>
                <w:color w:val="FFFFFF"/>
              </w:rPr>
              <w:t>% Change</w:t>
            </w:r>
          </w:p>
        </w:tc>
      </w:tr>
      <w:tr>
        <w:trPr>
          <w:trHeight w:val="162"/>
        </w:trPr>
        <w:tc>
          <w:tcPr>
            <w:tcW w:w="5240" w:type="dxa"/>
            <w:vAlign w:val="bottom"/>
            <w:tcBorders>
              <w:left w:val="single" w:sz="8" w:color="auto"/>
              <w:bottom w:val="single" w:sz="8" w:color="auto"/>
              <w:right w:val="single" w:sz="8" w:color="auto"/>
            </w:tcBorders>
            <w:shd w:val="clear" w:color="auto" w:fill="33CCCC"/>
          </w:tcPr>
          <w:p>
            <w:pPr>
              <w:spacing w:after="0"/>
              <w:rPr>
                <w:sz w:val="14"/>
                <w:szCs w:val="14"/>
                <w:color w:val="auto"/>
              </w:rPr>
            </w:pPr>
          </w:p>
        </w:tc>
        <w:tc>
          <w:tcPr>
            <w:tcW w:w="13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1Q24</w:t>
            </w:r>
          </w:p>
        </w:tc>
        <w:tc>
          <w:tcPr>
            <w:tcW w:w="13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w w:val="99"/>
              </w:rPr>
              <w:t>4Q24</w:t>
            </w:r>
          </w:p>
        </w:tc>
        <w:tc>
          <w:tcPr>
            <w:tcW w:w="13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1Q25</w:t>
            </w:r>
          </w:p>
        </w:tc>
        <w:tc>
          <w:tcPr>
            <w:tcW w:w="10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w w:val="98"/>
              </w:rPr>
              <w:t>QoQ</w:t>
            </w:r>
          </w:p>
        </w:tc>
        <w:tc>
          <w:tcPr>
            <w:tcW w:w="9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w w:val="95"/>
              </w:rPr>
              <w:t>YoY</w:t>
            </w:r>
          </w:p>
        </w:tc>
      </w:tr>
      <w:tr>
        <w:trPr>
          <w:trHeight w:val="146"/>
        </w:trPr>
        <w:tc>
          <w:tcPr>
            <w:tcW w:w="5240" w:type="dxa"/>
            <w:vAlign w:val="bottom"/>
            <w:tcBorders>
              <w:left w:val="single" w:sz="8" w:color="auto"/>
              <w:right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Interest income</w:t>
            </w:r>
          </w:p>
        </w:tc>
        <w:tc>
          <w:tcPr>
            <w:tcW w:w="1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r>
      <w:tr>
        <w:trPr>
          <w:trHeight w:val="162"/>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Net share of the income from investments in subsidiaries and associates</w:t>
            </w:r>
          </w:p>
        </w:tc>
        <w:tc>
          <w:tcPr>
            <w:tcW w:w="1320" w:type="dxa"/>
            <w:vAlign w:val="bottom"/>
          </w:tcPr>
          <w:p>
            <w:pPr>
              <w:jc w:val="center"/>
              <w:spacing w:after="0"/>
              <w:rPr>
                <w:sz w:val="20"/>
                <w:szCs w:val="20"/>
                <w:color w:val="auto"/>
              </w:rPr>
            </w:pPr>
            <w:r>
              <w:rPr>
                <w:rFonts w:ascii="Arial" w:cs="Arial" w:eastAsia="Arial" w:hAnsi="Arial"/>
                <w:sz w:val="14"/>
                <w:szCs w:val="14"/>
                <w:color w:val="auto"/>
              </w:rPr>
              <w:t>1,557,394</w:t>
            </w:r>
          </w:p>
        </w:tc>
        <w:tc>
          <w:tcPr>
            <w:tcW w:w="1340" w:type="dxa"/>
            <w:vAlign w:val="bottom"/>
          </w:tcPr>
          <w:p>
            <w:pPr>
              <w:jc w:val="center"/>
              <w:spacing w:after="0"/>
              <w:rPr>
                <w:sz w:val="20"/>
                <w:szCs w:val="20"/>
                <w:color w:val="auto"/>
              </w:rPr>
            </w:pPr>
            <w:r>
              <w:rPr>
                <w:rFonts w:ascii="Arial" w:cs="Arial" w:eastAsia="Arial" w:hAnsi="Arial"/>
                <w:sz w:val="14"/>
                <w:szCs w:val="14"/>
                <w:color w:val="auto"/>
              </w:rPr>
              <w:t>1,121,288</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1,660,468</w:t>
            </w:r>
          </w:p>
        </w:tc>
        <w:tc>
          <w:tcPr>
            <w:tcW w:w="1000" w:type="dxa"/>
            <w:vAlign w:val="bottom"/>
          </w:tcPr>
          <w:p>
            <w:pPr>
              <w:jc w:val="center"/>
              <w:spacing w:after="0"/>
              <w:rPr>
                <w:sz w:val="20"/>
                <w:szCs w:val="20"/>
                <w:color w:val="auto"/>
              </w:rPr>
            </w:pPr>
            <w:r>
              <w:rPr>
                <w:rFonts w:ascii="Arial" w:cs="Arial" w:eastAsia="Arial" w:hAnsi="Arial"/>
                <w:sz w:val="14"/>
                <w:szCs w:val="14"/>
                <w:color w:val="auto"/>
              </w:rPr>
              <w:t>48.1%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6.6%</w:t>
            </w:r>
          </w:p>
        </w:tc>
      </w:tr>
      <w:tr>
        <w:trPr>
          <w:trHeight w:val="162"/>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Interest and similar income</w:t>
            </w:r>
          </w:p>
        </w:tc>
        <w:tc>
          <w:tcPr>
            <w:tcW w:w="1320" w:type="dxa"/>
            <w:vAlign w:val="bottom"/>
          </w:tcPr>
          <w:p>
            <w:pPr>
              <w:jc w:val="center"/>
              <w:spacing w:after="0"/>
              <w:rPr>
                <w:sz w:val="20"/>
                <w:szCs w:val="20"/>
                <w:color w:val="auto"/>
              </w:rPr>
            </w:pPr>
            <w:r>
              <w:rPr>
                <w:rFonts w:ascii="Arial" w:cs="Arial" w:eastAsia="Arial" w:hAnsi="Arial"/>
                <w:sz w:val="14"/>
                <w:szCs w:val="14"/>
                <w:color w:val="auto"/>
              </w:rPr>
              <w:t>18,725</w:t>
            </w:r>
          </w:p>
        </w:tc>
        <w:tc>
          <w:tcPr>
            <w:tcW w:w="1340" w:type="dxa"/>
            <w:vAlign w:val="bottom"/>
          </w:tcPr>
          <w:p>
            <w:pPr>
              <w:jc w:val="center"/>
              <w:spacing w:after="0"/>
              <w:rPr>
                <w:sz w:val="20"/>
                <w:szCs w:val="20"/>
                <w:color w:val="auto"/>
              </w:rPr>
            </w:pPr>
            <w:r>
              <w:rPr>
                <w:rFonts w:ascii="Arial" w:cs="Arial" w:eastAsia="Arial" w:hAnsi="Arial"/>
                <w:sz w:val="14"/>
                <w:szCs w:val="14"/>
                <w:color w:val="auto"/>
              </w:rPr>
              <w:t>24,419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21,312</w:t>
            </w:r>
          </w:p>
        </w:tc>
        <w:tc>
          <w:tcPr>
            <w:tcW w:w="1000" w:type="dxa"/>
            <w:vAlign w:val="bottom"/>
          </w:tcPr>
          <w:p>
            <w:pPr>
              <w:jc w:val="center"/>
              <w:spacing w:after="0"/>
              <w:rPr>
                <w:sz w:val="20"/>
                <w:szCs w:val="20"/>
                <w:color w:val="auto"/>
              </w:rPr>
            </w:pPr>
            <w:r>
              <w:rPr>
                <w:rFonts w:ascii="Arial" w:cs="Arial" w:eastAsia="Arial" w:hAnsi="Arial"/>
                <w:sz w:val="14"/>
                <w:szCs w:val="14"/>
                <w:color w:val="auto"/>
              </w:rPr>
              <w:t>-12.7%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162"/>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Net gain on financial assets at fair value through profit or loss</w:t>
            </w:r>
          </w:p>
        </w:tc>
        <w:tc>
          <w:tcPr>
            <w:tcW w:w="1320" w:type="dxa"/>
            <w:vAlign w:val="bottom"/>
          </w:tcPr>
          <w:p>
            <w:pPr>
              <w:jc w:val="center"/>
              <w:spacing w:after="0"/>
              <w:rPr>
                <w:sz w:val="20"/>
                <w:szCs w:val="20"/>
                <w:color w:val="auto"/>
              </w:rPr>
            </w:pPr>
            <w:r>
              <w:rPr>
                <w:rFonts w:ascii="Arial" w:cs="Arial" w:eastAsia="Arial" w:hAnsi="Arial"/>
                <w:sz w:val="14"/>
                <w:szCs w:val="14"/>
                <w:color w:val="auto"/>
              </w:rPr>
              <w:t>1,234</w:t>
            </w:r>
          </w:p>
        </w:tc>
        <w:tc>
          <w:tcPr>
            <w:tcW w:w="1340" w:type="dxa"/>
            <w:vAlign w:val="bottom"/>
          </w:tcPr>
          <w:p>
            <w:pPr>
              <w:jc w:val="center"/>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tcPr>
          <w:p>
            <w:pPr>
              <w:jc w:val="center"/>
              <w:spacing w:after="0"/>
              <w:rPr>
                <w:sz w:val="20"/>
                <w:szCs w:val="20"/>
                <w:color w:val="auto"/>
              </w:rPr>
            </w:pPr>
            <w:r>
              <w:rPr>
                <w:rFonts w:ascii="Arial" w:cs="Arial" w:eastAsia="Arial" w:hAnsi="Arial"/>
                <w:sz w:val="14"/>
                <w:szCs w:val="14"/>
                <w:color w:val="auto"/>
              </w:rPr>
              <w:t>n.a.</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196"/>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Total income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1,577,353</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1,145,707</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1,681,780</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46.8%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6.6%</w:t>
            </w:r>
          </w:p>
        </w:tc>
      </w:tr>
      <w:tr>
        <w:trPr>
          <w:trHeight w:val="290"/>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Interest and similar expense</w:t>
            </w:r>
          </w:p>
        </w:tc>
        <w:tc>
          <w:tcPr>
            <w:tcW w:w="1320" w:type="dxa"/>
            <w:vAlign w:val="bottom"/>
          </w:tcPr>
          <w:p>
            <w:pPr>
              <w:jc w:val="center"/>
              <w:spacing w:after="0"/>
              <w:rPr>
                <w:sz w:val="20"/>
                <w:szCs w:val="20"/>
                <w:color w:val="auto"/>
              </w:rPr>
            </w:pPr>
            <w:r>
              <w:rPr>
                <w:rFonts w:ascii="Arial" w:cs="Arial" w:eastAsia="Arial" w:hAnsi="Arial"/>
                <w:sz w:val="14"/>
                <w:szCs w:val="14"/>
                <w:color w:val="auto"/>
              </w:rPr>
              <w:t>(13,565)</w:t>
            </w:r>
          </w:p>
        </w:tc>
        <w:tc>
          <w:tcPr>
            <w:tcW w:w="1340" w:type="dxa"/>
            <w:vAlign w:val="bottom"/>
          </w:tcPr>
          <w:p>
            <w:pPr>
              <w:jc w:val="center"/>
              <w:spacing w:after="0"/>
              <w:rPr>
                <w:sz w:val="20"/>
                <w:szCs w:val="20"/>
                <w:color w:val="auto"/>
              </w:rPr>
            </w:pPr>
            <w:r>
              <w:rPr>
                <w:rFonts w:ascii="Arial" w:cs="Arial" w:eastAsia="Arial" w:hAnsi="Arial"/>
                <w:sz w:val="14"/>
                <w:szCs w:val="14"/>
                <w:color w:val="auto"/>
              </w:rPr>
              <w:t>(13,637)</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(13,129)</w:t>
            </w:r>
          </w:p>
        </w:tc>
        <w:tc>
          <w:tcPr>
            <w:tcW w:w="1000" w:type="dxa"/>
            <w:vAlign w:val="bottom"/>
          </w:tcPr>
          <w:p>
            <w:pPr>
              <w:jc w:val="center"/>
              <w:spacing w:after="0"/>
              <w:rPr>
                <w:sz w:val="20"/>
                <w:szCs w:val="20"/>
                <w:color w:val="auto"/>
              </w:rPr>
            </w:pPr>
            <w:r>
              <w:rPr>
                <w:rFonts w:ascii="Arial" w:cs="Arial" w:eastAsia="Arial" w:hAnsi="Arial"/>
                <w:sz w:val="14"/>
                <w:szCs w:val="14"/>
                <w:color w:val="auto"/>
              </w:rPr>
              <w:t>-3.7%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-3.2%</w:t>
            </w:r>
          </w:p>
        </w:tc>
      </w:tr>
      <w:tr>
        <w:trPr>
          <w:trHeight w:val="162"/>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Administrative and general expenses</w:t>
            </w:r>
          </w:p>
        </w:tc>
        <w:tc>
          <w:tcPr>
            <w:tcW w:w="1320" w:type="dxa"/>
            <w:vAlign w:val="bottom"/>
          </w:tcPr>
          <w:p>
            <w:pPr>
              <w:jc w:val="center"/>
              <w:spacing w:after="0"/>
              <w:rPr>
                <w:sz w:val="20"/>
                <w:szCs w:val="20"/>
                <w:color w:val="auto"/>
              </w:rPr>
            </w:pPr>
            <w:r>
              <w:rPr>
                <w:rFonts w:ascii="Arial" w:cs="Arial" w:eastAsia="Arial" w:hAnsi="Arial"/>
                <w:sz w:val="14"/>
                <w:szCs w:val="14"/>
                <w:color w:val="auto"/>
              </w:rPr>
              <w:t>(4,802)</w:t>
            </w:r>
          </w:p>
        </w:tc>
        <w:tc>
          <w:tcPr>
            <w:tcW w:w="1340" w:type="dxa"/>
            <w:vAlign w:val="bottom"/>
          </w:tcPr>
          <w:p>
            <w:pPr>
              <w:jc w:val="center"/>
              <w:spacing w:after="0"/>
              <w:rPr>
                <w:sz w:val="20"/>
                <w:szCs w:val="20"/>
                <w:color w:val="auto"/>
              </w:rPr>
            </w:pPr>
            <w:r>
              <w:rPr>
                <w:rFonts w:ascii="Arial" w:cs="Arial" w:eastAsia="Arial" w:hAnsi="Arial"/>
                <w:sz w:val="14"/>
                <w:szCs w:val="14"/>
                <w:color w:val="auto"/>
              </w:rPr>
              <w:t>(4,134)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(4,958)</w:t>
            </w:r>
          </w:p>
        </w:tc>
        <w:tc>
          <w:tcPr>
            <w:tcW w:w="1000" w:type="dxa"/>
            <w:vAlign w:val="bottom"/>
          </w:tcPr>
          <w:p>
            <w:pPr>
              <w:jc w:val="center"/>
              <w:spacing w:after="0"/>
              <w:rPr>
                <w:sz w:val="20"/>
                <w:szCs w:val="20"/>
                <w:color w:val="auto"/>
              </w:rPr>
            </w:pPr>
            <w:r>
              <w:rPr>
                <w:rFonts w:ascii="Arial" w:cs="Arial" w:eastAsia="Arial" w:hAnsi="Arial"/>
                <w:sz w:val="14"/>
                <w:szCs w:val="14"/>
                <w:color w:val="auto"/>
              </w:rPr>
              <w:t>19.9%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3.2%</w:t>
            </w:r>
          </w:p>
        </w:tc>
      </w:tr>
      <w:tr>
        <w:trPr>
          <w:trHeight w:val="196"/>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(18,367)</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(17,771)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(18,087)</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1.8%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-1.5%</w:t>
            </w:r>
          </w:p>
        </w:tc>
      </w:tr>
      <w:tr>
        <w:trPr>
          <w:trHeight w:val="324"/>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1,558,986</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1,127,936</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1,663,693</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47.5%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6.7%</w:t>
            </w:r>
          </w:p>
        </w:tc>
      </w:tr>
      <w:tr>
        <w:trPr>
          <w:trHeight w:val="290"/>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Results from exchange differences</w:t>
            </w:r>
          </w:p>
        </w:tc>
        <w:tc>
          <w:tcPr>
            <w:tcW w:w="1320" w:type="dxa"/>
            <w:vAlign w:val="bottom"/>
          </w:tcPr>
          <w:p>
            <w:pPr>
              <w:jc w:val="center"/>
              <w:spacing w:after="0"/>
              <w:rPr>
                <w:sz w:val="20"/>
                <w:szCs w:val="20"/>
                <w:color w:val="auto"/>
              </w:rPr>
            </w:pPr>
            <w:r>
              <w:rPr>
                <w:rFonts w:ascii="Arial" w:cs="Arial" w:eastAsia="Arial" w:hAnsi="Arial"/>
                <w:sz w:val="14"/>
                <w:szCs w:val="14"/>
                <w:color w:val="auto"/>
              </w:rPr>
              <w:t>93</w:t>
            </w:r>
          </w:p>
        </w:tc>
        <w:tc>
          <w:tcPr>
            <w:tcW w:w="1340" w:type="dxa"/>
            <w:vAlign w:val="bottom"/>
          </w:tcPr>
          <w:p>
            <w:pPr>
              <w:jc w:val="center"/>
              <w:spacing w:after="0"/>
              <w:rPr>
                <w:sz w:val="20"/>
                <w:szCs w:val="20"/>
                <w:color w:val="auto"/>
              </w:rPr>
            </w:pPr>
            <w:r>
              <w:rPr>
                <w:rFonts w:ascii="Arial" w:cs="Arial" w:eastAsia="Arial" w:hAnsi="Arial"/>
                <w:sz w:val="14"/>
                <w:szCs w:val="14"/>
                <w:color w:val="auto"/>
              </w:rPr>
              <w:t>175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65</w:t>
            </w:r>
          </w:p>
        </w:tc>
        <w:tc>
          <w:tcPr>
            <w:tcW w:w="1000" w:type="dxa"/>
            <w:vAlign w:val="bottom"/>
          </w:tcPr>
          <w:p>
            <w:pPr>
              <w:jc w:val="center"/>
              <w:spacing w:after="0"/>
              <w:rPr>
                <w:sz w:val="20"/>
                <w:szCs w:val="20"/>
                <w:color w:val="auto"/>
              </w:rPr>
            </w:pPr>
            <w:r>
              <w:rPr>
                <w:rFonts w:ascii="Arial" w:cs="Arial" w:eastAsia="Arial" w:hAnsi="Arial"/>
                <w:sz w:val="14"/>
                <w:szCs w:val="14"/>
                <w:color w:val="auto"/>
              </w:rPr>
              <w:t>-62.9%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-30.1%</w:t>
            </w:r>
          </w:p>
        </w:tc>
      </w:tr>
      <w:tr>
        <w:trPr>
          <w:trHeight w:val="190"/>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Other, net</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111</w:t>
            </w:r>
          </w:p>
        </w:tc>
        <w:tc>
          <w:tcPr>
            <w:tcW w:w="1340" w:type="dxa"/>
            <w:vAlign w:val="bottom"/>
          </w:tcPr>
          <w:p>
            <w:pPr>
              <w:jc w:val="center"/>
              <w:spacing w:after="0"/>
              <w:rPr>
                <w:sz w:val="20"/>
                <w:szCs w:val="20"/>
                <w:color w:val="auto"/>
              </w:rPr>
            </w:pPr>
            <w:r>
              <w:rPr>
                <w:rFonts w:ascii="Arial" w:cs="Arial" w:eastAsia="Arial" w:hAnsi="Arial"/>
                <w:sz w:val="14"/>
                <w:szCs w:val="14"/>
                <w:color w:val="auto"/>
              </w:rPr>
              <w:t>(7)</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(295)</w:t>
            </w:r>
          </w:p>
        </w:tc>
        <w:tc>
          <w:tcPr>
            <w:tcW w:w="1000" w:type="dxa"/>
            <w:vAlign w:val="bottom"/>
          </w:tcPr>
          <w:p>
            <w:pPr>
              <w:jc w:val="center"/>
              <w:spacing w:after="0"/>
              <w:rPr>
                <w:sz w:val="20"/>
                <w:szCs w:val="20"/>
                <w:color w:val="auto"/>
              </w:rPr>
            </w:pPr>
            <w:r>
              <w:rPr>
                <w:rFonts w:ascii="Arial" w:cs="Arial" w:eastAsia="Arial" w:hAnsi="Arial"/>
                <w:sz w:val="14"/>
                <w:szCs w:val="14"/>
                <w:color w:val="auto"/>
              </w:rPr>
              <w:t>n.a.</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296"/>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Profit before income tax</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1,559,190</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1,128,104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1,663,463</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47.5%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6.7%</w:t>
            </w:r>
          </w:p>
        </w:tc>
      </w:tr>
      <w:tr>
        <w:trPr>
          <w:trHeight w:val="162"/>
        </w:trPr>
        <w:tc>
          <w:tcPr>
            <w:tcW w:w="5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Income tax</w:t>
            </w:r>
          </w:p>
        </w:tc>
        <w:tc>
          <w:tcPr>
            <w:tcW w:w="1320" w:type="dxa"/>
            <w:vAlign w:val="bottom"/>
          </w:tcPr>
          <w:p>
            <w:pPr>
              <w:jc w:val="center"/>
              <w:spacing w:after="0"/>
              <w:rPr>
                <w:sz w:val="20"/>
                <w:szCs w:val="20"/>
                <w:color w:val="auto"/>
              </w:rPr>
            </w:pPr>
            <w:r>
              <w:rPr>
                <w:rFonts w:ascii="Arial" w:cs="Arial" w:eastAsia="Arial" w:hAnsi="Arial"/>
                <w:sz w:val="14"/>
                <w:szCs w:val="14"/>
                <w:color w:val="auto"/>
              </w:rPr>
              <w:t>(43,104)</w:t>
            </w:r>
          </w:p>
        </w:tc>
        <w:tc>
          <w:tcPr>
            <w:tcW w:w="1340" w:type="dxa"/>
            <w:vAlign w:val="bottom"/>
          </w:tcPr>
          <w:p>
            <w:pPr>
              <w:jc w:val="center"/>
              <w:spacing w:after="0"/>
              <w:rPr>
                <w:sz w:val="20"/>
                <w:szCs w:val="20"/>
                <w:color w:val="auto"/>
              </w:rPr>
            </w:pPr>
            <w:r>
              <w:rPr>
                <w:rFonts w:ascii="Arial" w:cs="Arial" w:eastAsia="Arial" w:hAnsi="Arial"/>
                <w:sz w:val="14"/>
                <w:szCs w:val="14"/>
                <w:color w:val="auto"/>
              </w:rPr>
              <w:t>(8,612)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(45,071)</w:t>
            </w:r>
          </w:p>
        </w:tc>
        <w:tc>
          <w:tcPr>
            <w:tcW w:w="1000" w:type="dxa"/>
            <w:vAlign w:val="bottom"/>
          </w:tcPr>
          <w:p>
            <w:pPr>
              <w:jc w:val="center"/>
              <w:spacing w:after="0"/>
              <w:rPr>
                <w:sz w:val="20"/>
                <w:szCs w:val="20"/>
                <w:color w:val="auto"/>
              </w:rPr>
            </w:pPr>
            <w:r>
              <w:rPr>
                <w:rFonts w:ascii="Arial" w:cs="Arial" w:eastAsia="Arial" w:hAnsi="Arial"/>
                <w:sz w:val="14"/>
                <w:szCs w:val="14"/>
                <w:color w:val="auto"/>
              </w:rPr>
              <w:t>n.a.</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4.6%</w:t>
            </w:r>
          </w:p>
        </w:tc>
      </w:tr>
      <w:tr>
        <w:trPr>
          <w:trHeight w:val="171"/>
        </w:trPr>
        <w:tc>
          <w:tcPr>
            <w:tcW w:w="5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1,516,086</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1,119,492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1,618,392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44.6%</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6.7%</w:t>
            </w:r>
          </w:p>
        </w:tc>
      </w:tr>
      <w:tr>
        <w:trPr>
          <w:trHeight w:val="155"/>
        </w:trPr>
        <w:tc>
          <w:tcPr>
            <w:tcW w:w="5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r>
      <w:tr>
        <w:trPr>
          <w:trHeight w:val="155"/>
        </w:trPr>
        <w:tc>
          <w:tcPr>
            <w:tcW w:w="5240" w:type="dxa"/>
            <w:vAlign w:val="bottom"/>
            <w:tcBorders>
              <w:bottom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Double Leverage Ratio</w:t>
            </w:r>
          </w:p>
        </w:tc>
        <w:tc>
          <w:tcPr>
            <w:tcW w:w="13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98.0%</w:t>
            </w: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99.2%</w:t>
            </w:r>
          </w:p>
        </w:tc>
        <w:tc>
          <w:tcPr>
            <w:tcW w:w="13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98.8%</w:t>
            </w: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-46 bps</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75 bps</w:t>
            </w:r>
          </w:p>
        </w:tc>
      </w:tr>
    </w:tbl>
    <w:p>
      <w:pPr>
        <w:spacing w:after="0" w:line="34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3" w:name="page64"/>
    <w:bookmarkEnd w:id="63"/>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12.6.3 BCP Consolidated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5220" w:type="dxa"/>
            <w:vAlign w:val="bottom"/>
            <w:tcBorders>
              <w:top w:val="single" w:sz="8" w:color="auto"/>
              <w:left w:val="single" w:sz="8" w:color="auto"/>
              <w:right w:val="single" w:sz="8" w:color="auto"/>
            </w:tcBorders>
            <w:shd w:val="clear" w:color="auto" w:fill="33CCCC"/>
          </w:tcPr>
          <w:p>
            <w:pPr>
              <w:spacing w:after="0"/>
              <w:rPr>
                <w:sz w:val="11"/>
                <w:szCs w:val="11"/>
                <w:color w:val="auto"/>
              </w:rPr>
            </w:pPr>
          </w:p>
        </w:tc>
        <w:tc>
          <w:tcPr>
            <w:tcW w:w="1320" w:type="dxa"/>
            <w:vAlign w:val="bottom"/>
            <w:tcBorders>
              <w:top w:val="single" w:sz="8" w:color="auto"/>
            </w:tcBorders>
            <w:shd w:val="clear" w:color="auto" w:fill="33CCCC"/>
          </w:tcPr>
          <w:p>
            <w:pPr>
              <w:spacing w:after="0"/>
              <w:rPr>
                <w:sz w:val="11"/>
                <w:szCs w:val="11"/>
                <w:color w:val="auto"/>
              </w:rPr>
            </w:pPr>
          </w:p>
        </w:tc>
        <w:tc>
          <w:tcPr>
            <w:tcW w:w="1360" w:type="dxa"/>
            <w:vAlign w:val="bottom"/>
            <w:tcBorders>
              <w:top w:val="single" w:sz="8" w:color="auto"/>
            </w:tcBorders>
            <w:shd w:val="clear" w:color="auto" w:fill="33CCCC"/>
          </w:tcPr>
          <w:p>
            <w:pPr>
              <w:jc w:val="center"/>
              <w:spacing w:after="0" w:line="131" w:lineRule="exact"/>
              <w:rPr>
                <w:sz w:val="20"/>
                <w:szCs w:val="20"/>
                <w:color w:val="auto"/>
              </w:rPr>
            </w:pPr>
            <w:r>
              <w:rPr>
                <w:rFonts w:ascii="Arial" w:cs="Arial" w:eastAsia="Arial" w:hAnsi="Arial"/>
                <w:sz w:val="13"/>
                <w:szCs w:val="13"/>
                <w:b w:val="1"/>
                <w:bCs w:val="1"/>
                <w:color w:val="FFFFFF"/>
                <w:w w:val="98"/>
              </w:rPr>
              <w:t>As of</w:t>
            </w:r>
          </w:p>
        </w:tc>
        <w:tc>
          <w:tcPr>
            <w:tcW w:w="1360" w:type="dxa"/>
            <w:vAlign w:val="bottom"/>
            <w:tcBorders>
              <w:top w:val="single" w:sz="8" w:color="auto"/>
              <w:right w:val="single" w:sz="8" w:color="auto"/>
            </w:tcBorders>
            <w:shd w:val="clear" w:color="auto" w:fill="33CCCC"/>
          </w:tcPr>
          <w:p>
            <w:pPr>
              <w:spacing w:after="0"/>
              <w:rPr>
                <w:sz w:val="11"/>
                <w:szCs w:val="11"/>
                <w:color w:val="auto"/>
              </w:rPr>
            </w:pPr>
          </w:p>
        </w:tc>
        <w:tc>
          <w:tcPr>
            <w:tcW w:w="1280" w:type="dxa"/>
            <w:vAlign w:val="bottom"/>
            <w:tcBorders>
              <w:top w:val="single" w:sz="8" w:color="auto"/>
            </w:tcBorders>
            <w:shd w:val="clear" w:color="auto" w:fill="33CCCC"/>
          </w:tcPr>
          <w:p>
            <w:pPr>
              <w:ind w:left="680"/>
              <w:spacing w:after="0" w:line="131" w:lineRule="exact"/>
              <w:rPr>
                <w:sz w:val="20"/>
                <w:szCs w:val="20"/>
                <w:color w:val="auto"/>
              </w:rPr>
            </w:pPr>
            <w:r>
              <w:rPr>
                <w:rFonts w:ascii="Arial" w:cs="Arial" w:eastAsia="Arial" w:hAnsi="Arial"/>
                <w:sz w:val="13"/>
                <w:szCs w:val="13"/>
                <w:b w:val="1"/>
                <w:bCs w:val="1"/>
                <w:color w:val="FFFFFF"/>
                <w:w w:val="95"/>
              </w:rPr>
              <w:t>% change</w:t>
            </w:r>
          </w:p>
        </w:tc>
        <w:tc>
          <w:tcPr>
            <w:tcW w:w="700" w:type="dxa"/>
            <w:vAlign w:val="bottom"/>
            <w:tcBorders>
              <w:top w:val="single" w:sz="8" w:color="auto"/>
              <w:right w:val="single" w:sz="8" w:color="auto"/>
            </w:tcBorders>
            <w:shd w:val="clear" w:color="auto" w:fill="33CCCC"/>
          </w:tcPr>
          <w:p>
            <w:pPr>
              <w:spacing w:after="0"/>
              <w:rPr>
                <w:sz w:val="11"/>
                <w:szCs w:val="11"/>
                <w:color w:val="auto"/>
              </w:rPr>
            </w:pPr>
          </w:p>
        </w:tc>
      </w:tr>
      <w:tr>
        <w:trPr>
          <w:trHeight w:val="153"/>
        </w:trPr>
        <w:tc>
          <w:tcPr>
            <w:tcW w:w="5220" w:type="dxa"/>
            <w:vAlign w:val="bottom"/>
            <w:tcBorders>
              <w:left w:val="single" w:sz="8" w:color="auto"/>
              <w:bottom w:val="single" w:sz="8" w:color="auto"/>
              <w:right w:val="single" w:sz="8" w:color="auto"/>
            </w:tcBorders>
            <w:shd w:val="clear" w:color="auto" w:fill="33CCCC"/>
          </w:tcPr>
          <w:p>
            <w:pPr>
              <w:spacing w:after="0"/>
              <w:rPr>
                <w:sz w:val="13"/>
                <w:szCs w:val="13"/>
                <w:color w:val="auto"/>
              </w:rPr>
            </w:pPr>
          </w:p>
        </w:tc>
        <w:tc>
          <w:tcPr>
            <w:tcW w:w="1320" w:type="dxa"/>
            <w:vAlign w:val="bottom"/>
            <w:tcBorders>
              <w:bottom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Mar 24</w:t>
            </w:r>
          </w:p>
        </w:tc>
        <w:tc>
          <w:tcPr>
            <w:tcW w:w="13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5"/>
              </w:rPr>
              <w:t>Dec 24</w:t>
            </w:r>
          </w:p>
        </w:tc>
        <w:tc>
          <w:tcPr>
            <w:tcW w:w="136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Mar 25</w:t>
            </w:r>
          </w:p>
        </w:tc>
        <w:tc>
          <w:tcPr>
            <w:tcW w:w="1280" w:type="dxa"/>
            <w:vAlign w:val="bottom"/>
            <w:tcBorders>
              <w:bottom w:val="single" w:sz="8" w:color="auto"/>
            </w:tcBorders>
            <w:shd w:val="clear" w:color="auto" w:fill="33CCCC"/>
          </w:tcPr>
          <w:p>
            <w:pPr>
              <w:jc w:val="center"/>
              <w:ind w:right="217"/>
              <w:spacing w:after="0"/>
              <w:rPr>
                <w:sz w:val="20"/>
                <w:szCs w:val="20"/>
                <w:color w:val="auto"/>
              </w:rPr>
            </w:pPr>
            <w:r>
              <w:rPr>
                <w:rFonts w:ascii="Arial" w:cs="Arial" w:eastAsia="Arial" w:hAnsi="Arial"/>
                <w:sz w:val="13"/>
                <w:szCs w:val="13"/>
                <w:b w:val="1"/>
                <w:bCs w:val="1"/>
                <w:color w:val="FFFFFF"/>
                <w:w w:val="99"/>
              </w:rPr>
              <w:t>QoQ</w:t>
            </w:r>
          </w:p>
        </w:tc>
        <w:tc>
          <w:tcPr>
            <w:tcW w:w="700" w:type="dxa"/>
            <w:vAlign w:val="bottom"/>
            <w:tcBorders>
              <w:bottom w:val="single" w:sz="8" w:color="auto"/>
              <w:right w:val="single" w:sz="8" w:color="auto"/>
            </w:tcBorders>
            <w:shd w:val="clear" w:color="auto" w:fill="33CCCC"/>
          </w:tcPr>
          <w:p>
            <w:pPr>
              <w:ind w:left="80"/>
              <w:spacing w:after="0"/>
              <w:rPr>
                <w:sz w:val="20"/>
                <w:szCs w:val="20"/>
                <w:color w:val="auto"/>
              </w:rPr>
            </w:pPr>
            <w:r>
              <w:rPr>
                <w:rFonts w:ascii="Arial" w:cs="Arial" w:eastAsia="Arial" w:hAnsi="Arial"/>
                <w:sz w:val="13"/>
                <w:szCs w:val="13"/>
                <w:b w:val="1"/>
                <w:bCs w:val="1"/>
                <w:color w:val="FFFFFF"/>
              </w:rPr>
              <w:t>YoY</w:t>
            </w:r>
          </w:p>
        </w:tc>
      </w:tr>
      <w:tr>
        <w:trPr>
          <w:trHeight w:val="111"/>
        </w:trPr>
        <w:tc>
          <w:tcPr>
            <w:tcW w:w="5220" w:type="dxa"/>
            <w:vAlign w:val="bottom"/>
            <w:tcBorders>
              <w:left w:val="single" w:sz="8" w:color="auto"/>
              <w:right w:val="single" w:sz="8" w:color="auto"/>
            </w:tcBorders>
          </w:tcPr>
          <w:p>
            <w:pPr>
              <w:ind w:left="20"/>
              <w:spacing w:after="0" w:line="111" w:lineRule="exact"/>
              <w:rPr>
                <w:sz w:val="20"/>
                <w:szCs w:val="20"/>
                <w:color w:val="auto"/>
              </w:rPr>
            </w:pPr>
            <w:r>
              <w:rPr>
                <w:rFonts w:ascii="Arial" w:cs="Arial" w:eastAsia="Arial" w:hAnsi="Arial"/>
                <w:sz w:val="12"/>
                <w:szCs w:val="12"/>
                <w:b w:val="1"/>
                <w:bCs w:val="1"/>
                <w:color w:val="auto"/>
              </w:rPr>
              <w:t>ASSETS</w:t>
            </w:r>
          </w:p>
        </w:tc>
        <w:tc>
          <w:tcPr>
            <w:tcW w:w="1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Cash and due from banks</w:t>
            </w:r>
          </w:p>
        </w:tc>
        <w:tc>
          <w:tcPr>
            <w:tcW w:w="1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Non-interest bearing</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6"/>
              </w:rPr>
              <w:t>5,842,595</w:t>
            </w:r>
          </w:p>
        </w:tc>
        <w:tc>
          <w:tcPr>
            <w:tcW w:w="1360" w:type="dxa"/>
            <w:vAlign w:val="bottom"/>
          </w:tcPr>
          <w:p>
            <w:pPr>
              <w:jc w:val="center"/>
              <w:spacing w:after="0" w:line="135" w:lineRule="exact"/>
              <w:rPr>
                <w:sz w:val="20"/>
                <w:szCs w:val="20"/>
                <w:color w:val="auto"/>
              </w:rPr>
            </w:pPr>
            <w:r>
              <w:rPr>
                <w:rFonts w:ascii="Arial" w:cs="Arial" w:eastAsia="Arial" w:hAnsi="Arial"/>
                <w:sz w:val="13"/>
                <w:szCs w:val="13"/>
                <w:color w:val="auto"/>
                <w:w w:val="96"/>
              </w:rPr>
              <w:t>5,430,818</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5,330,664</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94"/>
              </w:rPr>
              <w:t>-1.8%</w:t>
            </w:r>
          </w:p>
        </w:tc>
        <w:tc>
          <w:tcPr>
            <w:tcW w:w="700" w:type="dxa"/>
            <w:vAlign w:val="bottom"/>
            <w:tcBorders>
              <w:right w:val="single" w:sz="8" w:color="auto"/>
            </w:tcBorders>
          </w:tcPr>
          <w:p>
            <w:pPr>
              <w:jc w:val="center"/>
              <w:ind w:right="237"/>
              <w:spacing w:after="0" w:line="135" w:lineRule="exact"/>
              <w:rPr>
                <w:sz w:val="20"/>
                <w:szCs w:val="20"/>
                <w:color w:val="auto"/>
              </w:rPr>
            </w:pPr>
            <w:r>
              <w:rPr>
                <w:rFonts w:ascii="Arial" w:cs="Arial" w:eastAsia="Arial" w:hAnsi="Arial"/>
                <w:sz w:val="13"/>
                <w:szCs w:val="13"/>
                <w:color w:val="auto"/>
                <w:w w:val="94"/>
              </w:rPr>
              <w:t>-8.8%</w:t>
            </w: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Interest bearing</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8"/>
              </w:rPr>
              <w:t>30,040,974</w:t>
            </w:r>
          </w:p>
        </w:tc>
        <w:tc>
          <w:tcPr>
            <w:tcW w:w="1360" w:type="dxa"/>
            <w:vAlign w:val="bottom"/>
          </w:tcPr>
          <w:p>
            <w:pPr>
              <w:jc w:val="center"/>
              <w:spacing w:after="0" w:line="135" w:lineRule="exact"/>
              <w:rPr>
                <w:sz w:val="20"/>
                <w:szCs w:val="20"/>
                <w:color w:val="auto"/>
              </w:rPr>
            </w:pPr>
            <w:r>
              <w:rPr>
                <w:rFonts w:ascii="Arial" w:cs="Arial" w:eastAsia="Arial" w:hAnsi="Arial"/>
                <w:sz w:val="13"/>
                <w:szCs w:val="13"/>
                <w:color w:val="auto"/>
                <w:w w:val="98"/>
              </w:rPr>
              <w:t>39,106,465</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35,977,823</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94"/>
              </w:rPr>
              <w:t>-8.0%</w:t>
            </w:r>
          </w:p>
        </w:tc>
        <w:tc>
          <w:tcPr>
            <w:tcW w:w="700" w:type="dxa"/>
            <w:vAlign w:val="bottom"/>
            <w:tcBorders>
              <w:right w:val="single" w:sz="8" w:color="auto"/>
            </w:tcBorders>
          </w:tcPr>
          <w:p>
            <w:pPr>
              <w:jc w:val="center"/>
              <w:ind w:right="237"/>
              <w:spacing w:after="0" w:line="135" w:lineRule="exact"/>
              <w:rPr>
                <w:sz w:val="20"/>
                <w:szCs w:val="20"/>
                <w:color w:val="auto"/>
              </w:rPr>
            </w:pPr>
            <w:r>
              <w:rPr>
                <w:rFonts w:ascii="Arial" w:cs="Arial" w:eastAsia="Arial" w:hAnsi="Arial"/>
                <w:sz w:val="13"/>
                <w:szCs w:val="13"/>
                <w:color w:val="auto"/>
                <w:w w:val="97"/>
              </w:rPr>
              <w:t>19.8%</w:t>
            </w:r>
          </w:p>
        </w:tc>
      </w:tr>
      <w:tr>
        <w:trPr>
          <w:trHeight w:val="17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cash and due from banks</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35,883,569</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8"/>
              </w:rPr>
              <w:t>44,537,283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41,308,487</w:t>
            </w:r>
          </w:p>
        </w:tc>
        <w:tc>
          <w:tcPr>
            <w:tcW w:w="1280" w:type="dxa"/>
            <w:vAlign w:val="bottom"/>
          </w:tcPr>
          <w:p>
            <w:pPr>
              <w:jc w:val="center"/>
              <w:ind w:right="217"/>
              <w:spacing w:after="0"/>
              <w:rPr>
                <w:sz w:val="20"/>
                <w:szCs w:val="20"/>
                <w:color w:val="auto"/>
              </w:rPr>
            </w:pPr>
            <w:r>
              <w:rPr>
                <w:rFonts w:ascii="Arial" w:cs="Arial" w:eastAsia="Arial" w:hAnsi="Arial"/>
                <w:sz w:val="13"/>
                <w:szCs w:val="13"/>
                <w:b w:val="1"/>
                <w:bCs w:val="1"/>
                <w:color w:val="auto"/>
                <w:w w:val="94"/>
              </w:rPr>
              <w:t>-7.2%</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7"/>
              </w:rPr>
              <w:t>15.1%</w:t>
            </w:r>
          </w:p>
        </w:tc>
      </w:tr>
      <w:tr>
        <w:trPr>
          <w:trHeight w:val="270"/>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Cash collateral, reverse repurchase agreements and securities borrowing</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3"/>
              </w:rPr>
              <w:t>415,202</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5"/>
              </w:rPr>
              <w:t>19,151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776,081</w:t>
            </w:r>
          </w:p>
        </w:tc>
        <w:tc>
          <w:tcPr>
            <w:tcW w:w="1280" w:type="dxa"/>
            <w:vAlign w:val="bottom"/>
          </w:tcPr>
          <w:p>
            <w:pPr>
              <w:jc w:val="center"/>
              <w:ind w:right="237"/>
              <w:spacing w:after="0"/>
              <w:rPr>
                <w:sz w:val="20"/>
                <w:szCs w:val="20"/>
                <w:color w:val="auto"/>
              </w:rPr>
            </w:pPr>
            <w:r>
              <w:rPr>
                <w:rFonts w:ascii="Arial" w:cs="Arial" w:eastAsia="Arial" w:hAnsi="Arial"/>
                <w:sz w:val="13"/>
                <w:szCs w:val="13"/>
                <w:b w:val="1"/>
                <w:bCs w:val="1"/>
                <w:color w:val="auto"/>
                <w:w w:val="95"/>
              </w:rPr>
              <w:t>n.a</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7"/>
              </w:rPr>
              <w:t>86.9%</w:t>
            </w:r>
          </w:p>
        </w:tc>
      </w:tr>
      <w:tr>
        <w:trPr>
          <w:trHeight w:val="233"/>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Fair value through profit or loss investments</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3"/>
              </w:rPr>
              <w:t>465,261</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7"/>
              </w:rPr>
              <w:t>603,635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537,503</w:t>
            </w:r>
          </w:p>
        </w:tc>
        <w:tc>
          <w:tcPr>
            <w:tcW w:w="1280" w:type="dxa"/>
            <w:vAlign w:val="bottom"/>
          </w:tcPr>
          <w:p>
            <w:pPr>
              <w:jc w:val="center"/>
              <w:ind w:right="217"/>
              <w:spacing w:after="0"/>
              <w:rPr>
                <w:sz w:val="20"/>
                <w:szCs w:val="20"/>
                <w:color w:val="auto"/>
              </w:rPr>
            </w:pPr>
            <w:r>
              <w:rPr>
                <w:rFonts w:ascii="Arial" w:cs="Arial" w:eastAsia="Arial" w:hAnsi="Arial"/>
                <w:sz w:val="13"/>
                <w:szCs w:val="13"/>
                <w:b w:val="1"/>
                <w:bCs w:val="1"/>
                <w:color w:val="auto"/>
                <w:w w:val="97"/>
              </w:rPr>
              <w:t>-11.0%</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7"/>
              </w:rPr>
              <w:t>15.5%</w:t>
            </w: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b w:val="1"/>
                <w:bCs w:val="1"/>
                <w:color w:val="auto"/>
              </w:rPr>
              <w:t>Fair value through other comprehensive income investments</w:t>
            </w: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21,739,359</w:t>
            </w:r>
          </w:p>
        </w:tc>
        <w:tc>
          <w:tcPr>
            <w:tcW w:w="13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23,375,769</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24,940,660</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b w:val="1"/>
                <w:bCs w:val="1"/>
                <w:color w:val="auto"/>
                <w:w w:val="94"/>
              </w:rPr>
              <w:t>6.7%</w:t>
            </w:r>
          </w:p>
        </w:tc>
        <w:tc>
          <w:tcPr>
            <w:tcW w:w="700" w:type="dxa"/>
            <w:vAlign w:val="bottom"/>
            <w:tcBorders>
              <w:right w:val="single" w:sz="8" w:color="auto"/>
            </w:tcBorders>
          </w:tcPr>
          <w:p>
            <w:pPr>
              <w:jc w:val="center"/>
              <w:ind w:right="237"/>
              <w:spacing w:after="0" w:line="135" w:lineRule="exact"/>
              <w:rPr>
                <w:sz w:val="20"/>
                <w:szCs w:val="20"/>
                <w:color w:val="auto"/>
              </w:rPr>
            </w:pPr>
            <w:r>
              <w:rPr>
                <w:rFonts w:ascii="Arial" w:cs="Arial" w:eastAsia="Arial" w:hAnsi="Arial"/>
                <w:sz w:val="13"/>
                <w:szCs w:val="13"/>
                <w:b w:val="1"/>
                <w:bCs w:val="1"/>
                <w:color w:val="auto"/>
                <w:w w:val="97"/>
              </w:rPr>
              <w:t>14.7%</w:t>
            </w:r>
          </w:p>
        </w:tc>
      </w:tr>
      <w:tr>
        <w:trPr>
          <w:trHeight w:val="17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Amortized cost investments</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9,389,695</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6"/>
              </w:rPr>
              <w:t>8,277,440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8,134,166</w:t>
            </w:r>
          </w:p>
        </w:tc>
        <w:tc>
          <w:tcPr>
            <w:tcW w:w="1280" w:type="dxa"/>
            <w:vAlign w:val="bottom"/>
          </w:tcPr>
          <w:p>
            <w:pPr>
              <w:jc w:val="center"/>
              <w:ind w:right="217"/>
              <w:spacing w:after="0"/>
              <w:rPr>
                <w:sz w:val="20"/>
                <w:szCs w:val="20"/>
                <w:color w:val="auto"/>
              </w:rPr>
            </w:pPr>
            <w:r>
              <w:rPr>
                <w:rFonts w:ascii="Arial" w:cs="Arial" w:eastAsia="Arial" w:hAnsi="Arial"/>
                <w:sz w:val="13"/>
                <w:szCs w:val="13"/>
                <w:b w:val="1"/>
                <w:bCs w:val="1"/>
                <w:color w:val="auto"/>
                <w:w w:val="94"/>
              </w:rPr>
              <w:t>-1.7%</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7"/>
              </w:rPr>
              <w:t>-13.4%</w:t>
            </w:r>
          </w:p>
        </w:tc>
      </w:tr>
      <w:tr>
        <w:trPr>
          <w:trHeight w:val="233"/>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Loans</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127,359,955</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6"/>
              </w:rPr>
              <w:t>132,053,791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131,470,639</w:t>
            </w:r>
          </w:p>
        </w:tc>
        <w:tc>
          <w:tcPr>
            <w:tcW w:w="1280" w:type="dxa"/>
            <w:vAlign w:val="bottom"/>
          </w:tcPr>
          <w:p>
            <w:pPr>
              <w:jc w:val="center"/>
              <w:ind w:right="217"/>
              <w:spacing w:after="0"/>
              <w:rPr>
                <w:sz w:val="20"/>
                <w:szCs w:val="20"/>
                <w:color w:val="auto"/>
              </w:rPr>
            </w:pPr>
            <w:r>
              <w:rPr>
                <w:rFonts w:ascii="Arial" w:cs="Arial" w:eastAsia="Arial" w:hAnsi="Arial"/>
                <w:sz w:val="13"/>
                <w:szCs w:val="13"/>
                <w:b w:val="1"/>
                <w:bCs w:val="1"/>
                <w:color w:val="auto"/>
                <w:w w:val="94"/>
              </w:rPr>
              <w:t>-0.4%</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4"/>
              </w:rPr>
              <w:t>3.2%</w:t>
            </w: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Current</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6"/>
              </w:rPr>
              <w:t>121,494,564</w:t>
            </w:r>
          </w:p>
        </w:tc>
        <w:tc>
          <w:tcPr>
            <w:tcW w:w="1360" w:type="dxa"/>
            <w:vAlign w:val="bottom"/>
          </w:tcPr>
          <w:p>
            <w:pPr>
              <w:jc w:val="center"/>
              <w:spacing w:after="0" w:line="135" w:lineRule="exact"/>
              <w:rPr>
                <w:sz w:val="20"/>
                <w:szCs w:val="20"/>
                <w:color w:val="auto"/>
              </w:rPr>
            </w:pPr>
            <w:r>
              <w:rPr>
                <w:rFonts w:ascii="Arial" w:cs="Arial" w:eastAsia="Arial" w:hAnsi="Arial"/>
                <w:sz w:val="13"/>
                <w:szCs w:val="13"/>
                <w:color w:val="auto"/>
                <w:w w:val="96"/>
              </w:rPr>
              <w:t>126,990,918</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126,570,181</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94"/>
              </w:rPr>
              <w:t>-0.3%</w:t>
            </w:r>
          </w:p>
        </w:tc>
        <w:tc>
          <w:tcPr>
            <w:tcW w:w="700" w:type="dxa"/>
            <w:vAlign w:val="bottom"/>
            <w:tcBorders>
              <w:right w:val="single" w:sz="8" w:color="auto"/>
            </w:tcBorders>
          </w:tcPr>
          <w:p>
            <w:pPr>
              <w:jc w:val="center"/>
              <w:ind w:right="237"/>
              <w:spacing w:after="0" w:line="135" w:lineRule="exact"/>
              <w:rPr>
                <w:sz w:val="20"/>
                <w:szCs w:val="20"/>
                <w:color w:val="auto"/>
              </w:rPr>
            </w:pPr>
            <w:r>
              <w:rPr>
                <w:rFonts w:ascii="Arial" w:cs="Arial" w:eastAsia="Arial" w:hAnsi="Arial"/>
                <w:sz w:val="13"/>
                <w:szCs w:val="13"/>
                <w:color w:val="auto"/>
                <w:w w:val="94"/>
              </w:rPr>
              <w:t>4.2%</w:t>
            </w: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Internal overdue loans</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6"/>
              </w:rPr>
              <w:t>5,865,391</w:t>
            </w:r>
          </w:p>
        </w:tc>
        <w:tc>
          <w:tcPr>
            <w:tcW w:w="1360" w:type="dxa"/>
            <w:vAlign w:val="bottom"/>
          </w:tcPr>
          <w:p>
            <w:pPr>
              <w:jc w:val="center"/>
              <w:spacing w:after="0" w:line="135" w:lineRule="exact"/>
              <w:rPr>
                <w:sz w:val="20"/>
                <w:szCs w:val="20"/>
                <w:color w:val="auto"/>
              </w:rPr>
            </w:pPr>
            <w:r>
              <w:rPr>
                <w:rFonts w:ascii="Arial" w:cs="Arial" w:eastAsia="Arial" w:hAnsi="Arial"/>
                <w:sz w:val="13"/>
                <w:szCs w:val="13"/>
                <w:color w:val="auto"/>
                <w:w w:val="96"/>
              </w:rPr>
              <w:t>5,062,873</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4,900,458</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94"/>
              </w:rPr>
              <w:t>-3.2%</w:t>
            </w:r>
          </w:p>
        </w:tc>
        <w:tc>
          <w:tcPr>
            <w:tcW w:w="700" w:type="dxa"/>
            <w:vAlign w:val="bottom"/>
            <w:tcBorders>
              <w:right w:val="single" w:sz="8" w:color="auto"/>
            </w:tcBorders>
          </w:tcPr>
          <w:p>
            <w:pPr>
              <w:jc w:val="center"/>
              <w:ind w:right="237"/>
              <w:spacing w:after="0" w:line="135" w:lineRule="exact"/>
              <w:rPr>
                <w:sz w:val="20"/>
                <w:szCs w:val="20"/>
                <w:color w:val="auto"/>
              </w:rPr>
            </w:pPr>
            <w:r>
              <w:rPr>
                <w:rFonts w:ascii="Arial" w:cs="Arial" w:eastAsia="Arial" w:hAnsi="Arial"/>
                <w:sz w:val="13"/>
                <w:szCs w:val="13"/>
                <w:color w:val="auto"/>
                <w:w w:val="97"/>
              </w:rPr>
              <w:t>-16.5%</w:t>
            </w: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Less - allowance for loan losses</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6"/>
              </w:rPr>
              <w:t>(7,663,849)</w:t>
            </w:r>
          </w:p>
        </w:tc>
        <w:tc>
          <w:tcPr>
            <w:tcW w:w="1360" w:type="dxa"/>
            <w:vAlign w:val="bottom"/>
          </w:tcPr>
          <w:p>
            <w:pPr>
              <w:jc w:val="center"/>
              <w:spacing w:after="0" w:line="135" w:lineRule="exact"/>
              <w:rPr>
                <w:sz w:val="20"/>
                <w:szCs w:val="20"/>
                <w:color w:val="auto"/>
              </w:rPr>
            </w:pPr>
            <w:r>
              <w:rPr>
                <w:rFonts w:ascii="Arial" w:cs="Arial" w:eastAsia="Arial" w:hAnsi="Arial"/>
                <w:sz w:val="13"/>
                <w:szCs w:val="13"/>
                <w:color w:val="auto"/>
                <w:w w:val="96"/>
              </w:rPr>
              <w:t>(7,443,523)</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(7,323,541)</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94"/>
              </w:rPr>
              <w:t>-1.6%</w:t>
            </w:r>
          </w:p>
        </w:tc>
        <w:tc>
          <w:tcPr>
            <w:tcW w:w="700" w:type="dxa"/>
            <w:vAlign w:val="bottom"/>
            <w:tcBorders>
              <w:right w:val="single" w:sz="8" w:color="auto"/>
            </w:tcBorders>
          </w:tcPr>
          <w:p>
            <w:pPr>
              <w:jc w:val="center"/>
              <w:ind w:right="237"/>
              <w:spacing w:after="0" w:line="135" w:lineRule="exact"/>
              <w:rPr>
                <w:sz w:val="20"/>
                <w:szCs w:val="20"/>
                <w:color w:val="auto"/>
              </w:rPr>
            </w:pPr>
            <w:r>
              <w:rPr>
                <w:rFonts w:ascii="Arial" w:cs="Arial" w:eastAsia="Arial" w:hAnsi="Arial"/>
                <w:sz w:val="13"/>
                <w:szCs w:val="13"/>
                <w:color w:val="auto"/>
                <w:w w:val="94"/>
              </w:rPr>
              <w:t>-4.4%</w:t>
            </w:r>
          </w:p>
        </w:tc>
      </w:tr>
      <w:tr>
        <w:trPr>
          <w:trHeight w:val="166"/>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Loans, net</w:t>
            </w: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119,696,106</w:t>
            </w:r>
          </w:p>
        </w:tc>
        <w:tc>
          <w:tcPr>
            <w:tcW w:w="1360" w:type="dxa"/>
            <w:vAlign w:val="bottom"/>
          </w:tcPr>
          <w:p>
            <w:pPr>
              <w:jc w:val="center"/>
              <w:spacing w:after="0"/>
              <w:rPr>
                <w:sz w:val="20"/>
                <w:szCs w:val="20"/>
                <w:color w:val="auto"/>
              </w:rPr>
            </w:pPr>
            <w:r>
              <w:rPr>
                <w:rFonts w:ascii="Arial" w:cs="Arial" w:eastAsia="Arial" w:hAnsi="Arial"/>
                <w:sz w:val="13"/>
                <w:szCs w:val="13"/>
                <w:color w:val="auto"/>
                <w:w w:val="96"/>
              </w:rPr>
              <w:t>124,610,268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124,147,098</w:t>
            </w:r>
          </w:p>
        </w:tc>
        <w:tc>
          <w:tcPr>
            <w:tcW w:w="1280" w:type="dxa"/>
            <w:vAlign w:val="bottom"/>
          </w:tcPr>
          <w:p>
            <w:pPr>
              <w:jc w:val="center"/>
              <w:ind w:right="217"/>
              <w:spacing w:after="0"/>
              <w:rPr>
                <w:sz w:val="20"/>
                <w:szCs w:val="20"/>
                <w:color w:val="auto"/>
              </w:rPr>
            </w:pPr>
            <w:r>
              <w:rPr>
                <w:rFonts w:ascii="Arial" w:cs="Arial" w:eastAsia="Arial" w:hAnsi="Arial"/>
                <w:sz w:val="13"/>
                <w:szCs w:val="13"/>
                <w:color w:val="auto"/>
                <w:w w:val="94"/>
              </w:rPr>
              <w:t>-0.4%</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color w:val="auto"/>
                <w:w w:val="94"/>
              </w:rPr>
              <w:t>3.7%</w:t>
            </w:r>
          </w:p>
        </w:tc>
      </w:tr>
      <w:tr>
        <w:trPr>
          <w:trHeight w:val="239"/>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Property, furniture and equipment, net </w:t>
            </w:r>
            <w:r>
              <w:rPr>
                <w:rFonts w:ascii="Arial" w:cs="Arial" w:eastAsia="Arial" w:hAnsi="Arial"/>
                <w:sz w:val="20"/>
                <w:szCs w:val="20"/>
                <w:b w:val="1"/>
                <w:bCs w:val="1"/>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1,512,734</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6"/>
              </w:rPr>
              <w:t>1,496,066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1,643,626</w:t>
            </w:r>
          </w:p>
        </w:tc>
        <w:tc>
          <w:tcPr>
            <w:tcW w:w="1280" w:type="dxa"/>
            <w:vAlign w:val="bottom"/>
          </w:tcPr>
          <w:p>
            <w:pPr>
              <w:jc w:val="center"/>
              <w:ind w:right="217"/>
              <w:spacing w:after="0"/>
              <w:rPr>
                <w:sz w:val="20"/>
                <w:szCs w:val="20"/>
                <w:color w:val="auto"/>
              </w:rPr>
            </w:pPr>
            <w:r>
              <w:rPr>
                <w:rFonts w:ascii="Arial" w:cs="Arial" w:eastAsia="Arial" w:hAnsi="Arial"/>
                <w:sz w:val="13"/>
                <w:szCs w:val="13"/>
                <w:b w:val="1"/>
                <w:bCs w:val="1"/>
                <w:color w:val="auto"/>
                <w:w w:val="94"/>
              </w:rPr>
              <w:t>9.9%</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4"/>
              </w:rPr>
              <w:t>8.7%</w:t>
            </w: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b w:val="1"/>
                <w:bCs w:val="1"/>
                <w:color w:val="auto"/>
              </w:rPr>
              <w:t>Due from customers on acceptances</w:t>
            </w: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322,346</w:t>
            </w:r>
          </w:p>
        </w:tc>
        <w:tc>
          <w:tcPr>
            <w:tcW w:w="13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528,184</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639,749</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b w:val="1"/>
                <w:bCs w:val="1"/>
                <w:color w:val="auto"/>
                <w:w w:val="97"/>
              </w:rPr>
              <w:t>21.1%</w:t>
            </w:r>
          </w:p>
        </w:tc>
        <w:tc>
          <w:tcPr>
            <w:tcW w:w="700" w:type="dxa"/>
            <w:vAlign w:val="bottom"/>
            <w:tcBorders>
              <w:right w:val="single" w:sz="8" w:color="auto"/>
            </w:tcBorders>
          </w:tcPr>
          <w:p>
            <w:pPr>
              <w:jc w:val="center"/>
              <w:ind w:right="237"/>
              <w:spacing w:after="0" w:line="135" w:lineRule="exact"/>
              <w:rPr>
                <w:sz w:val="20"/>
                <w:szCs w:val="20"/>
                <w:color w:val="auto"/>
              </w:rPr>
            </w:pPr>
            <w:r>
              <w:rPr>
                <w:rFonts w:ascii="Arial" w:cs="Arial" w:eastAsia="Arial" w:hAnsi="Arial"/>
                <w:sz w:val="13"/>
                <w:szCs w:val="13"/>
                <w:b w:val="1"/>
                <w:bCs w:val="1"/>
                <w:color w:val="auto"/>
                <w:w w:val="97"/>
              </w:rPr>
              <w:t>98.5%</w:t>
            </w:r>
          </w:p>
        </w:tc>
      </w:tr>
      <w:tr>
        <w:trPr>
          <w:trHeight w:val="129"/>
        </w:trPr>
        <w:tc>
          <w:tcPr>
            <w:tcW w:w="5220" w:type="dxa"/>
            <w:vAlign w:val="bottom"/>
            <w:tcBorders>
              <w:left w:val="single" w:sz="8" w:color="auto"/>
              <w:right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Investments in associates</w:t>
            </w:r>
          </w:p>
        </w:tc>
        <w:tc>
          <w:tcPr>
            <w:tcW w:w="13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23,270</w:t>
            </w:r>
          </w:p>
        </w:tc>
        <w:tc>
          <w:tcPr>
            <w:tcW w:w="13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5"/>
              </w:rPr>
              <w:t>29,368</w:t>
            </w:r>
          </w:p>
        </w:tc>
        <w:tc>
          <w:tcPr>
            <w:tcW w:w="13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24,738</w:t>
            </w:r>
          </w:p>
        </w:tc>
        <w:tc>
          <w:tcPr>
            <w:tcW w:w="1280" w:type="dxa"/>
            <w:vAlign w:val="bottom"/>
          </w:tcPr>
          <w:p>
            <w:pPr>
              <w:jc w:val="center"/>
              <w:ind w:right="217"/>
              <w:spacing w:after="0" w:line="129" w:lineRule="exact"/>
              <w:rPr>
                <w:sz w:val="20"/>
                <w:szCs w:val="20"/>
                <w:color w:val="auto"/>
              </w:rPr>
            </w:pPr>
            <w:r>
              <w:rPr>
                <w:rFonts w:ascii="Arial" w:cs="Arial" w:eastAsia="Arial" w:hAnsi="Arial"/>
                <w:sz w:val="13"/>
                <w:szCs w:val="13"/>
                <w:b w:val="1"/>
                <w:bCs w:val="1"/>
                <w:color w:val="auto"/>
                <w:w w:val="97"/>
              </w:rPr>
              <w:t>-15.8%</w:t>
            </w:r>
          </w:p>
        </w:tc>
        <w:tc>
          <w:tcPr>
            <w:tcW w:w="700" w:type="dxa"/>
            <w:vAlign w:val="bottom"/>
            <w:tcBorders>
              <w:right w:val="single" w:sz="8" w:color="auto"/>
            </w:tcBorders>
          </w:tcPr>
          <w:p>
            <w:pPr>
              <w:jc w:val="center"/>
              <w:ind w:right="237"/>
              <w:spacing w:after="0" w:line="129" w:lineRule="exact"/>
              <w:rPr>
                <w:sz w:val="20"/>
                <w:szCs w:val="20"/>
                <w:color w:val="auto"/>
              </w:rPr>
            </w:pPr>
            <w:r>
              <w:rPr>
                <w:rFonts w:ascii="Arial" w:cs="Arial" w:eastAsia="Arial" w:hAnsi="Arial"/>
                <w:sz w:val="13"/>
                <w:szCs w:val="13"/>
                <w:b w:val="1"/>
                <w:bCs w:val="1"/>
                <w:color w:val="auto"/>
                <w:w w:val="94"/>
              </w:rPr>
              <w:t>6.3%</w:t>
            </w:r>
          </w:p>
        </w:tc>
      </w:tr>
      <w:tr>
        <w:trPr>
          <w:trHeight w:val="276"/>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Other assets </w:t>
            </w:r>
            <w:r>
              <w:rPr>
                <w:rFonts w:ascii="Arial" w:cs="Arial" w:eastAsia="Arial" w:hAnsi="Arial"/>
                <w:sz w:val="20"/>
                <w:szCs w:val="20"/>
                <w:b w:val="1"/>
                <w:bCs w:val="1"/>
                <w:color w:val="auto"/>
                <w:vertAlign w:val="superscript"/>
              </w:rPr>
              <w:t>(2)</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6,955,937</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6"/>
              </w:rPr>
              <w:t>7,500,552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8,045,520</w:t>
            </w:r>
          </w:p>
        </w:tc>
        <w:tc>
          <w:tcPr>
            <w:tcW w:w="1280" w:type="dxa"/>
            <w:vAlign w:val="bottom"/>
          </w:tcPr>
          <w:p>
            <w:pPr>
              <w:jc w:val="center"/>
              <w:ind w:right="217"/>
              <w:spacing w:after="0"/>
              <w:rPr>
                <w:sz w:val="20"/>
                <w:szCs w:val="20"/>
                <w:color w:val="auto"/>
              </w:rPr>
            </w:pPr>
            <w:r>
              <w:rPr>
                <w:rFonts w:ascii="Arial" w:cs="Arial" w:eastAsia="Arial" w:hAnsi="Arial"/>
                <w:sz w:val="13"/>
                <w:szCs w:val="13"/>
                <w:b w:val="1"/>
                <w:bCs w:val="1"/>
                <w:color w:val="auto"/>
                <w:w w:val="94"/>
              </w:rPr>
              <w:t>7.3%</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7"/>
              </w:rPr>
              <w:t>15.7%</w:t>
            </w:r>
          </w:p>
        </w:tc>
      </w:tr>
      <w:tr>
        <w:trPr>
          <w:trHeight w:val="172"/>
        </w:trPr>
        <w:tc>
          <w:tcPr>
            <w:tcW w:w="5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Total Assets</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196,403,479</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6"/>
              </w:rPr>
              <w:t>210,977,716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210,197,628</w:t>
            </w:r>
          </w:p>
        </w:tc>
        <w:tc>
          <w:tcPr>
            <w:tcW w:w="1280" w:type="dxa"/>
            <w:vAlign w:val="bottom"/>
          </w:tcPr>
          <w:p>
            <w:pPr>
              <w:jc w:val="center"/>
              <w:ind w:right="217"/>
              <w:spacing w:after="0"/>
              <w:rPr>
                <w:sz w:val="20"/>
                <w:szCs w:val="20"/>
                <w:color w:val="auto"/>
              </w:rPr>
            </w:pPr>
            <w:r>
              <w:rPr>
                <w:rFonts w:ascii="Arial" w:cs="Arial" w:eastAsia="Arial" w:hAnsi="Arial"/>
                <w:sz w:val="13"/>
                <w:szCs w:val="13"/>
                <w:b w:val="1"/>
                <w:bCs w:val="1"/>
                <w:color w:val="auto"/>
                <w:w w:val="94"/>
              </w:rPr>
              <w:t>-0.4%</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4"/>
              </w:rPr>
              <w:t>7.0%</w:t>
            </w:r>
          </w:p>
        </w:tc>
      </w:tr>
      <w:tr>
        <w:trPr>
          <w:trHeight w:val="233"/>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Liabilities and Equity</w:t>
            </w:r>
          </w:p>
        </w:tc>
        <w:tc>
          <w:tcPr>
            <w:tcW w:w="1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Deposits and obligations</w:t>
            </w:r>
          </w:p>
        </w:tc>
        <w:tc>
          <w:tcPr>
            <w:tcW w:w="1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Non-interest bearing</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8"/>
              </w:rPr>
              <w:t>38,519,886</w:t>
            </w:r>
          </w:p>
        </w:tc>
        <w:tc>
          <w:tcPr>
            <w:tcW w:w="1360" w:type="dxa"/>
            <w:vAlign w:val="bottom"/>
          </w:tcPr>
          <w:p>
            <w:pPr>
              <w:jc w:val="center"/>
              <w:spacing w:after="0" w:line="135" w:lineRule="exact"/>
              <w:rPr>
                <w:sz w:val="20"/>
                <w:szCs w:val="20"/>
                <w:color w:val="auto"/>
              </w:rPr>
            </w:pPr>
            <w:r>
              <w:rPr>
                <w:rFonts w:ascii="Arial" w:cs="Arial" w:eastAsia="Arial" w:hAnsi="Arial"/>
                <w:sz w:val="13"/>
                <w:szCs w:val="13"/>
                <w:color w:val="auto"/>
                <w:w w:val="98"/>
              </w:rPr>
              <w:t>44,280,933</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46,181,912</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94"/>
              </w:rPr>
              <w:t>4.3%</w:t>
            </w:r>
          </w:p>
        </w:tc>
        <w:tc>
          <w:tcPr>
            <w:tcW w:w="700" w:type="dxa"/>
            <w:vAlign w:val="bottom"/>
            <w:tcBorders>
              <w:right w:val="single" w:sz="8" w:color="auto"/>
            </w:tcBorders>
          </w:tcPr>
          <w:p>
            <w:pPr>
              <w:jc w:val="center"/>
              <w:ind w:right="237"/>
              <w:spacing w:after="0" w:line="135" w:lineRule="exact"/>
              <w:rPr>
                <w:sz w:val="20"/>
                <w:szCs w:val="20"/>
                <w:color w:val="auto"/>
              </w:rPr>
            </w:pPr>
            <w:r>
              <w:rPr>
                <w:rFonts w:ascii="Arial" w:cs="Arial" w:eastAsia="Arial" w:hAnsi="Arial"/>
                <w:sz w:val="13"/>
                <w:szCs w:val="13"/>
                <w:color w:val="auto"/>
                <w:w w:val="97"/>
              </w:rPr>
              <w:t>19.9%</w:t>
            </w: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Interest bearing</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8"/>
              </w:rPr>
              <w:t>94,436,692</w:t>
            </w:r>
          </w:p>
        </w:tc>
        <w:tc>
          <w:tcPr>
            <w:tcW w:w="1360" w:type="dxa"/>
            <w:vAlign w:val="bottom"/>
          </w:tcPr>
          <w:p>
            <w:pPr>
              <w:jc w:val="center"/>
              <w:spacing w:after="0" w:line="135" w:lineRule="exact"/>
              <w:rPr>
                <w:sz w:val="20"/>
                <w:szCs w:val="20"/>
                <w:color w:val="auto"/>
              </w:rPr>
            </w:pPr>
            <w:r>
              <w:rPr>
                <w:rFonts w:ascii="Arial" w:cs="Arial" w:eastAsia="Arial" w:hAnsi="Arial"/>
                <w:sz w:val="13"/>
                <w:szCs w:val="13"/>
                <w:color w:val="auto"/>
                <w:w w:val="96"/>
              </w:rPr>
              <w:t>103,434,795</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100,410,686</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94"/>
              </w:rPr>
              <w:t>-2.9%</w:t>
            </w:r>
          </w:p>
        </w:tc>
        <w:tc>
          <w:tcPr>
            <w:tcW w:w="700" w:type="dxa"/>
            <w:vAlign w:val="bottom"/>
            <w:tcBorders>
              <w:right w:val="single" w:sz="8" w:color="auto"/>
            </w:tcBorders>
          </w:tcPr>
          <w:p>
            <w:pPr>
              <w:jc w:val="center"/>
              <w:ind w:right="237"/>
              <w:spacing w:after="0" w:line="135" w:lineRule="exact"/>
              <w:rPr>
                <w:sz w:val="20"/>
                <w:szCs w:val="20"/>
                <w:color w:val="auto"/>
              </w:rPr>
            </w:pPr>
            <w:r>
              <w:rPr>
                <w:rFonts w:ascii="Arial" w:cs="Arial" w:eastAsia="Arial" w:hAnsi="Arial"/>
                <w:sz w:val="13"/>
                <w:szCs w:val="13"/>
                <w:color w:val="auto"/>
                <w:w w:val="94"/>
              </w:rPr>
              <w:t>6.3%</w:t>
            </w:r>
          </w:p>
        </w:tc>
      </w:tr>
      <w:tr>
        <w:trPr>
          <w:trHeight w:val="172"/>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deposits and obligations</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132,956,578</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6"/>
              </w:rPr>
              <w:t>147,715,728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146,592,598</w:t>
            </w:r>
          </w:p>
        </w:tc>
        <w:tc>
          <w:tcPr>
            <w:tcW w:w="1280" w:type="dxa"/>
            <w:vAlign w:val="bottom"/>
          </w:tcPr>
          <w:p>
            <w:pPr>
              <w:jc w:val="center"/>
              <w:ind w:right="217"/>
              <w:spacing w:after="0"/>
              <w:rPr>
                <w:sz w:val="20"/>
                <w:szCs w:val="20"/>
                <w:color w:val="auto"/>
              </w:rPr>
            </w:pPr>
            <w:r>
              <w:rPr>
                <w:rFonts w:ascii="Arial" w:cs="Arial" w:eastAsia="Arial" w:hAnsi="Arial"/>
                <w:sz w:val="13"/>
                <w:szCs w:val="13"/>
                <w:b w:val="1"/>
                <w:bCs w:val="1"/>
                <w:color w:val="auto"/>
                <w:w w:val="94"/>
              </w:rPr>
              <w:t>-0.8%</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7"/>
              </w:rPr>
              <w:t>10.3%</w:t>
            </w:r>
          </w:p>
        </w:tc>
      </w:tr>
      <w:tr>
        <w:trPr>
          <w:trHeight w:val="233"/>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Payables from repurchase agreements and securities lending</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7,388,795</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6"/>
              </w:rPr>
              <w:t>7,203,885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7,892,912</w:t>
            </w:r>
          </w:p>
        </w:tc>
        <w:tc>
          <w:tcPr>
            <w:tcW w:w="1280" w:type="dxa"/>
            <w:vAlign w:val="bottom"/>
          </w:tcPr>
          <w:p>
            <w:pPr>
              <w:jc w:val="center"/>
              <w:ind w:right="217"/>
              <w:spacing w:after="0"/>
              <w:rPr>
                <w:sz w:val="20"/>
                <w:szCs w:val="20"/>
                <w:color w:val="auto"/>
              </w:rPr>
            </w:pPr>
            <w:r>
              <w:rPr>
                <w:rFonts w:ascii="Arial" w:cs="Arial" w:eastAsia="Arial" w:hAnsi="Arial"/>
                <w:sz w:val="13"/>
                <w:szCs w:val="13"/>
                <w:b w:val="1"/>
                <w:bCs w:val="1"/>
                <w:color w:val="auto"/>
                <w:w w:val="94"/>
              </w:rPr>
              <w:t>9.6%</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4"/>
              </w:rPr>
              <w:t>6.8%</w:t>
            </w: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BCRP instruments</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6"/>
              </w:rPr>
              <w:t>6,854,368</w:t>
            </w:r>
          </w:p>
        </w:tc>
        <w:tc>
          <w:tcPr>
            <w:tcW w:w="1360" w:type="dxa"/>
            <w:vAlign w:val="bottom"/>
          </w:tcPr>
          <w:p>
            <w:pPr>
              <w:jc w:val="center"/>
              <w:spacing w:after="0" w:line="135" w:lineRule="exact"/>
              <w:rPr>
                <w:sz w:val="20"/>
                <w:szCs w:val="20"/>
                <w:color w:val="auto"/>
              </w:rPr>
            </w:pPr>
            <w:r>
              <w:rPr>
                <w:rFonts w:ascii="Arial" w:cs="Arial" w:eastAsia="Arial" w:hAnsi="Arial"/>
                <w:sz w:val="13"/>
                <w:szCs w:val="13"/>
                <w:color w:val="auto"/>
                <w:w w:val="96"/>
              </w:rPr>
              <w:t>6,646,830</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7,064,476</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94"/>
              </w:rPr>
              <w:t>6.3%</w:t>
            </w:r>
          </w:p>
        </w:tc>
        <w:tc>
          <w:tcPr>
            <w:tcW w:w="700" w:type="dxa"/>
            <w:vAlign w:val="bottom"/>
            <w:tcBorders>
              <w:right w:val="single" w:sz="8" w:color="auto"/>
            </w:tcBorders>
          </w:tcPr>
          <w:p>
            <w:pPr>
              <w:jc w:val="center"/>
              <w:ind w:right="237"/>
              <w:spacing w:after="0" w:line="135" w:lineRule="exact"/>
              <w:rPr>
                <w:sz w:val="20"/>
                <w:szCs w:val="20"/>
                <w:color w:val="auto"/>
              </w:rPr>
            </w:pPr>
            <w:r>
              <w:rPr>
                <w:rFonts w:ascii="Arial" w:cs="Arial" w:eastAsia="Arial" w:hAnsi="Arial"/>
                <w:sz w:val="13"/>
                <w:szCs w:val="13"/>
                <w:color w:val="auto"/>
                <w:w w:val="94"/>
              </w:rPr>
              <w:t>3.1%</w:t>
            </w:r>
          </w:p>
        </w:tc>
      </w:tr>
      <w:tr>
        <w:trPr>
          <w:trHeight w:val="166"/>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Repurchase agreements with third parties</w:t>
            </w:r>
          </w:p>
        </w:tc>
        <w:tc>
          <w:tcPr>
            <w:tcW w:w="1320" w:type="dxa"/>
            <w:vAlign w:val="bottom"/>
          </w:tcPr>
          <w:p>
            <w:pPr>
              <w:jc w:val="center"/>
              <w:spacing w:after="0"/>
              <w:rPr>
                <w:sz w:val="20"/>
                <w:szCs w:val="20"/>
                <w:color w:val="auto"/>
              </w:rPr>
            </w:pPr>
            <w:r>
              <w:rPr>
                <w:rFonts w:ascii="Arial" w:cs="Arial" w:eastAsia="Arial" w:hAnsi="Arial"/>
                <w:sz w:val="13"/>
                <w:szCs w:val="13"/>
                <w:color w:val="auto"/>
                <w:w w:val="93"/>
              </w:rPr>
              <w:t>534,427</w:t>
            </w:r>
          </w:p>
        </w:tc>
        <w:tc>
          <w:tcPr>
            <w:tcW w:w="1360" w:type="dxa"/>
            <w:vAlign w:val="bottom"/>
          </w:tcPr>
          <w:p>
            <w:pPr>
              <w:jc w:val="center"/>
              <w:spacing w:after="0"/>
              <w:rPr>
                <w:sz w:val="20"/>
                <w:szCs w:val="20"/>
                <w:color w:val="auto"/>
              </w:rPr>
            </w:pPr>
            <w:r>
              <w:rPr>
                <w:rFonts w:ascii="Arial" w:cs="Arial" w:eastAsia="Arial" w:hAnsi="Arial"/>
                <w:sz w:val="13"/>
                <w:szCs w:val="13"/>
                <w:color w:val="auto"/>
                <w:w w:val="97"/>
              </w:rPr>
              <w:t>557,055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828,436</w:t>
            </w:r>
          </w:p>
        </w:tc>
        <w:tc>
          <w:tcPr>
            <w:tcW w:w="1280" w:type="dxa"/>
            <w:vAlign w:val="bottom"/>
          </w:tcPr>
          <w:p>
            <w:pPr>
              <w:jc w:val="center"/>
              <w:ind w:right="217"/>
              <w:spacing w:after="0"/>
              <w:rPr>
                <w:sz w:val="20"/>
                <w:szCs w:val="20"/>
                <w:color w:val="auto"/>
              </w:rPr>
            </w:pPr>
            <w:r>
              <w:rPr>
                <w:rFonts w:ascii="Arial" w:cs="Arial" w:eastAsia="Arial" w:hAnsi="Arial"/>
                <w:sz w:val="13"/>
                <w:szCs w:val="13"/>
                <w:color w:val="auto"/>
                <w:w w:val="97"/>
              </w:rPr>
              <w:t>48.7%</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color w:val="auto"/>
                <w:w w:val="97"/>
              </w:rPr>
              <w:t>55.0%</w:t>
            </w:r>
          </w:p>
        </w:tc>
      </w:tr>
      <w:tr>
        <w:trPr>
          <w:trHeight w:val="239"/>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Due to banks and correspondents</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10,160,253</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8"/>
              </w:rPr>
              <w:t>10,165,266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10,314,235</w:t>
            </w:r>
          </w:p>
        </w:tc>
        <w:tc>
          <w:tcPr>
            <w:tcW w:w="1280" w:type="dxa"/>
            <w:vAlign w:val="bottom"/>
          </w:tcPr>
          <w:p>
            <w:pPr>
              <w:jc w:val="center"/>
              <w:ind w:right="217"/>
              <w:spacing w:after="0"/>
              <w:rPr>
                <w:sz w:val="20"/>
                <w:szCs w:val="20"/>
                <w:color w:val="auto"/>
              </w:rPr>
            </w:pPr>
            <w:r>
              <w:rPr>
                <w:rFonts w:ascii="Arial" w:cs="Arial" w:eastAsia="Arial" w:hAnsi="Arial"/>
                <w:sz w:val="13"/>
                <w:szCs w:val="13"/>
                <w:b w:val="1"/>
                <w:bCs w:val="1"/>
                <w:color w:val="auto"/>
                <w:w w:val="94"/>
              </w:rPr>
              <w:t>1.5%</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4"/>
              </w:rPr>
              <w:t>1.5%</w:t>
            </w: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b w:val="1"/>
                <w:bCs w:val="1"/>
                <w:color w:val="auto"/>
              </w:rPr>
              <w:t>Bonds and notes issued</w:t>
            </w: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13,833,480</w:t>
            </w:r>
          </w:p>
        </w:tc>
        <w:tc>
          <w:tcPr>
            <w:tcW w:w="13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13,627,208</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10,759,498</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b w:val="1"/>
                <w:bCs w:val="1"/>
                <w:color w:val="auto"/>
                <w:w w:val="97"/>
              </w:rPr>
              <w:t>-21.0%</w:t>
            </w:r>
          </w:p>
        </w:tc>
        <w:tc>
          <w:tcPr>
            <w:tcW w:w="700" w:type="dxa"/>
            <w:vAlign w:val="bottom"/>
            <w:tcBorders>
              <w:right w:val="single" w:sz="8" w:color="auto"/>
            </w:tcBorders>
          </w:tcPr>
          <w:p>
            <w:pPr>
              <w:jc w:val="center"/>
              <w:ind w:right="237"/>
              <w:spacing w:after="0" w:line="135" w:lineRule="exact"/>
              <w:rPr>
                <w:sz w:val="20"/>
                <w:szCs w:val="20"/>
                <w:color w:val="auto"/>
              </w:rPr>
            </w:pPr>
            <w:r>
              <w:rPr>
                <w:rFonts w:ascii="Arial" w:cs="Arial" w:eastAsia="Arial" w:hAnsi="Arial"/>
                <w:sz w:val="13"/>
                <w:szCs w:val="13"/>
                <w:b w:val="1"/>
                <w:bCs w:val="1"/>
                <w:color w:val="auto"/>
                <w:w w:val="97"/>
              </w:rPr>
              <w:t>-22.2%</w:t>
            </w: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b w:val="1"/>
                <w:bCs w:val="1"/>
                <w:color w:val="auto"/>
              </w:rPr>
              <w:t>Banker’s acceptances outstanding</w:t>
            </w: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322,346</w:t>
            </w:r>
          </w:p>
        </w:tc>
        <w:tc>
          <w:tcPr>
            <w:tcW w:w="13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528,184</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639,749</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b w:val="1"/>
                <w:bCs w:val="1"/>
                <w:color w:val="auto"/>
                <w:w w:val="97"/>
              </w:rPr>
              <w:t>21.1%</w:t>
            </w:r>
          </w:p>
        </w:tc>
        <w:tc>
          <w:tcPr>
            <w:tcW w:w="700" w:type="dxa"/>
            <w:vAlign w:val="bottom"/>
            <w:tcBorders>
              <w:right w:val="single" w:sz="8" w:color="auto"/>
            </w:tcBorders>
          </w:tcPr>
          <w:p>
            <w:pPr>
              <w:jc w:val="center"/>
              <w:ind w:right="237"/>
              <w:spacing w:after="0" w:line="135" w:lineRule="exact"/>
              <w:rPr>
                <w:sz w:val="20"/>
                <w:szCs w:val="20"/>
                <w:color w:val="auto"/>
              </w:rPr>
            </w:pPr>
            <w:r>
              <w:rPr>
                <w:rFonts w:ascii="Arial" w:cs="Arial" w:eastAsia="Arial" w:hAnsi="Arial"/>
                <w:sz w:val="13"/>
                <w:szCs w:val="13"/>
                <w:b w:val="1"/>
                <w:bCs w:val="1"/>
                <w:color w:val="auto"/>
                <w:w w:val="97"/>
              </w:rPr>
              <w:t>98.5%</w:t>
            </w:r>
          </w:p>
        </w:tc>
      </w:tr>
      <w:tr>
        <w:trPr>
          <w:trHeight w:val="129"/>
        </w:trPr>
        <w:tc>
          <w:tcPr>
            <w:tcW w:w="5220" w:type="dxa"/>
            <w:vAlign w:val="bottom"/>
            <w:tcBorders>
              <w:left w:val="single" w:sz="8" w:color="auto"/>
              <w:right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Financial liabilities at fair value through profit or loss</w:t>
            </w:r>
          </w:p>
        </w:tc>
        <w:tc>
          <w:tcPr>
            <w:tcW w:w="13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1"/>
              </w:rPr>
              <w:t>-</w:t>
            </w:r>
          </w:p>
        </w:tc>
        <w:tc>
          <w:tcPr>
            <w:tcW w:w="13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1"/>
              </w:rPr>
              <w:t>-</w:t>
            </w:r>
          </w:p>
        </w:tc>
        <w:tc>
          <w:tcPr>
            <w:tcW w:w="13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367,988</w:t>
            </w:r>
          </w:p>
        </w:tc>
        <w:tc>
          <w:tcPr>
            <w:tcW w:w="1280" w:type="dxa"/>
            <w:vAlign w:val="bottom"/>
          </w:tcPr>
          <w:p>
            <w:pPr>
              <w:jc w:val="center"/>
              <w:ind w:right="237"/>
              <w:spacing w:after="0" w:line="129" w:lineRule="exact"/>
              <w:rPr>
                <w:sz w:val="20"/>
                <w:szCs w:val="20"/>
                <w:color w:val="auto"/>
              </w:rPr>
            </w:pPr>
            <w:r>
              <w:rPr>
                <w:rFonts w:ascii="Arial" w:cs="Arial" w:eastAsia="Arial" w:hAnsi="Arial"/>
                <w:sz w:val="13"/>
                <w:szCs w:val="13"/>
                <w:b w:val="1"/>
                <w:bCs w:val="1"/>
                <w:color w:val="auto"/>
                <w:w w:val="97"/>
              </w:rPr>
              <w:t>n.a.</w:t>
            </w:r>
          </w:p>
        </w:tc>
        <w:tc>
          <w:tcPr>
            <w:tcW w:w="700" w:type="dxa"/>
            <w:vAlign w:val="bottom"/>
            <w:tcBorders>
              <w:right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n.a.</w:t>
            </w:r>
          </w:p>
        </w:tc>
      </w:tr>
      <w:tr>
        <w:trPr>
          <w:trHeight w:val="141"/>
        </w:trPr>
        <w:tc>
          <w:tcPr>
            <w:tcW w:w="5220" w:type="dxa"/>
            <w:vAlign w:val="bottom"/>
            <w:tcBorders>
              <w:left w:val="single" w:sz="8" w:color="auto"/>
              <w:right w:val="single" w:sz="8" w:color="auto"/>
            </w:tcBorders>
          </w:tcPr>
          <w:p>
            <w:pPr>
              <w:ind w:left="20"/>
              <w:spacing w:after="0" w:line="141" w:lineRule="exact"/>
              <w:rPr>
                <w:sz w:val="20"/>
                <w:szCs w:val="20"/>
                <w:color w:val="auto"/>
              </w:rPr>
            </w:pPr>
            <w:r>
              <w:rPr>
                <w:rFonts w:ascii="Arial" w:cs="Arial" w:eastAsia="Arial" w:hAnsi="Arial"/>
                <w:sz w:val="10"/>
                <w:szCs w:val="10"/>
                <w:b w:val="1"/>
                <w:bCs w:val="1"/>
                <w:color w:val="auto"/>
              </w:rPr>
              <w:t xml:space="preserve">Other liabilities </w:t>
            </w:r>
            <w:r>
              <w:rPr>
                <w:rFonts w:ascii="Arial" w:cs="Arial" w:eastAsia="Arial" w:hAnsi="Arial"/>
                <w:sz w:val="16"/>
                <w:szCs w:val="16"/>
                <w:b w:val="1"/>
                <w:bCs w:val="1"/>
                <w:color w:val="auto"/>
                <w:vertAlign w:val="superscript"/>
              </w:rPr>
              <w:t>(3)</w:t>
            </w: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9,283,873</w:t>
            </w:r>
          </w:p>
        </w:tc>
        <w:tc>
          <w:tcPr>
            <w:tcW w:w="13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5,585,850</w:t>
            </w: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5"/>
              </w:rPr>
              <w:t>10,599,135</w:t>
            </w:r>
          </w:p>
        </w:tc>
        <w:tc>
          <w:tcPr>
            <w:tcW w:w="1280" w:type="dxa"/>
            <w:vAlign w:val="bottom"/>
          </w:tcPr>
          <w:p>
            <w:pPr>
              <w:jc w:val="center"/>
              <w:ind w:right="217"/>
              <w:spacing w:after="0" w:line="141" w:lineRule="exact"/>
              <w:rPr>
                <w:sz w:val="20"/>
                <w:szCs w:val="20"/>
                <w:color w:val="auto"/>
              </w:rPr>
            </w:pPr>
            <w:r>
              <w:rPr>
                <w:rFonts w:ascii="Arial" w:cs="Arial" w:eastAsia="Arial" w:hAnsi="Arial"/>
                <w:sz w:val="13"/>
                <w:szCs w:val="13"/>
                <w:b w:val="1"/>
                <w:bCs w:val="1"/>
                <w:color w:val="auto"/>
                <w:w w:val="97"/>
              </w:rPr>
              <w:t>89.7%</w:t>
            </w:r>
          </w:p>
        </w:tc>
        <w:tc>
          <w:tcPr>
            <w:tcW w:w="700" w:type="dxa"/>
            <w:vAlign w:val="bottom"/>
            <w:tcBorders>
              <w:right w:val="single" w:sz="8" w:color="auto"/>
            </w:tcBorders>
          </w:tcPr>
          <w:p>
            <w:pPr>
              <w:jc w:val="center"/>
              <w:ind w:right="237"/>
              <w:spacing w:after="0" w:line="141" w:lineRule="exact"/>
              <w:rPr>
                <w:sz w:val="20"/>
                <w:szCs w:val="20"/>
                <w:color w:val="auto"/>
              </w:rPr>
            </w:pPr>
            <w:r>
              <w:rPr>
                <w:rFonts w:ascii="Arial" w:cs="Arial" w:eastAsia="Arial" w:hAnsi="Arial"/>
                <w:sz w:val="13"/>
                <w:szCs w:val="13"/>
                <w:b w:val="1"/>
                <w:bCs w:val="1"/>
                <w:color w:val="auto"/>
                <w:w w:val="97"/>
              </w:rPr>
              <w:t>14.2%</w:t>
            </w:r>
          </w:p>
        </w:tc>
      </w:tr>
      <w:tr>
        <w:trPr>
          <w:trHeight w:val="172"/>
        </w:trPr>
        <w:tc>
          <w:tcPr>
            <w:tcW w:w="5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Total Liabilities</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173,945,325</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6"/>
              </w:rPr>
              <w:t>184,826,121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187,166,115</w:t>
            </w:r>
          </w:p>
        </w:tc>
        <w:tc>
          <w:tcPr>
            <w:tcW w:w="1280" w:type="dxa"/>
            <w:vAlign w:val="bottom"/>
          </w:tcPr>
          <w:p>
            <w:pPr>
              <w:jc w:val="center"/>
              <w:ind w:right="217"/>
              <w:spacing w:after="0"/>
              <w:rPr>
                <w:sz w:val="20"/>
                <w:szCs w:val="20"/>
                <w:color w:val="auto"/>
              </w:rPr>
            </w:pPr>
            <w:r>
              <w:rPr>
                <w:rFonts w:ascii="Arial" w:cs="Arial" w:eastAsia="Arial" w:hAnsi="Arial"/>
                <w:sz w:val="13"/>
                <w:szCs w:val="13"/>
                <w:b w:val="1"/>
                <w:bCs w:val="1"/>
                <w:color w:val="auto"/>
                <w:w w:val="94"/>
              </w:rPr>
              <w:t>1.3%</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4"/>
              </w:rPr>
              <w:t>7.6%</w:t>
            </w:r>
          </w:p>
        </w:tc>
      </w:tr>
      <w:tr>
        <w:trPr>
          <w:trHeight w:val="233"/>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equity</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22,315,713</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8"/>
              </w:rPr>
              <w:t>26,007,483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22,896,863</w:t>
            </w:r>
          </w:p>
        </w:tc>
        <w:tc>
          <w:tcPr>
            <w:tcW w:w="1280" w:type="dxa"/>
            <w:vAlign w:val="bottom"/>
          </w:tcPr>
          <w:p>
            <w:pPr>
              <w:jc w:val="center"/>
              <w:ind w:right="217"/>
              <w:spacing w:after="0"/>
              <w:rPr>
                <w:sz w:val="20"/>
                <w:szCs w:val="20"/>
                <w:color w:val="auto"/>
              </w:rPr>
            </w:pPr>
            <w:r>
              <w:rPr>
                <w:rFonts w:ascii="Arial" w:cs="Arial" w:eastAsia="Arial" w:hAnsi="Arial"/>
                <w:sz w:val="13"/>
                <w:szCs w:val="13"/>
                <w:b w:val="1"/>
                <w:bCs w:val="1"/>
                <w:color w:val="auto"/>
                <w:w w:val="97"/>
              </w:rPr>
              <w:t>-12.0%</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4"/>
              </w:rPr>
              <w:t>2.6%</w:t>
            </w:r>
          </w:p>
        </w:tc>
      </w:tr>
      <w:tr>
        <w:trPr>
          <w:trHeight w:val="135"/>
        </w:trPr>
        <w:tc>
          <w:tcPr>
            <w:tcW w:w="5220" w:type="dxa"/>
            <w:vAlign w:val="bottom"/>
            <w:tcBorders>
              <w:left w:val="single" w:sz="8" w:color="auto"/>
              <w:right w:val="single" w:sz="8" w:color="auto"/>
            </w:tcBorders>
          </w:tcPr>
          <w:p>
            <w:pPr>
              <w:ind w:left="180"/>
              <w:spacing w:after="0" w:line="135" w:lineRule="exact"/>
              <w:rPr>
                <w:sz w:val="20"/>
                <w:szCs w:val="20"/>
                <w:color w:val="auto"/>
              </w:rPr>
            </w:pPr>
            <w:r>
              <w:rPr>
                <w:rFonts w:ascii="Arial" w:cs="Arial" w:eastAsia="Arial" w:hAnsi="Arial"/>
                <w:sz w:val="13"/>
                <w:szCs w:val="13"/>
                <w:color w:val="auto"/>
              </w:rPr>
              <w:t>Capital stock</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8"/>
              </w:rPr>
              <w:t>12,679,794</w:t>
            </w:r>
          </w:p>
        </w:tc>
        <w:tc>
          <w:tcPr>
            <w:tcW w:w="1360" w:type="dxa"/>
            <w:vAlign w:val="bottom"/>
          </w:tcPr>
          <w:p>
            <w:pPr>
              <w:jc w:val="center"/>
              <w:spacing w:after="0" w:line="135" w:lineRule="exact"/>
              <w:rPr>
                <w:sz w:val="20"/>
                <w:szCs w:val="20"/>
                <w:color w:val="auto"/>
              </w:rPr>
            </w:pPr>
            <w:r>
              <w:rPr>
                <w:rFonts w:ascii="Arial" w:cs="Arial" w:eastAsia="Arial" w:hAnsi="Arial"/>
                <w:sz w:val="13"/>
                <w:szCs w:val="13"/>
                <w:color w:val="auto"/>
                <w:w w:val="98"/>
              </w:rPr>
              <w:t>12,679,794</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12,679,794</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94"/>
              </w:rPr>
              <w:t>0.0%</w:t>
            </w:r>
          </w:p>
        </w:tc>
        <w:tc>
          <w:tcPr>
            <w:tcW w:w="700" w:type="dxa"/>
            <w:vAlign w:val="bottom"/>
            <w:tcBorders>
              <w:right w:val="single" w:sz="8" w:color="auto"/>
            </w:tcBorders>
          </w:tcPr>
          <w:p>
            <w:pPr>
              <w:jc w:val="center"/>
              <w:ind w:right="237"/>
              <w:spacing w:after="0" w:line="135" w:lineRule="exact"/>
              <w:rPr>
                <w:sz w:val="20"/>
                <w:szCs w:val="20"/>
                <w:color w:val="auto"/>
              </w:rPr>
            </w:pPr>
            <w:r>
              <w:rPr>
                <w:rFonts w:ascii="Arial" w:cs="Arial" w:eastAsia="Arial" w:hAnsi="Arial"/>
                <w:sz w:val="13"/>
                <w:szCs w:val="13"/>
                <w:color w:val="auto"/>
                <w:w w:val="94"/>
              </w:rPr>
              <w:t>0.0%</w:t>
            </w: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Reserves</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6"/>
              </w:rPr>
              <w:t>6,372,059</w:t>
            </w:r>
          </w:p>
        </w:tc>
        <w:tc>
          <w:tcPr>
            <w:tcW w:w="1360" w:type="dxa"/>
            <w:vAlign w:val="bottom"/>
          </w:tcPr>
          <w:p>
            <w:pPr>
              <w:jc w:val="center"/>
              <w:spacing w:after="0" w:line="135" w:lineRule="exact"/>
              <w:rPr>
                <w:sz w:val="20"/>
                <w:szCs w:val="20"/>
                <w:color w:val="auto"/>
              </w:rPr>
            </w:pPr>
            <w:r>
              <w:rPr>
                <w:rFonts w:ascii="Arial" w:cs="Arial" w:eastAsia="Arial" w:hAnsi="Arial"/>
                <w:sz w:val="13"/>
                <w:szCs w:val="13"/>
                <w:color w:val="auto"/>
                <w:w w:val="96"/>
              </w:rPr>
              <w:t>5,905,440</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5,905,440</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94"/>
              </w:rPr>
              <w:t>0.0%</w:t>
            </w:r>
          </w:p>
        </w:tc>
        <w:tc>
          <w:tcPr>
            <w:tcW w:w="700" w:type="dxa"/>
            <w:vAlign w:val="bottom"/>
            <w:tcBorders>
              <w:right w:val="single" w:sz="8" w:color="auto"/>
            </w:tcBorders>
          </w:tcPr>
          <w:p>
            <w:pPr>
              <w:jc w:val="center"/>
              <w:ind w:right="237"/>
              <w:spacing w:after="0" w:line="135" w:lineRule="exact"/>
              <w:rPr>
                <w:sz w:val="20"/>
                <w:szCs w:val="20"/>
                <w:color w:val="auto"/>
              </w:rPr>
            </w:pPr>
            <w:r>
              <w:rPr>
                <w:rFonts w:ascii="Arial" w:cs="Arial" w:eastAsia="Arial" w:hAnsi="Arial"/>
                <w:sz w:val="13"/>
                <w:szCs w:val="13"/>
                <w:color w:val="auto"/>
                <w:w w:val="94"/>
              </w:rPr>
              <w:t>-7.3%</w:t>
            </w:r>
          </w:p>
        </w:tc>
      </w:tr>
      <w:tr>
        <w:trPr>
          <w:trHeight w:val="135"/>
        </w:trPr>
        <w:tc>
          <w:tcPr>
            <w:tcW w:w="5220" w:type="dxa"/>
            <w:vAlign w:val="bottom"/>
            <w:tcBorders>
              <w:left w:val="single" w:sz="8" w:color="auto"/>
              <w:right w:val="single" w:sz="8" w:color="auto"/>
            </w:tcBorders>
          </w:tcPr>
          <w:p>
            <w:pPr>
              <w:ind w:left="180"/>
              <w:spacing w:after="0" w:line="135" w:lineRule="exact"/>
              <w:rPr>
                <w:sz w:val="20"/>
                <w:szCs w:val="20"/>
                <w:color w:val="auto"/>
              </w:rPr>
            </w:pPr>
            <w:r>
              <w:rPr>
                <w:rFonts w:ascii="Arial" w:cs="Arial" w:eastAsia="Arial" w:hAnsi="Arial"/>
                <w:sz w:val="13"/>
                <w:szCs w:val="13"/>
                <w:color w:val="auto"/>
              </w:rPr>
              <w:t>Unrealized gains and losses</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6"/>
              </w:rPr>
              <w:t>(159,740)</w:t>
            </w:r>
          </w:p>
        </w:tc>
        <w:tc>
          <w:tcPr>
            <w:tcW w:w="1360" w:type="dxa"/>
            <w:vAlign w:val="bottom"/>
          </w:tcPr>
          <w:p>
            <w:pPr>
              <w:jc w:val="center"/>
              <w:spacing w:after="0" w:line="135" w:lineRule="exact"/>
              <w:rPr>
                <w:sz w:val="20"/>
                <w:szCs w:val="20"/>
                <w:color w:val="auto"/>
              </w:rPr>
            </w:pPr>
            <w:r>
              <w:rPr>
                <w:rFonts w:ascii="Arial" w:cs="Arial" w:eastAsia="Arial" w:hAnsi="Arial"/>
                <w:sz w:val="13"/>
                <w:szCs w:val="13"/>
                <w:color w:val="auto"/>
                <w:w w:val="95"/>
              </w:rPr>
              <w:t>82,590</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141,193</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97"/>
              </w:rPr>
              <w:t>71.0%</w:t>
            </w:r>
          </w:p>
        </w:tc>
        <w:tc>
          <w:tcPr>
            <w:tcW w:w="70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n.a.</w:t>
            </w:r>
          </w:p>
        </w:tc>
      </w:tr>
      <w:tr>
        <w:trPr>
          <w:trHeight w:val="166"/>
        </w:trPr>
        <w:tc>
          <w:tcPr>
            <w:tcW w:w="52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Retained earnings</w:t>
            </w:r>
          </w:p>
        </w:tc>
        <w:tc>
          <w:tcPr>
            <w:tcW w:w="1320" w:type="dxa"/>
            <w:vAlign w:val="bottom"/>
          </w:tcPr>
          <w:p>
            <w:pPr>
              <w:jc w:val="center"/>
              <w:spacing w:after="0"/>
              <w:rPr>
                <w:sz w:val="20"/>
                <w:szCs w:val="20"/>
                <w:color w:val="auto"/>
              </w:rPr>
            </w:pPr>
            <w:r>
              <w:rPr>
                <w:rFonts w:ascii="Arial" w:cs="Arial" w:eastAsia="Arial" w:hAnsi="Arial"/>
                <w:sz w:val="13"/>
                <w:szCs w:val="13"/>
                <w:color w:val="auto"/>
                <w:w w:val="96"/>
              </w:rPr>
              <w:t>3,423,600</w:t>
            </w:r>
          </w:p>
        </w:tc>
        <w:tc>
          <w:tcPr>
            <w:tcW w:w="1360" w:type="dxa"/>
            <w:vAlign w:val="bottom"/>
          </w:tcPr>
          <w:p>
            <w:pPr>
              <w:jc w:val="center"/>
              <w:spacing w:after="0"/>
              <w:rPr>
                <w:sz w:val="20"/>
                <w:szCs w:val="20"/>
                <w:color w:val="auto"/>
              </w:rPr>
            </w:pPr>
            <w:r>
              <w:rPr>
                <w:rFonts w:ascii="Arial" w:cs="Arial" w:eastAsia="Arial" w:hAnsi="Arial"/>
                <w:sz w:val="13"/>
                <w:szCs w:val="13"/>
                <w:color w:val="auto"/>
                <w:w w:val="96"/>
              </w:rPr>
              <w:t>7,339,659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4,170,436</w:t>
            </w:r>
          </w:p>
        </w:tc>
        <w:tc>
          <w:tcPr>
            <w:tcW w:w="1280" w:type="dxa"/>
            <w:vAlign w:val="bottom"/>
          </w:tcPr>
          <w:p>
            <w:pPr>
              <w:jc w:val="center"/>
              <w:ind w:right="217"/>
              <w:spacing w:after="0"/>
              <w:rPr>
                <w:sz w:val="20"/>
                <w:szCs w:val="20"/>
                <w:color w:val="auto"/>
              </w:rPr>
            </w:pPr>
            <w:r>
              <w:rPr>
                <w:rFonts w:ascii="Arial" w:cs="Arial" w:eastAsia="Arial" w:hAnsi="Arial"/>
                <w:sz w:val="13"/>
                <w:szCs w:val="13"/>
                <w:color w:val="auto"/>
                <w:w w:val="97"/>
              </w:rPr>
              <w:t>-43.2%</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color w:val="auto"/>
                <w:w w:val="97"/>
              </w:rPr>
              <w:t>21.8%</w:t>
            </w:r>
          </w:p>
        </w:tc>
      </w:tr>
      <w:tr>
        <w:trPr>
          <w:trHeight w:val="270"/>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Non-controlling interest</w:t>
            </w:r>
          </w:p>
        </w:tc>
        <w:tc>
          <w:tcPr>
            <w:tcW w:w="1320" w:type="dxa"/>
            <w:vAlign w:val="bottom"/>
          </w:tcPr>
          <w:p>
            <w:pPr>
              <w:jc w:val="center"/>
              <w:spacing w:after="0"/>
              <w:rPr>
                <w:sz w:val="20"/>
                <w:szCs w:val="20"/>
                <w:color w:val="auto"/>
              </w:rPr>
            </w:pPr>
            <w:r>
              <w:rPr>
                <w:rFonts w:ascii="Arial" w:cs="Arial" w:eastAsia="Arial" w:hAnsi="Arial"/>
                <w:sz w:val="13"/>
                <w:szCs w:val="13"/>
                <w:color w:val="auto"/>
                <w:w w:val="93"/>
              </w:rPr>
              <w:t>142,441</w:t>
            </w:r>
          </w:p>
        </w:tc>
        <w:tc>
          <w:tcPr>
            <w:tcW w:w="1360" w:type="dxa"/>
            <w:vAlign w:val="bottom"/>
          </w:tcPr>
          <w:p>
            <w:pPr>
              <w:jc w:val="center"/>
              <w:spacing w:after="0"/>
              <w:rPr>
                <w:sz w:val="20"/>
                <w:szCs w:val="20"/>
                <w:color w:val="auto"/>
              </w:rPr>
            </w:pPr>
            <w:r>
              <w:rPr>
                <w:rFonts w:ascii="Arial" w:cs="Arial" w:eastAsia="Arial" w:hAnsi="Arial"/>
                <w:sz w:val="13"/>
                <w:szCs w:val="13"/>
                <w:color w:val="auto"/>
                <w:w w:val="93"/>
              </w:rPr>
              <w:t>144,112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134,650</w:t>
            </w:r>
          </w:p>
        </w:tc>
        <w:tc>
          <w:tcPr>
            <w:tcW w:w="1280" w:type="dxa"/>
            <w:vAlign w:val="bottom"/>
          </w:tcPr>
          <w:p>
            <w:pPr>
              <w:jc w:val="center"/>
              <w:ind w:right="217"/>
              <w:spacing w:after="0"/>
              <w:rPr>
                <w:sz w:val="20"/>
                <w:szCs w:val="20"/>
                <w:color w:val="auto"/>
              </w:rPr>
            </w:pPr>
            <w:r>
              <w:rPr>
                <w:rFonts w:ascii="Arial" w:cs="Arial" w:eastAsia="Arial" w:hAnsi="Arial"/>
                <w:sz w:val="13"/>
                <w:szCs w:val="13"/>
                <w:color w:val="auto"/>
                <w:w w:val="94"/>
              </w:rPr>
              <w:t>-6.6%</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color w:val="auto"/>
                <w:w w:val="94"/>
              </w:rPr>
              <w:t>-5.5%</w:t>
            </w:r>
          </w:p>
        </w:tc>
      </w:tr>
      <w:tr>
        <w:trPr>
          <w:trHeight w:val="276"/>
        </w:trPr>
        <w:tc>
          <w:tcPr>
            <w:tcW w:w="5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Total Net Equity</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22,458,154</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8"/>
              </w:rPr>
              <w:t>26,151,595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23,031,513</w:t>
            </w:r>
          </w:p>
        </w:tc>
        <w:tc>
          <w:tcPr>
            <w:tcW w:w="1280" w:type="dxa"/>
            <w:vAlign w:val="bottom"/>
          </w:tcPr>
          <w:p>
            <w:pPr>
              <w:jc w:val="center"/>
              <w:ind w:right="217"/>
              <w:spacing w:after="0"/>
              <w:rPr>
                <w:sz w:val="20"/>
                <w:szCs w:val="20"/>
                <w:color w:val="auto"/>
              </w:rPr>
            </w:pPr>
            <w:r>
              <w:rPr>
                <w:rFonts w:ascii="Arial" w:cs="Arial" w:eastAsia="Arial" w:hAnsi="Arial"/>
                <w:sz w:val="13"/>
                <w:szCs w:val="13"/>
                <w:b w:val="1"/>
                <w:bCs w:val="1"/>
                <w:color w:val="auto"/>
                <w:w w:val="97"/>
              </w:rPr>
              <w:t>-11.9%</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4"/>
              </w:rPr>
              <w:t>2.6%</w:t>
            </w:r>
          </w:p>
        </w:tc>
      </w:tr>
      <w:tr>
        <w:trPr>
          <w:trHeight w:val="270"/>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196,403,479</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6"/>
              </w:rPr>
              <w:t>210,977,716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210,197,628</w:t>
            </w:r>
          </w:p>
        </w:tc>
        <w:tc>
          <w:tcPr>
            <w:tcW w:w="1280" w:type="dxa"/>
            <w:vAlign w:val="bottom"/>
          </w:tcPr>
          <w:p>
            <w:pPr>
              <w:jc w:val="center"/>
              <w:ind w:right="217"/>
              <w:spacing w:after="0"/>
              <w:rPr>
                <w:sz w:val="20"/>
                <w:szCs w:val="20"/>
                <w:color w:val="auto"/>
              </w:rPr>
            </w:pPr>
            <w:r>
              <w:rPr>
                <w:rFonts w:ascii="Arial" w:cs="Arial" w:eastAsia="Arial" w:hAnsi="Arial"/>
                <w:sz w:val="13"/>
                <w:szCs w:val="13"/>
                <w:b w:val="1"/>
                <w:bCs w:val="1"/>
                <w:color w:val="auto"/>
                <w:w w:val="94"/>
              </w:rPr>
              <w:t>-0.4%</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4"/>
              </w:rPr>
              <w:t>7.0%</w:t>
            </w:r>
          </w:p>
        </w:tc>
      </w:tr>
      <w:tr>
        <w:trPr>
          <w:trHeight w:val="233"/>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Off-balance sheet</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151,059,953</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6"/>
              </w:rPr>
              <w:t>139,066,953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136,896,925</w:t>
            </w:r>
          </w:p>
        </w:tc>
        <w:tc>
          <w:tcPr>
            <w:tcW w:w="1280" w:type="dxa"/>
            <w:vAlign w:val="bottom"/>
          </w:tcPr>
          <w:p>
            <w:pPr>
              <w:jc w:val="center"/>
              <w:ind w:right="217"/>
              <w:spacing w:after="0"/>
              <w:rPr>
                <w:sz w:val="20"/>
                <w:szCs w:val="20"/>
                <w:color w:val="auto"/>
              </w:rPr>
            </w:pPr>
            <w:r>
              <w:rPr>
                <w:rFonts w:ascii="Arial" w:cs="Arial" w:eastAsia="Arial" w:hAnsi="Arial"/>
                <w:sz w:val="13"/>
                <w:szCs w:val="13"/>
                <w:b w:val="1"/>
                <w:bCs w:val="1"/>
                <w:color w:val="auto"/>
                <w:w w:val="94"/>
              </w:rPr>
              <w:t>-1.6%</w:t>
            </w:r>
          </w:p>
        </w:tc>
        <w:tc>
          <w:tcPr>
            <w:tcW w:w="700" w:type="dxa"/>
            <w:vAlign w:val="bottom"/>
            <w:tcBorders>
              <w:right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4"/>
              </w:rPr>
              <w:t>-9.4%</w:t>
            </w: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Total performance bonds, stand-by and L/Cs.</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8"/>
              </w:rPr>
              <w:t>19,720,490</w:t>
            </w:r>
          </w:p>
        </w:tc>
        <w:tc>
          <w:tcPr>
            <w:tcW w:w="1360" w:type="dxa"/>
            <w:vAlign w:val="bottom"/>
          </w:tcPr>
          <w:p>
            <w:pPr>
              <w:jc w:val="center"/>
              <w:spacing w:after="0" w:line="135" w:lineRule="exact"/>
              <w:rPr>
                <w:sz w:val="20"/>
                <w:szCs w:val="20"/>
                <w:color w:val="auto"/>
              </w:rPr>
            </w:pPr>
            <w:r>
              <w:rPr>
                <w:rFonts w:ascii="Arial" w:cs="Arial" w:eastAsia="Arial" w:hAnsi="Arial"/>
                <w:sz w:val="13"/>
                <w:szCs w:val="13"/>
                <w:color w:val="auto"/>
                <w:w w:val="98"/>
              </w:rPr>
              <w:t>21,683,478</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20,571,287</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94"/>
              </w:rPr>
              <w:t>-5.1%</w:t>
            </w:r>
          </w:p>
        </w:tc>
        <w:tc>
          <w:tcPr>
            <w:tcW w:w="700" w:type="dxa"/>
            <w:vAlign w:val="bottom"/>
            <w:tcBorders>
              <w:right w:val="single" w:sz="8" w:color="auto"/>
            </w:tcBorders>
          </w:tcPr>
          <w:p>
            <w:pPr>
              <w:jc w:val="center"/>
              <w:ind w:right="237"/>
              <w:spacing w:after="0" w:line="135" w:lineRule="exact"/>
              <w:rPr>
                <w:sz w:val="20"/>
                <w:szCs w:val="20"/>
                <w:color w:val="auto"/>
              </w:rPr>
            </w:pPr>
            <w:r>
              <w:rPr>
                <w:rFonts w:ascii="Arial" w:cs="Arial" w:eastAsia="Arial" w:hAnsi="Arial"/>
                <w:sz w:val="13"/>
                <w:szCs w:val="13"/>
                <w:color w:val="auto"/>
                <w:w w:val="94"/>
              </w:rPr>
              <w:t>4.3%</w:t>
            </w:r>
          </w:p>
        </w:tc>
      </w:tr>
      <w:tr>
        <w:trPr>
          <w:trHeight w:val="135"/>
        </w:trPr>
        <w:tc>
          <w:tcPr>
            <w:tcW w:w="52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Undrawn credit lines, advised but not committed</w:t>
            </w:r>
          </w:p>
        </w:tc>
        <w:tc>
          <w:tcPr>
            <w:tcW w:w="1320" w:type="dxa"/>
            <w:vAlign w:val="bottom"/>
          </w:tcPr>
          <w:p>
            <w:pPr>
              <w:jc w:val="center"/>
              <w:spacing w:after="0" w:line="135" w:lineRule="exact"/>
              <w:rPr>
                <w:sz w:val="20"/>
                <w:szCs w:val="20"/>
                <w:color w:val="auto"/>
              </w:rPr>
            </w:pPr>
            <w:r>
              <w:rPr>
                <w:rFonts w:ascii="Arial" w:cs="Arial" w:eastAsia="Arial" w:hAnsi="Arial"/>
                <w:sz w:val="13"/>
                <w:szCs w:val="13"/>
                <w:color w:val="auto"/>
                <w:w w:val="98"/>
              </w:rPr>
              <w:t>78,799,124</w:t>
            </w:r>
          </w:p>
        </w:tc>
        <w:tc>
          <w:tcPr>
            <w:tcW w:w="1360" w:type="dxa"/>
            <w:vAlign w:val="bottom"/>
          </w:tcPr>
          <w:p>
            <w:pPr>
              <w:jc w:val="center"/>
              <w:spacing w:after="0" w:line="135" w:lineRule="exact"/>
              <w:rPr>
                <w:sz w:val="20"/>
                <w:szCs w:val="20"/>
                <w:color w:val="auto"/>
              </w:rPr>
            </w:pPr>
            <w:r>
              <w:rPr>
                <w:rFonts w:ascii="Arial" w:cs="Arial" w:eastAsia="Arial" w:hAnsi="Arial"/>
                <w:sz w:val="13"/>
                <w:szCs w:val="13"/>
                <w:color w:val="auto"/>
                <w:w w:val="98"/>
              </w:rPr>
              <w:t>74,193,794</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72,392,139</w:t>
            </w:r>
          </w:p>
        </w:tc>
        <w:tc>
          <w:tcPr>
            <w:tcW w:w="128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94"/>
              </w:rPr>
              <w:t>-2.4%</w:t>
            </w:r>
          </w:p>
        </w:tc>
        <w:tc>
          <w:tcPr>
            <w:tcW w:w="700" w:type="dxa"/>
            <w:vAlign w:val="bottom"/>
            <w:tcBorders>
              <w:right w:val="single" w:sz="8" w:color="auto"/>
            </w:tcBorders>
          </w:tcPr>
          <w:p>
            <w:pPr>
              <w:jc w:val="center"/>
              <w:ind w:right="237"/>
              <w:spacing w:after="0" w:line="135" w:lineRule="exact"/>
              <w:rPr>
                <w:sz w:val="20"/>
                <w:szCs w:val="20"/>
                <w:color w:val="auto"/>
              </w:rPr>
            </w:pPr>
            <w:r>
              <w:rPr>
                <w:rFonts w:ascii="Arial" w:cs="Arial" w:eastAsia="Arial" w:hAnsi="Arial"/>
                <w:sz w:val="13"/>
                <w:szCs w:val="13"/>
                <w:color w:val="auto"/>
                <w:w w:val="94"/>
              </w:rPr>
              <w:t>-8.1%</w:t>
            </w:r>
          </w:p>
        </w:tc>
      </w:tr>
      <w:tr>
        <w:trPr>
          <w:trHeight w:val="153"/>
        </w:trPr>
        <w:tc>
          <w:tcPr>
            <w:tcW w:w="5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Total derivatives (notional) and others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52,540,339</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43,189,681</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43,933,499</w:t>
            </w:r>
          </w:p>
        </w:tc>
        <w:tc>
          <w:tcPr>
            <w:tcW w:w="1280" w:type="dxa"/>
            <w:vAlign w:val="bottom"/>
            <w:tcBorders>
              <w:bottom w:val="single" w:sz="8" w:color="auto"/>
            </w:tcBorders>
          </w:tcPr>
          <w:p>
            <w:pPr>
              <w:jc w:val="center"/>
              <w:ind w:right="217"/>
              <w:spacing w:after="0"/>
              <w:rPr>
                <w:sz w:val="20"/>
                <w:szCs w:val="20"/>
                <w:color w:val="auto"/>
              </w:rPr>
            </w:pPr>
            <w:r>
              <w:rPr>
                <w:rFonts w:ascii="Arial" w:cs="Arial" w:eastAsia="Arial" w:hAnsi="Arial"/>
                <w:sz w:val="13"/>
                <w:szCs w:val="13"/>
                <w:color w:val="auto"/>
                <w:w w:val="94"/>
              </w:rPr>
              <w:t>1.7%</w:t>
            </w:r>
          </w:p>
        </w:tc>
        <w:tc>
          <w:tcPr>
            <w:tcW w:w="700" w:type="dxa"/>
            <w:vAlign w:val="bottom"/>
            <w:tcBorders>
              <w:bottom w:val="single" w:sz="8" w:color="auto"/>
              <w:right w:val="single" w:sz="8" w:color="auto"/>
            </w:tcBorders>
          </w:tcPr>
          <w:p>
            <w:pPr>
              <w:jc w:val="center"/>
              <w:ind w:right="237"/>
              <w:spacing w:after="0"/>
              <w:rPr>
                <w:sz w:val="20"/>
                <w:szCs w:val="20"/>
                <w:color w:val="auto"/>
              </w:rPr>
            </w:pPr>
            <w:r>
              <w:rPr>
                <w:rFonts w:ascii="Arial" w:cs="Arial" w:eastAsia="Arial" w:hAnsi="Arial"/>
                <w:sz w:val="13"/>
                <w:szCs w:val="13"/>
                <w:color w:val="auto"/>
                <w:w w:val="97"/>
              </w:rPr>
              <w:t>-16.4%</w:t>
            </w:r>
          </w:p>
        </w:tc>
      </w:tr>
    </w:tbl>
    <w:p>
      <w:pPr>
        <w:spacing w:after="0" w:line="181" w:lineRule="exact"/>
        <w:rPr>
          <w:sz w:val="20"/>
          <w:szCs w:val="20"/>
          <w:color w:val="auto"/>
        </w:rPr>
      </w:pPr>
    </w:p>
    <w:p>
      <w:pPr>
        <w:ind w:left="1000" w:hanging="182"/>
        <w:spacing w:after="0"/>
        <w:tabs>
          <w:tab w:leader="none" w:pos="10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Right of use asset of lease contracts is included by application of IFRS 16.</w:t>
      </w:r>
    </w:p>
    <w:p>
      <w:pPr>
        <w:spacing w:after="0" w:line="51" w:lineRule="exact"/>
        <w:rPr>
          <w:rFonts w:ascii="Arial" w:cs="Arial" w:eastAsia="Arial" w:hAnsi="Arial"/>
          <w:sz w:val="12"/>
          <w:szCs w:val="12"/>
          <w:color w:val="auto"/>
        </w:rPr>
      </w:pPr>
    </w:p>
    <w:p>
      <w:pPr>
        <w:ind w:left="1000" w:hanging="182"/>
        <w:spacing w:after="0"/>
        <w:tabs>
          <w:tab w:leader="none" w:pos="10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Mainly includes intangible assets, other receivable accounts, trading derivatives receivable accounts and tax credit.</w:t>
      </w:r>
    </w:p>
    <w:p>
      <w:pPr>
        <w:spacing w:after="0" w:line="51" w:lineRule="exact"/>
        <w:rPr>
          <w:rFonts w:ascii="Arial" w:cs="Arial" w:eastAsia="Arial" w:hAnsi="Arial"/>
          <w:sz w:val="12"/>
          <w:szCs w:val="12"/>
          <w:color w:val="auto"/>
        </w:rPr>
      </w:pPr>
    </w:p>
    <w:p>
      <w:pPr>
        <w:ind w:left="1000" w:hanging="182"/>
        <w:spacing w:after="0"/>
        <w:tabs>
          <w:tab w:leader="none" w:pos="10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Mainly includes other payable accounts, trading derivatives payable accounts and taxes for payable.</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4" w:name="page65"/>
    <w:bookmarkEnd w:id="64"/>
    <w:tbl>
      <w:tblPr>
        <w:tblLayout w:type="fixed"/>
        <w:tblInd w:w="10" w:type="dxa"/>
        <w:tblCellMar>
          <w:top w:w="0" w:type="dxa"/>
          <w:left w:w="0" w:type="dxa"/>
          <w:bottom w:w="0" w:type="dxa"/>
          <w:right w:w="0" w:type="dxa"/>
        </w:tblCellMar>
      </w:tblPr>
      <w:tr>
        <w:trPr>
          <w:trHeight w:val="403"/>
        </w:trPr>
        <w:tc>
          <w:tcPr>
            <w:tcW w:w="2860" w:type="dxa"/>
            <w:vAlign w:val="bottom"/>
            <w:tcBorders>
              <w:left w:val="single" w:sz="8" w:color="auto"/>
            </w:tcBorders>
            <w:shd w:val="clear" w:color="auto" w:fill="000000"/>
          </w:tcPr>
          <w:p>
            <w:pPr>
              <w:ind w:left="2720"/>
              <w:spacing w:after="0"/>
              <w:rPr>
                <w:sz w:val="20"/>
                <w:szCs w:val="20"/>
                <w:color w:val="auto"/>
              </w:rPr>
            </w:pPr>
            <w:r>
              <w:rPr>
                <w:rFonts w:ascii="Arial" w:cs="Arial" w:eastAsia="Arial" w:hAnsi="Arial"/>
                <w:sz w:val="16"/>
                <w:szCs w:val="16"/>
                <w:color w:val="A6A6A6"/>
              </w:rPr>
              <w:t>|</w:t>
            </w:r>
          </w:p>
        </w:tc>
        <w:tc>
          <w:tcPr>
            <w:tcW w:w="336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16"/>
                <w:szCs w:val="16"/>
                <w:color w:val="FFFFFF"/>
              </w:rPr>
              <w:t>Earnings Release 1Q / 2025</w:t>
            </w:r>
          </w:p>
        </w:tc>
        <w:tc>
          <w:tcPr>
            <w:tcW w:w="1000" w:type="dxa"/>
            <w:vAlign w:val="bottom"/>
            <w:shd w:val="clear" w:color="auto" w:fill="000000"/>
          </w:tcPr>
          <w:p>
            <w:pPr>
              <w:spacing w:after="0"/>
              <w:rPr>
                <w:sz w:val="24"/>
                <w:szCs w:val="24"/>
                <w:color w:val="auto"/>
              </w:rPr>
            </w:pPr>
          </w:p>
        </w:tc>
        <w:tc>
          <w:tcPr>
            <w:tcW w:w="4020" w:type="dxa"/>
            <w:vAlign w:val="bottom"/>
            <w:tcBorders>
              <w:right w:val="single" w:sz="8" w:color="auto"/>
            </w:tcBorders>
            <w:gridSpan w:val="4"/>
            <w:shd w:val="clear" w:color="auto" w:fill="000000"/>
          </w:tcPr>
          <w:p>
            <w:pPr>
              <w:ind w:left="420"/>
              <w:spacing w:after="0"/>
              <w:rPr>
                <w:sz w:val="20"/>
                <w:szCs w:val="20"/>
                <w:color w:val="auto"/>
              </w:rPr>
            </w:pPr>
            <w:r>
              <w:rPr>
                <w:rFonts w:ascii="Arial" w:cs="Arial" w:eastAsia="Arial" w:hAnsi="Arial"/>
                <w:sz w:val="16"/>
                <w:szCs w:val="16"/>
                <w:color w:val="ED3FA8"/>
              </w:rPr>
              <w:t>Analysis of 1Q25 Consolidated Results</w:t>
            </w:r>
          </w:p>
        </w:tc>
      </w:tr>
      <w:tr>
        <w:trPr>
          <w:trHeight w:val="205"/>
        </w:trPr>
        <w:tc>
          <w:tcPr>
            <w:tcW w:w="2860" w:type="dxa"/>
            <w:vAlign w:val="bottom"/>
            <w:tcBorders>
              <w:left w:val="single" w:sz="8" w:color="auto"/>
            </w:tcBorders>
            <w:shd w:val="clear" w:color="auto" w:fill="000000"/>
          </w:tcPr>
          <w:p>
            <w:pPr>
              <w:spacing w:after="0"/>
              <w:rPr>
                <w:sz w:val="17"/>
                <w:szCs w:val="17"/>
                <w:color w:val="auto"/>
              </w:rPr>
            </w:pPr>
          </w:p>
        </w:tc>
        <w:tc>
          <w:tcPr>
            <w:tcW w:w="3360" w:type="dxa"/>
            <w:vAlign w:val="bottom"/>
            <w:tcBorders>
              <w:right w:val="single" w:sz="8" w:color="auto"/>
            </w:tcBorders>
            <w:shd w:val="clear" w:color="auto" w:fill="000000"/>
          </w:tcPr>
          <w:p>
            <w:pPr>
              <w:spacing w:after="0"/>
              <w:rPr>
                <w:sz w:val="17"/>
                <w:szCs w:val="17"/>
                <w:color w:val="auto"/>
              </w:rPr>
            </w:pPr>
          </w:p>
        </w:tc>
        <w:tc>
          <w:tcPr>
            <w:tcW w:w="1000" w:type="dxa"/>
            <w:vAlign w:val="bottom"/>
            <w:shd w:val="clear" w:color="auto" w:fill="000000"/>
          </w:tcPr>
          <w:p>
            <w:pPr>
              <w:spacing w:after="0"/>
              <w:rPr>
                <w:sz w:val="17"/>
                <w:szCs w:val="17"/>
                <w:color w:val="auto"/>
              </w:rPr>
            </w:pPr>
          </w:p>
        </w:tc>
        <w:tc>
          <w:tcPr>
            <w:tcW w:w="1000" w:type="dxa"/>
            <w:vAlign w:val="bottom"/>
            <w:shd w:val="clear" w:color="auto" w:fill="000000"/>
          </w:tcPr>
          <w:p>
            <w:pPr>
              <w:spacing w:after="0"/>
              <w:rPr>
                <w:sz w:val="17"/>
                <w:szCs w:val="17"/>
                <w:color w:val="auto"/>
              </w:rPr>
            </w:pPr>
          </w:p>
        </w:tc>
        <w:tc>
          <w:tcPr>
            <w:tcW w:w="1020" w:type="dxa"/>
            <w:vAlign w:val="bottom"/>
            <w:tcBorders>
              <w:right w:val="single" w:sz="8" w:color="auto"/>
            </w:tcBorders>
            <w:shd w:val="clear" w:color="auto" w:fill="000000"/>
          </w:tcPr>
          <w:p>
            <w:pPr>
              <w:spacing w:after="0"/>
              <w:rPr>
                <w:sz w:val="17"/>
                <w:szCs w:val="17"/>
                <w:color w:val="auto"/>
              </w:rPr>
            </w:pPr>
          </w:p>
        </w:tc>
        <w:tc>
          <w:tcPr>
            <w:tcW w:w="700" w:type="dxa"/>
            <w:vAlign w:val="bottom"/>
            <w:shd w:val="clear" w:color="auto" w:fill="000000"/>
          </w:tcPr>
          <w:p>
            <w:pPr>
              <w:spacing w:after="0"/>
              <w:rPr>
                <w:sz w:val="17"/>
                <w:szCs w:val="17"/>
                <w:color w:val="auto"/>
              </w:rPr>
            </w:pPr>
          </w:p>
        </w:tc>
        <w:tc>
          <w:tcPr>
            <w:tcW w:w="1300" w:type="dxa"/>
            <w:vAlign w:val="bottom"/>
            <w:tcBorders>
              <w:right w:val="single" w:sz="8" w:color="auto"/>
            </w:tcBorders>
            <w:shd w:val="clear" w:color="auto" w:fill="000000"/>
          </w:tcPr>
          <w:p>
            <w:pPr>
              <w:spacing w:after="0"/>
              <w:rPr>
                <w:sz w:val="17"/>
                <w:szCs w:val="17"/>
                <w:color w:val="auto"/>
              </w:rPr>
            </w:pPr>
          </w:p>
        </w:tc>
      </w:tr>
      <w:tr>
        <w:trPr>
          <w:trHeight w:val="203"/>
        </w:trPr>
        <w:tc>
          <w:tcPr>
            <w:tcW w:w="2860" w:type="dxa"/>
            <w:vAlign w:val="bottom"/>
            <w:tcBorders>
              <w:left w:val="single" w:sz="8" w:color="E93BAC"/>
            </w:tcBorders>
            <w:shd w:val="clear" w:color="auto" w:fill="E93BAC"/>
          </w:tcPr>
          <w:p>
            <w:pPr>
              <w:spacing w:after="0"/>
              <w:rPr>
                <w:sz w:val="17"/>
                <w:szCs w:val="17"/>
                <w:color w:val="auto"/>
              </w:rPr>
            </w:pPr>
          </w:p>
        </w:tc>
        <w:tc>
          <w:tcPr>
            <w:tcW w:w="3360" w:type="dxa"/>
            <w:vAlign w:val="bottom"/>
            <w:tcBorders>
              <w:right w:val="single" w:sz="8" w:color="E93BAC"/>
            </w:tcBorders>
            <w:shd w:val="clear" w:color="auto" w:fill="E93BAC"/>
          </w:tcPr>
          <w:p>
            <w:pPr>
              <w:spacing w:after="0"/>
              <w:rPr>
                <w:sz w:val="17"/>
                <w:szCs w:val="17"/>
                <w:color w:val="auto"/>
              </w:rPr>
            </w:pPr>
          </w:p>
        </w:tc>
        <w:tc>
          <w:tcPr>
            <w:tcW w:w="1000" w:type="dxa"/>
            <w:vAlign w:val="bottom"/>
            <w:shd w:val="clear" w:color="auto" w:fill="E93BAC"/>
          </w:tcPr>
          <w:p>
            <w:pPr>
              <w:spacing w:after="0"/>
              <w:rPr>
                <w:sz w:val="17"/>
                <w:szCs w:val="17"/>
                <w:color w:val="auto"/>
              </w:rPr>
            </w:pPr>
          </w:p>
        </w:tc>
        <w:tc>
          <w:tcPr>
            <w:tcW w:w="1000" w:type="dxa"/>
            <w:vAlign w:val="bottom"/>
            <w:shd w:val="clear" w:color="auto" w:fill="E93BAC"/>
          </w:tcPr>
          <w:p>
            <w:pPr>
              <w:spacing w:after="0"/>
              <w:rPr>
                <w:sz w:val="17"/>
                <w:szCs w:val="17"/>
                <w:color w:val="auto"/>
              </w:rPr>
            </w:pPr>
          </w:p>
        </w:tc>
        <w:tc>
          <w:tcPr>
            <w:tcW w:w="1020" w:type="dxa"/>
            <w:vAlign w:val="bottom"/>
            <w:tcBorders>
              <w:right w:val="single" w:sz="8" w:color="E93BAC"/>
            </w:tcBorders>
            <w:shd w:val="clear" w:color="auto" w:fill="E93BAC"/>
          </w:tcPr>
          <w:p>
            <w:pPr>
              <w:spacing w:after="0"/>
              <w:rPr>
                <w:sz w:val="17"/>
                <w:szCs w:val="17"/>
                <w:color w:val="auto"/>
              </w:rPr>
            </w:pPr>
          </w:p>
        </w:tc>
        <w:tc>
          <w:tcPr>
            <w:tcW w:w="700" w:type="dxa"/>
            <w:vAlign w:val="bottom"/>
            <w:shd w:val="clear" w:color="auto" w:fill="E93BAC"/>
          </w:tcPr>
          <w:p>
            <w:pPr>
              <w:spacing w:after="0"/>
              <w:rPr>
                <w:sz w:val="17"/>
                <w:szCs w:val="17"/>
                <w:color w:val="auto"/>
              </w:rPr>
            </w:pPr>
          </w:p>
        </w:tc>
        <w:tc>
          <w:tcPr>
            <w:tcW w:w="1300" w:type="dxa"/>
            <w:vAlign w:val="bottom"/>
            <w:tcBorders>
              <w:right w:val="single" w:sz="8" w:color="E93BAC"/>
            </w:tcBorders>
            <w:shd w:val="clear" w:color="auto" w:fill="E93BAC"/>
          </w:tcPr>
          <w:p>
            <w:pPr>
              <w:spacing w:after="0"/>
              <w:rPr>
                <w:sz w:val="17"/>
                <w:szCs w:val="17"/>
                <w:color w:val="auto"/>
              </w:rPr>
            </w:pPr>
          </w:p>
        </w:tc>
      </w:tr>
      <w:tr>
        <w:trPr>
          <w:trHeight w:val="364"/>
        </w:trPr>
        <w:tc>
          <w:tcPr>
            <w:tcW w:w="2860" w:type="dxa"/>
            <w:vAlign w:val="bottom"/>
          </w:tcPr>
          <w:p>
            <w:pPr>
              <w:spacing w:after="0"/>
              <w:rPr>
                <w:sz w:val="24"/>
                <w:szCs w:val="24"/>
                <w:color w:val="auto"/>
              </w:rPr>
            </w:pPr>
          </w:p>
        </w:tc>
        <w:tc>
          <w:tcPr>
            <w:tcW w:w="4360" w:type="dxa"/>
            <w:vAlign w:val="bottom"/>
            <w:gridSpan w:val="2"/>
          </w:tcPr>
          <w:p>
            <w:pPr>
              <w:jc w:val="center"/>
              <w:ind w:left="1099"/>
              <w:spacing w:after="0"/>
              <w:rPr>
                <w:sz w:val="20"/>
                <w:szCs w:val="20"/>
                <w:color w:val="auto"/>
              </w:rPr>
            </w:pPr>
            <w:r>
              <w:rPr>
                <w:rFonts w:ascii="Arial" w:cs="Arial" w:eastAsia="Arial" w:hAnsi="Arial"/>
                <w:sz w:val="16"/>
                <w:szCs w:val="16"/>
                <w:b w:val="1"/>
                <w:bCs w:val="1"/>
                <w:color w:val="auto"/>
              </w:rPr>
              <w:t>Banco de Credito del Peru</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9"/>
        </w:trPr>
        <w:tc>
          <w:tcPr>
            <w:tcW w:w="2860" w:type="dxa"/>
            <w:vAlign w:val="bottom"/>
          </w:tcPr>
          <w:p>
            <w:pPr>
              <w:spacing w:after="0"/>
              <w:rPr>
                <w:sz w:val="16"/>
                <w:szCs w:val="16"/>
                <w:color w:val="auto"/>
              </w:rPr>
            </w:pPr>
          </w:p>
        </w:tc>
        <w:tc>
          <w:tcPr>
            <w:tcW w:w="4360" w:type="dxa"/>
            <w:vAlign w:val="bottom"/>
            <w:gridSpan w:val="2"/>
          </w:tcPr>
          <w:p>
            <w:pPr>
              <w:jc w:val="center"/>
              <w:ind w:left="1099"/>
              <w:spacing w:after="0"/>
              <w:rPr>
                <w:sz w:val="20"/>
                <w:szCs w:val="20"/>
                <w:color w:val="auto"/>
              </w:rPr>
            </w:pPr>
            <w:r>
              <w:rPr>
                <w:rFonts w:ascii="Arial" w:cs="Arial" w:eastAsia="Arial" w:hAnsi="Arial"/>
                <w:sz w:val="16"/>
                <w:szCs w:val="16"/>
                <w:b w:val="1"/>
                <w:bCs w:val="1"/>
                <w:color w:val="auto"/>
              </w:rPr>
              <w:t>Consolidated Statement of Income</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3"/>
        </w:trPr>
        <w:tc>
          <w:tcPr>
            <w:tcW w:w="286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2"/>
          </w:tcPr>
          <w:p>
            <w:pPr>
              <w:jc w:val="center"/>
              <w:ind w:left="1079"/>
              <w:spacing w:after="0"/>
              <w:rPr>
                <w:sz w:val="20"/>
                <w:szCs w:val="20"/>
                <w:color w:val="auto"/>
              </w:rPr>
            </w:pPr>
            <w:r>
              <w:rPr>
                <w:rFonts w:ascii="Arial" w:cs="Arial" w:eastAsia="Arial" w:hAnsi="Arial"/>
                <w:sz w:val="16"/>
                <w:szCs w:val="16"/>
                <w:b w:val="1"/>
                <w:bCs w:val="1"/>
                <w:color w:val="auto"/>
              </w:rPr>
              <w:t>(S/ Thousands, IFRS)</w:t>
            </w:r>
          </w:p>
        </w:tc>
        <w:tc>
          <w:tcPr>
            <w:tcW w:w="10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32"/>
        </w:trPr>
        <w:tc>
          <w:tcPr>
            <w:tcW w:w="2860" w:type="dxa"/>
            <w:vAlign w:val="bottom"/>
            <w:tcBorders>
              <w:left w:val="single" w:sz="8" w:color="auto"/>
            </w:tcBorders>
            <w:shd w:val="clear" w:color="auto" w:fill="2AD2C8"/>
          </w:tcPr>
          <w:p>
            <w:pPr>
              <w:spacing w:after="0"/>
              <w:rPr>
                <w:sz w:val="11"/>
                <w:szCs w:val="11"/>
                <w:color w:val="auto"/>
              </w:rPr>
            </w:pPr>
          </w:p>
        </w:tc>
        <w:tc>
          <w:tcPr>
            <w:tcW w:w="3360" w:type="dxa"/>
            <w:vAlign w:val="bottom"/>
            <w:tcBorders>
              <w:right w:val="single" w:sz="8" w:color="auto"/>
            </w:tcBorders>
            <w:shd w:val="clear" w:color="auto" w:fill="2AD2C8"/>
          </w:tcPr>
          <w:p>
            <w:pPr>
              <w:spacing w:after="0"/>
              <w:rPr>
                <w:sz w:val="11"/>
                <w:szCs w:val="11"/>
                <w:color w:val="auto"/>
              </w:rPr>
            </w:pPr>
          </w:p>
        </w:tc>
        <w:tc>
          <w:tcPr>
            <w:tcW w:w="1000" w:type="dxa"/>
            <w:vAlign w:val="bottom"/>
            <w:shd w:val="clear" w:color="auto" w:fill="2AD2C8"/>
          </w:tcPr>
          <w:p>
            <w:pPr>
              <w:spacing w:after="0"/>
              <w:rPr>
                <w:sz w:val="11"/>
                <w:szCs w:val="11"/>
                <w:color w:val="auto"/>
              </w:rPr>
            </w:pPr>
          </w:p>
        </w:tc>
        <w:tc>
          <w:tcPr>
            <w:tcW w:w="1000" w:type="dxa"/>
            <w:vAlign w:val="bottom"/>
            <w:shd w:val="clear" w:color="auto" w:fill="2AD2C8"/>
          </w:tcPr>
          <w:p>
            <w:pPr>
              <w:ind w:left="280"/>
              <w:spacing w:after="0" w:line="132" w:lineRule="exact"/>
              <w:rPr>
                <w:sz w:val="20"/>
                <w:szCs w:val="20"/>
                <w:color w:val="auto"/>
              </w:rPr>
            </w:pPr>
            <w:r>
              <w:rPr>
                <w:rFonts w:ascii="Arial" w:cs="Arial" w:eastAsia="Arial" w:hAnsi="Arial"/>
                <w:sz w:val="12"/>
                <w:szCs w:val="12"/>
                <w:b w:val="1"/>
                <w:bCs w:val="1"/>
                <w:color w:val="FFFFFF"/>
              </w:rPr>
              <w:t>Quarter</w:t>
            </w:r>
          </w:p>
        </w:tc>
        <w:tc>
          <w:tcPr>
            <w:tcW w:w="1020" w:type="dxa"/>
            <w:vAlign w:val="bottom"/>
            <w:tcBorders>
              <w:right w:val="single" w:sz="8" w:color="auto"/>
            </w:tcBorders>
            <w:shd w:val="clear" w:color="auto" w:fill="2AD2C8"/>
          </w:tcPr>
          <w:p>
            <w:pPr>
              <w:spacing w:after="0"/>
              <w:rPr>
                <w:sz w:val="11"/>
                <w:szCs w:val="11"/>
                <w:color w:val="auto"/>
              </w:rPr>
            </w:pPr>
          </w:p>
        </w:tc>
        <w:tc>
          <w:tcPr>
            <w:tcW w:w="700" w:type="dxa"/>
            <w:vAlign w:val="bottom"/>
            <w:shd w:val="clear" w:color="auto" w:fill="2AD2C8"/>
          </w:tcPr>
          <w:p>
            <w:pPr>
              <w:spacing w:after="0"/>
              <w:rPr>
                <w:sz w:val="11"/>
                <w:szCs w:val="11"/>
                <w:color w:val="auto"/>
              </w:rPr>
            </w:pPr>
          </w:p>
        </w:tc>
        <w:tc>
          <w:tcPr>
            <w:tcW w:w="1300" w:type="dxa"/>
            <w:vAlign w:val="bottom"/>
            <w:tcBorders>
              <w:right w:val="single" w:sz="8" w:color="auto"/>
            </w:tcBorders>
            <w:shd w:val="clear" w:color="auto" w:fill="2AD2C8"/>
          </w:tcPr>
          <w:p>
            <w:pPr>
              <w:ind w:left="40"/>
              <w:spacing w:after="0" w:line="132" w:lineRule="exact"/>
              <w:rPr>
                <w:sz w:val="20"/>
                <w:szCs w:val="20"/>
                <w:color w:val="auto"/>
              </w:rPr>
            </w:pPr>
            <w:r>
              <w:rPr>
                <w:rFonts w:ascii="Arial" w:cs="Arial" w:eastAsia="Arial" w:hAnsi="Arial"/>
                <w:sz w:val="12"/>
                <w:szCs w:val="12"/>
                <w:b w:val="1"/>
                <w:bCs w:val="1"/>
                <w:color w:val="FFFFFF"/>
              </w:rPr>
              <w:t>% change</w:t>
            </w:r>
          </w:p>
        </w:tc>
      </w:tr>
      <w:tr>
        <w:trPr>
          <w:trHeight w:val="158"/>
        </w:trPr>
        <w:tc>
          <w:tcPr>
            <w:tcW w:w="2860" w:type="dxa"/>
            <w:vAlign w:val="bottom"/>
            <w:tcBorders>
              <w:left w:val="single" w:sz="8" w:color="auto"/>
              <w:bottom w:val="single" w:sz="8" w:color="auto"/>
            </w:tcBorders>
            <w:shd w:val="clear" w:color="auto" w:fill="2AD2C8"/>
          </w:tcPr>
          <w:p>
            <w:pPr>
              <w:spacing w:after="0"/>
              <w:rPr>
                <w:sz w:val="13"/>
                <w:szCs w:val="13"/>
                <w:color w:val="auto"/>
              </w:rPr>
            </w:pPr>
          </w:p>
        </w:tc>
        <w:tc>
          <w:tcPr>
            <w:tcW w:w="3360" w:type="dxa"/>
            <w:vAlign w:val="bottom"/>
            <w:tcBorders>
              <w:bottom w:val="single" w:sz="8" w:color="auto"/>
              <w:right w:val="single" w:sz="8" w:color="auto"/>
            </w:tcBorders>
            <w:shd w:val="clear" w:color="auto" w:fill="2AD2C8"/>
          </w:tcPr>
          <w:p>
            <w:pPr>
              <w:spacing w:after="0"/>
              <w:rPr>
                <w:sz w:val="13"/>
                <w:szCs w:val="13"/>
                <w:color w:val="auto"/>
              </w:rPr>
            </w:pPr>
          </w:p>
        </w:tc>
        <w:tc>
          <w:tcPr>
            <w:tcW w:w="100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2"/>
                <w:szCs w:val="12"/>
                <w:b w:val="1"/>
                <w:bCs w:val="1"/>
                <w:color w:val="FFFFFF"/>
              </w:rPr>
              <w:t>1Q24</w:t>
            </w:r>
          </w:p>
        </w:tc>
        <w:tc>
          <w:tcPr>
            <w:tcW w:w="100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2"/>
                <w:szCs w:val="12"/>
                <w:b w:val="1"/>
                <w:bCs w:val="1"/>
                <w:color w:val="FFFFFF"/>
              </w:rPr>
              <w:t>4Q24</w:t>
            </w:r>
          </w:p>
        </w:tc>
        <w:tc>
          <w:tcPr>
            <w:tcW w:w="102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2"/>
                <w:szCs w:val="12"/>
                <w:b w:val="1"/>
                <w:bCs w:val="1"/>
                <w:color w:val="FFFFFF"/>
                <w:w w:val="95"/>
              </w:rPr>
              <w:t>1Q25</w:t>
            </w:r>
          </w:p>
        </w:tc>
        <w:tc>
          <w:tcPr>
            <w:tcW w:w="700" w:type="dxa"/>
            <w:vAlign w:val="bottom"/>
            <w:tcBorders>
              <w:bottom w:val="single" w:sz="8" w:color="auto"/>
            </w:tcBorders>
            <w:shd w:val="clear" w:color="auto" w:fill="2AD2C8"/>
          </w:tcPr>
          <w:p>
            <w:pPr>
              <w:jc w:val="center"/>
              <w:ind w:left="222"/>
              <w:spacing w:after="0"/>
              <w:rPr>
                <w:sz w:val="20"/>
                <w:szCs w:val="20"/>
                <w:color w:val="auto"/>
              </w:rPr>
            </w:pPr>
            <w:r>
              <w:rPr>
                <w:rFonts w:ascii="Arial" w:cs="Arial" w:eastAsia="Arial" w:hAnsi="Arial"/>
                <w:sz w:val="12"/>
                <w:szCs w:val="12"/>
                <w:b w:val="1"/>
                <w:bCs w:val="1"/>
                <w:color w:val="FFFFFF"/>
                <w:w w:val="99"/>
              </w:rPr>
              <w:t>QoQ</w:t>
            </w:r>
          </w:p>
        </w:tc>
        <w:tc>
          <w:tcPr>
            <w:tcW w:w="1300" w:type="dxa"/>
            <w:vAlign w:val="bottom"/>
            <w:tcBorders>
              <w:bottom w:val="single" w:sz="8" w:color="auto"/>
              <w:right w:val="single" w:sz="8" w:color="auto"/>
            </w:tcBorders>
            <w:shd w:val="clear" w:color="auto" w:fill="2AD2C8"/>
          </w:tcPr>
          <w:p>
            <w:pPr>
              <w:jc w:val="center"/>
              <w:ind w:left="222"/>
              <w:spacing w:after="0"/>
              <w:rPr>
                <w:sz w:val="20"/>
                <w:szCs w:val="20"/>
                <w:color w:val="auto"/>
              </w:rPr>
            </w:pPr>
            <w:r>
              <w:rPr>
                <w:rFonts w:ascii="Arial" w:cs="Arial" w:eastAsia="Arial" w:hAnsi="Arial"/>
                <w:sz w:val="12"/>
                <w:szCs w:val="12"/>
                <w:b w:val="1"/>
                <w:bCs w:val="1"/>
                <w:color w:val="FFFFFF"/>
                <w:w w:val="94"/>
              </w:rPr>
              <w:t>YoY</w:t>
            </w:r>
          </w:p>
        </w:tc>
      </w:tr>
      <w:tr>
        <w:trPr>
          <w:trHeight w:val="121"/>
        </w:trPr>
        <w:tc>
          <w:tcPr>
            <w:tcW w:w="2860" w:type="dxa"/>
            <w:vAlign w:val="bottom"/>
            <w:tcBorders>
              <w:left w:val="single" w:sz="8" w:color="auto"/>
            </w:tcBorders>
          </w:tcPr>
          <w:p>
            <w:pPr>
              <w:ind w:left="20"/>
              <w:spacing w:after="0" w:line="121" w:lineRule="exact"/>
              <w:rPr>
                <w:sz w:val="20"/>
                <w:szCs w:val="20"/>
                <w:color w:val="auto"/>
              </w:rPr>
            </w:pPr>
            <w:r>
              <w:rPr>
                <w:rFonts w:ascii="Arial" w:cs="Arial" w:eastAsia="Arial" w:hAnsi="Arial"/>
                <w:sz w:val="12"/>
                <w:szCs w:val="12"/>
                <w:b w:val="1"/>
                <w:bCs w:val="1"/>
                <w:color w:val="auto"/>
              </w:rPr>
              <w:t>Interest income and expense</w:t>
            </w:r>
          </w:p>
        </w:tc>
        <w:tc>
          <w:tcPr>
            <w:tcW w:w="3360" w:type="dxa"/>
            <w:vAlign w:val="bottom"/>
            <w:tcBorders>
              <w:right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r>
      <w:tr>
        <w:trPr>
          <w:trHeight w:val="128"/>
        </w:trPr>
        <w:tc>
          <w:tcPr>
            <w:tcW w:w="2860" w:type="dxa"/>
            <w:vAlign w:val="bottom"/>
            <w:tcBorders>
              <w:left w:val="single" w:sz="8" w:color="auto"/>
            </w:tcBorders>
          </w:tcPr>
          <w:p>
            <w:pPr>
              <w:ind w:left="180"/>
              <w:spacing w:after="0" w:line="128" w:lineRule="exact"/>
              <w:rPr>
                <w:sz w:val="20"/>
                <w:szCs w:val="20"/>
                <w:color w:val="auto"/>
              </w:rPr>
            </w:pPr>
            <w:r>
              <w:rPr>
                <w:rFonts w:ascii="Arial" w:cs="Arial" w:eastAsia="Arial" w:hAnsi="Arial"/>
                <w:sz w:val="12"/>
                <w:szCs w:val="12"/>
                <w:color w:val="auto"/>
              </w:rPr>
              <w:t>Interest and similar income</w:t>
            </w:r>
          </w:p>
        </w:tc>
        <w:tc>
          <w:tcPr>
            <w:tcW w:w="3360" w:type="dxa"/>
            <w:vAlign w:val="bottom"/>
            <w:tcBorders>
              <w:right w:val="single" w:sz="8" w:color="auto"/>
            </w:tcBorders>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Arial" w:cs="Arial" w:eastAsia="Arial" w:hAnsi="Arial"/>
                <w:sz w:val="12"/>
                <w:szCs w:val="12"/>
                <w:color w:val="auto"/>
                <w:w w:val="97"/>
              </w:rPr>
              <w:t>4,278,901</w:t>
            </w:r>
          </w:p>
        </w:tc>
        <w:tc>
          <w:tcPr>
            <w:tcW w:w="1000" w:type="dxa"/>
            <w:vAlign w:val="bottom"/>
          </w:tcPr>
          <w:p>
            <w:pPr>
              <w:jc w:val="center"/>
              <w:spacing w:after="0" w:line="128" w:lineRule="exact"/>
              <w:rPr>
                <w:sz w:val="20"/>
                <w:szCs w:val="20"/>
                <w:color w:val="auto"/>
              </w:rPr>
            </w:pPr>
            <w:r>
              <w:rPr>
                <w:rFonts w:ascii="Arial" w:cs="Arial" w:eastAsia="Arial" w:hAnsi="Arial"/>
                <w:sz w:val="12"/>
                <w:szCs w:val="12"/>
                <w:color w:val="auto"/>
                <w:w w:val="97"/>
              </w:rPr>
              <w:t>4,381,994</w:t>
            </w:r>
          </w:p>
        </w:tc>
        <w:tc>
          <w:tcPr>
            <w:tcW w:w="10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w w:val="97"/>
              </w:rPr>
              <w:t>4,260,384</w:t>
            </w:r>
          </w:p>
        </w:tc>
        <w:tc>
          <w:tcPr>
            <w:tcW w:w="700" w:type="dxa"/>
            <w:vAlign w:val="bottom"/>
          </w:tcPr>
          <w:p>
            <w:pPr>
              <w:jc w:val="center"/>
              <w:ind w:left="222"/>
              <w:spacing w:after="0" w:line="128" w:lineRule="exact"/>
              <w:rPr>
                <w:sz w:val="20"/>
                <w:szCs w:val="20"/>
                <w:color w:val="auto"/>
              </w:rPr>
            </w:pPr>
            <w:r>
              <w:rPr>
                <w:rFonts w:ascii="Arial" w:cs="Arial" w:eastAsia="Arial" w:hAnsi="Arial"/>
                <w:sz w:val="12"/>
                <w:szCs w:val="12"/>
                <w:color w:val="auto"/>
                <w:w w:val="95"/>
              </w:rPr>
              <w:t>-2.8%</w:t>
            </w:r>
          </w:p>
        </w:tc>
        <w:tc>
          <w:tcPr>
            <w:tcW w:w="1300" w:type="dxa"/>
            <w:vAlign w:val="bottom"/>
            <w:tcBorders>
              <w:right w:val="single" w:sz="8" w:color="auto"/>
            </w:tcBorders>
          </w:tcPr>
          <w:p>
            <w:pPr>
              <w:jc w:val="center"/>
              <w:ind w:left="222"/>
              <w:spacing w:after="0" w:line="128" w:lineRule="exact"/>
              <w:rPr>
                <w:sz w:val="20"/>
                <w:szCs w:val="20"/>
                <w:color w:val="auto"/>
              </w:rPr>
            </w:pPr>
            <w:r>
              <w:rPr>
                <w:rFonts w:ascii="Arial" w:cs="Arial" w:eastAsia="Arial" w:hAnsi="Arial"/>
                <w:sz w:val="12"/>
                <w:szCs w:val="12"/>
                <w:color w:val="auto"/>
                <w:w w:val="95"/>
              </w:rPr>
              <w:t>-0.4%</w:t>
            </w:r>
          </w:p>
        </w:tc>
      </w:tr>
      <w:tr>
        <w:trPr>
          <w:trHeight w:val="140"/>
        </w:trPr>
        <w:tc>
          <w:tcPr>
            <w:tcW w:w="2860" w:type="dxa"/>
            <w:vAlign w:val="bottom"/>
            <w:tcBorders>
              <w:left w:val="single" w:sz="8" w:color="auto"/>
            </w:tcBorders>
          </w:tcPr>
          <w:p>
            <w:pPr>
              <w:ind w:left="180"/>
              <w:spacing w:after="0" w:line="141" w:lineRule="exact"/>
              <w:rPr>
                <w:sz w:val="20"/>
                <w:szCs w:val="20"/>
                <w:color w:val="auto"/>
              </w:rPr>
            </w:pPr>
            <w:r>
              <w:rPr>
                <w:rFonts w:ascii="Arial" w:cs="Arial" w:eastAsia="Arial" w:hAnsi="Arial"/>
                <w:sz w:val="10"/>
                <w:szCs w:val="10"/>
                <w:color w:val="auto"/>
              </w:rPr>
              <w:t xml:space="preserve">Interest and similar expense </w:t>
            </w:r>
            <w:r>
              <w:rPr>
                <w:rFonts w:ascii="Arial" w:cs="Arial" w:eastAsia="Arial" w:hAnsi="Arial"/>
                <w:sz w:val="16"/>
                <w:szCs w:val="16"/>
                <w:color w:val="auto"/>
                <w:vertAlign w:val="superscript"/>
              </w:rPr>
              <w:t>(1)</w:t>
            </w:r>
          </w:p>
        </w:tc>
        <w:tc>
          <w:tcPr>
            <w:tcW w:w="3360" w:type="dxa"/>
            <w:vAlign w:val="bottom"/>
            <w:tcBorders>
              <w:right w:val="single" w:sz="8" w:color="auto"/>
            </w:tcBorders>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color w:val="auto"/>
                <w:w w:val="94"/>
              </w:rPr>
              <w:t>(1,119,658)</w:t>
            </w: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(1,025,087)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(975,337)</w:t>
            </w:r>
          </w:p>
        </w:tc>
        <w:tc>
          <w:tcPr>
            <w:tcW w:w="700" w:type="dxa"/>
            <w:vAlign w:val="bottom"/>
          </w:tcPr>
          <w:p>
            <w:pPr>
              <w:jc w:val="center"/>
              <w:ind w:left="222"/>
              <w:spacing w:after="0"/>
              <w:rPr>
                <w:sz w:val="20"/>
                <w:szCs w:val="20"/>
                <w:color w:val="auto"/>
              </w:rPr>
            </w:pPr>
            <w:r>
              <w:rPr>
                <w:rFonts w:ascii="Arial" w:cs="Arial" w:eastAsia="Arial" w:hAnsi="Arial"/>
                <w:sz w:val="12"/>
                <w:szCs w:val="12"/>
                <w:color w:val="auto"/>
                <w:w w:val="95"/>
              </w:rPr>
              <w:t>-4.9%</w:t>
            </w:r>
          </w:p>
        </w:tc>
        <w:tc>
          <w:tcPr>
            <w:tcW w:w="130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color w:val="auto"/>
                <w:w w:val="94"/>
              </w:rPr>
              <w:t>-12.9%</w:t>
            </w:r>
          </w:p>
        </w:tc>
      </w:tr>
      <w:tr>
        <w:trPr>
          <w:trHeight w:val="160"/>
        </w:trPr>
        <w:tc>
          <w:tcPr>
            <w:tcW w:w="28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Interest income and expense</w:t>
            </w:r>
          </w:p>
        </w:tc>
        <w:tc>
          <w:tcPr>
            <w:tcW w:w="3360" w:type="dxa"/>
            <w:vAlign w:val="bottom"/>
            <w:tcBorders>
              <w:right w:val="single" w:sz="8" w:color="auto"/>
            </w:tcBorders>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3,159,243</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3,356,907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3,285,047</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5"/>
              </w:rPr>
              <w:t>-2.1%</w:t>
            </w:r>
          </w:p>
        </w:tc>
        <w:tc>
          <w:tcPr>
            <w:tcW w:w="130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rPr>
              <w:t>4.0%</w:t>
            </w:r>
          </w:p>
        </w:tc>
      </w:tr>
      <w:tr>
        <w:trPr>
          <w:trHeight w:val="247"/>
        </w:trPr>
        <w:tc>
          <w:tcPr>
            <w:tcW w:w="28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Provision for credit losses on loan portfolio</w:t>
            </w:r>
          </w:p>
        </w:tc>
        <w:tc>
          <w:tcPr>
            <w:tcW w:w="3360" w:type="dxa"/>
            <w:vAlign w:val="bottom"/>
            <w:tcBorders>
              <w:right w:val="single" w:sz="8" w:color="auto"/>
            </w:tcBorders>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(844,152)</w:t>
            </w: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(786,209)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(648,883)</w:t>
            </w:r>
          </w:p>
        </w:tc>
        <w:tc>
          <w:tcPr>
            <w:tcW w:w="700" w:type="dxa"/>
            <w:vAlign w:val="bottom"/>
          </w:tcPr>
          <w:p>
            <w:pPr>
              <w:jc w:val="center"/>
              <w:ind w:left="222"/>
              <w:spacing w:after="0"/>
              <w:rPr>
                <w:sz w:val="20"/>
                <w:szCs w:val="20"/>
                <w:color w:val="auto"/>
              </w:rPr>
            </w:pPr>
            <w:r>
              <w:rPr>
                <w:rFonts w:ascii="Arial" w:cs="Arial" w:eastAsia="Arial" w:hAnsi="Arial"/>
                <w:sz w:val="12"/>
                <w:szCs w:val="12"/>
                <w:color w:val="auto"/>
                <w:w w:val="99"/>
              </w:rPr>
              <w:t>-17.5%</w:t>
            </w:r>
          </w:p>
        </w:tc>
        <w:tc>
          <w:tcPr>
            <w:tcW w:w="130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color w:val="auto"/>
                <w:w w:val="94"/>
              </w:rPr>
              <w:t>-23.1%</w:t>
            </w:r>
          </w:p>
        </w:tc>
      </w:tr>
      <w:tr>
        <w:trPr>
          <w:trHeight w:val="133"/>
        </w:trPr>
        <w:tc>
          <w:tcPr>
            <w:tcW w:w="2860" w:type="dxa"/>
            <w:vAlign w:val="bottom"/>
            <w:tcBorders>
              <w:left w:val="single" w:sz="8" w:color="auto"/>
            </w:tcBorders>
          </w:tcPr>
          <w:p>
            <w:pPr>
              <w:ind w:left="20"/>
              <w:spacing w:after="0" w:line="133" w:lineRule="exact"/>
              <w:rPr>
                <w:sz w:val="20"/>
                <w:szCs w:val="20"/>
                <w:color w:val="auto"/>
              </w:rPr>
            </w:pPr>
            <w:r>
              <w:rPr>
                <w:rFonts w:ascii="Arial" w:cs="Arial" w:eastAsia="Arial" w:hAnsi="Arial"/>
                <w:sz w:val="12"/>
                <w:szCs w:val="12"/>
                <w:color w:val="auto"/>
              </w:rPr>
              <w:t>Recoveries of written-off loans</w:t>
            </w:r>
          </w:p>
        </w:tc>
        <w:tc>
          <w:tcPr>
            <w:tcW w:w="3360" w:type="dxa"/>
            <w:vAlign w:val="bottom"/>
            <w:tcBorders>
              <w:right w:val="single" w:sz="8" w:color="auto"/>
            </w:tcBorders>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7"/>
              </w:rPr>
              <w:t>90,798</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6"/>
              </w:rPr>
              <w:t>108,560</w:t>
            </w:r>
          </w:p>
        </w:tc>
        <w:tc>
          <w:tcPr>
            <w:tcW w:w="10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6"/>
              </w:rPr>
              <w:t>108,978</w:t>
            </w:r>
          </w:p>
        </w:tc>
        <w:tc>
          <w:tcPr>
            <w:tcW w:w="700" w:type="dxa"/>
            <w:vAlign w:val="bottom"/>
          </w:tcPr>
          <w:p>
            <w:pPr>
              <w:jc w:val="center"/>
              <w:ind w:left="222"/>
              <w:spacing w:after="0" w:line="133" w:lineRule="exact"/>
              <w:rPr>
                <w:sz w:val="20"/>
                <w:szCs w:val="20"/>
                <w:color w:val="auto"/>
              </w:rPr>
            </w:pPr>
            <w:r>
              <w:rPr>
                <w:rFonts w:ascii="Arial" w:cs="Arial" w:eastAsia="Arial" w:hAnsi="Arial"/>
                <w:sz w:val="12"/>
                <w:szCs w:val="12"/>
                <w:color w:val="auto"/>
                <w:w w:val="94"/>
              </w:rPr>
              <w:t>0.4%</w:t>
            </w:r>
          </w:p>
        </w:tc>
        <w:tc>
          <w:tcPr>
            <w:tcW w:w="1300" w:type="dxa"/>
            <w:vAlign w:val="bottom"/>
            <w:tcBorders>
              <w:right w:val="single" w:sz="8" w:color="auto"/>
            </w:tcBorders>
          </w:tcPr>
          <w:p>
            <w:pPr>
              <w:jc w:val="center"/>
              <w:ind w:left="242"/>
              <w:spacing w:after="0" w:line="133" w:lineRule="exact"/>
              <w:rPr>
                <w:sz w:val="20"/>
                <w:szCs w:val="20"/>
                <w:color w:val="auto"/>
              </w:rPr>
            </w:pPr>
            <w:r>
              <w:rPr>
                <w:rFonts w:ascii="Arial" w:cs="Arial" w:eastAsia="Arial" w:hAnsi="Arial"/>
                <w:sz w:val="12"/>
                <w:szCs w:val="12"/>
                <w:color w:val="auto"/>
                <w:w w:val="93"/>
              </w:rPr>
              <w:t>20.0%</w:t>
            </w:r>
          </w:p>
        </w:tc>
      </w:tr>
      <w:tr>
        <w:trPr>
          <w:trHeight w:val="160"/>
        </w:trPr>
        <w:tc>
          <w:tcPr>
            <w:tcW w:w="62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Provision for credit losses on loan portfolio, net of recoveries</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(753,354)</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(677,649)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(539,905)</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9"/>
              </w:rPr>
              <w:t>-20.3%</w:t>
            </w:r>
          </w:p>
        </w:tc>
        <w:tc>
          <w:tcPr>
            <w:tcW w:w="130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4"/>
              </w:rPr>
              <w:t>-28.3%</w:t>
            </w:r>
          </w:p>
        </w:tc>
      </w:tr>
      <w:tr>
        <w:trPr>
          <w:trHeight w:val="270"/>
        </w:trPr>
        <w:tc>
          <w:tcPr>
            <w:tcW w:w="62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Net interest, similar income and expenses, after provision for credit losses on loan portfolio</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2,405,889</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2,679,258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2,745,142</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4"/>
              </w:rPr>
              <w:t>2.5%</w:t>
            </w:r>
          </w:p>
        </w:tc>
        <w:tc>
          <w:tcPr>
            <w:tcW w:w="130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3"/>
              </w:rPr>
              <w:t>14.1%</w:t>
            </w:r>
          </w:p>
        </w:tc>
      </w:tr>
      <w:tr>
        <w:trPr>
          <w:trHeight w:val="247"/>
        </w:trPr>
        <w:tc>
          <w:tcPr>
            <w:tcW w:w="28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Other income</w:t>
            </w:r>
          </w:p>
        </w:tc>
        <w:tc>
          <w:tcPr>
            <w:tcW w:w="3360" w:type="dxa"/>
            <w:vAlign w:val="bottom"/>
            <w:tcBorders>
              <w:right w:val="single" w:sz="8" w:color="auto"/>
            </w:tcBorders>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2"/>
                <w:szCs w:val="12"/>
                <w:color w:val="auto"/>
              </w:rPr>
              <w:t>Fee income</w:t>
            </w:r>
          </w:p>
        </w:tc>
        <w:tc>
          <w:tcPr>
            <w:tcW w:w="3360" w:type="dxa"/>
            <w:vAlign w:val="bottom"/>
            <w:tcBorders>
              <w:right w:val="single" w:sz="8" w:color="auto"/>
            </w:tcBorders>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6"/>
              </w:rPr>
              <w:t>729,700</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6"/>
              </w:rPr>
              <w:t>833,341</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6"/>
              </w:rPr>
              <w:t>860,089</w:t>
            </w:r>
          </w:p>
        </w:tc>
        <w:tc>
          <w:tcPr>
            <w:tcW w:w="700" w:type="dxa"/>
            <w:vAlign w:val="bottom"/>
          </w:tcPr>
          <w:p>
            <w:pPr>
              <w:jc w:val="center"/>
              <w:ind w:left="242"/>
              <w:spacing w:after="0" w:line="135" w:lineRule="exact"/>
              <w:rPr>
                <w:sz w:val="20"/>
                <w:szCs w:val="20"/>
                <w:color w:val="auto"/>
              </w:rPr>
            </w:pPr>
            <w:r>
              <w:rPr>
                <w:rFonts w:ascii="Arial" w:cs="Arial" w:eastAsia="Arial" w:hAnsi="Arial"/>
                <w:sz w:val="12"/>
                <w:szCs w:val="12"/>
                <w:color w:val="auto"/>
              </w:rPr>
              <w:t>3.2%</w:t>
            </w:r>
          </w:p>
        </w:tc>
        <w:tc>
          <w:tcPr>
            <w:tcW w:w="130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color w:val="auto"/>
                <w:w w:val="93"/>
              </w:rPr>
              <w:t>17.9%</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2"/>
                <w:szCs w:val="12"/>
                <w:color w:val="auto"/>
              </w:rPr>
              <w:t>Net gain on foreign exchange transactions</w:t>
            </w:r>
          </w:p>
        </w:tc>
        <w:tc>
          <w:tcPr>
            <w:tcW w:w="3360" w:type="dxa"/>
            <w:vAlign w:val="bottom"/>
            <w:tcBorders>
              <w:right w:val="single" w:sz="8" w:color="auto"/>
            </w:tcBorders>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6"/>
              </w:rPr>
              <w:t>261,882</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6"/>
              </w:rPr>
              <w:t>313,538</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6"/>
              </w:rPr>
              <w:t>305,799</w:t>
            </w:r>
          </w:p>
        </w:tc>
        <w:tc>
          <w:tcPr>
            <w:tcW w:w="700" w:type="dxa"/>
            <w:vAlign w:val="bottom"/>
          </w:tcPr>
          <w:p>
            <w:pPr>
              <w:jc w:val="center"/>
              <w:ind w:left="222"/>
              <w:spacing w:after="0" w:line="135" w:lineRule="exact"/>
              <w:rPr>
                <w:sz w:val="20"/>
                <w:szCs w:val="20"/>
                <w:color w:val="auto"/>
              </w:rPr>
            </w:pPr>
            <w:r>
              <w:rPr>
                <w:rFonts w:ascii="Arial" w:cs="Arial" w:eastAsia="Arial" w:hAnsi="Arial"/>
                <w:sz w:val="12"/>
                <w:szCs w:val="12"/>
                <w:color w:val="auto"/>
                <w:w w:val="95"/>
              </w:rPr>
              <w:t>-2.5%</w:t>
            </w:r>
          </w:p>
        </w:tc>
        <w:tc>
          <w:tcPr>
            <w:tcW w:w="130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color w:val="auto"/>
                <w:w w:val="93"/>
              </w:rPr>
              <w:t>16.8%</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2"/>
                <w:szCs w:val="12"/>
                <w:color w:val="auto"/>
              </w:rPr>
              <w:t>Net gain (loss) on securities</w:t>
            </w:r>
          </w:p>
        </w:tc>
        <w:tc>
          <w:tcPr>
            <w:tcW w:w="3360" w:type="dxa"/>
            <w:vAlign w:val="bottom"/>
            <w:tcBorders>
              <w:right w:val="single" w:sz="8" w:color="auto"/>
            </w:tcBorders>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3"/>
              </w:rPr>
              <w:t>(10,530)</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8"/>
              </w:rPr>
              <w:t>(19,571)</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2"/>
              </w:rPr>
              <w:t>11,361</w:t>
            </w:r>
          </w:p>
        </w:tc>
        <w:tc>
          <w:tcPr>
            <w:tcW w:w="700" w:type="dxa"/>
            <w:vAlign w:val="bottom"/>
          </w:tcPr>
          <w:p>
            <w:pPr>
              <w:jc w:val="center"/>
              <w:ind w:left="242"/>
              <w:spacing w:after="0" w:line="135" w:lineRule="exact"/>
              <w:rPr>
                <w:sz w:val="20"/>
                <w:szCs w:val="20"/>
                <w:color w:val="auto"/>
              </w:rPr>
            </w:pPr>
            <w:r>
              <w:rPr>
                <w:rFonts w:ascii="Arial" w:cs="Arial" w:eastAsia="Arial" w:hAnsi="Arial"/>
                <w:sz w:val="12"/>
                <w:szCs w:val="12"/>
                <w:color w:val="auto"/>
                <w:w w:val="99"/>
              </w:rPr>
              <w:t>n.a.</w:t>
            </w:r>
          </w:p>
        </w:tc>
        <w:tc>
          <w:tcPr>
            <w:tcW w:w="1300" w:type="dxa"/>
            <w:vAlign w:val="bottom"/>
            <w:tcBorders>
              <w:right w:val="single" w:sz="8" w:color="auto"/>
            </w:tcBorders>
          </w:tcPr>
          <w:p>
            <w:pPr>
              <w:jc w:val="center"/>
              <w:ind w:left="202"/>
              <w:spacing w:after="0" w:line="135" w:lineRule="exact"/>
              <w:rPr>
                <w:sz w:val="20"/>
                <w:szCs w:val="20"/>
                <w:color w:val="auto"/>
              </w:rPr>
            </w:pPr>
            <w:r>
              <w:rPr>
                <w:rFonts w:ascii="Arial" w:cs="Arial" w:eastAsia="Arial" w:hAnsi="Arial"/>
                <w:sz w:val="12"/>
                <w:szCs w:val="12"/>
                <w:color w:val="auto"/>
                <w:w w:val="99"/>
              </w:rPr>
              <w:t>n.a.</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2"/>
                <w:szCs w:val="12"/>
                <w:color w:val="auto"/>
              </w:rPr>
              <w:t>Net gain on derivatives held for trading</w:t>
            </w:r>
          </w:p>
        </w:tc>
        <w:tc>
          <w:tcPr>
            <w:tcW w:w="3360" w:type="dxa"/>
            <w:vAlign w:val="bottom"/>
            <w:tcBorders>
              <w:right w:val="single" w:sz="8" w:color="auto"/>
            </w:tcBorders>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17,957</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24,881</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14,635</w:t>
            </w:r>
          </w:p>
        </w:tc>
        <w:tc>
          <w:tcPr>
            <w:tcW w:w="700" w:type="dxa"/>
            <w:vAlign w:val="bottom"/>
          </w:tcPr>
          <w:p>
            <w:pPr>
              <w:jc w:val="center"/>
              <w:ind w:left="242"/>
              <w:spacing w:after="0" w:line="135" w:lineRule="exact"/>
              <w:rPr>
                <w:sz w:val="20"/>
                <w:szCs w:val="20"/>
                <w:color w:val="auto"/>
              </w:rPr>
            </w:pPr>
            <w:r>
              <w:rPr>
                <w:rFonts w:ascii="Arial" w:cs="Arial" w:eastAsia="Arial" w:hAnsi="Arial"/>
                <w:sz w:val="12"/>
                <w:szCs w:val="12"/>
                <w:color w:val="auto"/>
                <w:w w:val="94"/>
              </w:rPr>
              <w:t>-41.2%</w:t>
            </w:r>
          </w:p>
        </w:tc>
        <w:tc>
          <w:tcPr>
            <w:tcW w:w="130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color w:val="auto"/>
                <w:w w:val="94"/>
              </w:rPr>
              <w:t>-18.5%</w:t>
            </w: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2"/>
                <w:szCs w:val="12"/>
                <w:color w:val="auto"/>
              </w:rPr>
              <w:t>Net loss (gain) from exchange differences</w:t>
            </w:r>
          </w:p>
        </w:tc>
        <w:tc>
          <w:tcPr>
            <w:tcW w:w="3360" w:type="dxa"/>
            <w:vAlign w:val="bottom"/>
            <w:tcBorders>
              <w:right w:val="single" w:sz="8" w:color="auto"/>
            </w:tcBorders>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9"/>
              </w:rPr>
              <w:t>6,525</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4"/>
              </w:rPr>
              <w:t>(1,989)</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89"/>
              </w:rPr>
              <w:t>784</w:t>
            </w:r>
          </w:p>
        </w:tc>
        <w:tc>
          <w:tcPr>
            <w:tcW w:w="700" w:type="dxa"/>
            <w:vAlign w:val="bottom"/>
          </w:tcPr>
          <w:p>
            <w:pPr>
              <w:jc w:val="center"/>
              <w:ind w:left="242"/>
              <w:spacing w:after="0" w:line="135" w:lineRule="exact"/>
              <w:rPr>
                <w:sz w:val="20"/>
                <w:szCs w:val="20"/>
                <w:color w:val="auto"/>
              </w:rPr>
            </w:pPr>
            <w:r>
              <w:rPr>
                <w:rFonts w:ascii="Arial" w:cs="Arial" w:eastAsia="Arial" w:hAnsi="Arial"/>
                <w:sz w:val="12"/>
                <w:szCs w:val="12"/>
                <w:color w:val="auto"/>
                <w:w w:val="99"/>
              </w:rPr>
              <w:t>n.a.</w:t>
            </w:r>
          </w:p>
        </w:tc>
        <w:tc>
          <w:tcPr>
            <w:tcW w:w="1300" w:type="dxa"/>
            <w:vAlign w:val="bottom"/>
            <w:tcBorders>
              <w:right w:val="single" w:sz="8" w:color="auto"/>
            </w:tcBorders>
          </w:tcPr>
          <w:p>
            <w:pPr>
              <w:jc w:val="center"/>
              <w:ind w:left="222"/>
              <w:spacing w:after="0" w:line="135" w:lineRule="exact"/>
              <w:rPr>
                <w:sz w:val="20"/>
                <w:szCs w:val="20"/>
                <w:color w:val="auto"/>
              </w:rPr>
            </w:pPr>
            <w:r>
              <w:rPr>
                <w:rFonts w:ascii="Arial" w:cs="Arial" w:eastAsia="Arial" w:hAnsi="Arial"/>
                <w:sz w:val="12"/>
                <w:szCs w:val="12"/>
                <w:color w:val="auto"/>
                <w:w w:val="99"/>
              </w:rPr>
              <w:t>-88.0%</w:t>
            </w:r>
          </w:p>
        </w:tc>
      </w:tr>
      <w:tr>
        <w:trPr>
          <w:trHeight w:val="133"/>
        </w:trPr>
        <w:tc>
          <w:tcPr>
            <w:tcW w:w="2860" w:type="dxa"/>
            <w:vAlign w:val="bottom"/>
            <w:tcBorders>
              <w:left w:val="single" w:sz="8" w:color="auto"/>
            </w:tcBorders>
          </w:tcPr>
          <w:p>
            <w:pPr>
              <w:ind w:left="180"/>
              <w:spacing w:after="0" w:line="133" w:lineRule="exact"/>
              <w:rPr>
                <w:sz w:val="20"/>
                <w:szCs w:val="20"/>
                <w:color w:val="auto"/>
              </w:rPr>
            </w:pPr>
            <w:r>
              <w:rPr>
                <w:rFonts w:ascii="Arial" w:cs="Arial" w:eastAsia="Arial" w:hAnsi="Arial"/>
                <w:sz w:val="12"/>
                <w:szCs w:val="12"/>
                <w:color w:val="auto"/>
              </w:rPr>
              <w:t>Others</w:t>
            </w:r>
          </w:p>
        </w:tc>
        <w:tc>
          <w:tcPr>
            <w:tcW w:w="3360" w:type="dxa"/>
            <w:vAlign w:val="bottom"/>
            <w:tcBorders>
              <w:right w:val="single" w:sz="8" w:color="auto"/>
            </w:tcBorders>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7"/>
              </w:rPr>
              <w:t>56,939</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7"/>
              </w:rPr>
              <w:t>95,118</w:t>
            </w:r>
          </w:p>
        </w:tc>
        <w:tc>
          <w:tcPr>
            <w:tcW w:w="10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23,975</w:t>
            </w:r>
          </w:p>
        </w:tc>
        <w:tc>
          <w:tcPr>
            <w:tcW w:w="700" w:type="dxa"/>
            <w:vAlign w:val="bottom"/>
          </w:tcPr>
          <w:p>
            <w:pPr>
              <w:jc w:val="center"/>
              <w:ind w:left="242"/>
              <w:spacing w:after="0" w:line="133" w:lineRule="exact"/>
              <w:rPr>
                <w:sz w:val="20"/>
                <w:szCs w:val="20"/>
                <w:color w:val="auto"/>
              </w:rPr>
            </w:pPr>
            <w:r>
              <w:rPr>
                <w:rFonts w:ascii="Arial" w:cs="Arial" w:eastAsia="Arial" w:hAnsi="Arial"/>
                <w:sz w:val="12"/>
                <w:szCs w:val="12"/>
                <w:color w:val="auto"/>
                <w:w w:val="94"/>
              </w:rPr>
              <w:t>-74.8%</w:t>
            </w:r>
          </w:p>
        </w:tc>
        <w:tc>
          <w:tcPr>
            <w:tcW w:w="1300" w:type="dxa"/>
            <w:vAlign w:val="bottom"/>
            <w:tcBorders>
              <w:right w:val="single" w:sz="8" w:color="auto"/>
            </w:tcBorders>
          </w:tcPr>
          <w:p>
            <w:pPr>
              <w:jc w:val="center"/>
              <w:ind w:left="242"/>
              <w:spacing w:after="0" w:line="133" w:lineRule="exact"/>
              <w:rPr>
                <w:sz w:val="20"/>
                <w:szCs w:val="20"/>
                <w:color w:val="auto"/>
              </w:rPr>
            </w:pPr>
            <w:r>
              <w:rPr>
                <w:rFonts w:ascii="Arial" w:cs="Arial" w:eastAsia="Arial" w:hAnsi="Arial"/>
                <w:sz w:val="12"/>
                <w:szCs w:val="12"/>
                <w:color w:val="auto"/>
                <w:w w:val="94"/>
              </w:rPr>
              <w:t>-57.9%</w:t>
            </w:r>
          </w:p>
        </w:tc>
      </w:tr>
      <w:tr>
        <w:trPr>
          <w:trHeight w:val="160"/>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2"/>
                <w:szCs w:val="12"/>
                <w:b w:val="1"/>
                <w:bCs w:val="1"/>
                <w:color w:val="auto"/>
              </w:rPr>
              <w:t>Total other income</w:t>
            </w:r>
          </w:p>
        </w:tc>
        <w:tc>
          <w:tcPr>
            <w:tcW w:w="3360" w:type="dxa"/>
            <w:vAlign w:val="bottom"/>
            <w:tcBorders>
              <w:right w:val="single" w:sz="8" w:color="auto"/>
            </w:tcBorders>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1,062,473</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1,245,318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1,216,643</w:t>
            </w:r>
          </w:p>
        </w:tc>
        <w:tc>
          <w:tcPr>
            <w:tcW w:w="700" w:type="dxa"/>
            <w:vAlign w:val="bottom"/>
          </w:tcPr>
          <w:p>
            <w:pPr>
              <w:jc w:val="center"/>
              <w:ind w:left="242"/>
              <w:spacing w:after="0"/>
              <w:rPr>
                <w:sz w:val="20"/>
                <w:szCs w:val="20"/>
                <w:color w:val="auto"/>
              </w:rPr>
            </w:pPr>
            <w:r>
              <w:rPr>
                <w:rFonts w:ascii="Arial" w:cs="Arial" w:eastAsia="Arial" w:hAnsi="Arial"/>
                <w:sz w:val="12"/>
                <w:szCs w:val="12"/>
                <w:b w:val="1"/>
                <w:bCs w:val="1"/>
                <w:color w:val="auto"/>
              </w:rPr>
              <w:t>-2.3%</w:t>
            </w:r>
          </w:p>
        </w:tc>
        <w:tc>
          <w:tcPr>
            <w:tcW w:w="130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3"/>
              </w:rPr>
              <w:t>14.5%</w:t>
            </w:r>
          </w:p>
        </w:tc>
      </w:tr>
      <w:tr>
        <w:trPr>
          <w:trHeight w:val="247"/>
        </w:trPr>
        <w:tc>
          <w:tcPr>
            <w:tcW w:w="28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Total expenses</w:t>
            </w:r>
          </w:p>
        </w:tc>
        <w:tc>
          <w:tcPr>
            <w:tcW w:w="3360" w:type="dxa"/>
            <w:vAlign w:val="bottom"/>
            <w:tcBorders>
              <w:right w:val="single" w:sz="8" w:color="auto"/>
            </w:tcBorders>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r>
      <w:tr>
        <w:trPr>
          <w:trHeight w:val="135"/>
        </w:trPr>
        <w:tc>
          <w:tcPr>
            <w:tcW w:w="2860" w:type="dxa"/>
            <w:vAlign w:val="bottom"/>
            <w:tcBorders>
              <w:left w:val="single" w:sz="8" w:color="auto"/>
            </w:tcBorders>
          </w:tcPr>
          <w:p>
            <w:pPr>
              <w:ind w:left="180"/>
              <w:spacing w:after="0" w:line="135" w:lineRule="exact"/>
              <w:rPr>
                <w:sz w:val="20"/>
                <w:szCs w:val="20"/>
                <w:color w:val="auto"/>
              </w:rPr>
            </w:pPr>
            <w:r>
              <w:rPr>
                <w:rFonts w:ascii="Arial" w:cs="Arial" w:eastAsia="Arial" w:hAnsi="Arial"/>
                <w:sz w:val="12"/>
                <w:szCs w:val="12"/>
                <w:color w:val="auto"/>
              </w:rPr>
              <w:t>Salaries and employee benefits</w:t>
            </w:r>
          </w:p>
        </w:tc>
        <w:tc>
          <w:tcPr>
            <w:tcW w:w="3360" w:type="dxa"/>
            <w:vAlign w:val="bottom"/>
            <w:tcBorders>
              <w:right w:val="single" w:sz="8" w:color="auto"/>
            </w:tcBorders>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(795,569)</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(973,566)</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(979,534)</w:t>
            </w:r>
          </w:p>
        </w:tc>
        <w:tc>
          <w:tcPr>
            <w:tcW w:w="700" w:type="dxa"/>
            <w:vAlign w:val="bottom"/>
          </w:tcPr>
          <w:p>
            <w:pPr>
              <w:jc w:val="center"/>
              <w:ind w:left="222"/>
              <w:spacing w:after="0" w:line="135" w:lineRule="exact"/>
              <w:rPr>
                <w:sz w:val="20"/>
                <w:szCs w:val="20"/>
                <w:color w:val="auto"/>
              </w:rPr>
            </w:pPr>
            <w:r>
              <w:rPr>
                <w:rFonts w:ascii="Arial" w:cs="Arial" w:eastAsia="Arial" w:hAnsi="Arial"/>
                <w:sz w:val="12"/>
                <w:szCs w:val="12"/>
                <w:color w:val="auto"/>
                <w:w w:val="94"/>
              </w:rPr>
              <w:t>0.6%</w:t>
            </w:r>
          </w:p>
        </w:tc>
        <w:tc>
          <w:tcPr>
            <w:tcW w:w="130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color w:val="auto"/>
                <w:w w:val="93"/>
              </w:rPr>
              <w:t>23.1%</w:t>
            </w:r>
          </w:p>
        </w:tc>
      </w:tr>
      <w:tr>
        <w:trPr>
          <w:trHeight w:val="128"/>
        </w:trPr>
        <w:tc>
          <w:tcPr>
            <w:tcW w:w="2860" w:type="dxa"/>
            <w:vAlign w:val="bottom"/>
            <w:tcBorders>
              <w:left w:val="single" w:sz="8" w:color="auto"/>
            </w:tcBorders>
          </w:tcPr>
          <w:p>
            <w:pPr>
              <w:ind w:left="180"/>
              <w:spacing w:after="0" w:line="128" w:lineRule="exact"/>
              <w:rPr>
                <w:sz w:val="20"/>
                <w:szCs w:val="20"/>
                <w:color w:val="auto"/>
              </w:rPr>
            </w:pPr>
            <w:r>
              <w:rPr>
                <w:rFonts w:ascii="Arial" w:cs="Arial" w:eastAsia="Arial" w:hAnsi="Arial"/>
                <w:sz w:val="12"/>
                <w:szCs w:val="12"/>
                <w:color w:val="auto"/>
              </w:rPr>
              <w:t>Administrative expenses</w:t>
            </w:r>
          </w:p>
        </w:tc>
        <w:tc>
          <w:tcPr>
            <w:tcW w:w="3360" w:type="dxa"/>
            <w:vAlign w:val="bottom"/>
            <w:tcBorders>
              <w:right w:val="single" w:sz="8" w:color="auto"/>
            </w:tcBorders>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Arial" w:cs="Arial" w:eastAsia="Arial" w:hAnsi="Arial"/>
                <w:sz w:val="12"/>
                <w:szCs w:val="12"/>
                <w:color w:val="auto"/>
                <w:w w:val="97"/>
              </w:rPr>
              <w:t>(630,015)</w:t>
            </w:r>
          </w:p>
        </w:tc>
        <w:tc>
          <w:tcPr>
            <w:tcW w:w="1000" w:type="dxa"/>
            <w:vAlign w:val="bottom"/>
          </w:tcPr>
          <w:p>
            <w:pPr>
              <w:jc w:val="center"/>
              <w:spacing w:after="0" w:line="128" w:lineRule="exact"/>
              <w:rPr>
                <w:sz w:val="20"/>
                <w:szCs w:val="20"/>
                <w:color w:val="auto"/>
              </w:rPr>
            </w:pPr>
            <w:r>
              <w:rPr>
                <w:rFonts w:ascii="Arial" w:cs="Arial" w:eastAsia="Arial" w:hAnsi="Arial"/>
                <w:sz w:val="12"/>
                <w:szCs w:val="12"/>
                <w:color w:val="auto"/>
                <w:w w:val="97"/>
              </w:rPr>
              <w:t>(899,653)</w:t>
            </w:r>
          </w:p>
        </w:tc>
        <w:tc>
          <w:tcPr>
            <w:tcW w:w="10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w w:val="97"/>
              </w:rPr>
              <w:t>(628,741)</w:t>
            </w:r>
          </w:p>
        </w:tc>
        <w:tc>
          <w:tcPr>
            <w:tcW w:w="700" w:type="dxa"/>
            <w:vAlign w:val="bottom"/>
          </w:tcPr>
          <w:p>
            <w:pPr>
              <w:jc w:val="center"/>
              <w:ind w:left="242"/>
              <w:spacing w:after="0" w:line="128" w:lineRule="exact"/>
              <w:rPr>
                <w:sz w:val="20"/>
                <w:szCs w:val="20"/>
                <w:color w:val="auto"/>
              </w:rPr>
            </w:pPr>
            <w:r>
              <w:rPr>
                <w:rFonts w:ascii="Arial" w:cs="Arial" w:eastAsia="Arial" w:hAnsi="Arial"/>
                <w:sz w:val="12"/>
                <w:szCs w:val="12"/>
                <w:color w:val="auto"/>
                <w:w w:val="94"/>
              </w:rPr>
              <w:t>-30.1%</w:t>
            </w:r>
          </w:p>
        </w:tc>
        <w:tc>
          <w:tcPr>
            <w:tcW w:w="1300" w:type="dxa"/>
            <w:vAlign w:val="bottom"/>
            <w:tcBorders>
              <w:right w:val="single" w:sz="8" w:color="auto"/>
            </w:tcBorders>
          </w:tcPr>
          <w:p>
            <w:pPr>
              <w:jc w:val="center"/>
              <w:ind w:left="222"/>
              <w:spacing w:after="0" w:line="128" w:lineRule="exact"/>
              <w:rPr>
                <w:sz w:val="20"/>
                <w:szCs w:val="20"/>
                <w:color w:val="auto"/>
              </w:rPr>
            </w:pPr>
            <w:r>
              <w:rPr>
                <w:rFonts w:ascii="Arial" w:cs="Arial" w:eastAsia="Arial" w:hAnsi="Arial"/>
                <w:sz w:val="12"/>
                <w:szCs w:val="12"/>
                <w:color w:val="auto"/>
                <w:w w:val="95"/>
              </w:rPr>
              <w:t>-0.2%</w:t>
            </w:r>
          </w:p>
        </w:tc>
      </w:tr>
      <w:tr>
        <w:trPr>
          <w:trHeight w:val="142"/>
        </w:trPr>
        <w:tc>
          <w:tcPr>
            <w:tcW w:w="2860" w:type="dxa"/>
            <w:vAlign w:val="bottom"/>
            <w:tcBorders>
              <w:left w:val="single" w:sz="8" w:color="auto"/>
            </w:tcBorders>
          </w:tcPr>
          <w:p>
            <w:pPr>
              <w:ind w:left="180"/>
              <w:spacing w:after="0" w:line="142" w:lineRule="exact"/>
              <w:rPr>
                <w:sz w:val="20"/>
                <w:szCs w:val="20"/>
                <w:color w:val="auto"/>
              </w:rPr>
            </w:pPr>
            <w:r>
              <w:rPr>
                <w:rFonts w:ascii="Arial" w:cs="Arial" w:eastAsia="Arial" w:hAnsi="Arial"/>
                <w:sz w:val="10"/>
                <w:szCs w:val="10"/>
                <w:color w:val="auto"/>
              </w:rPr>
              <w:t xml:space="preserve">Depreciation and amortization </w:t>
            </w:r>
            <w:r>
              <w:rPr>
                <w:rFonts w:ascii="Arial" w:cs="Arial" w:eastAsia="Arial" w:hAnsi="Arial"/>
                <w:sz w:val="16"/>
                <w:szCs w:val="16"/>
                <w:color w:val="auto"/>
                <w:vertAlign w:val="superscript"/>
              </w:rPr>
              <w:t>(2)</w:t>
            </w:r>
          </w:p>
        </w:tc>
        <w:tc>
          <w:tcPr>
            <w:tcW w:w="3360" w:type="dxa"/>
            <w:vAlign w:val="bottom"/>
            <w:tcBorders>
              <w:right w:val="single" w:sz="8" w:color="auto"/>
            </w:tcBorders>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(142,270)</w:t>
            </w: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(154,731)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(168,136)</w:t>
            </w:r>
          </w:p>
        </w:tc>
        <w:tc>
          <w:tcPr>
            <w:tcW w:w="700" w:type="dxa"/>
            <w:vAlign w:val="bottom"/>
          </w:tcPr>
          <w:p>
            <w:pPr>
              <w:jc w:val="center"/>
              <w:ind w:left="222"/>
              <w:spacing w:after="0"/>
              <w:rPr>
                <w:sz w:val="20"/>
                <w:szCs w:val="20"/>
                <w:color w:val="auto"/>
              </w:rPr>
            </w:pPr>
            <w:r>
              <w:rPr>
                <w:rFonts w:ascii="Arial" w:cs="Arial" w:eastAsia="Arial" w:hAnsi="Arial"/>
                <w:sz w:val="12"/>
                <w:szCs w:val="12"/>
                <w:color w:val="auto"/>
                <w:w w:val="94"/>
              </w:rPr>
              <w:t>8.7%</w:t>
            </w:r>
          </w:p>
        </w:tc>
        <w:tc>
          <w:tcPr>
            <w:tcW w:w="130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color w:val="auto"/>
                <w:w w:val="93"/>
              </w:rPr>
              <w:t>18.2%</w:t>
            </w:r>
          </w:p>
        </w:tc>
      </w:tr>
      <w:tr>
        <w:trPr>
          <w:trHeight w:val="133"/>
        </w:trPr>
        <w:tc>
          <w:tcPr>
            <w:tcW w:w="2860" w:type="dxa"/>
            <w:vAlign w:val="bottom"/>
            <w:tcBorders>
              <w:left w:val="single" w:sz="8" w:color="auto"/>
            </w:tcBorders>
          </w:tcPr>
          <w:p>
            <w:pPr>
              <w:ind w:left="180"/>
              <w:spacing w:after="0" w:line="133" w:lineRule="exact"/>
              <w:rPr>
                <w:sz w:val="20"/>
                <w:szCs w:val="20"/>
                <w:color w:val="auto"/>
              </w:rPr>
            </w:pPr>
            <w:r>
              <w:rPr>
                <w:rFonts w:ascii="Arial" w:cs="Arial" w:eastAsia="Arial" w:hAnsi="Arial"/>
                <w:sz w:val="12"/>
                <w:szCs w:val="12"/>
                <w:color w:val="auto"/>
              </w:rPr>
              <w:t>Other expenses</w:t>
            </w:r>
          </w:p>
        </w:tc>
        <w:tc>
          <w:tcPr>
            <w:tcW w:w="3360" w:type="dxa"/>
            <w:vAlign w:val="bottom"/>
            <w:tcBorders>
              <w:right w:val="single" w:sz="8" w:color="auto"/>
            </w:tcBorders>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3"/>
              </w:rPr>
              <w:t>(52,973)</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7"/>
              </w:rPr>
              <w:t>(104,374)</w:t>
            </w:r>
          </w:p>
        </w:tc>
        <w:tc>
          <w:tcPr>
            <w:tcW w:w="10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8"/>
              </w:rPr>
              <w:t>(53,526)</w:t>
            </w:r>
          </w:p>
        </w:tc>
        <w:tc>
          <w:tcPr>
            <w:tcW w:w="700" w:type="dxa"/>
            <w:vAlign w:val="bottom"/>
          </w:tcPr>
          <w:p>
            <w:pPr>
              <w:jc w:val="center"/>
              <w:ind w:left="242"/>
              <w:spacing w:after="0" w:line="133" w:lineRule="exact"/>
              <w:rPr>
                <w:sz w:val="20"/>
                <w:szCs w:val="20"/>
                <w:color w:val="auto"/>
              </w:rPr>
            </w:pPr>
            <w:r>
              <w:rPr>
                <w:rFonts w:ascii="Arial" w:cs="Arial" w:eastAsia="Arial" w:hAnsi="Arial"/>
                <w:sz w:val="12"/>
                <w:szCs w:val="12"/>
                <w:color w:val="auto"/>
                <w:w w:val="94"/>
              </w:rPr>
              <w:t>-48.7%</w:t>
            </w:r>
          </w:p>
        </w:tc>
        <w:tc>
          <w:tcPr>
            <w:tcW w:w="1300" w:type="dxa"/>
            <w:vAlign w:val="bottom"/>
            <w:tcBorders>
              <w:right w:val="single" w:sz="8" w:color="auto"/>
            </w:tcBorders>
          </w:tcPr>
          <w:p>
            <w:pPr>
              <w:jc w:val="center"/>
              <w:ind w:left="222"/>
              <w:spacing w:after="0" w:line="133" w:lineRule="exact"/>
              <w:rPr>
                <w:sz w:val="20"/>
                <w:szCs w:val="20"/>
                <w:color w:val="auto"/>
              </w:rPr>
            </w:pPr>
            <w:r>
              <w:rPr>
                <w:rFonts w:ascii="Arial" w:cs="Arial" w:eastAsia="Arial" w:hAnsi="Arial"/>
                <w:sz w:val="12"/>
                <w:szCs w:val="12"/>
                <w:color w:val="auto"/>
                <w:w w:val="94"/>
              </w:rPr>
              <w:t>1.0%</w:t>
            </w:r>
          </w:p>
        </w:tc>
      </w:tr>
      <w:tr>
        <w:trPr>
          <w:trHeight w:val="160"/>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2"/>
                <w:szCs w:val="12"/>
                <w:color w:val="auto"/>
              </w:rPr>
              <w:t>Total expenses</w:t>
            </w:r>
          </w:p>
        </w:tc>
        <w:tc>
          <w:tcPr>
            <w:tcW w:w="3360" w:type="dxa"/>
            <w:vAlign w:val="bottom"/>
            <w:tcBorders>
              <w:right w:val="single" w:sz="8" w:color="auto"/>
            </w:tcBorders>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(1,620,827)</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(2,132,324)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(1,829,937)</w:t>
            </w:r>
          </w:p>
        </w:tc>
        <w:tc>
          <w:tcPr>
            <w:tcW w:w="700" w:type="dxa"/>
            <w:vAlign w:val="bottom"/>
          </w:tcPr>
          <w:p>
            <w:pPr>
              <w:jc w:val="center"/>
              <w:ind w:left="242"/>
              <w:spacing w:after="0"/>
              <w:rPr>
                <w:sz w:val="20"/>
                <w:szCs w:val="20"/>
                <w:color w:val="auto"/>
              </w:rPr>
            </w:pPr>
            <w:r>
              <w:rPr>
                <w:rFonts w:ascii="Arial" w:cs="Arial" w:eastAsia="Arial" w:hAnsi="Arial"/>
                <w:sz w:val="12"/>
                <w:szCs w:val="12"/>
                <w:b w:val="1"/>
                <w:bCs w:val="1"/>
                <w:color w:val="auto"/>
                <w:w w:val="94"/>
              </w:rPr>
              <w:t>-14.2%</w:t>
            </w:r>
          </w:p>
        </w:tc>
        <w:tc>
          <w:tcPr>
            <w:tcW w:w="130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3"/>
              </w:rPr>
              <w:t>12.9%</w:t>
            </w:r>
          </w:p>
        </w:tc>
      </w:tr>
      <w:tr>
        <w:trPr>
          <w:trHeight w:val="270"/>
        </w:trPr>
        <w:tc>
          <w:tcPr>
            <w:tcW w:w="28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Profit before income tax</w:t>
            </w:r>
          </w:p>
        </w:tc>
        <w:tc>
          <w:tcPr>
            <w:tcW w:w="3360" w:type="dxa"/>
            <w:vAlign w:val="bottom"/>
            <w:tcBorders>
              <w:right w:val="single" w:sz="8" w:color="auto"/>
            </w:tcBorders>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1,847,535</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1,792,252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2,131,848</w:t>
            </w:r>
          </w:p>
        </w:tc>
        <w:tc>
          <w:tcPr>
            <w:tcW w:w="700" w:type="dxa"/>
            <w:vAlign w:val="bottom"/>
          </w:tcPr>
          <w:p>
            <w:pPr>
              <w:jc w:val="center"/>
              <w:ind w:left="242"/>
              <w:spacing w:after="0"/>
              <w:rPr>
                <w:sz w:val="20"/>
                <w:szCs w:val="20"/>
                <w:color w:val="auto"/>
              </w:rPr>
            </w:pPr>
            <w:r>
              <w:rPr>
                <w:rFonts w:ascii="Arial" w:cs="Arial" w:eastAsia="Arial" w:hAnsi="Arial"/>
                <w:sz w:val="12"/>
                <w:szCs w:val="12"/>
                <w:b w:val="1"/>
                <w:bCs w:val="1"/>
                <w:color w:val="auto"/>
                <w:w w:val="93"/>
              </w:rPr>
              <w:t>18.9%</w:t>
            </w:r>
          </w:p>
        </w:tc>
        <w:tc>
          <w:tcPr>
            <w:tcW w:w="130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3"/>
              </w:rPr>
              <w:t>15.4%</w:t>
            </w:r>
          </w:p>
        </w:tc>
      </w:tr>
      <w:tr>
        <w:trPr>
          <w:trHeight w:val="264"/>
        </w:trPr>
        <w:tc>
          <w:tcPr>
            <w:tcW w:w="28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Income tax</w:t>
            </w:r>
          </w:p>
        </w:tc>
        <w:tc>
          <w:tcPr>
            <w:tcW w:w="3360" w:type="dxa"/>
            <w:vAlign w:val="bottom"/>
            <w:tcBorders>
              <w:right w:val="single" w:sz="8" w:color="auto"/>
            </w:tcBorders>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(462,579)</w:t>
            </w: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(517,677)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(549,462)</w:t>
            </w:r>
          </w:p>
        </w:tc>
        <w:tc>
          <w:tcPr>
            <w:tcW w:w="700" w:type="dxa"/>
            <w:vAlign w:val="bottom"/>
          </w:tcPr>
          <w:p>
            <w:pPr>
              <w:jc w:val="center"/>
              <w:ind w:left="222"/>
              <w:spacing w:after="0"/>
              <w:rPr>
                <w:sz w:val="20"/>
                <w:szCs w:val="20"/>
                <w:color w:val="auto"/>
              </w:rPr>
            </w:pPr>
            <w:r>
              <w:rPr>
                <w:rFonts w:ascii="Arial" w:cs="Arial" w:eastAsia="Arial" w:hAnsi="Arial"/>
                <w:sz w:val="12"/>
                <w:szCs w:val="12"/>
                <w:color w:val="auto"/>
                <w:w w:val="94"/>
              </w:rPr>
              <w:t>6.1%</w:t>
            </w:r>
          </w:p>
        </w:tc>
        <w:tc>
          <w:tcPr>
            <w:tcW w:w="130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color w:val="auto"/>
                <w:w w:val="93"/>
              </w:rPr>
              <w:t>18.8%</w:t>
            </w:r>
          </w:p>
        </w:tc>
      </w:tr>
      <w:tr>
        <w:trPr>
          <w:trHeight w:val="253"/>
        </w:trPr>
        <w:tc>
          <w:tcPr>
            <w:tcW w:w="28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Net profit</w:t>
            </w:r>
          </w:p>
        </w:tc>
        <w:tc>
          <w:tcPr>
            <w:tcW w:w="3360" w:type="dxa"/>
            <w:vAlign w:val="bottom"/>
            <w:tcBorders>
              <w:right w:val="single" w:sz="8" w:color="auto"/>
            </w:tcBorders>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1,384,956</w:t>
            </w: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1,274,575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1,582,386</w:t>
            </w:r>
          </w:p>
        </w:tc>
        <w:tc>
          <w:tcPr>
            <w:tcW w:w="700" w:type="dxa"/>
            <w:vAlign w:val="bottom"/>
          </w:tcPr>
          <w:p>
            <w:pPr>
              <w:jc w:val="center"/>
              <w:ind w:left="242"/>
              <w:spacing w:after="0"/>
              <w:rPr>
                <w:sz w:val="20"/>
                <w:szCs w:val="20"/>
                <w:color w:val="auto"/>
              </w:rPr>
            </w:pPr>
            <w:r>
              <w:rPr>
                <w:rFonts w:ascii="Arial" w:cs="Arial" w:eastAsia="Arial" w:hAnsi="Arial"/>
                <w:sz w:val="12"/>
                <w:szCs w:val="12"/>
                <w:color w:val="auto"/>
                <w:w w:val="93"/>
              </w:rPr>
              <w:t>24.2%</w:t>
            </w:r>
          </w:p>
        </w:tc>
        <w:tc>
          <w:tcPr>
            <w:tcW w:w="130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color w:val="auto"/>
                <w:w w:val="93"/>
              </w:rPr>
              <w:t>14.3%</w:t>
            </w:r>
          </w:p>
        </w:tc>
      </w:tr>
      <w:tr>
        <w:trPr>
          <w:trHeight w:val="133"/>
        </w:trPr>
        <w:tc>
          <w:tcPr>
            <w:tcW w:w="2860" w:type="dxa"/>
            <w:vAlign w:val="bottom"/>
            <w:tcBorders>
              <w:left w:val="single" w:sz="8" w:color="auto"/>
            </w:tcBorders>
          </w:tcPr>
          <w:p>
            <w:pPr>
              <w:ind w:left="20"/>
              <w:spacing w:after="0" w:line="133" w:lineRule="exact"/>
              <w:rPr>
                <w:sz w:val="20"/>
                <w:szCs w:val="20"/>
                <w:color w:val="auto"/>
              </w:rPr>
            </w:pPr>
            <w:r>
              <w:rPr>
                <w:rFonts w:ascii="Arial" w:cs="Arial" w:eastAsia="Arial" w:hAnsi="Arial"/>
                <w:sz w:val="12"/>
                <w:szCs w:val="12"/>
                <w:color w:val="auto"/>
              </w:rPr>
              <w:t>Non-controlling interest</w:t>
            </w:r>
          </w:p>
        </w:tc>
        <w:tc>
          <w:tcPr>
            <w:tcW w:w="3360" w:type="dxa"/>
            <w:vAlign w:val="bottom"/>
            <w:tcBorders>
              <w:right w:val="single" w:sz="8" w:color="auto"/>
            </w:tcBorders>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9"/>
              </w:rPr>
              <w:t>(4,630)</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4"/>
              </w:rPr>
              <w:t>(5,867)</w:t>
            </w:r>
          </w:p>
        </w:tc>
        <w:tc>
          <w:tcPr>
            <w:tcW w:w="10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9"/>
              </w:rPr>
              <w:t>(4,721)</w:t>
            </w:r>
          </w:p>
        </w:tc>
        <w:tc>
          <w:tcPr>
            <w:tcW w:w="700" w:type="dxa"/>
            <w:vAlign w:val="bottom"/>
          </w:tcPr>
          <w:p>
            <w:pPr>
              <w:jc w:val="center"/>
              <w:ind w:left="242"/>
              <w:spacing w:after="0" w:line="133" w:lineRule="exact"/>
              <w:rPr>
                <w:sz w:val="20"/>
                <w:szCs w:val="20"/>
                <w:color w:val="auto"/>
              </w:rPr>
            </w:pPr>
            <w:r>
              <w:rPr>
                <w:rFonts w:ascii="Arial" w:cs="Arial" w:eastAsia="Arial" w:hAnsi="Arial"/>
                <w:sz w:val="12"/>
                <w:szCs w:val="12"/>
                <w:color w:val="auto"/>
                <w:w w:val="94"/>
              </w:rPr>
              <w:t>-19.5%</w:t>
            </w:r>
          </w:p>
        </w:tc>
        <w:tc>
          <w:tcPr>
            <w:tcW w:w="1300" w:type="dxa"/>
            <w:vAlign w:val="bottom"/>
            <w:tcBorders>
              <w:right w:val="single" w:sz="8" w:color="auto"/>
            </w:tcBorders>
          </w:tcPr>
          <w:p>
            <w:pPr>
              <w:jc w:val="center"/>
              <w:ind w:left="222"/>
              <w:spacing w:after="0" w:line="133" w:lineRule="exact"/>
              <w:rPr>
                <w:sz w:val="20"/>
                <w:szCs w:val="20"/>
                <w:color w:val="auto"/>
              </w:rPr>
            </w:pPr>
            <w:r>
              <w:rPr>
                <w:rFonts w:ascii="Arial" w:cs="Arial" w:eastAsia="Arial" w:hAnsi="Arial"/>
                <w:sz w:val="12"/>
                <w:szCs w:val="12"/>
                <w:color w:val="auto"/>
                <w:w w:val="94"/>
              </w:rPr>
              <w:t>2.0%</w:t>
            </w:r>
          </w:p>
        </w:tc>
      </w:tr>
      <w:tr>
        <w:trPr>
          <w:trHeight w:val="145"/>
        </w:trPr>
        <w:tc>
          <w:tcPr>
            <w:tcW w:w="28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Net profit attributable to BCP Consolidated</w:t>
            </w:r>
          </w:p>
        </w:tc>
        <w:tc>
          <w:tcPr>
            <w:tcW w:w="33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1,380,326</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1,268,708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1,577,665</w:t>
            </w:r>
          </w:p>
        </w:tc>
        <w:tc>
          <w:tcPr>
            <w:tcW w:w="700" w:type="dxa"/>
            <w:vAlign w:val="bottom"/>
            <w:tcBorders>
              <w:bottom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3"/>
              </w:rPr>
              <w:t>24.4%</w:t>
            </w:r>
          </w:p>
        </w:tc>
        <w:tc>
          <w:tcPr>
            <w:tcW w:w="1300" w:type="dxa"/>
            <w:vAlign w:val="bottom"/>
            <w:tcBorders>
              <w:bottom w:val="single" w:sz="8" w:color="auto"/>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3"/>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-4003040</wp:posOffset>
            </wp:positionV>
            <wp:extent cx="1045845" cy="146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45845" cy="146050"/>
                    </a:xfrm>
                    <a:prstGeom prst="rect">
                      <a:avLst/>
                    </a:prstGeom>
                    <a:noFill/>
                  </pic:spPr>
                </pic:pic>
              </a:graphicData>
            </a:graphic>
          </wp:anchor>
        </w:drawing>
      </w:r>
    </w:p>
    <w:p>
      <w:pPr>
        <w:ind w:left="1240" w:hanging="260"/>
        <w:spacing w:after="0"/>
        <w:tabs>
          <w:tab w:leader="none" w:pos="12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Financing expenses related to lease agreements are included according to the application of IFRS 16.</w:t>
      </w:r>
    </w:p>
    <w:p>
      <w:pPr>
        <w:spacing w:after="0" w:line="56" w:lineRule="exact"/>
        <w:rPr>
          <w:rFonts w:ascii="Arial" w:cs="Arial" w:eastAsia="Arial" w:hAnsi="Arial"/>
          <w:sz w:val="12"/>
          <w:szCs w:val="12"/>
          <w:color w:val="auto"/>
        </w:rPr>
      </w:pPr>
    </w:p>
    <w:p>
      <w:pPr>
        <w:ind w:left="1240" w:hanging="260"/>
        <w:spacing w:after="0"/>
        <w:tabs>
          <w:tab w:leader="none" w:pos="12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effect of the application of IFRS 16 is included, which corresponds to a greater depreciation for the asset for right-of-use”.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Financial Indicators</w:t>
      </w:r>
    </w:p>
    <w:p>
      <w:pPr>
        <w:spacing w:after="0" w:line="19" w:lineRule="exact"/>
        <w:rPr>
          <w:sz w:val="20"/>
          <w:szCs w:val="20"/>
          <w:color w:val="auto"/>
        </w:rPr>
      </w:pPr>
    </w:p>
    <w:tbl>
      <w:tblPr>
        <w:tblLayout w:type="fixed"/>
        <w:tblInd w:w="1710" w:type="dxa"/>
        <w:tblCellMar>
          <w:top w:w="0" w:type="dxa"/>
          <w:left w:w="0" w:type="dxa"/>
          <w:bottom w:w="0" w:type="dxa"/>
          <w:right w:w="0" w:type="dxa"/>
        </w:tblCellMar>
      </w:tblPr>
      <w:tr>
        <w:trPr>
          <w:trHeight w:val="111"/>
        </w:trPr>
        <w:tc>
          <w:tcPr>
            <w:tcW w:w="2800" w:type="dxa"/>
            <w:vAlign w:val="bottom"/>
            <w:tcBorders>
              <w:top w:val="single" w:sz="8" w:color="auto"/>
              <w:left w:val="single" w:sz="8" w:color="auto"/>
              <w:right w:val="single" w:sz="8" w:color="auto"/>
            </w:tcBorders>
            <w:shd w:val="clear" w:color="auto" w:fill="2AD2C8"/>
          </w:tcPr>
          <w:p>
            <w:pPr>
              <w:spacing w:after="0"/>
              <w:rPr>
                <w:sz w:val="9"/>
                <w:szCs w:val="9"/>
                <w:color w:val="auto"/>
              </w:rPr>
            </w:pPr>
          </w:p>
        </w:tc>
        <w:tc>
          <w:tcPr>
            <w:tcW w:w="980" w:type="dxa"/>
            <w:vAlign w:val="bottom"/>
            <w:tcBorders>
              <w:top w:val="single" w:sz="8" w:color="auto"/>
            </w:tcBorders>
            <w:vMerge w:val="restart"/>
            <w:shd w:val="clear" w:color="auto" w:fill="2AD2C8"/>
          </w:tcPr>
          <w:p>
            <w:pPr>
              <w:jc w:val="center"/>
              <w:spacing w:after="0"/>
              <w:rPr>
                <w:sz w:val="20"/>
                <w:szCs w:val="20"/>
                <w:color w:val="auto"/>
              </w:rPr>
            </w:pPr>
            <w:r>
              <w:rPr>
                <w:rFonts w:ascii="Arial" w:cs="Arial" w:eastAsia="Arial" w:hAnsi="Arial"/>
                <w:sz w:val="13"/>
                <w:szCs w:val="13"/>
                <w:b w:val="1"/>
                <w:bCs w:val="1"/>
                <w:color w:val="FFFFFF"/>
                <w:w w:val="94"/>
              </w:rPr>
              <w:t>1Q24</w:t>
            </w:r>
          </w:p>
        </w:tc>
        <w:tc>
          <w:tcPr>
            <w:tcW w:w="1020" w:type="dxa"/>
            <w:vAlign w:val="bottom"/>
            <w:tcBorders>
              <w:top w:val="single" w:sz="8" w:color="auto"/>
            </w:tcBorders>
            <w:shd w:val="clear" w:color="auto" w:fill="2AD2C8"/>
          </w:tcPr>
          <w:p>
            <w:pPr>
              <w:jc w:val="center"/>
              <w:spacing w:after="0" w:line="111" w:lineRule="exact"/>
              <w:rPr>
                <w:sz w:val="20"/>
                <w:szCs w:val="20"/>
                <w:color w:val="auto"/>
              </w:rPr>
            </w:pPr>
            <w:r>
              <w:rPr>
                <w:rFonts w:ascii="Arial" w:cs="Arial" w:eastAsia="Arial" w:hAnsi="Arial"/>
                <w:sz w:val="12"/>
                <w:szCs w:val="12"/>
                <w:b w:val="1"/>
                <w:bCs w:val="1"/>
                <w:color w:val="FFFFFF"/>
              </w:rPr>
              <w:t>Quarter</w:t>
            </w:r>
          </w:p>
        </w:tc>
        <w:tc>
          <w:tcPr>
            <w:tcW w:w="1040" w:type="dxa"/>
            <w:vAlign w:val="bottom"/>
            <w:tcBorders>
              <w:top w:val="single" w:sz="8" w:color="auto"/>
              <w:right w:val="single" w:sz="8" w:color="auto"/>
            </w:tcBorders>
            <w:vMerge w:val="restart"/>
            <w:shd w:val="clear" w:color="auto" w:fill="2AD2C8"/>
          </w:tcPr>
          <w:p>
            <w:pPr>
              <w:jc w:val="center"/>
              <w:spacing w:after="0"/>
              <w:rPr>
                <w:sz w:val="20"/>
                <w:szCs w:val="20"/>
                <w:color w:val="auto"/>
              </w:rPr>
            </w:pPr>
            <w:r>
              <w:rPr>
                <w:rFonts w:ascii="Arial" w:cs="Arial" w:eastAsia="Arial" w:hAnsi="Arial"/>
                <w:sz w:val="13"/>
                <w:szCs w:val="13"/>
                <w:b w:val="1"/>
                <w:bCs w:val="1"/>
                <w:color w:val="FFFFFF"/>
                <w:w w:val="94"/>
              </w:rPr>
              <w:t>1Q25</w:t>
            </w:r>
          </w:p>
        </w:tc>
        <w:tc>
          <w:tcPr>
            <w:tcW w:w="760" w:type="dxa"/>
            <w:vAlign w:val="bottom"/>
            <w:tcBorders>
              <w:top w:val="single" w:sz="8" w:color="auto"/>
            </w:tcBorders>
            <w:vMerge w:val="restart"/>
            <w:shd w:val="clear" w:color="auto" w:fill="2AD2C8"/>
          </w:tcPr>
          <w:p>
            <w:pPr>
              <w:jc w:val="center"/>
              <w:ind w:left="117"/>
              <w:spacing w:after="0"/>
              <w:rPr>
                <w:sz w:val="20"/>
                <w:szCs w:val="20"/>
                <w:color w:val="auto"/>
              </w:rPr>
            </w:pPr>
            <w:r>
              <w:rPr>
                <w:rFonts w:ascii="Arial" w:cs="Arial" w:eastAsia="Arial" w:hAnsi="Arial"/>
                <w:sz w:val="13"/>
                <w:szCs w:val="13"/>
                <w:b w:val="1"/>
                <w:bCs w:val="1"/>
                <w:color w:val="FFFFFF"/>
                <w:w w:val="92"/>
              </w:rPr>
              <w:t>QoQ</w:t>
            </w:r>
          </w:p>
        </w:tc>
        <w:tc>
          <w:tcPr>
            <w:tcW w:w="1260" w:type="dxa"/>
            <w:vAlign w:val="bottom"/>
            <w:tcBorders>
              <w:top w:val="single" w:sz="8" w:color="auto"/>
              <w:right w:val="single" w:sz="8" w:color="auto"/>
            </w:tcBorders>
            <w:shd w:val="clear" w:color="auto" w:fill="2AD2C8"/>
          </w:tcPr>
          <w:p>
            <w:pPr>
              <w:ind w:left="20"/>
              <w:spacing w:after="0" w:line="111" w:lineRule="exact"/>
              <w:rPr>
                <w:sz w:val="20"/>
                <w:szCs w:val="20"/>
                <w:color w:val="auto"/>
              </w:rPr>
            </w:pPr>
            <w:r>
              <w:rPr>
                <w:rFonts w:ascii="Arial" w:cs="Arial" w:eastAsia="Arial" w:hAnsi="Arial"/>
                <w:sz w:val="12"/>
                <w:szCs w:val="12"/>
                <w:color w:val="FFFFFF"/>
              </w:rPr>
              <w:t>Change</w:t>
            </w:r>
          </w:p>
        </w:tc>
        <w:tc>
          <w:tcPr>
            <w:tcW w:w="0" w:type="dxa"/>
            <w:vAlign w:val="bottom"/>
          </w:tcPr>
          <w:p>
            <w:pPr>
              <w:spacing w:after="0"/>
              <w:rPr>
                <w:sz w:val="1"/>
                <w:szCs w:val="1"/>
                <w:color w:val="auto"/>
              </w:rPr>
            </w:pPr>
          </w:p>
        </w:tc>
      </w:tr>
      <w:tr>
        <w:trPr>
          <w:trHeight w:val="153"/>
        </w:trPr>
        <w:tc>
          <w:tcPr>
            <w:tcW w:w="2800" w:type="dxa"/>
            <w:vAlign w:val="bottom"/>
            <w:tcBorders>
              <w:left w:val="single" w:sz="8" w:color="auto"/>
              <w:bottom w:val="single" w:sz="8" w:color="auto"/>
              <w:right w:val="single" w:sz="8" w:color="auto"/>
            </w:tcBorders>
            <w:shd w:val="clear" w:color="auto" w:fill="2AD2C8"/>
          </w:tcPr>
          <w:p>
            <w:pPr>
              <w:spacing w:after="0"/>
              <w:rPr>
                <w:sz w:val="13"/>
                <w:szCs w:val="13"/>
                <w:color w:val="auto"/>
              </w:rPr>
            </w:pPr>
          </w:p>
        </w:tc>
        <w:tc>
          <w:tcPr>
            <w:tcW w:w="980" w:type="dxa"/>
            <w:vAlign w:val="bottom"/>
            <w:tcBorders>
              <w:bottom w:val="single" w:sz="8" w:color="auto"/>
            </w:tcBorders>
            <w:vMerge w:val="continue"/>
            <w:shd w:val="clear" w:color="auto" w:fill="2AD2C8"/>
          </w:tcPr>
          <w:p>
            <w:pPr>
              <w:spacing w:after="0"/>
              <w:rPr>
                <w:sz w:val="13"/>
                <w:szCs w:val="13"/>
                <w:color w:val="auto"/>
              </w:rPr>
            </w:pPr>
          </w:p>
        </w:tc>
        <w:tc>
          <w:tcPr>
            <w:tcW w:w="102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w w:val="94"/>
              </w:rPr>
              <w:t>4Q24</w:t>
            </w:r>
          </w:p>
        </w:tc>
        <w:tc>
          <w:tcPr>
            <w:tcW w:w="1040" w:type="dxa"/>
            <w:vAlign w:val="bottom"/>
            <w:tcBorders>
              <w:bottom w:val="single" w:sz="8" w:color="auto"/>
              <w:right w:val="single" w:sz="8" w:color="auto"/>
            </w:tcBorders>
            <w:vMerge w:val="continue"/>
            <w:shd w:val="clear" w:color="auto" w:fill="2AD2C8"/>
          </w:tcPr>
          <w:p>
            <w:pPr>
              <w:spacing w:after="0"/>
              <w:rPr>
                <w:sz w:val="13"/>
                <w:szCs w:val="13"/>
                <w:color w:val="auto"/>
              </w:rPr>
            </w:pPr>
          </w:p>
        </w:tc>
        <w:tc>
          <w:tcPr>
            <w:tcW w:w="760" w:type="dxa"/>
            <w:vAlign w:val="bottom"/>
            <w:tcBorders>
              <w:bottom w:val="single" w:sz="8" w:color="auto"/>
            </w:tcBorders>
            <w:vMerge w:val="continue"/>
            <w:shd w:val="clear" w:color="auto" w:fill="2AD2C8"/>
          </w:tcPr>
          <w:p>
            <w:pPr>
              <w:spacing w:after="0"/>
              <w:rPr>
                <w:sz w:val="13"/>
                <w:szCs w:val="13"/>
                <w:color w:val="auto"/>
              </w:rPr>
            </w:pPr>
          </w:p>
        </w:tc>
        <w:tc>
          <w:tcPr>
            <w:tcW w:w="1260" w:type="dxa"/>
            <w:vAlign w:val="bottom"/>
            <w:tcBorders>
              <w:bottom w:val="single" w:sz="8" w:color="auto"/>
              <w:right w:val="single" w:sz="8" w:color="auto"/>
            </w:tcBorders>
            <w:shd w:val="clear" w:color="auto" w:fill="2AD2C8"/>
          </w:tcPr>
          <w:p>
            <w:pPr>
              <w:jc w:val="center"/>
              <w:ind w:left="157"/>
              <w:spacing w:after="0"/>
              <w:rPr>
                <w:sz w:val="20"/>
                <w:szCs w:val="20"/>
                <w:color w:val="auto"/>
              </w:rPr>
            </w:pPr>
            <w:r>
              <w:rPr>
                <w:rFonts w:ascii="Arial" w:cs="Arial" w:eastAsia="Arial" w:hAnsi="Arial"/>
                <w:sz w:val="13"/>
                <w:szCs w:val="13"/>
                <w:b w:val="1"/>
                <w:bCs w:val="1"/>
                <w:color w:val="FFFFFF"/>
                <w:w w:val="94"/>
              </w:rPr>
              <w:t>YoY</w:t>
            </w:r>
          </w:p>
        </w:tc>
        <w:tc>
          <w:tcPr>
            <w:tcW w:w="0" w:type="dxa"/>
            <w:vAlign w:val="bottom"/>
          </w:tcPr>
          <w:p>
            <w:pPr>
              <w:spacing w:after="0"/>
              <w:rPr>
                <w:sz w:val="1"/>
                <w:szCs w:val="1"/>
                <w:color w:val="auto"/>
              </w:rPr>
            </w:pPr>
          </w:p>
        </w:tc>
      </w:tr>
      <w:tr>
        <w:trPr>
          <w:trHeight w:val="138"/>
        </w:trPr>
        <w:tc>
          <w:tcPr>
            <w:tcW w:w="2800" w:type="dxa"/>
            <w:vAlign w:val="bottom"/>
            <w:tcBorders>
              <w:left w:val="single" w:sz="8" w:color="auto"/>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Profitability</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4"/>
              </w:rPr>
              <w:t>2.8%</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4"/>
              </w:rPr>
              <w:t>2.4%</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3.0%</w:t>
            </w:r>
          </w:p>
        </w:tc>
        <w:tc>
          <w:tcPr>
            <w:tcW w:w="760" w:type="dxa"/>
            <w:vAlign w:val="bottom"/>
            <w:vMerge w:val="restart"/>
          </w:tcPr>
          <w:p>
            <w:pPr>
              <w:jc w:val="center"/>
              <w:ind w:left="157"/>
              <w:spacing w:after="0"/>
              <w:rPr>
                <w:sz w:val="20"/>
                <w:szCs w:val="20"/>
                <w:color w:val="auto"/>
              </w:rPr>
            </w:pPr>
            <w:r>
              <w:rPr>
                <w:rFonts w:ascii="Arial" w:cs="Arial" w:eastAsia="Arial" w:hAnsi="Arial"/>
                <w:sz w:val="13"/>
                <w:szCs w:val="13"/>
                <w:color w:val="auto"/>
                <w:w w:val="97"/>
              </w:rPr>
              <w:t>56 bps</w:t>
            </w:r>
          </w:p>
        </w:tc>
        <w:tc>
          <w:tcPr>
            <w:tcW w:w="1260" w:type="dxa"/>
            <w:vAlign w:val="bottom"/>
            <w:tcBorders>
              <w:right w:val="single" w:sz="8" w:color="auto"/>
            </w:tcBorders>
            <w:vMerge w:val="restart"/>
          </w:tcPr>
          <w:p>
            <w:pPr>
              <w:jc w:val="center"/>
              <w:ind w:left="137"/>
              <w:spacing w:after="0"/>
              <w:rPr>
                <w:sz w:val="20"/>
                <w:szCs w:val="20"/>
                <w:color w:val="auto"/>
              </w:rPr>
            </w:pPr>
            <w:r>
              <w:rPr>
                <w:rFonts w:ascii="Arial" w:cs="Arial" w:eastAsia="Arial" w:hAnsi="Arial"/>
                <w:sz w:val="13"/>
                <w:szCs w:val="13"/>
                <w:color w:val="auto"/>
                <w:w w:val="97"/>
              </w:rPr>
              <w:t>17 bps</w:t>
            </w:r>
          </w:p>
        </w:tc>
        <w:tc>
          <w:tcPr>
            <w:tcW w:w="0" w:type="dxa"/>
            <w:vAlign w:val="bottom"/>
          </w:tcPr>
          <w:p>
            <w:pPr>
              <w:spacing w:after="0"/>
              <w:rPr>
                <w:sz w:val="1"/>
                <w:szCs w:val="1"/>
                <w:color w:val="auto"/>
              </w:rPr>
            </w:pPr>
          </w:p>
        </w:tc>
      </w:tr>
      <w:tr>
        <w:trPr>
          <w:trHeight w:val="135"/>
        </w:trPr>
        <w:tc>
          <w:tcPr>
            <w:tcW w:w="2800" w:type="dxa"/>
            <w:vAlign w:val="bottom"/>
            <w:tcBorders>
              <w:left w:val="single" w:sz="8" w:color="auto"/>
              <w:right w:val="single" w:sz="8" w:color="auto"/>
            </w:tcBorders>
          </w:tcPr>
          <w:p>
            <w:pPr>
              <w:ind w:left="180"/>
              <w:spacing w:after="0" w:line="135" w:lineRule="exact"/>
              <w:rPr>
                <w:sz w:val="20"/>
                <w:szCs w:val="20"/>
                <w:color w:val="auto"/>
              </w:rPr>
            </w:pPr>
            <w:r>
              <w:rPr>
                <w:rFonts w:ascii="Arial" w:cs="Arial" w:eastAsia="Arial" w:hAnsi="Arial"/>
                <w:sz w:val="13"/>
                <w:szCs w:val="13"/>
                <w:color w:val="auto"/>
              </w:rPr>
              <w:t xml:space="preserve">ROAA </w:t>
            </w:r>
            <w:r>
              <w:rPr>
                <w:rFonts w:ascii="Arial" w:cs="Arial" w:eastAsia="Arial" w:hAnsi="Arial"/>
                <w:sz w:val="8"/>
                <w:szCs w:val="8"/>
                <w:color w:val="auto"/>
              </w:rPr>
              <w:t>(1)(2)</w:t>
            </w:r>
          </w:p>
        </w:tc>
        <w:tc>
          <w:tcPr>
            <w:tcW w:w="9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3"/>
                <w:szCs w:val="13"/>
                <w:color w:val="auto"/>
              </w:rPr>
              <w:t xml:space="preserve">ROAE </w:t>
            </w:r>
            <w:r>
              <w:rPr>
                <w:rFonts w:ascii="Arial" w:cs="Arial" w:eastAsia="Arial" w:hAnsi="Arial"/>
                <w:sz w:val="8"/>
                <w:szCs w:val="8"/>
                <w:color w:val="auto"/>
              </w:rPr>
              <w:t>(1)(2)</w:t>
            </w:r>
          </w:p>
        </w:tc>
        <w:tc>
          <w:tcPr>
            <w:tcW w:w="980" w:type="dxa"/>
            <w:vAlign w:val="bottom"/>
          </w:tcPr>
          <w:p>
            <w:pPr>
              <w:jc w:val="center"/>
              <w:spacing w:after="0" w:line="129" w:lineRule="exact"/>
              <w:rPr>
                <w:sz w:val="20"/>
                <w:szCs w:val="20"/>
                <w:color w:val="auto"/>
              </w:rPr>
            </w:pPr>
            <w:r>
              <w:rPr>
                <w:rFonts w:ascii="Arial" w:cs="Arial" w:eastAsia="Arial" w:hAnsi="Arial"/>
                <w:sz w:val="13"/>
                <w:szCs w:val="13"/>
                <w:color w:val="auto"/>
                <w:w w:val="97"/>
              </w:rPr>
              <w:t>23.3%</w:t>
            </w:r>
          </w:p>
        </w:tc>
        <w:tc>
          <w:tcPr>
            <w:tcW w:w="1020" w:type="dxa"/>
            <w:vAlign w:val="bottom"/>
          </w:tcPr>
          <w:p>
            <w:pPr>
              <w:jc w:val="center"/>
              <w:spacing w:after="0" w:line="129" w:lineRule="exact"/>
              <w:rPr>
                <w:sz w:val="20"/>
                <w:szCs w:val="20"/>
                <w:color w:val="auto"/>
              </w:rPr>
            </w:pPr>
            <w:r>
              <w:rPr>
                <w:rFonts w:ascii="Arial" w:cs="Arial" w:eastAsia="Arial" w:hAnsi="Arial"/>
                <w:sz w:val="13"/>
                <w:szCs w:val="13"/>
                <w:color w:val="auto"/>
                <w:w w:val="97"/>
              </w:rPr>
              <w:t>19.8%</w:t>
            </w:r>
          </w:p>
        </w:tc>
        <w:tc>
          <w:tcPr>
            <w:tcW w:w="10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7"/>
              </w:rPr>
              <w:t>25.8%</w:t>
            </w:r>
          </w:p>
        </w:tc>
        <w:tc>
          <w:tcPr>
            <w:tcW w:w="760" w:type="dxa"/>
            <w:vAlign w:val="bottom"/>
          </w:tcPr>
          <w:p>
            <w:pPr>
              <w:jc w:val="center"/>
              <w:ind w:left="157"/>
              <w:spacing w:after="0" w:line="129" w:lineRule="exact"/>
              <w:rPr>
                <w:sz w:val="20"/>
                <w:szCs w:val="20"/>
                <w:color w:val="auto"/>
              </w:rPr>
            </w:pPr>
            <w:r>
              <w:rPr>
                <w:rFonts w:ascii="Arial" w:cs="Arial" w:eastAsia="Arial" w:hAnsi="Arial"/>
                <w:sz w:val="13"/>
                <w:szCs w:val="13"/>
                <w:color w:val="auto"/>
                <w:w w:val="99"/>
              </w:rPr>
              <w:t>604 bps</w:t>
            </w:r>
          </w:p>
        </w:tc>
        <w:tc>
          <w:tcPr>
            <w:tcW w:w="1260" w:type="dxa"/>
            <w:vAlign w:val="bottom"/>
            <w:tcBorders>
              <w:right w:val="single" w:sz="8" w:color="auto"/>
            </w:tcBorders>
          </w:tcPr>
          <w:p>
            <w:pPr>
              <w:jc w:val="center"/>
              <w:ind w:left="137"/>
              <w:spacing w:after="0" w:line="129" w:lineRule="exact"/>
              <w:rPr>
                <w:sz w:val="20"/>
                <w:szCs w:val="20"/>
                <w:color w:val="auto"/>
              </w:rPr>
            </w:pPr>
            <w:r>
              <w:rPr>
                <w:rFonts w:ascii="Arial" w:cs="Arial" w:eastAsia="Arial" w:hAnsi="Arial"/>
                <w:sz w:val="13"/>
                <w:szCs w:val="13"/>
                <w:color w:val="auto"/>
                <w:w w:val="99"/>
              </w:rPr>
              <w:t>247 bps</w:t>
            </w:r>
          </w:p>
        </w:tc>
        <w:tc>
          <w:tcPr>
            <w:tcW w:w="0" w:type="dxa"/>
            <w:vAlign w:val="bottom"/>
          </w:tcPr>
          <w:p>
            <w:pPr>
              <w:spacing w:after="0"/>
              <w:rPr>
                <w:sz w:val="1"/>
                <w:szCs w:val="1"/>
                <w:color w:val="auto"/>
              </w:rPr>
            </w:pPr>
          </w:p>
        </w:tc>
      </w:tr>
      <w:tr>
        <w:trPr>
          <w:trHeight w:val="135"/>
        </w:trPr>
        <w:tc>
          <w:tcPr>
            <w:tcW w:w="2800" w:type="dxa"/>
            <w:vAlign w:val="bottom"/>
            <w:tcBorders>
              <w:left w:val="single" w:sz="8" w:color="auto"/>
              <w:right w:val="single" w:sz="8" w:color="auto"/>
            </w:tcBorders>
          </w:tcPr>
          <w:p>
            <w:pPr>
              <w:ind w:left="180"/>
              <w:spacing w:after="0" w:line="135" w:lineRule="exact"/>
              <w:rPr>
                <w:sz w:val="20"/>
                <w:szCs w:val="20"/>
                <w:color w:val="auto"/>
              </w:rPr>
            </w:pPr>
            <w:r>
              <w:rPr>
                <w:rFonts w:ascii="Arial" w:cs="Arial" w:eastAsia="Arial" w:hAnsi="Arial"/>
                <w:sz w:val="10"/>
                <w:szCs w:val="10"/>
                <w:color w:val="auto"/>
              </w:rPr>
              <w:t xml:space="preserve">Net interest margin </w:t>
            </w:r>
            <w:r>
              <w:rPr>
                <w:rFonts w:ascii="Arial" w:cs="Arial" w:eastAsia="Arial" w:hAnsi="Arial"/>
                <w:sz w:val="15"/>
                <w:szCs w:val="15"/>
                <w:color w:val="auto"/>
                <w:vertAlign w:val="superscript"/>
              </w:rPr>
              <w:t>(1)(2)</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7"/>
              </w:rPr>
              <w:t>6.71%</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7"/>
              </w:rPr>
              <w:t>6.70%</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6.48%</w:t>
            </w:r>
          </w:p>
        </w:tc>
        <w:tc>
          <w:tcPr>
            <w:tcW w:w="76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6"/>
              </w:rPr>
              <w:t>-21 bps</w:t>
            </w:r>
          </w:p>
        </w:tc>
        <w:tc>
          <w:tcPr>
            <w:tcW w:w="1260" w:type="dxa"/>
            <w:vAlign w:val="bottom"/>
            <w:tcBorders>
              <w:right w:val="single" w:sz="8" w:color="auto"/>
            </w:tcBorders>
          </w:tcPr>
          <w:p>
            <w:pPr>
              <w:jc w:val="center"/>
              <w:ind w:left="137"/>
              <w:spacing w:after="0" w:line="135" w:lineRule="exact"/>
              <w:rPr>
                <w:sz w:val="20"/>
                <w:szCs w:val="20"/>
                <w:color w:val="auto"/>
              </w:rPr>
            </w:pPr>
            <w:r>
              <w:rPr>
                <w:rFonts w:ascii="Arial" w:cs="Arial" w:eastAsia="Arial" w:hAnsi="Arial"/>
                <w:sz w:val="13"/>
                <w:szCs w:val="13"/>
                <w:color w:val="auto"/>
                <w:w w:val="96"/>
              </w:rPr>
              <w:t>-23 bps</w:t>
            </w:r>
          </w:p>
        </w:tc>
        <w:tc>
          <w:tcPr>
            <w:tcW w:w="0" w:type="dxa"/>
            <w:vAlign w:val="bottom"/>
          </w:tcPr>
          <w:p>
            <w:pPr>
              <w:spacing w:after="0"/>
              <w:rPr>
                <w:sz w:val="1"/>
                <w:szCs w:val="1"/>
                <w:color w:val="auto"/>
              </w:rPr>
            </w:pPr>
          </w:p>
        </w:tc>
      </w:tr>
      <w:tr>
        <w:trPr>
          <w:trHeight w:val="135"/>
        </w:trPr>
        <w:tc>
          <w:tcPr>
            <w:tcW w:w="2800" w:type="dxa"/>
            <w:vAlign w:val="bottom"/>
            <w:tcBorders>
              <w:left w:val="single" w:sz="8" w:color="auto"/>
              <w:right w:val="single" w:sz="8" w:color="auto"/>
            </w:tcBorders>
          </w:tcPr>
          <w:p>
            <w:pPr>
              <w:ind w:left="180"/>
              <w:spacing w:after="0" w:line="135" w:lineRule="exact"/>
              <w:rPr>
                <w:sz w:val="20"/>
                <w:szCs w:val="20"/>
                <w:color w:val="auto"/>
              </w:rPr>
            </w:pPr>
            <w:r>
              <w:rPr>
                <w:rFonts w:ascii="Arial" w:cs="Arial" w:eastAsia="Arial" w:hAnsi="Arial"/>
                <w:sz w:val="10"/>
                <w:szCs w:val="10"/>
                <w:color w:val="auto"/>
              </w:rPr>
              <w:t xml:space="preserve">Risk-adjusted Net interest margin </w:t>
            </w:r>
            <w:r>
              <w:rPr>
                <w:rFonts w:ascii="Arial" w:cs="Arial" w:eastAsia="Arial" w:hAnsi="Arial"/>
                <w:sz w:val="15"/>
                <w:szCs w:val="15"/>
                <w:color w:val="auto"/>
                <w:vertAlign w:val="superscript"/>
              </w:rPr>
              <w:t>(1)(2)</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7"/>
              </w:rPr>
              <w:t>5.11%</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7"/>
              </w:rPr>
              <w:t>5.35%</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5.42%</w:t>
            </w:r>
          </w:p>
        </w:tc>
        <w:tc>
          <w:tcPr>
            <w:tcW w:w="76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4"/>
              </w:rPr>
              <w:t>7 bps</w:t>
            </w:r>
          </w:p>
        </w:tc>
        <w:tc>
          <w:tcPr>
            <w:tcW w:w="1260" w:type="dxa"/>
            <w:vAlign w:val="bottom"/>
            <w:tcBorders>
              <w:right w:val="single" w:sz="8" w:color="auto"/>
            </w:tcBorders>
          </w:tcPr>
          <w:p>
            <w:pPr>
              <w:jc w:val="center"/>
              <w:ind w:left="137"/>
              <w:spacing w:after="0" w:line="135" w:lineRule="exact"/>
              <w:rPr>
                <w:sz w:val="20"/>
                <w:szCs w:val="20"/>
                <w:color w:val="auto"/>
              </w:rPr>
            </w:pPr>
            <w:r>
              <w:rPr>
                <w:rFonts w:ascii="Arial" w:cs="Arial" w:eastAsia="Arial" w:hAnsi="Arial"/>
                <w:sz w:val="13"/>
                <w:szCs w:val="13"/>
                <w:color w:val="auto"/>
                <w:w w:val="97"/>
              </w:rPr>
              <w:t>31 bps</w:t>
            </w:r>
          </w:p>
        </w:tc>
        <w:tc>
          <w:tcPr>
            <w:tcW w:w="0" w:type="dxa"/>
            <w:vAlign w:val="bottom"/>
          </w:tcPr>
          <w:p>
            <w:pPr>
              <w:spacing w:after="0"/>
              <w:rPr>
                <w:sz w:val="1"/>
                <w:szCs w:val="1"/>
                <w:color w:val="auto"/>
              </w:rPr>
            </w:pPr>
          </w:p>
        </w:tc>
      </w:tr>
      <w:tr>
        <w:trPr>
          <w:trHeight w:val="276"/>
        </w:trPr>
        <w:tc>
          <w:tcPr>
            <w:tcW w:w="28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 xml:space="preserve">Funding cost </w:t>
            </w:r>
            <w:r>
              <w:rPr>
                <w:rFonts w:ascii="Arial" w:cs="Arial" w:eastAsia="Arial" w:hAnsi="Arial"/>
                <w:sz w:val="20"/>
                <w:szCs w:val="20"/>
                <w:color w:val="auto"/>
                <w:vertAlign w:val="superscript"/>
              </w:rPr>
              <w:t>(1)(2)(3)</w:t>
            </w:r>
          </w:p>
        </w:tc>
        <w:tc>
          <w:tcPr>
            <w:tcW w:w="980" w:type="dxa"/>
            <w:vAlign w:val="bottom"/>
          </w:tcPr>
          <w:p>
            <w:pPr>
              <w:jc w:val="center"/>
              <w:spacing w:after="0"/>
              <w:rPr>
                <w:sz w:val="20"/>
                <w:szCs w:val="20"/>
                <w:color w:val="auto"/>
              </w:rPr>
            </w:pPr>
            <w:r>
              <w:rPr>
                <w:rFonts w:ascii="Arial" w:cs="Arial" w:eastAsia="Arial" w:hAnsi="Arial"/>
                <w:sz w:val="13"/>
                <w:szCs w:val="13"/>
                <w:color w:val="auto"/>
                <w:w w:val="97"/>
              </w:rPr>
              <w:t>2.74%</w:t>
            </w:r>
          </w:p>
        </w:tc>
        <w:tc>
          <w:tcPr>
            <w:tcW w:w="1020" w:type="dxa"/>
            <w:vAlign w:val="bottom"/>
          </w:tcPr>
          <w:p>
            <w:pPr>
              <w:jc w:val="center"/>
              <w:spacing w:after="0"/>
              <w:rPr>
                <w:sz w:val="20"/>
                <w:szCs w:val="20"/>
                <w:color w:val="auto"/>
              </w:rPr>
            </w:pPr>
            <w:r>
              <w:rPr>
                <w:rFonts w:ascii="Arial" w:cs="Arial" w:eastAsia="Arial" w:hAnsi="Arial"/>
                <w:sz w:val="13"/>
                <w:szCs w:val="13"/>
                <w:color w:val="auto"/>
                <w:w w:val="97"/>
              </w:rPr>
              <w:t>2.34%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2.22%</w:t>
            </w:r>
          </w:p>
        </w:tc>
        <w:tc>
          <w:tcPr>
            <w:tcW w:w="760" w:type="dxa"/>
            <w:vAlign w:val="bottom"/>
          </w:tcPr>
          <w:p>
            <w:pPr>
              <w:jc w:val="center"/>
              <w:ind w:left="157"/>
              <w:spacing w:after="0"/>
              <w:rPr>
                <w:sz w:val="20"/>
                <w:szCs w:val="20"/>
                <w:color w:val="auto"/>
              </w:rPr>
            </w:pPr>
            <w:r>
              <w:rPr>
                <w:rFonts w:ascii="Arial" w:cs="Arial" w:eastAsia="Arial" w:hAnsi="Arial"/>
                <w:sz w:val="13"/>
                <w:szCs w:val="13"/>
                <w:color w:val="auto"/>
                <w:w w:val="96"/>
              </w:rPr>
              <w:t>-11 bps</w:t>
            </w:r>
          </w:p>
        </w:tc>
        <w:tc>
          <w:tcPr>
            <w:tcW w:w="1260" w:type="dxa"/>
            <w:vAlign w:val="bottom"/>
            <w:tcBorders>
              <w:right w:val="single" w:sz="8" w:color="auto"/>
            </w:tcBorders>
          </w:tcPr>
          <w:p>
            <w:pPr>
              <w:jc w:val="center"/>
              <w:ind w:left="137"/>
              <w:spacing w:after="0"/>
              <w:rPr>
                <w:sz w:val="20"/>
                <w:szCs w:val="20"/>
                <w:color w:val="auto"/>
              </w:rPr>
            </w:pPr>
            <w:r>
              <w:rPr>
                <w:rFonts w:ascii="Arial" w:cs="Arial" w:eastAsia="Arial" w:hAnsi="Arial"/>
                <w:sz w:val="13"/>
                <w:szCs w:val="13"/>
                <w:color w:val="auto"/>
                <w:w w:val="96"/>
              </w:rPr>
              <w:t>-51 bps</w:t>
            </w:r>
          </w:p>
        </w:tc>
        <w:tc>
          <w:tcPr>
            <w:tcW w:w="0" w:type="dxa"/>
            <w:vAlign w:val="bottom"/>
          </w:tcPr>
          <w:p>
            <w:pPr>
              <w:spacing w:after="0"/>
              <w:rPr>
                <w:sz w:val="1"/>
                <w:szCs w:val="1"/>
                <w:color w:val="auto"/>
              </w:rPr>
            </w:pPr>
          </w:p>
        </w:tc>
      </w:tr>
      <w:tr>
        <w:trPr>
          <w:trHeight w:val="135"/>
        </w:trPr>
        <w:tc>
          <w:tcPr>
            <w:tcW w:w="280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b w:val="1"/>
                <w:bCs w:val="1"/>
                <w:color w:val="auto"/>
              </w:rPr>
              <w:t>Loan portfolio quality</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Borders>
              <w:left w:val="single" w:sz="8" w:color="auto"/>
              <w:right w:val="single" w:sz="8" w:color="auto"/>
            </w:tcBorders>
          </w:tcPr>
          <w:p>
            <w:pPr>
              <w:ind w:left="180"/>
              <w:spacing w:after="0" w:line="135" w:lineRule="exact"/>
              <w:rPr>
                <w:sz w:val="20"/>
                <w:szCs w:val="20"/>
                <w:color w:val="auto"/>
              </w:rPr>
            </w:pPr>
            <w:r>
              <w:rPr>
                <w:rFonts w:ascii="Arial" w:cs="Arial" w:eastAsia="Arial" w:hAnsi="Arial"/>
                <w:sz w:val="13"/>
                <w:szCs w:val="13"/>
                <w:color w:val="auto"/>
              </w:rPr>
              <w:t>Internal overdue ratio</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4"/>
              </w:rPr>
              <w:t>4.6%</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3.8%</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3.7%</w:t>
            </w:r>
          </w:p>
        </w:tc>
        <w:tc>
          <w:tcPr>
            <w:tcW w:w="76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6"/>
              </w:rPr>
              <w:t>-11 bps</w:t>
            </w:r>
          </w:p>
        </w:tc>
        <w:tc>
          <w:tcPr>
            <w:tcW w:w="1260" w:type="dxa"/>
            <w:vAlign w:val="bottom"/>
            <w:tcBorders>
              <w:right w:val="single" w:sz="8" w:color="auto"/>
            </w:tcBorders>
          </w:tcPr>
          <w:p>
            <w:pPr>
              <w:jc w:val="center"/>
              <w:ind w:left="137"/>
              <w:spacing w:after="0" w:line="135" w:lineRule="exact"/>
              <w:rPr>
                <w:sz w:val="20"/>
                <w:szCs w:val="20"/>
                <w:color w:val="auto"/>
              </w:rPr>
            </w:pPr>
            <w:r>
              <w:rPr>
                <w:rFonts w:ascii="Arial" w:cs="Arial" w:eastAsia="Arial" w:hAnsi="Arial"/>
                <w:sz w:val="13"/>
                <w:szCs w:val="13"/>
                <w:color w:val="auto"/>
                <w:w w:val="96"/>
              </w:rPr>
              <w:t>-88 bps</w:t>
            </w:r>
          </w:p>
        </w:tc>
        <w:tc>
          <w:tcPr>
            <w:tcW w:w="0" w:type="dxa"/>
            <w:vAlign w:val="bottom"/>
          </w:tcPr>
          <w:p>
            <w:pPr>
              <w:spacing w:after="0"/>
              <w:rPr>
                <w:sz w:val="1"/>
                <w:szCs w:val="1"/>
                <w:color w:val="auto"/>
              </w:rPr>
            </w:pPr>
          </w:p>
        </w:tc>
      </w:tr>
      <w:tr>
        <w:trPr>
          <w:trHeight w:val="135"/>
        </w:trPr>
        <w:tc>
          <w:tcPr>
            <w:tcW w:w="2800" w:type="dxa"/>
            <w:vAlign w:val="bottom"/>
            <w:tcBorders>
              <w:left w:val="single" w:sz="8" w:color="auto"/>
              <w:right w:val="single" w:sz="8" w:color="auto"/>
            </w:tcBorders>
          </w:tcPr>
          <w:p>
            <w:pPr>
              <w:ind w:left="180"/>
              <w:spacing w:after="0" w:line="135" w:lineRule="exact"/>
              <w:rPr>
                <w:sz w:val="20"/>
                <w:szCs w:val="20"/>
                <w:color w:val="auto"/>
              </w:rPr>
            </w:pPr>
            <w:r>
              <w:rPr>
                <w:rFonts w:ascii="Arial" w:cs="Arial" w:eastAsia="Arial" w:hAnsi="Arial"/>
                <w:sz w:val="13"/>
                <w:szCs w:val="13"/>
                <w:color w:val="auto"/>
              </w:rPr>
              <w:t>NPL ratio</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4"/>
              </w:rPr>
              <w:t>6.6%</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4"/>
              </w:rPr>
              <w:t>5.5%</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5.2%</w:t>
            </w:r>
          </w:p>
        </w:tc>
        <w:tc>
          <w:tcPr>
            <w:tcW w:w="76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6"/>
              </w:rPr>
              <w:t>-28 bps</w:t>
            </w:r>
          </w:p>
        </w:tc>
        <w:tc>
          <w:tcPr>
            <w:tcW w:w="1260" w:type="dxa"/>
            <w:vAlign w:val="bottom"/>
            <w:tcBorders>
              <w:right w:val="single" w:sz="8" w:color="auto"/>
            </w:tcBorders>
          </w:tcPr>
          <w:p>
            <w:pPr>
              <w:jc w:val="center"/>
              <w:ind w:left="137"/>
              <w:spacing w:after="0" w:line="135" w:lineRule="exact"/>
              <w:rPr>
                <w:sz w:val="20"/>
                <w:szCs w:val="20"/>
                <w:color w:val="auto"/>
              </w:rPr>
            </w:pPr>
            <w:r>
              <w:rPr>
                <w:rFonts w:ascii="Arial" w:cs="Arial" w:eastAsia="Arial" w:hAnsi="Arial"/>
                <w:sz w:val="13"/>
                <w:szCs w:val="13"/>
                <w:color w:val="auto"/>
                <w:w w:val="98"/>
              </w:rPr>
              <w:t>-137 bps</w:t>
            </w:r>
          </w:p>
        </w:tc>
        <w:tc>
          <w:tcPr>
            <w:tcW w:w="0" w:type="dxa"/>
            <w:vAlign w:val="bottom"/>
          </w:tcPr>
          <w:p>
            <w:pPr>
              <w:spacing w:after="0"/>
              <w:rPr>
                <w:sz w:val="1"/>
                <w:szCs w:val="1"/>
                <w:color w:val="auto"/>
              </w:rPr>
            </w:pPr>
          </w:p>
        </w:tc>
      </w:tr>
      <w:tr>
        <w:trPr>
          <w:trHeight w:val="135"/>
        </w:trPr>
        <w:tc>
          <w:tcPr>
            <w:tcW w:w="2800" w:type="dxa"/>
            <w:vAlign w:val="bottom"/>
            <w:tcBorders>
              <w:left w:val="single" w:sz="8" w:color="auto"/>
              <w:right w:val="single" w:sz="8" w:color="auto"/>
            </w:tcBorders>
          </w:tcPr>
          <w:p>
            <w:pPr>
              <w:ind w:left="180"/>
              <w:spacing w:after="0" w:line="135" w:lineRule="exact"/>
              <w:rPr>
                <w:sz w:val="20"/>
                <w:szCs w:val="20"/>
                <w:color w:val="auto"/>
              </w:rPr>
            </w:pPr>
            <w:r>
              <w:rPr>
                <w:rFonts w:ascii="Arial" w:cs="Arial" w:eastAsia="Arial" w:hAnsi="Arial"/>
                <w:sz w:val="13"/>
                <w:szCs w:val="13"/>
                <w:color w:val="auto"/>
              </w:rPr>
              <w:t>Coverage ratio of IOLs</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5"/>
              </w:rPr>
              <w:t>130.7%</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5"/>
              </w:rPr>
              <w:t>147.0%</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149.4%</w:t>
            </w:r>
          </w:p>
        </w:tc>
        <w:tc>
          <w:tcPr>
            <w:tcW w:w="76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9"/>
              </w:rPr>
              <w:t>242 bps</w:t>
            </w:r>
          </w:p>
        </w:tc>
        <w:tc>
          <w:tcPr>
            <w:tcW w:w="1260" w:type="dxa"/>
            <w:vAlign w:val="bottom"/>
            <w:tcBorders>
              <w:right w:val="single" w:sz="8" w:color="auto"/>
            </w:tcBorders>
          </w:tcPr>
          <w:p>
            <w:pPr>
              <w:jc w:val="center"/>
              <w:ind w:left="157"/>
              <w:spacing w:after="0" w:line="135" w:lineRule="exact"/>
              <w:rPr>
                <w:sz w:val="20"/>
                <w:szCs w:val="20"/>
                <w:color w:val="auto"/>
              </w:rPr>
            </w:pPr>
            <w:r>
              <w:rPr>
                <w:rFonts w:ascii="Arial" w:cs="Arial" w:eastAsia="Arial" w:hAnsi="Arial"/>
                <w:sz w:val="13"/>
                <w:szCs w:val="13"/>
                <w:color w:val="auto"/>
                <w:w w:val="97"/>
              </w:rPr>
              <w:t>1878 bps</w:t>
            </w:r>
          </w:p>
        </w:tc>
        <w:tc>
          <w:tcPr>
            <w:tcW w:w="0" w:type="dxa"/>
            <w:vAlign w:val="bottom"/>
          </w:tcPr>
          <w:p>
            <w:pPr>
              <w:spacing w:after="0"/>
              <w:rPr>
                <w:sz w:val="1"/>
                <w:szCs w:val="1"/>
                <w:color w:val="auto"/>
              </w:rPr>
            </w:pPr>
          </w:p>
        </w:tc>
      </w:tr>
      <w:tr>
        <w:trPr>
          <w:trHeight w:val="129"/>
        </w:trPr>
        <w:tc>
          <w:tcPr>
            <w:tcW w:w="280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3"/>
                <w:szCs w:val="13"/>
                <w:color w:val="auto"/>
              </w:rPr>
              <w:t>Coverage ratio of NPLs</w:t>
            </w:r>
          </w:p>
        </w:tc>
        <w:tc>
          <w:tcPr>
            <w:tcW w:w="980" w:type="dxa"/>
            <w:vAlign w:val="bottom"/>
          </w:tcPr>
          <w:p>
            <w:pPr>
              <w:jc w:val="center"/>
              <w:spacing w:after="0" w:line="129" w:lineRule="exact"/>
              <w:rPr>
                <w:sz w:val="20"/>
                <w:szCs w:val="20"/>
                <w:color w:val="auto"/>
              </w:rPr>
            </w:pPr>
            <w:r>
              <w:rPr>
                <w:rFonts w:ascii="Arial" w:cs="Arial" w:eastAsia="Arial" w:hAnsi="Arial"/>
                <w:sz w:val="13"/>
                <w:szCs w:val="13"/>
                <w:color w:val="auto"/>
                <w:w w:val="97"/>
              </w:rPr>
              <w:t>91.8%</w:t>
            </w:r>
          </w:p>
        </w:tc>
        <w:tc>
          <w:tcPr>
            <w:tcW w:w="1020" w:type="dxa"/>
            <w:vAlign w:val="bottom"/>
          </w:tcPr>
          <w:p>
            <w:pPr>
              <w:jc w:val="center"/>
              <w:spacing w:after="0" w:line="129" w:lineRule="exact"/>
              <w:rPr>
                <w:sz w:val="20"/>
                <w:szCs w:val="20"/>
                <w:color w:val="auto"/>
              </w:rPr>
            </w:pPr>
            <w:r>
              <w:rPr>
                <w:rFonts w:ascii="Arial" w:cs="Arial" w:eastAsia="Arial" w:hAnsi="Arial"/>
                <w:sz w:val="13"/>
                <w:szCs w:val="13"/>
                <w:color w:val="auto"/>
                <w:w w:val="95"/>
              </w:rPr>
              <w:t>103.2%</w:t>
            </w:r>
          </w:p>
        </w:tc>
        <w:tc>
          <w:tcPr>
            <w:tcW w:w="10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5"/>
              </w:rPr>
              <w:t>107.5%</w:t>
            </w:r>
          </w:p>
        </w:tc>
        <w:tc>
          <w:tcPr>
            <w:tcW w:w="760" w:type="dxa"/>
            <w:vAlign w:val="bottom"/>
          </w:tcPr>
          <w:p>
            <w:pPr>
              <w:jc w:val="center"/>
              <w:ind w:left="157"/>
              <w:spacing w:after="0" w:line="129" w:lineRule="exact"/>
              <w:rPr>
                <w:sz w:val="20"/>
                <w:szCs w:val="20"/>
                <w:color w:val="auto"/>
              </w:rPr>
            </w:pPr>
            <w:r>
              <w:rPr>
                <w:rFonts w:ascii="Arial" w:cs="Arial" w:eastAsia="Arial" w:hAnsi="Arial"/>
                <w:sz w:val="13"/>
                <w:szCs w:val="13"/>
                <w:color w:val="auto"/>
                <w:w w:val="99"/>
              </w:rPr>
              <w:t>428 bps</w:t>
            </w:r>
          </w:p>
        </w:tc>
        <w:tc>
          <w:tcPr>
            <w:tcW w:w="1260" w:type="dxa"/>
            <w:vAlign w:val="bottom"/>
            <w:tcBorders>
              <w:right w:val="single" w:sz="8" w:color="auto"/>
            </w:tcBorders>
          </w:tcPr>
          <w:p>
            <w:pPr>
              <w:jc w:val="center"/>
              <w:ind w:left="157"/>
              <w:spacing w:after="0" w:line="129" w:lineRule="exact"/>
              <w:rPr>
                <w:sz w:val="20"/>
                <w:szCs w:val="20"/>
                <w:color w:val="auto"/>
              </w:rPr>
            </w:pPr>
            <w:r>
              <w:rPr>
                <w:rFonts w:ascii="Arial" w:cs="Arial" w:eastAsia="Arial" w:hAnsi="Arial"/>
                <w:sz w:val="13"/>
                <w:szCs w:val="13"/>
                <w:color w:val="auto"/>
                <w:w w:val="97"/>
              </w:rPr>
              <w:t>1572 bps</w:t>
            </w:r>
          </w:p>
        </w:tc>
        <w:tc>
          <w:tcPr>
            <w:tcW w:w="0" w:type="dxa"/>
            <w:vAlign w:val="bottom"/>
          </w:tcPr>
          <w:p>
            <w:pPr>
              <w:spacing w:after="0"/>
              <w:rPr>
                <w:sz w:val="1"/>
                <w:szCs w:val="1"/>
                <w:color w:val="auto"/>
              </w:rPr>
            </w:pPr>
          </w:p>
        </w:tc>
      </w:tr>
      <w:tr>
        <w:trPr>
          <w:trHeight w:val="276"/>
        </w:trPr>
        <w:tc>
          <w:tcPr>
            <w:tcW w:w="28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 xml:space="preserve">Cost of risk </w:t>
            </w:r>
            <w:r>
              <w:rPr>
                <w:rFonts w:ascii="Arial" w:cs="Arial" w:eastAsia="Arial" w:hAnsi="Arial"/>
                <w:sz w:val="20"/>
                <w:szCs w:val="20"/>
                <w:color w:val="auto"/>
                <w:vertAlign w:val="superscript"/>
              </w:rPr>
              <w:t>(4)</w:t>
            </w:r>
          </w:p>
        </w:tc>
        <w:tc>
          <w:tcPr>
            <w:tcW w:w="980" w:type="dxa"/>
            <w:vAlign w:val="bottom"/>
          </w:tcPr>
          <w:p>
            <w:pPr>
              <w:jc w:val="center"/>
              <w:spacing w:after="0"/>
              <w:rPr>
                <w:sz w:val="20"/>
                <w:szCs w:val="20"/>
                <w:color w:val="auto"/>
              </w:rPr>
            </w:pPr>
            <w:r>
              <w:rPr>
                <w:rFonts w:ascii="Arial" w:cs="Arial" w:eastAsia="Arial" w:hAnsi="Arial"/>
                <w:sz w:val="13"/>
                <w:szCs w:val="13"/>
                <w:color w:val="auto"/>
                <w:w w:val="94"/>
              </w:rPr>
              <w:t>2.3%</w:t>
            </w:r>
          </w:p>
        </w:tc>
        <w:tc>
          <w:tcPr>
            <w:tcW w:w="1020" w:type="dxa"/>
            <w:vAlign w:val="bottom"/>
          </w:tcPr>
          <w:p>
            <w:pPr>
              <w:jc w:val="center"/>
              <w:spacing w:after="0"/>
              <w:rPr>
                <w:sz w:val="20"/>
                <w:szCs w:val="20"/>
                <w:color w:val="auto"/>
              </w:rPr>
            </w:pPr>
            <w:r>
              <w:rPr>
                <w:rFonts w:ascii="Arial" w:cs="Arial" w:eastAsia="Arial" w:hAnsi="Arial"/>
                <w:sz w:val="13"/>
                <w:szCs w:val="13"/>
                <w:color w:val="auto"/>
                <w:w w:val="94"/>
              </w:rPr>
              <w:t>2.1%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w:t>
            </w:r>
          </w:p>
        </w:tc>
        <w:tc>
          <w:tcPr>
            <w:tcW w:w="760" w:type="dxa"/>
            <w:vAlign w:val="bottom"/>
          </w:tcPr>
          <w:p>
            <w:pPr>
              <w:jc w:val="center"/>
              <w:ind w:left="157"/>
              <w:spacing w:after="0"/>
              <w:rPr>
                <w:sz w:val="20"/>
                <w:szCs w:val="20"/>
                <w:color w:val="auto"/>
              </w:rPr>
            </w:pPr>
            <w:r>
              <w:rPr>
                <w:rFonts w:ascii="Arial" w:cs="Arial" w:eastAsia="Arial" w:hAnsi="Arial"/>
                <w:sz w:val="13"/>
                <w:szCs w:val="13"/>
                <w:color w:val="auto"/>
                <w:w w:val="96"/>
              </w:rPr>
              <w:t>-44 bps</w:t>
            </w:r>
          </w:p>
        </w:tc>
        <w:tc>
          <w:tcPr>
            <w:tcW w:w="1260" w:type="dxa"/>
            <w:vAlign w:val="bottom"/>
            <w:tcBorders>
              <w:right w:val="single" w:sz="8" w:color="auto"/>
            </w:tcBorders>
          </w:tcPr>
          <w:p>
            <w:pPr>
              <w:jc w:val="center"/>
              <w:ind w:left="137"/>
              <w:spacing w:after="0"/>
              <w:rPr>
                <w:sz w:val="20"/>
                <w:szCs w:val="20"/>
                <w:color w:val="auto"/>
              </w:rPr>
            </w:pPr>
            <w:r>
              <w:rPr>
                <w:rFonts w:ascii="Arial" w:cs="Arial" w:eastAsia="Arial" w:hAnsi="Arial"/>
                <w:sz w:val="13"/>
                <w:szCs w:val="13"/>
                <w:color w:val="auto"/>
                <w:w w:val="96"/>
              </w:rPr>
              <w:t>-69 bps</w:t>
            </w:r>
          </w:p>
        </w:tc>
        <w:tc>
          <w:tcPr>
            <w:tcW w:w="0" w:type="dxa"/>
            <w:vAlign w:val="bottom"/>
          </w:tcPr>
          <w:p>
            <w:pPr>
              <w:spacing w:after="0"/>
              <w:rPr>
                <w:sz w:val="1"/>
                <w:szCs w:val="1"/>
                <w:color w:val="auto"/>
              </w:rPr>
            </w:pPr>
          </w:p>
        </w:tc>
      </w:tr>
      <w:tr>
        <w:trPr>
          <w:trHeight w:val="129"/>
        </w:trPr>
        <w:tc>
          <w:tcPr>
            <w:tcW w:w="2800" w:type="dxa"/>
            <w:vAlign w:val="bottom"/>
            <w:tcBorders>
              <w:left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Operating efficiency</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Borders>
              <w:left w:val="single" w:sz="8" w:color="auto"/>
              <w:right w:val="single" w:sz="8" w:color="auto"/>
            </w:tcBorders>
          </w:tcPr>
          <w:p>
            <w:pPr>
              <w:ind w:left="180"/>
              <w:spacing w:after="0" w:line="135" w:lineRule="exact"/>
              <w:rPr>
                <w:sz w:val="20"/>
                <w:szCs w:val="20"/>
                <w:color w:val="auto"/>
              </w:rPr>
            </w:pPr>
            <w:r>
              <w:rPr>
                <w:rFonts w:ascii="Arial" w:cs="Arial" w:eastAsia="Arial" w:hAnsi="Arial"/>
                <w:sz w:val="10"/>
                <w:szCs w:val="10"/>
                <w:color w:val="auto"/>
              </w:rPr>
              <w:t xml:space="preserve">Operating expenses / Total income </w:t>
            </w:r>
            <w:r>
              <w:rPr>
                <w:rFonts w:ascii="Arial" w:cs="Arial" w:eastAsia="Arial" w:hAnsi="Arial"/>
                <w:sz w:val="15"/>
                <w:szCs w:val="15"/>
                <w:color w:val="auto"/>
                <w:vertAlign w:val="superscript"/>
              </w:rPr>
              <w:t>(5)</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7"/>
              </w:rPr>
              <w:t>37.6%</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7"/>
              </w:rPr>
              <w:t>44.8%</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39.8%</w:t>
            </w:r>
          </w:p>
        </w:tc>
        <w:tc>
          <w:tcPr>
            <w:tcW w:w="76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8"/>
              </w:rPr>
              <w:t>-503 bps</w:t>
            </w:r>
          </w:p>
        </w:tc>
        <w:tc>
          <w:tcPr>
            <w:tcW w:w="1260" w:type="dxa"/>
            <w:vAlign w:val="bottom"/>
            <w:tcBorders>
              <w:right w:val="single" w:sz="8" w:color="auto"/>
            </w:tcBorders>
          </w:tcPr>
          <w:p>
            <w:pPr>
              <w:jc w:val="center"/>
              <w:ind w:left="137"/>
              <w:spacing w:after="0" w:line="135" w:lineRule="exact"/>
              <w:rPr>
                <w:sz w:val="20"/>
                <w:szCs w:val="20"/>
                <w:color w:val="auto"/>
              </w:rPr>
            </w:pPr>
            <w:r>
              <w:rPr>
                <w:rFonts w:ascii="Arial" w:cs="Arial" w:eastAsia="Arial" w:hAnsi="Arial"/>
                <w:sz w:val="13"/>
                <w:szCs w:val="13"/>
                <w:color w:val="auto"/>
                <w:w w:val="99"/>
              </w:rPr>
              <w:t>222 bps</w:t>
            </w:r>
          </w:p>
        </w:tc>
        <w:tc>
          <w:tcPr>
            <w:tcW w:w="0" w:type="dxa"/>
            <w:vAlign w:val="bottom"/>
          </w:tcPr>
          <w:p>
            <w:pPr>
              <w:spacing w:after="0"/>
              <w:rPr>
                <w:sz w:val="1"/>
                <w:szCs w:val="1"/>
                <w:color w:val="auto"/>
              </w:rPr>
            </w:pPr>
          </w:p>
        </w:tc>
      </w:tr>
      <w:tr>
        <w:trPr>
          <w:trHeight w:val="135"/>
        </w:trPr>
        <w:tc>
          <w:tcPr>
            <w:tcW w:w="2800" w:type="dxa"/>
            <w:vAlign w:val="bottom"/>
            <w:tcBorders>
              <w:left w:val="single" w:sz="8" w:color="auto"/>
              <w:right w:val="single" w:sz="8" w:color="auto"/>
            </w:tcBorders>
          </w:tcPr>
          <w:p>
            <w:pPr>
              <w:ind w:left="180"/>
              <w:spacing w:after="0" w:line="135" w:lineRule="exact"/>
              <w:rPr>
                <w:sz w:val="20"/>
                <w:szCs w:val="20"/>
                <w:color w:val="auto"/>
              </w:rPr>
            </w:pPr>
            <w:r>
              <w:rPr>
                <w:rFonts w:ascii="Arial" w:cs="Arial" w:eastAsia="Arial" w:hAnsi="Arial"/>
                <w:sz w:val="10"/>
                <w:szCs w:val="10"/>
                <w:color w:val="auto"/>
              </w:rPr>
              <w:t xml:space="preserve">Operating expenses / Total average assets </w:t>
            </w:r>
            <w:r>
              <w:rPr>
                <w:rFonts w:ascii="Arial" w:cs="Arial" w:eastAsia="Arial" w:hAnsi="Arial"/>
                <w:sz w:val="15"/>
                <w:szCs w:val="15"/>
                <w:color w:val="auto"/>
                <w:vertAlign w:val="superscript"/>
              </w:rPr>
              <w:t>(1)</w:t>
            </w:r>
          </w:p>
        </w:tc>
        <w:tc>
          <w:tcPr>
            <w:tcW w:w="98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3.2%</w:t>
            </w:r>
          </w:p>
        </w:tc>
        <w:tc>
          <w:tcPr>
            <w:tcW w:w="102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3.9%</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3.4%</w:t>
            </w:r>
          </w:p>
        </w:tc>
        <w:tc>
          <w:tcPr>
            <w:tcW w:w="760" w:type="dxa"/>
            <w:vAlign w:val="bottom"/>
          </w:tcPr>
          <w:p>
            <w:pPr>
              <w:ind w:left="280"/>
              <w:spacing w:after="0" w:line="135" w:lineRule="exact"/>
              <w:rPr>
                <w:sz w:val="20"/>
                <w:szCs w:val="20"/>
                <w:color w:val="auto"/>
              </w:rPr>
            </w:pPr>
            <w:r>
              <w:rPr>
                <w:rFonts w:ascii="Arial" w:cs="Arial" w:eastAsia="Arial" w:hAnsi="Arial"/>
                <w:sz w:val="13"/>
                <w:szCs w:val="13"/>
                <w:color w:val="auto"/>
              </w:rPr>
              <w:t>-53 bps</w:t>
            </w:r>
          </w:p>
        </w:tc>
        <w:tc>
          <w:tcPr>
            <w:tcW w:w="1260" w:type="dxa"/>
            <w:vAlign w:val="bottom"/>
            <w:tcBorders>
              <w:right w:val="single" w:sz="8" w:color="auto"/>
            </w:tcBorders>
          </w:tcPr>
          <w:p>
            <w:pPr>
              <w:ind w:left="560"/>
              <w:spacing w:after="0" w:line="135" w:lineRule="exact"/>
              <w:rPr>
                <w:sz w:val="20"/>
                <w:szCs w:val="20"/>
                <w:color w:val="auto"/>
              </w:rPr>
            </w:pPr>
            <w:r>
              <w:rPr>
                <w:rFonts w:ascii="Arial" w:cs="Arial" w:eastAsia="Arial" w:hAnsi="Arial"/>
                <w:sz w:val="13"/>
                <w:szCs w:val="13"/>
                <w:color w:val="auto"/>
              </w:rPr>
              <w:t>16 bps</w:t>
            </w:r>
          </w:p>
        </w:tc>
        <w:tc>
          <w:tcPr>
            <w:tcW w:w="0" w:type="dxa"/>
            <w:vAlign w:val="bottom"/>
          </w:tcPr>
          <w:p>
            <w:pPr>
              <w:spacing w:after="0"/>
              <w:rPr>
                <w:sz w:val="1"/>
                <w:szCs w:val="1"/>
                <w:color w:val="auto"/>
              </w:rPr>
            </w:pPr>
          </w:p>
        </w:tc>
      </w:tr>
      <w:tr>
        <w:trPr>
          <w:trHeight w:val="132"/>
        </w:trPr>
        <w:tc>
          <w:tcPr>
            <w:tcW w:w="28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(2)(5)</w:t>
            </w:r>
          </w:p>
        </w:tc>
        <w:tc>
          <w:tcPr>
            <w:tcW w:w="9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000" w:hanging="182"/>
        <w:spacing w:after="0"/>
        <w:tabs>
          <w:tab w:leader="none" w:pos="10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Ratios are annualized.</w:t>
      </w:r>
    </w:p>
    <w:p>
      <w:pPr>
        <w:spacing w:after="0" w:line="7" w:lineRule="exact"/>
        <w:rPr>
          <w:rFonts w:ascii="Arial" w:cs="Arial" w:eastAsia="Arial" w:hAnsi="Arial"/>
          <w:sz w:val="12"/>
          <w:szCs w:val="12"/>
          <w:color w:val="auto"/>
        </w:rPr>
      </w:pPr>
    </w:p>
    <w:p>
      <w:pPr>
        <w:ind w:left="1000" w:hanging="182"/>
        <w:spacing w:after="0" w:line="234" w:lineRule="auto"/>
        <w:tabs>
          <w:tab w:leader="none" w:pos="10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Averages are determined as the average of period-beginning and period-ending balances.</w:t>
      </w:r>
    </w:p>
    <w:p>
      <w:pPr>
        <w:ind w:left="820" w:right="80" w:hanging="2"/>
        <w:spacing w:after="0" w:line="234" w:lineRule="auto"/>
        <w:tabs>
          <w:tab w:leader="none" w:pos="995"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1000" w:hanging="182"/>
        <w:spacing w:after="0" w:line="234" w:lineRule="auto"/>
        <w:tabs>
          <w:tab w:leader="none" w:pos="10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Cost of risk: Annualized provision for loan losses / Average Total loans.</w:t>
      </w:r>
    </w:p>
    <w:p>
      <w:pPr>
        <w:ind w:left="820" w:right="180" w:hanging="2"/>
        <w:spacing w:after="0" w:line="241" w:lineRule="auto"/>
        <w:tabs>
          <w:tab w:leader="none" w:pos="995" w:val="left"/>
        </w:tabs>
        <w:numPr>
          <w:ilvl w:val="0"/>
          <w:numId w:val="61"/>
        </w:numPr>
        <w:rPr>
          <w:rFonts w:ascii="Arial" w:cs="Arial" w:eastAsia="Arial" w:hAnsi="Arial"/>
          <w:sz w:val="12"/>
          <w:szCs w:val="12"/>
          <w:color w:val="auto"/>
        </w:rPr>
      </w:pPr>
      <w:r>
        <w:rPr>
          <w:rFonts w:ascii="Arial" w:cs="Arial" w:eastAsia="Arial" w:hAnsi="Arial"/>
          <w:sz w:val="12"/>
          <w:szCs w:val="12"/>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34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94" w:right="339" w:bottom="1440" w:gutter="0" w:footer="0" w:header="0"/>
        </w:sectPr>
      </w:pPr>
    </w:p>
    <w:bookmarkStart w:id="65" w:name="page66"/>
    <w:bookmarkEnd w:id="65"/>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12.6.4. BCP Stand-alone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Banco de Credito del Peru</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Financial Position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86" w:lineRule="exact"/>
        <w:rPr>
          <w:sz w:val="20"/>
          <w:szCs w:val="20"/>
          <w:color w:val="auto"/>
        </w:rPr>
      </w:pPr>
    </w:p>
    <w:tbl>
      <w:tblPr>
        <w:tblLayout w:type="fixed"/>
        <w:tblInd w:w="590" w:type="dxa"/>
        <w:tblCellMar>
          <w:top w:w="0" w:type="dxa"/>
          <w:left w:w="0" w:type="dxa"/>
          <w:bottom w:w="0" w:type="dxa"/>
          <w:right w:w="0" w:type="dxa"/>
        </w:tblCellMar>
      </w:tblPr>
      <w:tr>
        <w:trPr>
          <w:trHeight w:val="131"/>
        </w:trPr>
        <w:tc>
          <w:tcPr>
            <w:tcW w:w="5060" w:type="dxa"/>
            <w:vAlign w:val="bottom"/>
            <w:tcBorders>
              <w:top w:val="single" w:sz="8" w:color="auto"/>
              <w:left w:val="single" w:sz="8" w:color="auto"/>
              <w:right w:val="single" w:sz="8" w:color="auto"/>
            </w:tcBorders>
            <w:shd w:val="clear" w:color="auto" w:fill="2AD2C8"/>
          </w:tcPr>
          <w:p>
            <w:pPr>
              <w:spacing w:after="0"/>
              <w:rPr>
                <w:sz w:val="11"/>
                <w:szCs w:val="11"/>
                <w:color w:val="auto"/>
              </w:rPr>
            </w:pPr>
          </w:p>
        </w:tc>
        <w:tc>
          <w:tcPr>
            <w:tcW w:w="1000" w:type="dxa"/>
            <w:vAlign w:val="bottom"/>
            <w:tcBorders>
              <w:top w:val="single" w:sz="8" w:color="auto"/>
            </w:tcBorders>
            <w:vMerge w:val="restart"/>
            <w:shd w:val="clear" w:color="auto" w:fill="2AD2C8"/>
          </w:tcPr>
          <w:p>
            <w:pPr>
              <w:ind w:left="300"/>
              <w:spacing w:after="0"/>
              <w:rPr>
                <w:sz w:val="20"/>
                <w:szCs w:val="20"/>
                <w:color w:val="auto"/>
              </w:rPr>
            </w:pPr>
            <w:r>
              <w:rPr>
                <w:rFonts w:ascii="Arial" w:cs="Arial" w:eastAsia="Arial" w:hAnsi="Arial"/>
                <w:sz w:val="13"/>
                <w:szCs w:val="13"/>
                <w:b w:val="1"/>
                <w:bCs w:val="1"/>
                <w:color w:val="FFFFFF"/>
              </w:rPr>
              <w:t>Mar 24</w:t>
            </w:r>
          </w:p>
        </w:tc>
        <w:tc>
          <w:tcPr>
            <w:tcW w:w="1000" w:type="dxa"/>
            <w:vAlign w:val="bottom"/>
            <w:tcBorders>
              <w:top w:val="single" w:sz="8" w:color="auto"/>
            </w:tcBorders>
            <w:shd w:val="clear" w:color="auto" w:fill="2AD2C8"/>
          </w:tcPr>
          <w:p>
            <w:pPr>
              <w:jc w:val="center"/>
              <w:spacing w:after="0" w:line="130" w:lineRule="exact"/>
              <w:rPr>
                <w:sz w:val="20"/>
                <w:szCs w:val="20"/>
                <w:color w:val="auto"/>
              </w:rPr>
            </w:pPr>
            <w:r>
              <w:rPr>
                <w:rFonts w:ascii="Arial" w:cs="Arial" w:eastAsia="Arial" w:hAnsi="Arial"/>
                <w:sz w:val="12"/>
                <w:szCs w:val="12"/>
                <w:b w:val="1"/>
                <w:bCs w:val="1"/>
                <w:color w:val="FFFFFF"/>
                <w:w w:val="93"/>
              </w:rPr>
              <w:t>As of</w:t>
            </w:r>
          </w:p>
        </w:tc>
        <w:tc>
          <w:tcPr>
            <w:tcW w:w="1020" w:type="dxa"/>
            <w:vAlign w:val="bottom"/>
            <w:tcBorders>
              <w:top w:val="single" w:sz="8" w:color="auto"/>
              <w:right w:val="single" w:sz="8" w:color="auto"/>
            </w:tcBorders>
            <w:vMerge w:val="restart"/>
            <w:shd w:val="clear" w:color="auto" w:fill="2AD2C8"/>
          </w:tcPr>
          <w:p>
            <w:pPr>
              <w:ind w:left="320"/>
              <w:spacing w:after="0"/>
              <w:rPr>
                <w:sz w:val="20"/>
                <w:szCs w:val="20"/>
                <w:color w:val="auto"/>
              </w:rPr>
            </w:pPr>
            <w:r>
              <w:rPr>
                <w:rFonts w:ascii="Arial" w:cs="Arial" w:eastAsia="Arial" w:hAnsi="Arial"/>
                <w:sz w:val="13"/>
                <w:szCs w:val="13"/>
                <w:b w:val="1"/>
                <w:bCs w:val="1"/>
                <w:color w:val="FFFFFF"/>
              </w:rPr>
              <w:t>Mar 25</w:t>
            </w:r>
          </w:p>
        </w:tc>
        <w:tc>
          <w:tcPr>
            <w:tcW w:w="700" w:type="dxa"/>
            <w:vAlign w:val="bottom"/>
            <w:tcBorders>
              <w:top w:val="single" w:sz="8" w:color="auto"/>
            </w:tcBorders>
            <w:shd w:val="clear" w:color="auto" w:fill="2AD2C8"/>
          </w:tcPr>
          <w:p>
            <w:pPr>
              <w:spacing w:after="0"/>
              <w:rPr>
                <w:sz w:val="11"/>
                <w:szCs w:val="11"/>
                <w:color w:val="auto"/>
              </w:rPr>
            </w:pPr>
          </w:p>
        </w:tc>
        <w:tc>
          <w:tcPr>
            <w:tcW w:w="1320" w:type="dxa"/>
            <w:vAlign w:val="bottom"/>
            <w:tcBorders>
              <w:top w:val="single" w:sz="8" w:color="auto"/>
              <w:right w:val="single" w:sz="8" w:color="auto"/>
            </w:tcBorders>
            <w:shd w:val="clear" w:color="auto" w:fill="2AD2C8"/>
          </w:tcPr>
          <w:p>
            <w:pPr>
              <w:ind w:left="40"/>
              <w:spacing w:after="0" w:line="130" w:lineRule="exact"/>
              <w:rPr>
                <w:sz w:val="20"/>
                <w:szCs w:val="20"/>
                <w:color w:val="auto"/>
              </w:rPr>
            </w:pPr>
            <w:r>
              <w:rPr>
                <w:rFonts w:ascii="Arial" w:cs="Arial" w:eastAsia="Arial" w:hAnsi="Arial"/>
                <w:sz w:val="12"/>
                <w:szCs w:val="12"/>
                <w:b w:val="1"/>
                <w:bCs w:val="1"/>
                <w:color w:val="FFFFFF"/>
              </w:rPr>
              <w:t>% change</w:t>
            </w:r>
          </w:p>
        </w:tc>
        <w:tc>
          <w:tcPr>
            <w:tcW w:w="0" w:type="dxa"/>
            <w:vAlign w:val="bottom"/>
          </w:tcPr>
          <w:p>
            <w:pPr>
              <w:spacing w:after="0"/>
              <w:rPr>
                <w:sz w:val="1"/>
                <w:szCs w:val="1"/>
                <w:color w:val="auto"/>
              </w:rPr>
            </w:pPr>
          </w:p>
        </w:tc>
      </w:tr>
      <w:tr>
        <w:trPr>
          <w:trHeight w:val="153"/>
        </w:trPr>
        <w:tc>
          <w:tcPr>
            <w:tcW w:w="5060" w:type="dxa"/>
            <w:vAlign w:val="bottom"/>
            <w:tcBorders>
              <w:left w:val="single" w:sz="8" w:color="auto"/>
              <w:bottom w:val="single" w:sz="8" w:color="auto"/>
              <w:right w:val="single" w:sz="8" w:color="auto"/>
            </w:tcBorders>
            <w:shd w:val="clear" w:color="auto" w:fill="2AD2C8"/>
          </w:tcPr>
          <w:p>
            <w:pPr>
              <w:spacing w:after="0"/>
              <w:rPr>
                <w:sz w:val="13"/>
                <w:szCs w:val="13"/>
                <w:color w:val="auto"/>
              </w:rPr>
            </w:pPr>
          </w:p>
        </w:tc>
        <w:tc>
          <w:tcPr>
            <w:tcW w:w="1000" w:type="dxa"/>
            <w:vAlign w:val="bottom"/>
            <w:tcBorders>
              <w:bottom w:val="single" w:sz="8" w:color="auto"/>
            </w:tcBorders>
            <w:vMerge w:val="continue"/>
            <w:shd w:val="clear" w:color="auto" w:fill="2AD2C8"/>
          </w:tcPr>
          <w:p>
            <w:pPr>
              <w:spacing w:after="0"/>
              <w:rPr>
                <w:sz w:val="13"/>
                <w:szCs w:val="13"/>
                <w:color w:val="auto"/>
              </w:rPr>
            </w:pPr>
          </w:p>
        </w:tc>
        <w:tc>
          <w:tcPr>
            <w:tcW w:w="100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w w:val="95"/>
              </w:rPr>
              <w:t>Dec 24</w:t>
            </w:r>
          </w:p>
        </w:tc>
        <w:tc>
          <w:tcPr>
            <w:tcW w:w="1020" w:type="dxa"/>
            <w:vAlign w:val="bottom"/>
            <w:tcBorders>
              <w:bottom w:val="single" w:sz="8" w:color="auto"/>
              <w:right w:val="single" w:sz="8" w:color="auto"/>
            </w:tcBorders>
            <w:vMerge w:val="continue"/>
            <w:shd w:val="clear" w:color="auto" w:fill="2AD2C8"/>
          </w:tcPr>
          <w:p>
            <w:pPr>
              <w:spacing w:after="0"/>
              <w:rPr>
                <w:sz w:val="13"/>
                <w:szCs w:val="13"/>
                <w:color w:val="auto"/>
              </w:rPr>
            </w:pPr>
          </w:p>
        </w:tc>
        <w:tc>
          <w:tcPr>
            <w:tcW w:w="700" w:type="dxa"/>
            <w:vAlign w:val="bottom"/>
            <w:tcBorders>
              <w:bottom w:val="single" w:sz="8" w:color="auto"/>
            </w:tcBorders>
            <w:shd w:val="clear" w:color="auto" w:fill="2AD2C8"/>
          </w:tcPr>
          <w:p>
            <w:pPr>
              <w:jc w:val="center"/>
              <w:ind w:left="222"/>
              <w:spacing w:after="0"/>
              <w:rPr>
                <w:sz w:val="20"/>
                <w:szCs w:val="20"/>
                <w:color w:val="auto"/>
              </w:rPr>
            </w:pPr>
            <w:r>
              <w:rPr>
                <w:rFonts w:ascii="Arial" w:cs="Arial" w:eastAsia="Arial" w:hAnsi="Arial"/>
                <w:sz w:val="12"/>
                <w:szCs w:val="12"/>
                <w:color w:val="FFFFFF"/>
              </w:rPr>
              <w:t>QoQ</w:t>
            </w:r>
          </w:p>
        </w:tc>
        <w:tc>
          <w:tcPr>
            <w:tcW w:w="1320" w:type="dxa"/>
            <w:vAlign w:val="bottom"/>
            <w:tcBorders>
              <w:bottom w:val="single" w:sz="8" w:color="auto"/>
              <w:right w:val="single" w:sz="8" w:color="auto"/>
            </w:tcBorders>
            <w:shd w:val="clear" w:color="auto" w:fill="2AD2C8"/>
          </w:tcPr>
          <w:p>
            <w:pPr>
              <w:jc w:val="center"/>
              <w:ind w:left="202"/>
              <w:spacing w:after="0"/>
              <w:rPr>
                <w:sz w:val="20"/>
                <w:szCs w:val="20"/>
                <w:color w:val="auto"/>
              </w:rPr>
            </w:pPr>
            <w:r>
              <w:rPr>
                <w:rFonts w:ascii="Arial" w:cs="Arial" w:eastAsia="Arial" w:hAnsi="Arial"/>
                <w:sz w:val="12"/>
                <w:szCs w:val="12"/>
                <w:color w:val="FFFFFF"/>
                <w:w w:val="96"/>
              </w:rPr>
              <w:t>YoY</w:t>
            </w:r>
          </w:p>
        </w:tc>
        <w:tc>
          <w:tcPr>
            <w:tcW w:w="0" w:type="dxa"/>
            <w:vAlign w:val="bottom"/>
          </w:tcPr>
          <w:p>
            <w:pPr>
              <w:spacing w:after="0"/>
              <w:rPr>
                <w:sz w:val="1"/>
                <w:szCs w:val="1"/>
                <w:color w:val="auto"/>
              </w:rPr>
            </w:pPr>
          </w:p>
        </w:tc>
      </w:tr>
      <w:tr>
        <w:trPr>
          <w:trHeight w:val="119"/>
        </w:trPr>
        <w:tc>
          <w:tcPr>
            <w:tcW w:w="5060" w:type="dxa"/>
            <w:vAlign w:val="bottom"/>
            <w:tcBorders>
              <w:left w:val="single" w:sz="8" w:color="auto"/>
              <w:right w:val="single" w:sz="8" w:color="auto"/>
            </w:tcBorders>
          </w:tcPr>
          <w:p>
            <w:pPr>
              <w:spacing w:after="0" w:line="119" w:lineRule="exact"/>
              <w:rPr>
                <w:sz w:val="20"/>
                <w:szCs w:val="20"/>
                <w:color w:val="auto"/>
              </w:rPr>
            </w:pPr>
            <w:r>
              <w:rPr>
                <w:rFonts w:ascii="Arial" w:cs="Arial" w:eastAsia="Arial" w:hAnsi="Arial"/>
                <w:sz w:val="12"/>
                <w:szCs w:val="12"/>
                <w:b w:val="1"/>
                <w:bCs w:val="1"/>
                <w:color w:val="auto"/>
              </w:rPr>
              <w:t>ASSETS</w:t>
            </w: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Cash and due from banks</w:t>
            </w: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6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2"/>
                <w:szCs w:val="12"/>
                <w:color w:val="auto"/>
              </w:rPr>
              <w:t>Non-interest bearing</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5,150,933</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4,792,810</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4,776,238</w:t>
            </w:r>
          </w:p>
        </w:tc>
        <w:tc>
          <w:tcPr>
            <w:tcW w:w="700" w:type="dxa"/>
            <w:vAlign w:val="bottom"/>
          </w:tcPr>
          <w:p>
            <w:pPr>
              <w:jc w:val="center"/>
              <w:ind w:left="222"/>
              <w:spacing w:after="0" w:line="135" w:lineRule="exact"/>
              <w:rPr>
                <w:sz w:val="20"/>
                <w:szCs w:val="20"/>
                <w:color w:val="auto"/>
              </w:rPr>
            </w:pPr>
            <w:r>
              <w:rPr>
                <w:rFonts w:ascii="Arial" w:cs="Arial" w:eastAsia="Arial" w:hAnsi="Arial"/>
                <w:sz w:val="12"/>
                <w:szCs w:val="12"/>
                <w:color w:val="auto"/>
                <w:w w:val="95"/>
              </w:rPr>
              <w:t>-0.3%</w:t>
            </w:r>
          </w:p>
        </w:tc>
        <w:tc>
          <w:tcPr>
            <w:tcW w:w="132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color w:val="auto"/>
                <w:w w:val="95"/>
              </w:rPr>
              <w:t>-7.3%</w:t>
            </w:r>
          </w:p>
        </w:tc>
        <w:tc>
          <w:tcPr>
            <w:tcW w:w="0" w:type="dxa"/>
            <w:vAlign w:val="bottom"/>
          </w:tcPr>
          <w:p>
            <w:pPr>
              <w:spacing w:after="0"/>
              <w:rPr>
                <w:sz w:val="1"/>
                <w:szCs w:val="1"/>
                <w:color w:val="auto"/>
              </w:rPr>
            </w:pPr>
          </w:p>
        </w:tc>
      </w:tr>
      <w:tr>
        <w:trPr>
          <w:trHeight w:val="133"/>
        </w:trPr>
        <w:tc>
          <w:tcPr>
            <w:tcW w:w="5060" w:type="dxa"/>
            <w:vAlign w:val="bottom"/>
            <w:tcBorders>
              <w:left w:val="single" w:sz="8" w:color="auto"/>
              <w:right w:val="single" w:sz="8" w:color="auto"/>
            </w:tcBorders>
          </w:tcPr>
          <w:p>
            <w:pPr>
              <w:ind w:left="340"/>
              <w:spacing w:after="0" w:line="133" w:lineRule="exact"/>
              <w:rPr>
                <w:sz w:val="20"/>
                <w:szCs w:val="20"/>
                <w:color w:val="auto"/>
              </w:rPr>
            </w:pPr>
            <w:r>
              <w:rPr>
                <w:rFonts w:ascii="Arial" w:cs="Arial" w:eastAsia="Arial" w:hAnsi="Arial"/>
                <w:sz w:val="12"/>
                <w:szCs w:val="12"/>
                <w:color w:val="auto"/>
              </w:rPr>
              <w:t>Interest bearing</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6"/>
              </w:rPr>
              <w:t>29,572,183</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6"/>
              </w:rPr>
              <w:t>38,063,318</w:t>
            </w:r>
          </w:p>
        </w:tc>
        <w:tc>
          <w:tcPr>
            <w:tcW w:w="10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6"/>
              </w:rPr>
              <w:t>34,709,343</w:t>
            </w:r>
          </w:p>
        </w:tc>
        <w:tc>
          <w:tcPr>
            <w:tcW w:w="700" w:type="dxa"/>
            <w:vAlign w:val="bottom"/>
          </w:tcPr>
          <w:p>
            <w:pPr>
              <w:jc w:val="center"/>
              <w:ind w:left="222"/>
              <w:spacing w:after="0" w:line="133" w:lineRule="exact"/>
              <w:rPr>
                <w:sz w:val="20"/>
                <w:szCs w:val="20"/>
                <w:color w:val="auto"/>
              </w:rPr>
            </w:pPr>
            <w:r>
              <w:rPr>
                <w:rFonts w:ascii="Arial" w:cs="Arial" w:eastAsia="Arial" w:hAnsi="Arial"/>
                <w:sz w:val="12"/>
                <w:szCs w:val="12"/>
                <w:color w:val="auto"/>
                <w:w w:val="95"/>
              </w:rPr>
              <w:t>-8.8%</w:t>
            </w:r>
          </w:p>
        </w:tc>
        <w:tc>
          <w:tcPr>
            <w:tcW w:w="1320" w:type="dxa"/>
            <w:vAlign w:val="bottom"/>
            <w:tcBorders>
              <w:right w:val="single" w:sz="8" w:color="auto"/>
            </w:tcBorders>
          </w:tcPr>
          <w:p>
            <w:pPr>
              <w:jc w:val="center"/>
              <w:ind w:left="242"/>
              <w:spacing w:after="0" w:line="133" w:lineRule="exact"/>
              <w:rPr>
                <w:sz w:val="20"/>
                <w:szCs w:val="20"/>
                <w:color w:val="auto"/>
              </w:rPr>
            </w:pPr>
            <w:r>
              <w:rPr>
                <w:rFonts w:ascii="Arial" w:cs="Arial" w:eastAsia="Arial" w:hAnsi="Arial"/>
                <w:sz w:val="12"/>
                <w:szCs w:val="12"/>
                <w:color w:val="auto"/>
                <w:w w:val="99"/>
              </w:rPr>
              <w:t>17.4%</w:t>
            </w:r>
          </w:p>
        </w:tc>
        <w:tc>
          <w:tcPr>
            <w:tcW w:w="0" w:type="dxa"/>
            <w:vAlign w:val="bottom"/>
          </w:tcPr>
          <w:p>
            <w:pPr>
              <w:spacing w:after="0"/>
              <w:rPr>
                <w:sz w:val="1"/>
                <w:szCs w:val="1"/>
                <w:color w:val="auto"/>
              </w:rPr>
            </w:pPr>
          </w:p>
        </w:tc>
      </w:tr>
      <w:tr>
        <w:trPr>
          <w:trHeight w:val="160"/>
        </w:trPr>
        <w:tc>
          <w:tcPr>
            <w:tcW w:w="50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2"/>
                <w:szCs w:val="12"/>
                <w:b w:val="1"/>
                <w:bCs w:val="1"/>
                <w:color w:val="auto"/>
              </w:rPr>
              <w:t>Total cash and due from banks</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6"/>
              </w:rPr>
              <w:t>34,723,116</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6"/>
              </w:rPr>
              <w:t>42,856,128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39,485,581</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5"/>
              </w:rPr>
              <w:t>-7.9%</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9"/>
              </w:rPr>
              <w:t>13.7%</w:t>
            </w:r>
          </w:p>
        </w:tc>
        <w:tc>
          <w:tcPr>
            <w:tcW w:w="0" w:type="dxa"/>
            <w:vAlign w:val="bottom"/>
          </w:tcPr>
          <w:p>
            <w:pPr>
              <w:spacing w:after="0"/>
              <w:rPr>
                <w:sz w:val="1"/>
                <w:szCs w:val="1"/>
                <w:color w:val="auto"/>
              </w:rPr>
            </w:pPr>
          </w:p>
        </w:tc>
      </w:tr>
      <w:tr>
        <w:trPr>
          <w:trHeight w:val="338"/>
        </w:trPr>
        <w:tc>
          <w:tcPr>
            <w:tcW w:w="5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Cash collateral, reverse repurchase agreements and securities borrowing</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6"/>
              </w:rPr>
              <w:t>415,202</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2"/>
              </w:rPr>
              <w:t>19,151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776,081</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rPr>
              <w:t>n.a</w:t>
            </w:r>
          </w:p>
        </w:tc>
        <w:tc>
          <w:tcPr>
            <w:tcW w:w="1320" w:type="dxa"/>
            <w:vAlign w:val="bottom"/>
            <w:tcBorders>
              <w:right w:val="single" w:sz="8" w:color="auto"/>
            </w:tcBorders>
          </w:tcPr>
          <w:p>
            <w:pPr>
              <w:jc w:val="center"/>
              <w:ind w:left="202"/>
              <w:spacing w:after="0"/>
              <w:rPr>
                <w:sz w:val="20"/>
                <w:szCs w:val="20"/>
                <w:color w:val="auto"/>
              </w:rPr>
            </w:pPr>
            <w:r>
              <w:rPr>
                <w:rFonts w:ascii="Arial" w:cs="Arial" w:eastAsia="Arial" w:hAnsi="Arial"/>
                <w:sz w:val="12"/>
                <w:szCs w:val="12"/>
                <w:b w:val="1"/>
                <w:bCs w:val="1"/>
                <w:color w:val="auto"/>
                <w:w w:val="99"/>
              </w:rPr>
              <w:t>86.9%</w:t>
            </w:r>
          </w:p>
        </w:tc>
        <w:tc>
          <w:tcPr>
            <w:tcW w:w="0" w:type="dxa"/>
            <w:vAlign w:val="bottom"/>
          </w:tcPr>
          <w:p>
            <w:pPr>
              <w:spacing w:after="0"/>
              <w:rPr>
                <w:sz w:val="1"/>
                <w:szCs w:val="1"/>
                <w:color w:val="auto"/>
              </w:rPr>
            </w:pPr>
          </w:p>
        </w:tc>
      </w:tr>
      <w:tr>
        <w:trPr>
          <w:trHeight w:val="313"/>
        </w:trPr>
        <w:tc>
          <w:tcPr>
            <w:tcW w:w="5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Fair value through profit or loss investments</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6"/>
              </w:rPr>
              <w:t>465,261</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6"/>
              </w:rPr>
              <w:t>603,635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537,503</w:t>
            </w:r>
          </w:p>
        </w:tc>
        <w:tc>
          <w:tcPr>
            <w:tcW w:w="700" w:type="dxa"/>
            <w:vAlign w:val="bottom"/>
          </w:tcPr>
          <w:p>
            <w:pPr>
              <w:jc w:val="center"/>
              <w:ind w:left="242"/>
              <w:spacing w:after="0"/>
              <w:rPr>
                <w:sz w:val="20"/>
                <w:szCs w:val="20"/>
                <w:color w:val="auto"/>
              </w:rPr>
            </w:pPr>
            <w:r>
              <w:rPr>
                <w:rFonts w:ascii="Arial" w:cs="Arial" w:eastAsia="Arial" w:hAnsi="Arial"/>
                <w:sz w:val="12"/>
                <w:szCs w:val="12"/>
                <w:b w:val="1"/>
                <w:bCs w:val="1"/>
                <w:color w:val="auto"/>
                <w:w w:val="94"/>
              </w:rPr>
              <w:t>-11.0%</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9"/>
              </w:rPr>
              <w:t>15.5%</w:t>
            </w:r>
          </w:p>
        </w:tc>
        <w:tc>
          <w:tcPr>
            <w:tcW w:w="0" w:type="dxa"/>
            <w:vAlign w:val="bottom"/>
          </w:tcPr>
          <w:p>
            <w:pPr>
              <w:spacing w:after="0"/>
              <w:rPr>
                <w:sz w:val="1"/>
                <w:szCs w:val="1"/>
                <w:color w:val="auto"/>
              </w:rPr>
            </w:pPr>
          </w:p>
        </w:tc>
      </w:tr>
      <w:tr>
        <w:trPr>
          <w:trHeight w:val="135"/>
        </w:trPr>
        <w:tc>
          <w:tcPr>
            <w:tcW w:w="506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b w:val="1"/>
                <w:bCs w:val="1"/>
                <w:color w:val="auto"/>
              </w:rPr>
              <w:t>Fair value through other comprehensive income investments</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18,996,635</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20,521,337</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6"/>
              </w:rPr>
              <w:t>21,877,682</w:t>
            </w:r>
          </w:p>
        </w:tc>
        <w:tc>
          <w:tcPr>
            <w:tcW w:w="700" w:type="dxa"/>
            <w:vAlign w:val="bottom"/>
          </w:tcPr>
          <w:p>
            <w:pPr>
              <w:jc w:val="center"/>
              <w:ind w:left="222"/>
              <w:spacing w:after="0" w:line="135" w:lineRule="exact"/>
              <w:rPr>
                <w:sz w:val="20"/>
                <w:szCs w:val="20"/>
                <w:color w:val="auto"/>
              </w:rPr>
            </w:pPr>
            <w:r>
              <w:rPr>
                <w:rFonts w:ascii="Arial" w:cs="Arial" w:eastAsia="Arial" w:hAnsi="Arial"/>
                <w:sz w:val="12"/>
                <w:szCs w:val="12"/>
                <w:b w:val="1"/>
                <w:bCs w:val="1"/>
                <w:color w:val="auto"/>
                <w:w w:val="94"/>
              </w:rPr>
              <w:t>6.6%</w:t>
            </w:r>
          </w:p>
        </w:tc>
        <w:tc>
          <w:tcPr>
            <w:tcW w:w="132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b w:val="1"/>
                <w:bCs w:val="1"/>
                <w:color w:val="auto"/>
                <w:w w:val="99"/>
              </w:rPr>
              <w:t>15.2%</w:t>
            </w:r>
          </w:p>
        </w:tc>
        <w:tc>
          <w:tcPr>
            <w:tcW w:w="0" w:type="dxa"/>
            <w:vAlign w:val="bottom"/>
          </w:tcPr>
          <w:p>
            <w:pPr>
              <w:spacing w:after="0"/>
              <w:rPr>
                <w:sz w:val="1"/>
                <w:szCs w:val="1"/>
                <w:color w:val="auto"/>
              </w:rPr>
            </w:pPr>
          </w:p>
        </w:tc>
      </w:tr>
      <w:tr>
        <w:trPr>
          <w:trHeight w:val="160"/>
        </w:trPr>
        <w:tc>
          <w:tcPr>
            <w:tcW w:w="5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Amortized cost investments</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9,250,403</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8,214,476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8,072,234</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5"/>
              </w:rPr>
              <w:t>-1.7%</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9"/>
              </w:rPr>
              <w:t>-12.7%</w:t>
            </w:r>
          </w:p>
        </w:tc>
        <w:tc>
          <w:tcPr>
            <w:tcW w:w="0" w:type="dxa"/>
            <w:vAlign w:val="bottom"/>
          </w:tcPr>
          <w:p>
            <w:pPr>
              <w:spacing w:after="0"/>
              <w:rPr>
                <w:sz w:val="1"/>
                <w:szCs w:val="1"/>
                <w:color w:val="auto"/>
              </w:rPr>
            </w:pPr>
          </w:p>
        </w:tc>
      </w:tr>
      <w:tr>
        <w:trPr>
          <w:trHeight w:val="315"/>
        </w:trPr>
        <w:tc>
          <w:tcPr>
            <w:tcW w:w="5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Loans</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5"/>
              </w:rPr>
              <w:t>115,355,734</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8"/>
              </w:rPr>
              <w:t>120,571,109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119,378,598</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5"/>
              </w:rPr>
              <w:t>-1.0%</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4"/>
              </w:rPr>
              <w:t>3.5%</w:t>
            </w:r>
          </w:p>
        </w:tc>
        <w:tc>
          <w:tcPr>
            <w:tcW w:w="0" w:type="dxa"/>
            <w:vAlign w:val="bottom"/>
          </w:tcPr>
          <w:p>
            <w:pPr>
              <w:spacing w:after="0"/>
              <w:rPr>
                <w:sz w:val="1"/>
                <w:szCs w:val="1"/>
                <w:color w:val="auto"/>
              </w:rPr>
            </w:pPr>
          </w:p>
        </w:tc>
      </w:tr>
      <w:tr>
        <w:trPr>
          <w:trHeight w:val="135"/>
        </w:trPr>
        <w:tc>
          <w:tcPr>
            <w:tcW w:w="506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2"/>
                <w:szCs w:val="12"/>
                <w:color w:val="auto"/>
              </w:rPr>
              <w:t>Current</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5"/>
              </w:rPr>
              <w:t>110,365,981</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8"/>
              </w:rPr>
              <w:t>116,314,563</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5"/>
              </w:rPr>
              <w:t>115,180,766</w:t>
            </w:r>
          </w:p>
        </w:tc>
        <w:tc>
          <w:tcPr>
            <w:tcW w:w="700" w:type="dxa"/>
            <w:vAlign w:val="bottom"/>
          </w:tcPr>
          <w:p>
            <w:pPr>
              <w:jc w:val="center"/>
              <w:ind w:left="222"/>
              <w:spacing w:after="0" w:line="135" w:lineRule="exact"/>
              <w:rPr>
                <w:sz w:val="20"/>
                <w:szCs w:val="20"/>
                <w:color w:val="auto"/>
              </w:rPr>
            </w:pPr>
            <w:r>
              <w:rPr>
                <w:rFonts w:ascii="Arial" w:cs="Arial" w:eastAsia="Arial" w:hAnsi="Arial"/>
                <w:sz w:val="12"/>
                <w:szCs w:val="12"/>
                <w:color w:val="auto"/>
                <w:w w:val="95"/>
              </w:rPr>
              <w:t>-1.0%</w:t>
            </w:r>
          </w:p>
        </w:tc>
        <w:tc>
          <w:tcPr>
            <w:tcW w:w="132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color w:val="auto"/>
                <w:w w:val="94"/>
              </w:rPr>
              <w:t>4.4%</w:t>
            </w:r>
          </w:p>
        </w:tc>
        <w:tc>
          <w:tcPr>
            <w:tcW w:w="0" w:type="dxa"/>
            <w:vAlign w:val="bottom"/>
          </w:tcPr>
          <w:p>
            <w:pPr>
              <w:spacing w:after="0"/>
              <w:rPr>
                <w:sz w:val="1"/>
                <w:szCs w:val="1"/>
                <w:color w:val="auto"/>
              </w:rPr>
            </w:pPr>
          </w:p>
        </w:tc>
      </w:tr>
      <w:tr>
        <w:trPr>
          <w:trHeight w:val="135"/>
        </w:trPr>
        <w:tc>
          <w:tcPr>
            <w:tcW w:w="506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2"/>
                <w:szCs w:val="12"/>
                <w:color w:val="auto"/>
              </w:rPr>
              <w:t>Internal overdue loans</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4,989,753</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4,256,546</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4,197,832</w:t>
            </w:r>
          </w:p>
        </w:tc>
        <w:tc>
          <w:tcPr>
            <w:tcW w:w="700" w:type="dxa"/>
            <w:vAlign w:val="bottom"/>
          </w:tcPr>
          <w:p>
            <w:pPr>
              <w:jc w:val="center"/>
              <w:ind w:left="222"/>
              <w:spacing w:after="0" w:line="135" w:lineRule="exact"/>
              <w:rPr>
                <w:sz w:val="20"/>
                <w:szCs w:val="20"/>
                <w:color w:val="auto"/>
              </w:rPr>
            </w:pPr>
            <w:r>
              <w:rPr>
                <w:rFonts w:ascii="Arial" w:cs="Arial" w:eastAsia="Arial" w:hAnsi="Arial"/>
                <w:sz w:val="12"/>
                <w:szCs w:val="12"/>
                <w:color w:val="auto"/>
                <w:w w:val="95"/>
              </w:rPr>
              <w:t>-1.4%</w:t>
            </w:r>
          </w:p>
        </w:tc>
        <w:tc>
          <w:tcPr>
            <w:tcW w:w="132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color w:val="auto"/>
                <w:w w:val="99"/>
              </w:rPr>
              <w:t>-15.9%</w:t>
            </w:r>
          </w:p>
        </w:tc>
        <w:tc>
          <w:tcPr>
            <w:tcW w:w="0" w:type="dxa"/>
            <w:vAlign w:val="bottom"/>
          </w:tcPr>
          <w:p>
            <w:pPr>
              <w:spacing w:after="0"/>
              <w:rPr>
                <w:sz w:val="1"/>
                <w:szCs w:val="1"/>
                <w:color w:val="auto"/>
              </w:rPr>
            </w:pPr>
          </w:p>
        </w:tc>
      </w:tr>
      <w:tr>
        <w:trPr>
          <w:trHeight w:val="133"/>
        </w:trPr>
        <w:tc>
          <w:tcPr>
            <w:tcW w:w="5060" w:type="dxa"/>
            <w:vAlign w:val="bottom"/>
            <w:tcBorders>
              <w:left w:val="single" w:sz="8" w:color="auto"/>
              <w:right w:val="single" w:sz="8" w:color="auto"/>
            </w:tcBorders>
          </w:tcPr>
          <w:p>
            <w:pPr>
              <w:ind w:left="340"/>
              <w:spacing w:after="0" w:line="133" w:lineRule="exact"/>
              <w:rPr>
                <w:sz w:val="20"/>
                <w:szCs w:val="20"/>
                <w:color w:val="auto"/>
              </w:rPr>
            </w:pPr>
            <w:r>
              <w:rPr>
                <w:rFonts w:ascii="Arial" w:cs="Arial" w:eastAsia="Arial" w:hAnsi="Arial"/>
                <w:sz w:val="12"/>
                <w:szCs w:val="12"/>
                <w:color w:val="auto"/>
              </w:rPr>
              <w:t>Less - allowance for loan losses</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7"/>
              </w:rPr>
              <w:t>(6,689,926)</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7"/>
              </w:rPr>
              <w:t>(6,513,398)</w:t>
            </w:r>
          </w:p>
        </w:tc>
        <w:tc>
          <w:tcPr>
            <w:tcW w:w="10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(6,453,864)</w:t>
            </w:r>
          </w:p>
        </w:tc>
        <w:tc>
          <w:tcPr>
            <w:tcW w:w="700" w:type="dxa"/>
            <w:vAlign w:val="bottom"/>
          </w:tcPr>
          <w:p>
            <w:pPr>
              <w:jc w:val="center"/>
              <w:ind w:left="222"/>
              <w:spacing w:after="0" w:line="133" w:lineRule="exact"/>
              <w:rPr>
                <w:sz w:val="20"/>
                <w:szCs w:val="20"/>
                <w:color w:val="auto"/>
              </w:rPr>
            </w:pPr>
            <w:r>
              <w:rPr>
                <w:rFonts w:ascii="Arial" w:cs="Arial" w:eastAsia="Arial" w:hAnsi="Arial"/>
                <w:sz w:val="12"/>
                <w:szCs w:val="12"/>
                <w:color w:val="auto"/>
                <w:w w:val="95"/>
              </w:rPr>
              <w:t>-0.9%</w:t>
            </w:r>
          </w:p>
        </w:tc>
        <w:tc>
          <w:tcPr>
            <w:tcW w:w="1320" w:type="dxa"/>
            <w:vAlign w:val="bottom"/>
            <w:tcBorders>
              <w:right w:val="single" w:sz="8" w:color="auto"/>
            </w:tcBorders>
          </w:tcPr>
          <w:p>
            <w:pPr>
              <w:jc w:val="center"/>
              <w:ind w:left="242"/>
              <w:spacing w:after="0" w:line="133" w:lineRule="exact"/>
              <w:rPr>
                <w:sz w:val="20"/>
                <w:szCs w:val="20"/>
                <w:color w:val="auto"/>
              </w:rPr>
            </w:pPr>
            <w:r>
              <w:rPr>
                <w:rFonts w:ascii="Arial" w:cs="Arial" w:eastAsia="Arial" w:hAnsi="Arial"/>
                <w:sz w:val="12"/>
                <w:szCs w:val="12"/>
                <w:color w:val="auto"/>
                <w:w w:val="95"/>
              </w:rPr>
              <w:t>-3.5%</w:t>
            </w:r>
          </w:p>
        </w:tc>
        <w:tc>
          <w:tcPr>
            <w:tcW w:w="0" w:type="dxa"/>
            <w:vAlign w:val="bottom"/>
          </w:tcPr>
          <w:p>
            <w:pPr>
              <w:spacing w:after="0"/>
              <w:rPr>
                <w:sz w:val="1"/>
                <w:szCs w:val="1"/>
                <w:color w:val="auto"/>
              </w:rPr>
            </w:pPr>
          </w:p>
        </w:tc>
      </w:tr>
      <w:tr>
        <w:trPr>
          <w:trHeight w:val="160"/>
        </w:trPr>
        <w:tc>
          <w:tcPr>
            <w:tcW w:w="5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Loans, net</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8"/>
              </w:rPr>
              <w:t>108,665,808</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2"/>
              </w:rPr>
              <w:t>114,057,711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112,924,734</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5"/>
              </w:rPr>
              <w:t>-1.0%</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4"/>
              </w:rPr>
              <w:t>3.9%</w:t>
            </w:r>
          </w:p>
        </w:tc>
        <w:tc>
          <w:tcPr>
            <w:tcW w:w="0" w:type="dxa"/>
            <w:vAlign w:val="bottom"/>
          </w:tcPr>
          <w:p>
            <w:pPr>
              <w:spacing w:after="0"/>
              <w:rPr>
                <w:sz w:val="1"/>
                <w:szCs w:val="1"/>
                <w:color w:val="auto"/>
              </w:rPr>
            </w:pPr>
          </w:p>
        </w:tc>
      </w:tr>
      <w:tr>
        <w:trPr>
          <w:trHeight w:val="313"/>
        </w:trPr>
        <w:tc>
          <w:tcPr>
            <w:tcW w:w="5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 xml:space="preserve">Property, furniture and equipment, net </w:t>
            </w:r>
            <w:r>
              <w:rPr>
                <w:rFonts w:ascii="Arial" w:cs="Arial" w:eastAsia="Arial" w:hAnsi="Arial"/>
                <w:sz w:val="19"/>
                <w:szCs w:val="19"/>
                <w:b w:val="1"/>
                <w:bCs w:val="1"/>
                <w:color w:val="auto"/>
                <w:vertAlign w:val="superscript"/>
              </w:rPr>
              <w:t>(1)</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1,262,342</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1,271,219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1,428,475</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9"/>
              </w:rPr>
              <w:t>12.4%</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9"/>
              </w:rPr>
              <w:t>13.2%</w:t>
            </w:r>
          </w:p>
        </w:tc>
        <w:tc>
          <w:tcPr>
            <w:tcW w:w="0" w:type="dxa"/>
            <w:vAlign w:val="bottom"/>
          </w:tcPr>
          <w:p>
            <w:pPr>
              <w:spacing w:after="0"/>
              <w:rPr>
                <w:sz w:val="1"/>
                <w:szCs w:val="1"/>
                <w:color w:val="auto"/>
              </w:rPr>
            </w:pPr>
          </w:p>
        </w:tc>
      </w:tr>
      <w:tr>
        <w:trPr>
          <w:trHeight w:val="135"/>
        </w:trPr>
        <w:tc>
          <w:tcPr>
            <w:tcW w:w="506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b w:val="1"/>
                <w:bCs w:val="1"/>
                <w:color w:val="auto"/>
              </w:rPr>
              <w:t>Due from customers on acceptances</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322,346</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528,184</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6"/>
              </w:rPr>
              <w:t>639,749</w:t>
            </w:r>
          </w:p>
        </w:tc>
        <w:tc>
          <w:tcPr>
            <w:tcW w:w="700" w:type="dxa"/>
            <w:vAlign w:val="bottom"/>
          </w:tcPr>
          <w:p>
            <w:pPr>
              <w:jc w:val="center"/>
              <w:ind w:left="222"/>
              <w:spacing w:after="0" w:line="135" w:lineRule="exact"/>
              <w:rPr>
                <w:sz w:val="20"/>
                <w:szCs w:val="20"/>
                <w:color w:val="auto"/>
              </w:rPr>
            </w:pPr>
            <w:r>
              <w:rPr>
                <w:rFonts w:ascii="Arial" w:cs="Arial" w:eastAsia="Arial" w:hAnsi="Arial"/>
                <w:sz w:val="12"/>
                <w:szCs w:val="12"/>
                <w:b w:val="1"/>
                <w:bCs w:val="1"/>
                <w:color w:val="auto"/>
                <w:w w:val="99"/>
              </w:rPr>
              <w:t>21.1%</w:t>
            </w:r>
          </w:p>
        </w:tc>
        <w:tc>
          <w:tcPr>
            <w:tcW w:w="132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b w:val="1"/>
                <w:bCs w:val="1"/>
                <w:color w:val="auto"/>
                <w:w w:val="99"/>
              </w:rPr>
              <w:t>98.5%</w:t>
            </w:r>
          </w:p>
        </w:tc>
        <w:tc>
          <w:tcPr>
            <w:tcW w:w="0" w:type="dxa"/>
            <w:vAlign w:val="bottom"/>
          </w:tcPr>
          <w:p>
            <w:pPr>
              <w:spacing w:after="0"/>
              <w:rPr>
                <w:sz w:val="1"/>
                <w:szCs w:val="1"/>
                <w:color w:val="auto"/>
              </w:rPr>
            </w:pPr>
          </w:p>
        </w:tc>
      </w:tr>
      <w:tr>
        <w:trPr>
          <w:trHeight w:val="128"/>
        </w:trPr>
        <w:tc>
          <w:tcPr>
            <w:tcW w:w="5060" w:type="dxa"/>
            <w:vAlign w:val="bottom"/>
            <w:tcBorders>
              <w:left w:val="single" w:sz="8" w:color="auto"/>
              <w:right w:val="single" w:sz="8" w:color="auto"/>
            </w:tcBorders>
          </w:tcPr>
          <w:p>
            <w:pPr>
              <w:spacing w:after="0" w:line="128" w:lineRule="exact"/>
              <w:rPr>
                <w:sz w:val="20"/>
                <w:szCs w:val="20"/>
                <w:color w:val="auto"/>
              </w:rPr>
            </w:pPr>
            <w:r>
              <w:rPr>
                <w:rFonts w:ascii="Arial" w:cs="Arial" w:eastAsia="Arial" w:hAnsi="Arial"/>
                <w:sz w:val="12"/>
                <w:szCs w:val="12"/>
                <w:b w:val="1"/>
                <w:bCs w:val="1"/>
                <w:color w:val="auto"/>
              </w:rPr>
              <w:t>Investments in associates</w:t>
            </w:r>
          </w:p>
        </w:tc>
        <w:tc>
          <w:tcPr>
            <w:tcW w:w="10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7"/>
              </w:rPr>
              <w:t>2,570,974</w:t>
            </w:r>
          </w:p>
        </w:tc>
        <w:tc>
          <w:tcPr>
            <w:tcW w:w="10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7"/>
              </w:rPr>
              <w:t>2,612,080</w:t>
            </w:r>
          </w:p>
        </w:tc>
        <w:tc>
          <w:tcPr>
            <w:tcW w:w="10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7"/>
              </w:rPr>
              <w:t>2,431,259</w:t>
            </w:r>
          </w:p>
        </w:tc>
        <w:tc>
          <w:tcPr>
            <w:tcW w:w="700" w:type="dxa"/>
            <w:vAlign w:val="bottom"/>
          </w:tcPr>
          <w:p>
            <w:pPr>
              <w:jc w:val="center"/>
              <w:ind w:left="222"/>
              <w:spacing w:after="0" w:line="128" w:lineRule="exact"/>
              <w:rPr>
                <w:sz w:val="20"/>
                <w:szCs w:val="20"/>
                <w:color w:val="auto"/>
              </w:rPr>
            </w:pPr>
            <w:r>
              <w:rPr>
                <w:rFonts w:ascii="Arial" w:cs="Arial" w:eastAsia="Arial" w:hAnsi="Arial"/>
                <w:sz w:val="12"/>
                <w:szCs w:val="12"/>
                <w:b w:val="1"/>
                <w:bCs w:val="1"/>
                <w:color w:val="auto"/>
                <w:w w:val="95"/>
              </w:rPr>
              <w:t>-6.9%</w:t>
            </w:r>
          </w:p>
        </w:tc>
        <w:tc>
          <w:tcPr>
            <w:tcW w:w="1320" w:type="dxa"/>
            <w:vAlign w:val="bottom"/>
            <w:tcBorders>
              <w:right w:val="single" w:sz="8" w:color="auto"/>
            </w:tcBorders>
          </w:tcPr>
          <w:p>
            <w:pPr>
              <w:jc w:val="center"/>
              <w:ind w:left="242"/>
              <w:spacing w:after="0" w:line="128" w:lineRule="exact"/>
              <w:rPr>
                <w:sz w:val="20"/>
                <w:szCs w:val="20"/>
                <w:color w:val="auto"/>
              </w:rPr>
            </w:pPr>
            <w:r>
              <w:rPr>
                <w:rFonts w:ascii="Arial" w:cs="Arial" w:eastAsia="Arial" w:hAnsi="Arial"/>
                <w:sz w:val="12"/>
                <w:szCs w:val="12"/>
                <w:b w:val="1"/>
                <w:bCs w:val="1"/>
                <w:color w:val="auto"/>
                <w:w w:val="95"/>
              </w:rPr>
              <w:t>-5.4%</w:t>
            </w:r>
          </w:p>
        </w:tc>
        <w:tc>
          <w:tcPr>
            <w:tcW w:w="0" w:type="dxa"/>
            <w:vAlign w:val="bottom"/>
          </w:tcPr>
          <w:p>
            <w:pPr>
              <w:spacing w:after="0"/>
              <w:rPr>
                <w:sz w:val="1"/>
                <w:szCs w:val="1"/>
                <w:color w:val="auto"/>
              </w:rPr>
            </w:pPr>
          </w:p>
        </w:tc>
      </w:tr>
      <w:tr>
        <w:trPr>
          <w:trHeight w:val="267"/>
        </w:trPr>
        <w:tc>
          <w:tcPr>
            <w:tcW w:w="5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 xml:space="preserve">Other assets </w:t>
            </w:r>
            <w:r>
              <w:rPr>
                <w:rFonts w:ascii="Arial" w:cs="Arial" w:eastAsia="Arial" w:hAnsi="Arial"/>
                <w:sz w:val="19"/>
                <w:szCs w:val="19"/>
                <w:b w:val="1"/>
                <w:bCs w:val="1"/>
                <w:color w:val="auto"/>
                <w:vertAlign w:val="superscript"/>
              </w:rPr>
              <w:t>(2)</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6,647,263</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6,788,659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7,642,355</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9"/>
              </w:rPr>
              <w:t>12.6%</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9"/>
              </w:rPr>
              <w:t>15.0%</w:t>
            </w:r>
          </w:p>
        </w:tc>
        <w:tc>
          <w:tcPr>
            <w:tcW w:w="0" w:type="dxa"/>
            <w:vAlign w:val="bottom"/>
          </w:tcPr>
          <w:p>
            <w:pPr>
              <w:spacing w:after="0"/>
              <w:rPr>
                <w:sz w:val="1"/>
                <w:szCs w:val="1"/>
                <w:color w:val="auto"/>
              </w:rPr>
            </w:pPr>
          </w:p>
        </w:tc>
      </w:tr>
      <w:tr>
        <w:trPr>
          <w:trHeight w:val="238"/>
        </w:trPr>
        <w:tc>
          <w:tcPr>
            <w:tcW w:w="5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Total Assets</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8"/>
              </w:rPr>
              <w:t>183,319,350</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8"/>
              </w:rPr>
              <w:t>197,472,580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195,815,653</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5"/>
              </w:rPr>
              <w:t>-0.8%</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4"/>
              </w:rPr>
              <w:t>6.8%</w:t>
            </w:r>
          </w:p>
        </w:tc>
        <w:tc>
          <w:tcPr>
            <w:tcW w:w="0" w:type="dxa"/>
            <w:vAlign w:val="bottom"/>
          </w:tcPr>
          <w:p>
            <w:pPr>
              <w:spacing w:after="0"/>
              <w:rPr>
                <w:sz w:val="1"/>
                <w:szCs w:val="1"/>
                <w:color w:val="auto"/>
              </w:rPr>
            </w:pPr>
          </w:p>
        </w:tc>
      </w:tr>
      <w:tr>
        <w:trPr>
          <w:trHeight w:val="313"/>
        </w:trPr>
        <w:tc>
          <w:tcPr>
            <w:tcW w:w="5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Liabilities and Equity</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Deposits and obligations</w:t>
            </w: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6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2"/>
                <w:szCs w:val="12"/>
                <w:color w:val="auto"/>
              </w:rPr>
              <w:t>Non-interest bearing</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6"/>
              </w:rPr>
              <w:t>38,529,409</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6"/>
              </w:rPr>
              <w:t>44,267,223</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6"/>
              </w:rPr>
              <w:t>46,158,361</w:t>
            </w:r>
          </w:p>
        </w:tc>
        <w:tc>
          <w:tcPr>
            <w:tcW w:w="700" w:type="dxa"/>
            <w:vAlign w:val="bottom"/>
          </w:tcPr>
          <w:p>
            <w:pPr>
              <w:jc w:val="center"/>
              <w:ind w:left="222"/>
              <w:spacing w:after="0" w:line="135" w:lineRule="exact"/>
              <w:rPr>
                <w:sz w:val="20"/>
                <w:szCs w:val="20"/>
                <w:color w:val="auto"/>
              </w:rPr>
            </w:pPr>
            <w:r>
              <w:rPr>
                <w:rFonts w:ascii="Arial" w:cs="Arial" w:eastAsia="Arial" w:hAnsi="Arial"/>
                <w:sz w:val="12"/>
                <w:szCs w:val="12"/>
                <w:color w:val="auto"/>
                <w:w w:val="94"/>
              </w:rPr>
              <w:t>4.3%</w:t>
            </w:r>
          </w:p>
        </w:tc>
        <w:tc>
          <w:tcPr>
            <w:tcW w:w="132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color w:val="auto"/>
                <w:w w:val="99"/>
              </w:rPr>
              <w:t>19.8%</w:t>
            </w:r>
          </w:p>
        </w:tc>
        <w:tc>
          <w:tcPr>
            <w:tcW w:w="0" w:type="dxa"/>
            <w:vAlign w:val="bottom"/>
          </w:tcPr>
          <w:p>
            <w:pPr>
              <w:spacing w:after="0"/>
              <w:rPr>
                <w:sz w:val="1"/>
                <w:szCs w:val="1"/>
                <w:color w:val="auto"/>
              </w:rPr>
            </w:pPr>
          </w:p>
        </w:tc>
      </w:tr>
      <w:tr>
        <w:trPr>
          <w:trHeight w:val="133"/>
        </w:trPr>
        <w:tc>
          <w:tcPr>
            <w:tcW w:w="5060" w:type="dxa"/>
            <w:vAlign w:val="bottom"/>
            <w:tcBorders>
              <w:left w:val="single" w:sz="8" w:color="auto"/>
              <w:right w:val="single" w:sz="8" w:color="auto"/>
            </w:tcBorders>
          </w:tcPr>
          <w:p>
            <w:pPr>
              <w:ind w:left="340"/>
              <w:spacing w:after="0" w:line="133" w:lineRule="exact"/>
              <w:rPr>
                <w:sz w:val="20"/>
                <w:szCs w:val="20"/>
                <w:color w:val="auto"/>
              </w:rPr>
            </w:pPr>
            <w:r>
              <w:rPr>
                <w:rFonts w:ascii="Arial" w:cs="Arial" w:eastAsia="Arial" w:hAnsi="Arial"/>
                <w:sz w:val="12"/>
                <w:szCs w:val="12"/>
                <w:color w:val="auto"/>
              </w:rPr>
              <w:t>Interest bearing</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6"/>
              </w:rPr>
              <w:t>84,392,216</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6"/>
              </w:rPr>
              <w:t>92,516,659</w:t>
            </w:r>
          </w:p>
        </w:tc>
        <w:tc>
          <w:tcPr>
            <w:tcW w:w="10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6"/>
              </w:rPr>
              <w:t>89,206,307</w:t>
            </w:r>
          </w:p>
        </w:tc>
        <w:tc>
          <w:tcPr>
            <w:tcW w:w="700" w:type="dxa"/>
            <w:vAlign w:val="bottom"/>
          </w:tcPr>
          <w:p>
            <w:pPr>
              <w:jc w:val="center"/>
              <w:ind w:left="222"/>
              <w:spacing w:after="0" w:line="133" w:lineRule="exact"/>
              <w:rPr>
                <w:sz w:val="20"/>
                <w:szCs w:val="20"/>
                <w:color w:val="auto"/>
              </w:rPr>
            </w:pPr>
            <w:r>
              <w:rPr>
                <w:rFonts w:ascii="Arial" w:cs="Arial" w:eastAsia="Arial" w:hAnsi="Arial"/>
                <w:sz w:val="12"/>
                <w:szCs w:val="12"/>
                <w:color w:val="auto"/>
                <w:w w:val="95"/>
              </w:rPr>
              <w:t>-3.6%</w:t>
            </w:r>
          </w:p>
        </w:tc>
        <w:tc>
          <w:tcPr>
            <w:tcW w:w="1320" w:type="dxa"/>
            <w:vAlign w:val="bottom"/>
            <w:tcBorders>
              <w:right w:val="single" w:sz="8" w:color="auto"/>
            </w:tcBorders>
          </w:tcPr>
          <w:p>
            <w:pPr>
              <w:jc w:val="center"/>
              <w:ind w:left="242"/>
              <w:spacing w:after="0" w:line="133" w:lineRule="exact"/>
              <w:rPr>
                <w:sz w:val="20"/>
                <w:szCs w:val="20"/>
                <w:color w:val="auto"/>
              </w:rPr>
            </w:pPr>
            <w:r>
              <w:rPr>
                <w:rFonts w:ascii="Arial" w:cs="Arial" w:eastAsia="Arial" w:hAnsi="Arial"/>
                <w:sz w:val="12"/>
                <w:szCs w:val="12"/>
                <w:color w:val="auto"/>
                <w:w w:val="94"/>
              </w:rPr>
              <w:t>5.7%</w:t>
            </w:r>
          </w:p>
        </w:tc>
        <w:tc>
          <w:tcPr>
            <w:tcW w:w="0" w:type="dxa"/>
            <w:vAlign w:val="bottom"/>
          </w:tcPr>
          <w:p>
            <w:pPr>
              <w:spacing w:after="0"/>
              <w:rPr>
                <w:sz w:val="1"/>
                <w:szCs w:val="1"/>
                <w:color w:val="auto"/>
              </w:rPr>
            </w:pPr>
          </w:p>
        </w:tc>
      </w:tr>
      <w:tr>
        <w:trPr>
          <w:trHeight w:val="160"/>
        </w:trPr>
        <w:tc>
          <w:tcPr>
            <w:tcW w:w="50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2"/>
                <w:szCs w:val="12"/>
                <w:b w:val="1"/>
                <w:bCs w:val="1"/>
                <w:color w:val="auto"/>
              </w:rPr>
              <w:t>Total deposits and obligations</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8"/>
              </w:rPr>
              <w:t>122,921,625</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8"/>
              </w:rPr>
              <w:t>136,783,882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135,364,668</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5"/>
              </w:rPr>
              <w:t>-1.0%</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9"/>
              </w:rPr>
              <w:t>10.1%</w:t>
            </w:r>
          </w:p>
        </w:tc>
        <w:tc>
          <w:tcPr>
            <w:tcW w:w="0" w:type="dxa"/>
            <w:vAlign w:val="bottom"/>
          </w:tcPr>
          <w:p>
            <w:pPr>
              <w:spacing w:after="0"/>
              <w:rPr>
                <w:sz w:val="1"/>
                <w:szCs w:val="1"/>
                <w:color w:val="auto"/>
              </w:rPr>
            </w:pPr>
          </w:p>
        </w:tc>
      </w:tr>
      <w:tr>
        <w:trPr>
          <w:trHeight w:val="315"/>
        </w:trPr>
        <w:tc>
          <w:tcPr>
            <w:tcW w:w="5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Payables from repurchase agreements and securities lending</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6,816,019</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3"/>
              </w:rPr>
              <w:t>6,711,406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7,070,379</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4"/>
              </w:rPr>
              <w:t>5.3%</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4"/>
              </w:rPr>
              <w:t>3.7%</w:t>
            </w:r>
          </w:p>
        </w:tc>
        <w:tc>
          <w:tcPr>
            <w:tcW w:w="0" w:type="dxa"/>
            <w:vAlign w:val="bottom"/>
          </w:tcPr>
          <w:p>
            <w:pPr>
              <w:spacing w:after="0"/>
              <w:rPr>
                <w:sz w:val="1"/>
                <w:szCs w:val="1"/>
                <w:color w:val="auto"/>
              </w:rPr>
            </w:pPr>
          </w:p>
        </w:tc>
      </w:tr>
      <w:tr>
        <w:trPr>
          <w:trHeight w:val="135"/>
        </w:trPr>
        <w:tc>
          <w:tcPr>
            <w:tcW w:w="506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2"/>
                <w:szCs w:val="12"/>
                <w:color w:val="auto"/>
              </w:rPr>
              <w:t>BCRP instruments</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6,281,592</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6,154,351</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6,241,943</w:t>
            </w:r>
          </w:p>
        </w:tc>
        <w:tc>
          <w:tcPr>
            <w:tcW w:w="700" w:type="dxa"/>
            <w:vAlign w:val="bottom"/>
          </w:tcPr>
          <w:p>
            <w:pPr>
              <w:jc w:val="center"/>
              <w:ind w:left="222"/>
              <w:spacing w:after="0" w:line="135" w:lineRule="exact"/>
              <w:rPr>
                <w:sz w:val="20"/>
                <w:szCs w:val="20"/>
                <w:color w:val="auto"/>
              </w:rPr>
            </w:pPr>
            <w:r>
              <w:rPr>
                <w:rFonts w:ascii="Arial" w:cs="Arial" w:eastAsia="Arial" w:hAnsi="Arial"/>
                <w:sz w:val="12"/>
                <w:szCs w:val="12"/>
                <w:color w:val="auto"/>
                <w:w w:val="94"/>
              </w:rPr>
              <w:t>1.4%</w:t>
            </w:r>
          </w:p>
        </w:tc>
        <w:tc>
          <w:tcPr>
            <w:tcW w:w="132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color w:val="auto"/>
                <w:w w:val="95"/>
              </w:rPr>
              <w:t>-0.6%</w:t>
            </w:r>
          </w:p>
        </w:tc>
        <w:tc>
          <w:tcPr>
            <w:tcW w:w="0" w:type="dxa"/>
            <w:vAlign w:val="bottom"/>
          </w:tcPr>
          <w:p>
            <w:pPr>
              <w:spacing w:after="0"/>
              <w:rPr>
                <w:sz w:val="1"/>
                <w:szCs w:val="1"/>
                <w:color w:val="auto"/>
              </w:rPr>
            </w:pPr>
          </w:p>
        </w:tc>
      </w:tr>
      <w:tr>
        <w:trPr>
          <w:trHeight w:val="152"/>
        </w:trPr>
        <w:tc>
          <w:tcPr>
            <w:tcW w:w="50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2"/>
                <w:szCs w:val="12"/>
                <w:color w:val="auto"/>
              </w:rPr>
              <w:t>Repurchase agreements with third parties</w:t>
            </w:r>
          </w:p>
        </w:tc>
        <w:tc>
          <w:tcPr>
            <w:tcW w:w="1000" w:type="dxa"/>
            <w:vAlign w:val="bottom"/>
          </w:tcPr>
          <w:p>
            <w:pPr>
              <w:jc w:val="center"/>
              <w:spacing w:after="0"/>
              <w:rPr>
                <w:sz w:val="20"/>
                <w:szCs w:val="20"/>
                <w:color w:val="auto"/>
              </w:rPr>
            </w:pPr>
            <w:r>
              <w:rPr>
                <w:rFonts w:ascii="Arial" w:cs="Arial" w:eastAsia="Arial" w:hAnsi="Arial"/>
                <w:sz w:val="12"/>
                <w:szCs w:val="12"/>
                <w:color w:val="auto"/>
                <w:w w:val="96"/>
              </w:rPr>
              <w:t>534,427</w:t>
            </w:r>
          </w:p>
        </w:tc>
        <w:tc>
          <w:tcPr>
            <w:tcW w:w="1000" w:type="dxa"/>
            <w:vAlign w:val="bottom"/>
          </w:tcPr>
          <w:p>
            <w:pPr>
              <w:jc w:val="center"/>
              <w:spacing w:after="0"/>
              <w:rPr>
                <w:sz w:val="20"/>
                <w:szCs w:val="20"/>
                <w:color w:val="auto"/>
              </w:rPr>
            </w:pPr>
            <w:r>
              <w:rPr>
                <w:rFonts w:ascii="Arial" w:cs="Arial" w:eastAsia="Arial" w:hAnsi="Arial"/>
                <w:sz w:val="12"/>
                <w:szCs w:val="12"/>
                <w:color w:val="auto"/>
                <w:w w:val="96"/>
              </w:rPr>
              <w:t>557,055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828,436</w:t>
            </w:r>
          </w:p>
        </w:tc>
        <w:tc>
          <w:tcPr>
            <w:tcW w:w="700" w:type="dxa"/>
            <w:vAlign w:val="bottom"/>
          </w:tcPr>
          <w:p>
            <w:pPr>
              <w:jc w:val="center"/>
              <w:ind w:left="242"/>
              <w:spacing w:after="0"/>
              <w:rPr>
                <w:sz w:val="20"/>
                <w:szCs w:val="20"/>
                <w:color w:val="auto"/>
              </w:rPr>
            </w:pPr>
            <w:r>
              <w:rPr>
                <w:rFonts w:ascii="Arial" w:cs="Arial" w:eastAsia="Arial" w:hAnsi="Arial"/>
                <w:sz w:val="12"/>
                <w:szCs w:val="12"/>
                <w:color w:val="auto"/>
                <w:w w:val="93"/>
              </w:rPr>
              <w:t>48.7%</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color w:val="auto"/>
                <w:w w:val="99"/>
              </w:rPr>
              <w:t>55.0%</w:t>
            </w:r>
          </w:p>
        </w:tc>
        <w:tc>
          <w:tcPr>
            <w:tcW w:w="0" w:type="dxa"/>
            <w:vAlign w:val="bottom"/>
          </w:tcPr>
          <w:p>
            <w:pPr>
              <w:spacing w:after="0"/>
              <w:rPr>
                <w:sz w:val="1"/>
                <w:szCs w:val="1"/>
                <w:color w:val="auto"/>
              </w:rPr>
            </w:pPr>
          </w:p>
        </w:tc>
      </w:tr>
      <w:tr>
        <w:trPr>
          <w:trHeight w:val="319"/>
        </w:trPr>
        <w:tc>
          <w:tcPr>
            <w:tcW w:w="5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Due to banks and correspondents</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8,830,355</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8,962,379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9,007,034</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4"/>
              </w:rPr>
              <w:t>0.5%</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4"/>
              </w:rPr>
              <w:t>2.0%</w:t>
            </w:r>
          </w:p>
        </w:tc>
        <w:tc>
          <w:tcPr>
            <w:tcW w:w="0" w:type="dxa"/>
            <w:vAlign w:val="bottom"/>
          </w:tcPr>
          <w:p>
            <w:pPr>
              <w:spacing w:after="0"/>
              <w:rPr>
                <w:sz w:val="1"/>
                <w:szCs w:val="1"/>
                <w:color w:val="auto"/>
              </w:rPr>
            </w:pPr>
          </w:p>
        </w:tc>
      </w:tr>
      <w:tr>
        <w:trPr>
          <w:trHeight w:val="135"/>
        </w:trPr>
        <w:tc>
          <w:tcPr>
            <w:tcW w:w="506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b w:val="1"/>
                <w:bCs w:val="1"/>
                <w:color w:val="auto"/>
              </w:rPr>
              <w:t>Bonds and notes issued</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13,316,718</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13,317,657</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6"/>
              </w:rPr>
              <w:t>10,350,044</w:t>
            </w:r>
          </w:p>
        </w:tc>
        <w:tc>
          <w:tcPr>
            <w:tcW w:w="700" w:type="dxa"/>
            <w:vAlign w:val="bottom"/>
          </w:tcPr>
          <w:p>
            <w:pPr>
              <w:jc w:val="center"/>
              <w:ind w:left="242"/>
              <w:spacing w:after="0" w:line="135" w:lineRule="exact"/>
              <w:rPr>
                <w:sz w:val="20"/>
                <w:szCs w:val="20"/>
                <w:color w:val="auto"/>
              </w:rPr>
            </w:pPr>
            <w:r>
              <w:rPr>
                <w:rFonts w:ascii="Arial" w:cs="Arial" w:eastAsia="Arial" w:hAnsi="Arial"/>
                <w:sz w:val="12"/>
                <w:szCs w:val="12"/>
                <w:b w:val="1"/>
                <w:bCs w:val="1"/>
                <w:color w:val="auto"/>
                <w:w w:val="94"/>
              </w:rPr>
              <w:t>-22.3%</w:t>
            </w:r>
          </w:p>
        </w:tc>
        <w:tc>
          <w:tcPr>
            <w:tcW w:w="132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b w:val="1"/>
                <w:bCs w:val="1"/>
                <w:color w:val="auto"/>
                <w:w w:val="99"/>
              </w:rPr>
              <w:t>-22.3%</w:t>
            </w:r>
          </w:p>
        </w:tc>
        <w:tc>
          <w:tcPr>
            <w:tcW w:w="0" w:type="dxa"/>
            <w:vAlign w:val="bottom"/>
          </w:tcPr>
          <w:p>
            <w:pPr>
              <w:spacing w:after="0"/>
              <w:rPr>
                <w:sz w:val="1"/>
                <w:szCs w:val="1"/>
                <w:color w:val="auto"/>
              </w:rPr>
            </w:pPr>
          </w:p>
        </w:tc>
      </w:tr>
      <w:tr>
        <w:trPr>
          <w:trHeight w:val="135"/>
        </w:trPr>
        <w:tc>
          <w:tcPr>
            <w:tcW w:w="506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b w:val="1"/>
                <w:bCs w:val="1"/>
                <w:color w:val="auto"/>
              </w:rPr>
              <w:t>Due from customers on acceptances</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322,346</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528,184</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6"/>
              </w:rPr>
              <w:t>639,749</w:t>
            </w:r>
          </w:p>
        </w:tc>
        <w:tc>
          <w:tcPr>
            <w:tcW w:w="700" w:type="dxa"/>
            <w:vAlign w:val="bottom"/>
          </w:tcPr>
          <w:p>
            <w:pPr>
              <w:jc w:val="center"/>
              <w:ind w:left="222"/>
              <w:spacing w:after="0" w:line="135" w:lineRule="exact"/>
              <w:rPr>
                <w:sz w:val="20"/>
                <w:szCs w:val="20"/>
                <w:color w:val="auto"/>
              </w:rPr>
            </w:pPr>
            <w:r>
              <w:rPr>
                <w:rFonts w:ascii="Arial" w:cs="Arial" w:eastAsia="Arial" w:hAnsi="Arial"/>
                <w:sz w:val="12"/>
                <w:szCs w:val="12"/>
                <w:b w:val="1"/>
                <w:bCs w:val="1"/>
                <w:color w:val="auto"/>
                <w:w w:val="99"/>
              </w:rPr>
              <w:t>21.1%</w:t>
            </w:r>
          </w:p>
        </w:tc>
        <w:tc>
          <w:tcPr>
            <w:tcW w:w="132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b w:val="1"/>
                <w:bCs w:val="1"/>
                <w:color w:val="auto"/>
                <w:w w:val="99"/>
              </w:rPr>
              <w:t>98.5%</w:t>
            </w:r>
          </w:p>
        </w:tc>
        <w:tc>
          <w:tcPr>
            <w:tcW w:w="0" w:type="dxa"/>
            <w:vAlign w:val="bottom"/>
          </w:tcPr>
          <w:p>
            <w:pPr>
              <w:spacing w:after="0"/>
              <w:rPr>
                <w:sz w:val="1"/>
                <w:szCs w:val="1"/>
                <w:color w:val="auto"/>
              </w:rPr>
            </w:pPr>
          </w:p>
        </w:tc>
      </w:tr>
      <w:tr>
        <w:trPr>
          <w:trHeight w:val="128"/>
        </w:trPr>
        <w:tc>
          <w:tcPr>
            <w:tcW w:w="5060" w:type="dxa"/>
            <w:vAlign w:val="bottom"/>
            <w:tcBorders>
              <w:left w:val="single" w:sz="8" w:color="auto"/>
              <w:right w:val="single" w:sz="8" w:color="auto"/>
            </w:tcBorders>
          </w:tcPr>
          <w:p>
            <w:pPr>
              <w:spacing w:after="0" w:line="128" w:lineRule="exact"/>
              <w:rPr>
                <w:sz w:val="20"/>
                <w:szCs w:val="20"/>
                <w:color w:val="auto"/>
              </w:rPr>
            </w:pPr>
            <w:r>
              <w:rPr>
                <w:rFonts w:ascii="Arial" w:cs="Arial" w:eastAsia="Arial" w:hAnsi="Arial"/>
                <w:sz w:val="12"/>
                <w:szCs w:val="12"/>
                <w:b w:val="1"/>
                <w:bCs w:val="1"/>
                <w:color w:val="auto"/>
              </w:rPr>
              <w:t>Financial liabilities at fair value through profit or loss</w:t>
            </w:r>
          </w:p>
        </w:tc>
        <w:tc>
          <w:tcPr>
            <w:tcW w:w="10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w:t>
            </w:r>
          </w:p>
        </w:tc>
        <w:tc>
          <w:tcPr>
            <w:tcW w:w="10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w:t>
            </w:r>
          </w:p>
        </w:tc>
        <w:tc>
          <w:tcPr>
            <w:tcW w:w="10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6"/>
              </w:rPr>
              <w:t>367,988</w:t>
            </w:r>
          </w:p>
        </w:tc>
        <w:tc>
          <w:tcPr>
            <w:tcW w:w="700" w:type="dxa"/>
            <w:vAlign w:val="bottom"/>
          </w:tcPr>
          <w:p>
            <w:pPr>
              <w:jc w:val="center"/>
              <w:ind w:left="202"/>
              <w:spacing w:after="0" w:line="128" w:lineRule="exact"/>
              <w:rPr>
                <w:sz w:val="20"/>
                <w:szCs w:val="20"/>
                <w:color w:val="auto"/>
              </w:rPr>
            </w:pPr>
            <w:r>
              <w:rPr>
                <w:rFonts w:ascii="Arial" w:cs="Arial" w:eastAsia="Arial" w:hAnsi="Arial"/>
                <w:sz w:val="12"/>
                <w:szCs w:val="12"/>
                <w:b w:val="1"/>
                <w:bCs w:val="1"/>
                <w:color w:val="auto"/>
                <w:w w:val="96"/>
              </w:rPr>
              <w:t>n.a.</w:t>
            </w:r>
          </w:p>
        </w:tc>
        <w:tc>
          <w:tcPr>
            <w:tcW w:w="1320" w:type="dxa"/>
            <w:vAlign w:val="bottom"/>
            <w:tcBorders>
              <w:right w:val="single" w:sz="8" w:color="auto"/>
            </w:tcBorders>
          </w:tcPr>
          <w:p>
            <w:pPr>
              <w:jc w:val="center"/>
              <w:ind w:left="222"/>
              <w:spacing w:after="0" w:line="128" w:lineRule="exact"/>
              <w:rPr>
                <w:sz w:val="20"/>
                <w:szCs w:val="20"/>
                <w:color w:val="auto"/>
              </w:rPr>
            </w:pPr>
            <w:r>
              <w:rPr>
                <w:rFonts w:ascii="Arial" w:cs="Arial" w:eastAsia="Arial" w:hAnsi="Arial"/>
                <w:sz w:val="12"/>
                <w:szCs w:val="12"/>
                <w:b w:val="1"/>
                <w:bCs w:val="1"/>
                <w:color w:val="auto"/>
                <w:w w:val="96"/>
              </w:rPr>
              <w:t>n.a.</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right w:val="single" w:sz="8" w:color="auto"/>
            </w:tcBorders>
          </w:tcPr>
          <w:p>
            <w:pPr>
              <w:spacing w:after="0" w:line="142" w:lineRule="exact"/>
              <w:rPr>
                <w:sz w:val="20"/>
                <w:szCs w:val="20"/>
                <w:color w:val="auto"/>
              </w:rPr>
            </w:pPr>
            <w:r>
              <w:rPr>
                <w:rFonts w:ascii="Arial" w:cs="Arial" w:eastAsia="Arial" w:hAnsi="Arial"/>
                <w:sz w:val="10"/>
                <w:szCs w:val="10"/>
                <w:b w:val="1"/>
                <w:bCs w:val="1"/>
                <w:color w:val="auto"/>
              </w:rPr>
              <w:t xml:space="preserve">Other liabilities </w:t>
            </w:r>
            <w:r>
              <w:rPr>
                <w:rFonts w:ascii="Arial" w:cs="Arial" w:eastAsia="Arial" w:hAnsi="Arial"/>
                <w:sz w:val="16"/>
                <w:szCs w:val="16"/>
                <w:b w:val="1"/>
                <w:bCs w:val="1"/>
                <w:color w:val="auto"/>
                <w:vertAlign w:val="superscript"/>
              </w:rPr>
              <w:t>(3)</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8,792,640</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5,157,194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10,113,925</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9"/>
              </w:rPr>
              <w:t>96.1%</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9"/>
              </w:rPr>
              <w:t>15.0%</w:t>
            </w:r>
          </w:p>
        </w:tc>
        <w:tc>
          <w:tcPr>
            <w:tcW w:w="0" w:type="dxa"/>
            <w:vAlign w:val="bottom"/>
          </w:tcPr>
          <w:p>
            <w:pPr>
              <w:spacing w:after="0"/>
              <w:rPr>
                <w:sz w:val="1"/>
                <w:szCs w:val="1"/>
                <w:color w:val="auto"/>
              </w:rPr>
            </w:pPr>
          </w:p>
        </w:tc>
      </w:tr>
      <w:tr>
        <w:trPr>
          <w:trHeight w:val="160"/>
        </w:trPr>
        <w:tc>
          <w:tcPr>
            <w:tcW w:w="5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Total Liabilities</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8"/>
              </w:rPr>
              <w:t>160,999,703</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8"/>
              </w:rPr>
              <w:t>171,460,702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172,913,787</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4"/>
              </w:rPr>
              <w:t>0.8%</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4"/>
              </w:rPr>
              <w:t>7.4%</w:t>
            </w:r>
          </w:p>
        </w:tc>
        <w:tc>
          <w:tcPr>
            <w:tcW w:w="0" w:type="dxa"/>
            <w:vAlign w:val="bottom"/>
          </w:tcPr>
          <w:p>
            <w:pPr>
              <w:spacing w:after="0"/>
              <w:rPr>
                <w:sz w:val="1"/>
                <w:szCs w:val="1"/>
                <w:color w:val="auto"/>
              </w:rPr>
            </w:pPr>
          </w:p>
        </w:tc>
      </w:tr>
      <w:tr>
        <w:trPr>
          <w:trHeight w:val="315"/>
        </w:trPr>
        <w:tc>
          <w:tcPr>
            <w:tcW w:w="5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Net equity</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6"/>
              </w:rPr>
              <w:t>22,319,647</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6"/>
              </w:rPr>
              <w:t>26,011,878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22,901,866</w:t>
            </w:r>
          </w:p>
        </w:tc>
        <w:tc>
          <w:tcPr>
            <w:tcW w:w="700" w:type="dxa"/>
            <w:vAlign w:val="bottom"/>
          </w:tcPr>
          <w:p>
            <w:pPr>
              <w:jc w:val="center"/>
              <w:ind w:left="242"/>
              <w:spacing w:after="0"/>
              <w:rPr>
                <w:sz w:val="20"/>
                <w:szCs w:val="20"/>
                <w:color w:val="auto"/>
              </w:rPr>
            </w:pPr>
            <w:r>
              <w:rPr>
                <w:rFonts w:ascii="Arial" w:cs="Arial" w:eastAsia="Arial" w:hAnsi="Arial"/>
                <w:sz w:val="12"/>
                <w:szCs w:val="12"/>
                <w:b w:val="1"/>
                <w:bCs w:val="1"/>
                <w:color w:val="auto"/>
                <w:w w:val="94"/>
              </w:rPr>
              <w:t>-12.0%</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4"/>
              </w:rPr>
              <w:t>2.6%</w:t>
            </w:r>
          </w:p>
        </w:tc>
        <w:tc>
          <w:tcPr>
            <w:tcW w:w="0" w:type="dxa"/>
            <w:vAlign w:val="bottom"/>
          </w:tcPr>
          <w:p>
            <w:pPr>
              <w:spacing w:after="0"/>
              <w:rPr>
                <w:sz w:val="1"/>
                <w:szCs w:val="1"/>
                <w:color w:val="auto"/>
              </w:rPr>
            </w:pPr>
          </w:p>
        </w:tc>
      </w:tr>
      <w:tr>
        <w:trPr>
          <w:trHeight w:val="135"/>
        </w:trPr>
        <w:tc>
          <w:tcPr>
            <w:tcW w:w="5060" w:type="dxa"/>
            <w:vAlign w:val="bottom"/>
            <w:tcBorders>
              <w:left w:val="single" w:sz="8" w:color="auto"/>
              <w:right w:val="single" w:sz="8" w:color="auto"/>
            </w:tcBorders>
          </w:tcPr>
          <w:p>
            <w:pPr>
              <w:ind w:left="180"/>
              <w:spacing w:after="0" w:line="135" w:lineRule="exact"/>
              <w:rPr>
                <w:sz w:val="20"/>
                <w:szCs w:val="20"/>
                <w:color w:val="auto"/>
              </w:rPr>
            </w:pPr>
            <w:r>
              <w:rPr>
                <w:rFonts w:ascii="Arial" w:cs="Arial" w:eastAsia="Arial" w:hAnsi="Arial"/>
                <w:sz w:val="12"/>
                <w:szCs w:val="12"/>
                <w:color w:val="auto"/>
              </w:rPr>
              <w:t>Capital stock</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6"/>
              </w:rPr>
              <w:t>12,679,794</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6"/>
              </w:rPr>
              <w:t>12,679,794</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6"/>
              </w:rPr>
              <w:t>12,679,794</w:t>
            </w:r>
          </w:p>
        </w:tc>
        <w:tc>
          <w:tcPr>
            <w:tcW w:w="700" w:type="dxa"/>
            <w:vAlign w:val="bottom"/>
          </w:tcPr>
          <w:p>
            <w:pPr>
              <w:jc w:val="center"/>
              <w:ind w:left="222"/>
              <w:spacing w:after="0" w:line="135" w:lineRule="exact"/>
              <w:rPr>
                <w:sz w:val="20"/>
                <w:szCs w:val="20"/>
                <w:color w:val="auto"/>
              </w:rPr>
            </w:pPr>
            <w:r>
              <w:rPr>
                <w:rFonts w:ascii="Arial" w:cs="Arial" w:eastAsia="Arial" w:hAnsi="Arial"/>
                <w:sz w:val="12"/>
                <w:szCs w:val="12"/>
                <w:color w:val="auto"/>
                <w:w w:val="94"/>
              </w:rPr>
              <w:t>0.0%</w:t>
            </w:r>
          </w:p>
        </w:tc>
        <w:tc>
          <w:tcPr>
            <w:tcW w:w="132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color w:val="auto"/>
                <w:w w:val="94"/>
              </w:rPr>
              <w:t>0.0%</w:t>
            </w:r>
          </w:p>
        </w:tc>
        <w:tc>
          <w:tcPr>
            <w:tcW w:w="0" w:type="dxa"/>
            <w:vAlign w:val="bottom"/>
          </w:tcPr>
          <w:p>
            <w:pPr>
              <w:spacing w:after="0"/>
              <w:rPr>
                <w:sz w:val="1"/>
                <w:szCs w:val="1"/>
                <w:color w:val="auto"/>
              </w:rPr>
            </w:pPr>
          </w:p>
        </w:tc>
      </w:tr>
      <w:tr>
        <w:trPr>
          <w:trHeight w:val="135"/>
        </w:trPr>
        <w:tc>
          <w:tcPr>
            <w:tcW w:w="5060" w:type="dxa"/>
            <w:vAlign w:val="bottom"/>
            <w:tcBorders>
              <w:left w:val="single" w:sz="8" w:color="auto"/>
              <w:right w:val="single" w:sz="8" w:color="auto"/>
            </w:tcBorders>
          </w:tcPr>
          <w:p>
            <w:pPr>
              <w:ind w:left="180"/>
              <w:spacing w:after="0" w:line="135" w:lineRule="exact"/>
              <w:rPr>
                <w:sz w:val="20"/>
                <w:szCs w:val="20"/>
                <w:color w:val="auto"/>
              </w:rPr>
            </w:pPr>
            <w:r>
              <w:rPr>
                <w:rFonts w:ascii="Arial" w:cs="Arial" w:eastAsia="Arial" w:hAnsi="Arial"/>
                <w:sz w:val="12"/>
                <w:szCs w:val="12"/>
                <w:color w:val="auto"/>
              </w:rPr>
              <w:t>Reserves</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6,372,059</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5,905,440</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5,905,440</w:t>
            </w:r>
          </w:p>
        </w:tc>
        <w:tc>
          <w:tcPr>
            <w:tcW w:w="700" w:type="dxa"/>
            <w:vAlign w:val="bottom"/>
          </w:tcPr>
          <w:p>
            <w:pPr>
              <w:jc w:val="center"/>
              <w:ind w:left="222"/>
              <w:spacing w:after="0" w:line="135" w:lineRule="exact"/>
              <w:rPr>
                <w:sz w:val="20"/>
                <w:szCs w:val="20"/>
                <w:color w:val="auto"/>
              </w:rPr>
            </w:pPr>
            <w:r>
              <w:rPr>
                <w:rFonts w:ascii="Arial" w:cs="Arial" w:eastAsia="Arial" w:hAnsi="Arial"/>
                <w:sz w:val="12"/>
                <w:szCs w:val="12"/>
                <w:color w:val="auto"/>
                <w:w w:val="94"/>
              </w:rPr>
              <w:t>0.0%</w:t>
            </w:r>
          </w:p>
        </w:tc>
        <w:tc>
          <w:tcPr>
            <w:tcW w:w="132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color w:val="auto"/>
                <w:w w:val="95"/>
              </w:rPr>
              <w:t>-7.3%</w:t>
            </w:r>
          </w:p>
        </w:tc>
        <w:tc>
          <w:tcPr>
            <w:tcW w:w="0" w:type="dxa"/>
            <w:vAlign w:val="bottom"/>
          </w:tcPr>
          <w:p>
            <w:pPr>
              <w:spacing w:after="0"/>
              <w:rPr>
                <w:sz w:val="1"/>
                <w:szCs w:val="1"/>
                <w:color w:val="auto"/>
              </w:rPr>
            </w:pPr>
          </w:p>
        </w:tc>
      </w:tr>
      <w:tr>
        <w:trPr>
          <w:trHeight w:val="135"/>
        </w:trPr>
        <w:tc>
          <w:tcPr>
            <w:tcW w:w="5060" w:type="dxa"/>
            <w:vAlign w:val="bottom"/>
            <w:tcBorders>
              <w:left w:val="single" w:sz="8" w:color="auto"/>
              <w:right w:val="single" w:sz="8" w:color="auto"/>
            </w:tcBorders>
          </w:tcPr>
          <w:p>
            <w:pPr>
              <w:ind w:left="180"/>
              <w:spacing w:after="0" w:line="135" w:lineRule="exact"/>
              <w:rPr>
                <w:sz w:val="20"/>
                <w:szCs w:val="20"/>
                <w:color w:val="auto"/>
              </w:rPr>
            </w:pPr>
            <w:r>
              <w:rPr>
                <w:rFonts w:ascii="Arial" w:cs="Arial" w:eastAsia="Arial" w:hAnsi="Arial"/>
                <w:sz w:val="12"/>
                <w:szCs w:val="12"/>
                <w:color w:val="auto"/>
              </w:rPr>
              <w:t>Unrealized gains and losses</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(161,369)</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2"/>
              </w:rPr>
              <w:t>81,399</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6"/>
              </w:rPr>
              <w:t>140,002</w:t>
            </w:r>
          </w:p>
        </w:tc>
        <w:tc>
          <w:tcPr>
            <w:tcW w:w="700" w:type="dxa"/>
            <w:vAlign w:val="bottom"/>
          </w:tcPr>
          <w:p>
            <w:pPr>
              <w:jc w:val="center"/>
              <w:ind w:left="242"/>
              <w:spacing w:after="0" w:line="135" w:lineRule="exact"/>
              <w:rPr>
                <w:sz w:val="20"/>
                <w:szCs w:val="20"/>
                <w:color w:val="auto"/>
              </w:rPr>
            </w:pPr>
            <w:r>
              <w:rPr>
                <w:rFonts w:ascii="Arial" w:cs="Arial" w:eastAsia="Arial" w:hAnsi="Arial"/>
                <w:sz w:val="12"/>
                <w:szCs w:val="12"/>
                <w:color w:val="auto"/>
                <w:w w:val="93"/>
              </w:rPr>
              <w:t>72.0%</w:t>
            </w:r>
          </w:p>
        </w:tc>
        <w:tc>
          <w:tcPr>
            <w:tcW w:w="132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color w:val="auto"/>
                <w:w w:val="89"/>
              </w:rPr>
              <w:t>n.a.</w:t>
            </w:r>
          </w:p>
        </w:tc>
        <w:tc>
          <w:tcPr>
            <w:tcW w:w="0" w:type="dxa"/>
            <w:vAlign w:val="bottom"/>
          </w:tcPr>
          <w:p>
            <w:pPr>
              <w:spacing w:after="0"/>
              <w:rPr>
                <w:sz w:val="1"/>
                <w:szCs w:val="1"/>
                <w:color w:val="auto"/>
              </w:rPr>
            </w:pPr>
          </w:p>
        </w:tc>
      </w:tr>
      <w:tr>
        <w:trPr>
          <w:trHeight w:val="152"/>
        </w:trPr>
        <w:tc>
          <w:tcPr>
            <w:tcW w:w="50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2"/>
                <w:szCs w:val="12"/>
                <w:color w:val="auto"/>
              </w:rPr>
              <w:t>Retained earnings</w:t>
            </w: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3,429,163</w:t>
            </w: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7,345,245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4,176,630</w:t>
            </w:r>
          </w:p>
        </w:tc>
        <w:tc>
          <w:tcPr>
            <w:tcW w:w="700" w:type="dxa"/>
            <w:vAlign w:val="bottom"/>
          </w:tcPr>
          <w:p>
            <w:pPr>
              <w:jc w:val="center"/>
              <w:ind w:left="222"/>
              <w:spacing w:after="0"/>
              <w:rPr>
                <w:sz w:val="20"/>
                <w:szCs w:val="20"/>
                <w:color w:val="auto"/>
              </w:rPr>
            </w:pPr>
            <w:r>
              <w:rPr>
                <w:rFonts w:ascii="Arial" w:cs="Arial" w:eastAsia="Arial" w:hAnsi="Arial"/>
                <w:sz w:val="12"/>
                <w:szCs w:val="12"/>
                <w:color w:val="auto"/>
                <w:w w:val="99"/>
              </w:rPr>
              <w:t>-43.1%</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color w:val="auto"/>
                <w:w w:val="99"/>
              </w:rPr>
              <w:t>21.8%</w:t>
            </w:r>
          </w:p>
        </w:tc>
        <w:tc>
          <w:tcPr>
            <w:tcW w:w="0" w:type="dxa"/>
            <w:vAlign w:val="bottom"/>
          </w:tcPr>
          <w:p>
            <w:pPr>
              <w:spacing w:after="0"/>
              <w:rPr>
                <w:sz w:val="1"/>
                <w:szCs w:val="1"/>
                <w:color w:val="auto"/>
              </w:rPr>
            </w:pPr>
          </w:p>
        </w:tc>
      </w:tr>
      <w:tr>
        <w:trPr>
          <w:trHeight w:val="344"/>
        </w:trPr>
        <w:tc>
          <w:tcPr>
            <w:tcW w:w="5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Total Net Equity</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6"/>
              </w:rPr>
              <w:t>22,319,647</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6"/>
              </w:rPr>
              <w:t>26,011,878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22,901,866</w:t>
            </w:r>
          </w:p>
        </w:tc>
        <w:tc>
          <w:tcPr>
            <w:tcW w:w="700" w:type="dxa"/>
            <w:vAlign w:val="bottom"/>
          </w:tcPr>
          <w:p>
            <w:pPr>
              <w:jc w:val="center"/>
              <w:ind w:left="242"/>
              <w:spacing w:after="0"/>
              <w:rPr>
                <w:sz w:val="20"/>
                <w:szCs w:val="20"/>
                <w:color w:val="auto"/>
              </w:rPr>
            </w:pPr>
            <w:r>
              <w:rPr>
                <w:rFonts w:ascii="Arial" w:cs="Arial" w:eastAsia="Arial" w:hAnsi="Arial"/>
                <w:sz w:val="12"/>
                <w:szCs w:val="12"/>
                <w:b w:val="1"/>
                <w:bCs w:val="1"/>
                <w:color w:val="auto"/>
                <w:w w:val="94"/>
              </w:rPr>
              <w:t>-12.0%</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4"/>
              </w:rPr>
              <w:t>2.6%</w:t>
            </w:r>
          </w:p>
        </w:tc>
        <w:tc>
          <w:tcPr>
            <w:tcW w:w="0" w:type="dxa"/>
            <w:vAlign w:val="bottom"/>
          </w:tcPr>
          <w:p>
            <w:pPr>
              <w:spacing w:after="0"/>
              <w:rPr>
                <w:sz w:val="1"/>
                <w:szCs w:val="1"/>
                <w:color w:val="auto"/>
              </w:rPr>
            </w:pPr>
          </w:p>
        </w:tc>
      </w:tr>
      <w:tr>
        <w:trPr>
          <w:trHeight w:val="270"/>
        </w:trPr>
        <w:tc>
          <w:tcPr>
            <w:tcW w:w="5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Total liabilities and equity</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8"/>
              </w:rPr>
              <w:t>183,319,350</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8"/>
              </w:rPr>
              <w:t>197,472,580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195,815,653</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5"/>
              </w:rPr>
              <w:t>-0.8%</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4"/>
              </w:rPr>
              <w:t>6.8%</w:t>
            </w:r>
          </w:p>
        </w:tc>
        <w:tc>
          <w:tcPr>
            <w:tcW w:w="0" w:type="dxa"/>
            <w:vAlign w:val="bottom"/>
          </w:tcPr>
          <w:p>
            <w:pPr>
              <w:spacing w:after="0"/>
              <w:rPr>
                <w:sz w:val="1"/>
                <w:szCs w:val="1"/>
                <w:color w:val="auto"/>
              </w:rPr>
            </w:pPr>
          </w:p>
        </w:tc>
      </w:tr>
      <w:tr>
        <w:trPr>
          <w:trHeight w:val="315"/>
        </w:trPr>
        <w:tc>
          <w:tcPr>
            <w:tcW w:w="5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Off-balance sheet</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8"/>
              </w:rPr>
              <w:t>147,001,354</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8"/>
              </w:rPr>
              <w:t>135,041,209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133,060,043</w:t>
            </w:r>
          </w:p>
        </w:tc>
        <w:tc>
          <w:tcPr>
            <w:tcW w:w="700" w:type="dxa"/>
            <w:vAlign w:val="bottom"/>
          </w:tcPr>
          <w:p>
            <w:pPr>
              <w:jc w:val="center"/>
              <w:ind w:left="222"/>
              <w:spacing w:after="0"/>
              <w:rPr>
                <w:sz w:val="20"/>
                <w:szCs w:val="20"/>
                <w:color w:val="auto"/>
              </w:rPr>
            </w:pPr>
            <w:r>
              <w:rPr>
                <w:rFonts w:ascii="Arial" w:cs="Arial" w:eastAsia="Arial" w:hAnsi="Arial"/>
                <w:sz w:val="12"/>
                <w:szCs w:val="12"/>
                <w:b w:val="1"/>
                <w:bCs w:val="1"/>
                <w:color w:val="auto"/>
                <w:w w:val="95"/>
              </w:rPr>
              <w:t>-1.5%</w:t>
            </w:r>
          </w:p>
        </w:tc>
        <w:tc>
          <w:tcPr>
            <w:tcW w:w="1320" w:type="dxa"/>
            <w:vAlign w:val="bottom"/>
            <w:tcBorders>
              <w:right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5"/>
              </w:rPr>
              <w:t>-9.5%</w:t>
            </w:r>
          </w:p>
        </w:tc>
        <w:tc>
          <w:tcPr>
            <w:tcW w:w="0" w:type="dxa"/>
            <w:vAlign w:val="bottom"/>
          </w:tcPr>
          <w:p>
            <w:pPr>
              <w:spacing w:after="0"/>
              <w:rPr>
                <w:sz w:val="1"/>
                <w:szCs w:val="1"/>
                <w:color w:val="auto"/>
              </w:rPr>
            </w:pPr>
          </w:p>
        </w:tc>
      </w:tr>
      <w:tr>
        <w:trPr>
          <w:trHeight w:val="135"/>
        </w:trPr>
        <w:tc>
          <w:tcPr>
            <w:tcW w:w="506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Total performance bonds, stand-by and L/Cs.</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6"/>
              </w:rPr>
              <w:t>19,720,490</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6"/>
              </w:rPr>
              <w:t>21,683,478</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6"/>
              </w:rPr>
              <w:t>20,571,287</w:t>
            </w:r>
          </w:p>
        </w:tc>
        <w:tc>
          <w:tcPr>
            <w:tcW w:w="700" w:type="dxa"/>
            <w:vAlign w:val="bottom"/>
          </w:tcPr>
          <w:p>
            <w:pPr>
              <w:jc w:val="center"/>
              <w:ind w:left="222"/>
              <w:spacing w:after="0" w:line="135" w:lineRule="exact"/>
              <w:rPr>
                <w:sz w:val="20"/>
                <w:szCs w:val="20"/>
                <w:color w:val="auto"/>
              </w:rPr>
            </w:pPr>
            <w:r>
              <w:rPr>
                <w:rFonts w:ascii="Arial" w:cs="Arial" w:eastAsia="Arial" w:hAnsi="Arial"/>
                <w:sz w:val="12"/>
                <w:szCs w:val="12"/>
                <w:color w:val="auto"/>
                <w:w w:val="95"/>
              </w:rPr>
              <w:t>-5.1%</w:t>
            </w:r>
          </w:p>
        </w:tc>
        <w:tc>
          <w:tcPr>
            <w:tcW w:w="132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color w:val="auto"/>
                <w:w w:val="94"/>
              </w:rPr>
              <w:t>4.3%</w:t>
            </w:r>
          </w:p>
        </w:tc>
        <w:tc>
          <w:tcPr>
            <w:tcW w:w="0" w:type="dxa"/>
            <w:vAlign w:val="bottom"/>
          </w:tcPr>
          <w:p>
            <w:pPr>
              <w:spacing w:after="0"/>
              <w:rPr>
                <w:sz w:val="1"/>
                <w:szCs w:val="1"/>
                <w:color w:val="auto"/>
              </w:rPr>
            </w:pPr>
          </w:p>
        </w:tc>
      </w:tr>
      <w:tr>
        <w:trPr>
          <w:trHeight w:val="135"/>
        </w:trPr>
        <w:tc>
          <w:tcPr>
            <w:tcW w:w="506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Undrawn credit lines, advised but not committed</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6"/>
              </w:rPr>
              <w:t>75,957,799</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6"/>
              </w:rPr>
              <w:t>71,516,643</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6"/>
              </w:rPr>
              <w:t>69,917,928</w:t>
            </w:r>
          </w:p>
        </w:tc>
        <w:tc>
          <w:tcPr>
            <w:tcW w:w="700" w:type="dxa"/>
            <w:vAlign w:val="bottom"/>
          </w:tcPr>
          <w:p>
            <w:pPr>
              <w:jc w:val="center"/>
              <w:ind w:left="222"/>
              <w:spacing w:after="0" w:line="135" w:lineRule="exact"/>
              <w:rPr>
                <w:sz w:val="20"/>
                <w:szCs w:val="20"/>
                <w:color w:val="auto"/>
              </w:rPr>
            </w:pPr>
            <w:r>
              <w:rPr>
                <w:rFonts w:ascii="Arial" w:cs="Arial" w:eastAsia="Arial" w:hAnsi="Arial"/>
                <w:sz w:val="12"/>
                <w:szCs w:val="12"/>
                <w:color w:val="auto"/>
                <w:w w:val="95"/>
              </w:rPr>
              <w:t>-2.2%</w:t>
            </w:r>
          </w:p>
        </w:tc>
        <w:tc>
          <w:tcPr>
            <w:tcW w:w="1320" w:type="dxa"/>
            <w:vAlign w:val="bottom"/>
            <w:tcBorders>
              <w:right w:val="single" w:sz="8" w:color="auto"/>
            </w:tcBorders>
          </w:tcPr>
          <w:p>
            <w:pPr>
              <w:jc w:val="center"/>
              <w:ind w:left="242"/>
              <w:spacing w:after="0" w:line="135" w:lineRule="exact"/>
              <w:rPr>
                <w:sz w:val="20"/>
                <w:szCs w:val="20"/>
                <w:color w:val="auto"/>
              </w:rPr>
            </w:pPr>
            <w:r>
              <w:rPr>
                <w:rFonts w:ascii="Arial" w:cs="Arial" w:eastAsia="Arial" w:hAnsi="Arial"/>
                <w:sz w:val="12"/>
                <w:szCs w:val="12"/>
                <w:color w:val="auto"/>
                <w:w w:val="95"/>
              </w:rPr>
              <w:t>-8.0%</w:t>
            </w:r>
          </w:p>
        </w:tc>
        <w:tc>
          <w:tcPr>
            <w:tcW w:w="0" w:type="dxa"/>
            <w:vAlign w:val="bottom"/>
          </w:tcPr>
          <w:p>
            <w:pPr>
              <w:spacing w:after="0"/>
              <w:rPr>
                <w:sz w:val="1"/>
                <w:szCs w:val="1"/>
                <w:color w:val="auto"/>
              </w:rPr>
            </w:pPr>
          </w:p>
        </w:tc>
      </w:tr>
      <w:tr>
        <w:trPr>
          <w:trHeight w:val="143"/>
        </w:trPr>
        <w:tc>
          <w:tcPr>
            <w:tcW w:w="50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Total derivatives (notional) and others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51,323,065</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41,841,088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42,570,828</w:t>
            </w:r>
          </w:p>
        </w:tc>
        <w:tc>
          <w:tcPr>
            <w:tcW w:w="700" w:type="dxa"/>
            <w:vAlign w:val="bottom"/>
            <w:tcBorders>
              <w:bottom w:val="single" w:sz="8" w:color="auto"/>
            </w:tcBorders>
          </w:tcPr>
          <w:p>
            <w:pPr>
              <w:jc w:val="center"/>
              <w:ind w:left="222"/>
              <w:spacing w:after="0"/>
              <w:rPr>
                <w:sz w:val="20"/>
                <w:szCs w:val="20"/>
                <w:color w:val="auto"/>
              </w:rPr>
            </w:pPr>
            <w:r>
              <w:rPr>
                <w:rFonts w:ascii="Arial" w:cs="Arial" w:eastAsia="Arial" w:hAnsi="Arial"/>
                <w:sz w:val="12"/>
                <w:szCs w:val="12"/>
                <w:color w:val="auto"/>
                <w:w w:val="94"/>
              </w:rPr>
              <w:t>1.7%</w:t>
            </w:r>
          </w:p>
        </w:tc>
        <w:tc>
          <w:tcPr>
            <w:tcW w:w="1320" w:type="dxa"/>
            <w:vAlign w:val="bottom"/>
            <w:tcBorders>
              <w:bottom w:val="single" w:sz="8" w:color="auto"/>
              <w:right w:val="single" w:sz="8" w:color="auto"/>
            </w:tcBorders>
          </w:tcPr>
          <w:p>
            <w:pPr>
              <w:jc w:val="center"/>
              <w:ind w:left="242"/>
              <w:spacing w:after="0"/>
              <w:rPr>
                <w:sz w:val="20"/>
                <w:szCs w:val="20"/>
                <w:color w:val="auto"/>
              </w:rPr>
            </w:pPr>
            <w:r>
              <w:rPr>
                <w:rFonts w:ascii="Arial" w:cs="Arial" w:eastAsia="Arial" w:hAnsi="Arial"/>
                <w:sz w:val="12"/>
                <w:szCs w:val="12"/>
                <w:color w:val="auto"/>
                <w:w w:val="99"/>
              </w:rPr>
              <w:t>-17.1%</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240" w:hanging="260"/>
        <w:spacing w:after="0"/>
        <w:tabs>
          <w:tab w:leader="none" w:pos="12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Right of use asset of lease contracts is included by application of IFRS 16.</w:t>
      </w:r>
    </w:p>
    <w:p>
      <w:pPr>
        <w:spacing w:after="0" w:line="7" w:lineRule="exact"/>
        <w:rPr>
          <w:rFonts w:ascii="Arial" w:cs="Arial" w:eastAsia="Arial" w:hAnsi="Arial"/>
          <w:sz w:val="12"/>
          <w:szCs w:val="12"/>
          <w:color w:val="auto"/>
        </w:rPr>
      </w:pPr>
    </w:p>
    <w:p>
      <w:pPr>
        <w:ind w:left="1240" w:hanging="260"/>
        <w:spacing w:after="0" w:line="234" w:lineRule="auto"/>
        <w:tabs>
          <w:tab w:leader="none" w:pos="12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Mainly includes intangible assets, other receivable accounts, trading derivatives receivable accounts and tax credit</w:t>
      </w:r>
    </w:p>
    <w:p>
      <w:pPr>
        <w:ind w:left="1240" w:hanging="260"/>
        <w:spacing w:after="0"/>
        <w:tabs>
          <w:tab w:leader="none" w:pos="12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Mainly includes other payable accounts, trading derivatives payable accounts and taxes for payable.</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6" w:name="page67"/>
    <w:bookmarkEnd w:id="66"/>
    <w:p>
      <w:pPr>
        <w:ind w:left="2540"/>
        <w:spacing w:after="0"/>
        <w:tabs>
          <w:tab w:leader="none" w:pos="2780" w:val="left"/>
          <w:tab w:leader="none" w:pos="744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-141605</wp:posOffset>
            </wp:positionV>
            <wp:extent cx="713232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3"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Banco de Credito del Peru</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Statement of Income</w:t>
      </w:r>
    </w:p>
    <w:p>
      <w:pPr>
        <w:spacing w:after="0" w:line="5"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(S/ Thousands, IFRS)</w:t>
      </w:r>
    </w:p>
    <w:p>
      <w:pPr>
        <w:spacing w:after="0" w:line="3" w:lineRule="exact"/>
        <w:rPr>
          <w:sz w:val="20"/>
          <w:szCs w:val="20"/>
          <w:color w:val="auto"/>
        </w:rPr>
      </w:pPr>
    </w:p>
    <w:tbl>
      <w:tblPr>
        <w:tblLayout w:type="fixed"/>
        <w:tblInd w:w="130" w:type="dxa"/>
        <w:tblCellMar>
          <w:top w:w="0" w:type="dxa"/>
          <w:left w:w="0" w:type="dxa"/>
          <w:bottom w:w="0" w:type="dxa"/>
          <w:right w:w="0" w:type="dxa"/>
        </w:tblCellMar>
      </w:tblPr>
      <w:tr>
        <w:trPr>
          <w:trHeight w:val="102"/>
        </w:trPr>
        <w:tc>
          <w:tcPr>
            <w:tcW w:w="5700" w:type="dxa"/>
            <w:vAlign w:val="bottom"/>
            <w:tcBorders>
              <w:top w:val="single" w:sz="8" w:color="auto"/>
              <w:left w:val="single" w:sz="8" w:color="auto"/>
              <w:right w:val="single" w:sz="8" w:color="auto"/>
            </w:tcBorders>
            <w:shd w:val="clear" w:color="auto" w:fill="2AD2C8"/>
          </w:tcPr>
          <w:p>
            <w:pPr>
              <w:spacing w:after="0"/>
              <w:rPr>
                <w:sz w:val="8"/>
                <w:szCs w:val="8"/>
                <w:color w:val="auto"/>
              </w:rPr>
            </w:pPr>
          </w:p>
        </w:tc>
        <w:tc>
          <w:tcPr>
            <w:tcW w:w="960" w:type="dxa"/>
            <w:vAlign w:val="bottom"/>
            <w:tcBorders>
              <w:top w:val="single" w:sz="8" w:color="auto"/>
            </w:tcBorders>
            <w:shd w:val="clear" w:color="auto" w:fill="2AD2C8"/>
          </w:tcPr>
          <w:p>
            <w:pPr>
              <w:spacing w:after="0"/>
              <w:rPr>
                <w:sz w:val="8"/>
                <w:szCs w:val="8"/>
                <w:color w:val="auto"/>
              </w:rPr>
            </w:pPr>
          </w:p>
        </w:tc>
        <w:tc>
          <w:tcPr>
            <w:tcW w:w="960" w:type="dxa"/>
            <w:vAlign w:val="bottom"/>
            <w:tcBorders>
              <w:top w:val="single" w:sz="8" w:color="auto"/>
            </w:tcBorders>
            <w:shd w:val="clear" w:color="auto" w:fill="2AD2C8"/>
          </w:tcPr>
          <w:p>
            <w:pPr>
              <w:ind w:left="280"/>
              <w:spacing w:after="0" w:line="102" w:lineRule="exact"/>
              <w:rPr>
                <w:sz w:val="20"/>
                <w:szCs w:val="20"/>
                <w:color w:val="auto"/>
              </w:rPr>
            </w:pPr>
            <w:r>
              <w:rPr>
                <w:rFonts w:ascii="Arial" w:cs="Arial" w:eastAsia="Arial" w:hAnsi="Arial"/>
                <w:sz w:val="11"/>
                <w:szCs w:val="11"/>
                <w:b w:val="1"/>
                <w:bCs w:val="1"/>
                <w:color w:val="FFFFFF"/>
              </w:rPr>
              <w:t>Quarter</w:t>
            </w:r>
          </w:p>
        </w:tc>
        <w:tc>
          <w:tcPr>
            <w:tcW w:w="1000" w:type="dxa"/>
            <w:vAlign w:val="bottom"/>
            <w:tcBorders>
              <w:top w:val="single" w:sz="8" w:color="auto"/>
              <w:right w:val="single" w:sz="8" w:color="auto"/>
            </w:tcBorders>
            <w:shd w:val="clear" w:color="auto" w:fill="2AD2C8"/>
          </w:tcPr>
          <w:p>
            <w:pPr>
              <w:spacing w:after="0"/>
              <w:rPr>
                <w:sz w:val="8"/>
                <w:szCs w:val="8"/>
                <w:color w:val="auto"/>
              </w:rPr>
            </w:pPr>
          </w:p>
        </w:tc>
        <w:tc>
          <w:tcPr>
            <w:tcW w:w="720" w:type="dxa"/>
            <w:vAlign w:val="bottom"/>
            <w:tcBorders>
              <w:top w:val="single" w:sz="8" w:color="auto"/>
            </w:tcBorders>
            <w:shd w:val="clear" w:color="auto" w:fill="2AD2C8"/>
          </w:tcPr>
          <w:p>
            <w:pPr>
              <w:spacing w:after="0"/>
              <w:rPr>
                <w:sz w:val="8"/>
                <w:szCs w:val="8"/>
                <w:color w:val="auto"/>
              </w:rPr>
            </w:pPr>
          </w:p>
        </w:tc>
        <w:tc>
          <w:tcPr>
            <w:tcW w:w="1320" w:type="dxa"/>
            <w:vAlign w:val="bottom"/>
            <w:tcBorders>
              <w:top w:val="single" w:sz="8" w:color="auto"/>
              <w:right w:val="single" w:sz="8" w:color="auto"/>
            </w:tcBorders>
            <w:shd w:val="clear" w:color="auto" w:fill="2AD2C8"/>
          </w:tcPr>
          <w:p>
            <w:pPr>
              <w:ind w:left="40"/>
              <w:spacing w:after="0" w:line="102" w:lineRule="exact"/>
              <w:rPr>
                <w:sz w:val="20"/>
                <w:szCs w:val="20"/>
                <w:color w:val="auto"/>
              </w:rPr>
            </w:pPr>
            <w:r>
              <w:rPr>
                <w:rFonts w:ascii="Arial" w:cs="Arial" w:eastAsia="Arial" w:hAnsi="Arial"/>
                <w:sz w:val="11"/>
                <w:szCs w:val="11"/>
                <w:b w:val="1"/>
                <w:bCs w:val="1"/>
                <w:color w:val="FFFFFF"/>
              </w:rPr>
              <w:t>% change</w:t>
            </w:r>
          </w:p>
        </w:tc>
      </w:tr>
      <w:tr>
        <w:trPr>
          <w:trHeight w:val="135"/>
        </w:trPr>
        <w:tc>
          <w:tcPr>
            <w:tcW w:w="5700" w:type="dxa"/>
            <w:vAlign w:val="bottom"/>
            <w:tcBorders>
              <w:left w:val="single" w:sz="8" w:color="auto"/>
              <w:bottom w:val="single" w:sz="8" w:color="auto"/>
              <w:right w:val="single" w:sz="8" w:color="auto"/>
            </w:tcBorders>
            <w:shd w:val="clear" w:color="auto" w:fill="2AD2C8"/>
          </w:tcPr>
          <w:p>
            <w:pPr>
              <w:spacing w:after="0"/>
              <w:rPr>
                <w:sz w:val="11"/>
                <w:szCs w:val="11"/>
                <w:color w:val="auto"/>
              </w:rPr>
            </w:pPr>
          </w:p>
        </w:tc>
        <w:tc>
          <w:tcPr>
            <w:tcW w:w="96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1"/>
                <w:szCs w:val="11"/>
                <w:b w:val="1"/>
                <w:bCs w:val="1"/>
                <w:color w:val="FFFFFF"/>
                <w:w w:val="96"/>
              </w:rPr>
              <w:t>1Q24</w:t>
            </w:r>
          </w:p>
        </w:tc>
        <w:tc>
          <w:tcPr>
            <w:tcW w:w="96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1"/>
                <w:szCs w:val="11"/>
                <w:b w:val="1"/>
                <w:bCs w:val="1"/>
                <w:color w:val="FFFFFF"/>
              </w:rPr>
              <w:t>4Q24</w:t>
            </w:r>
          </w:p>
        </w:tc>
        <w:tc>
          <w:tcPr>
            <w:tcW w:w="100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1"/>
                <w:szCs w:val="11"/>
                <w:b w:val="1"/>
                <w:bCs w:val="1"/>
                <w:color w:val="FFFFFF"/>
                <w:w w:val="96"/>
              </w:rPr>
              <w:t>1Q25</w:t>
            </w:r>
          </w:p>
        </w:tc>
        <w:tc>
          <w:tcPr>
            <w:tcW w:w="720" w:type="dxa"/>
            <w:vAlign w:val="bottom"/>
            <w:tcBorders>
              <w:bottom w:val="single" w:sz="8" w:color="auto"/>
            </w:tcBorders>
            <w:shd w:val="clear" w:color="auto" w:fill="2AD2C8"/>
          </w:tcPr>
          <w:p>
            <w:pPr>
              <w:jc w:val="center"/>
              <w:ind w:left="206"/>
              <w:spacing w:after="0"/>
              <w:rPr>
                <w:sz w:val="20"/>
                <w:szCs w:val="20"/>
                <w:color w:val="auto"/>
              </w:rPr>
            </w:pPr>
            <w:r>
              <w:rPr>
                <w:rFonts w:ascii="Arial" w:cs="Arial" w:eastAsia="Arial" w:hAnsi="Arial"/>
                <w:sz w:val="11"/>
                <w:szCs w:val="11"/>
                <w:color w:val="FFFFFF"/>
                <w:w w:val="94"/>
              </w:rPr>
              <w:t>QoQ</w:t>
            </w:r>
          </w:p>
        </w:tc>
        <w:tc>
          <w:tcPr>
            <w:tcW w:w="1320" w:type="dxa"/>
            <w:vAlign w:val="bottom"/>
            <w:tcBorders>
              <w:bottom w:val="single" w:sz="8" w:color="auto"/>
              <w:right w:val="single" w:sz="8" w:color="auto"/>
            </w:tcBorders>
            <w:shd w:val="clear" w:color="auto" w:fill="2AD2C8"/>
          </w:tcPr>
          <w:p>
            <w:pPr>
              <w:jc w:val="center"/>
              <w:ind w:left="206"/>
              <w:spacing w:after="0"/>
              <w:rPr>
                <w:sz w:val="20"/>
                <w:szCs w:val="20"/>
                <w:color w:val="auto"/>
              </w:rPr>
            </w:pPr>
            <w:r>
              <w:rPr>
                <w:rFonts w:ascii="Arial" w:cs="Arial" w:eastAsia="Arial" w:hAnsi="Arial"/>
                <w:sz w:val="11"/>
                <w:szCs w:val="11"/>
                <w:color w:val="FFFFFF"/>
                <w:w w:val="86"/>
              </w:rPr>
              <w:t>YoY</w:t>
            </w:r>
          </w:p>
        </w:tc>
      </w:tr>
      <w:tr>
        <w:trPr>
          <w:trHeight w:val="141"/>
        </w:trPr>
        <w:tc>
          <w:tcPr>
            <w:tcW w:w="5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Interest income and expense</w:t>
            </w: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54"/>
        </w:trPr>
        <w:tc>
          <w:tcPr>
            <w:tcW w:w="5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Interest and similar income</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3,522,708</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3,639,485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3,519,001</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rPr>
              <w:t>-3.3%</w:t>
            </w:r>
          </w:p>
        </w:tc>
        <w:tc>
          <w:tcPr>
            <w:tcW w:w="13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rPr>
              <w:t>-0.1%</w:t>
            </w:r>
          </w:p>
        </w:tc>
      </w:tr>
      <w:tr>
        <w:trPr>
          <w:trHeight w:val="130"/>
        </w:trPr>
        <w:tc>
          <w:tcPr>
            <w:tcW w:w="570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0"/>
                <w:szCs w:val="10"/>
                <w:color w:val="auto"/>
              </w:rPr>
              <w:t xml:space="preserve">Interest and similar expenses </w:t>
            </w:r>
            <w:r>
              <w:rPr>
                <w:rFonts w:ascii="Arial" w:cs="Arial" w:eastAsia="Arial" w:hAnsi="Arial"/>
                <w:sz w:val="15"/>
                <w:szCs w:val="15"/>
                <w:color w:val="auto"/>
                <w:vertAlign w:val="superscript"/>
              </w:rPr>
              <w:t>(1)</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(911,699)</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(857,707)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(814,465)</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rPr>
              <w:t>-5.0%</w:t>
            </w:r>
          </w:p>
        </w:tc>
        <w:tc>
          <w:tcPr>
            <w:tcW w:w="13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-10.7%</w:t>
            </w:r>
          </w:p>
        </w:tc>
      </w:tr>
      <w:tr>
        <w:trPr>
          <w:trHeight w:val="148"/>
        </w:trPr>
        <w:tc>
          <w:tcPr>
            <w:tcW w:w="5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b w:val="1"/>
                <w:bCs w:val="1"/>
                <w:color w:val="auto"/>
              </w:rPr>
              <w:t>Interest income and expense</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3"/>
              </w:rPr>
              <w:t>2,611,009</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7"/>
              </w:rPr>
              <w:t>2,781,778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2,704,536</w:t>
            </w:r>
          </w:p>
        </w:tc>
        <w:tc>
          <w:tcPr>
            <w:tcW w:w="720" w:type="dxa"/>
            <w:vAlign w:val="bottom"/>
          </w:tcPr>
          <w:p>
            <w:pPr>
              <w:jc w:val="center"/>
              <w:ind w:left="206"/>
              <w:spacing w:after="0"/>
              <w:rPr>
                <w:sz w:val="20"/>
                <w:szCs w:val="20"/>
                <w:color w:val="auto"/>
              </w:rPr>
            </w:pPr>
            <w:r>
              <w:rPr>
                <w:rFonts w:ascii="Arial" w:cs="Arial" w:eastAsia="Arial" w:hAnsi="Arial"/>
                <w:sz w:val="11"/>
                <w:szCs w:val="11"/>
                <w:b w:val="1"/>
                <w:bCs w:val="1"/>
                <w:color w:val="auto"/>
              </w:rPr>
              <w:t>-2.8%</w:t>
            </w:r>
          </w:p>
        </w:tc>
        <w:tc>
          <w:tcPr>
            <w:tcW w:w="13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rPr>
              <w:t>3.6%</w:t>
            </w:r>
          </w:p>
        </w:tc>
      </w:tr>
      <w:tr>
        <w:trPr>
          <w:trHeight w:val="217"/>
        </w:trPr>
        <w:tc>
          <w:tcPr>
            <w:tcW w:w="5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Provision for credit losses on loan portfolio</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(657,384)</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(616,654)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(467,002)</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w w:val="97"/>
              </w:rPr>
              <w:t>-24.3%</w:t>
            </w:r>
          </w:p>
        </w:tc>
        <w:tc>
          <w:tcPr>
            <w:tcW w:w="13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7"/>
              </w:rPr>
              <w:t>-29.0%</w:t>
            </w:r>
          </w:p>
        </w:tc>
      </w:tr>
      <w:tr>
        <w:trPr>
          <w:trHeight w:val="122"/>
        </w:trPr>
        <w:tc>
          <w:tcPr>
            <w:tcW w:w="570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Recoveries of written-off loans</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rPr>
              <w:t>55,320</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4"/>
              </w:rPr>
              <w:t>80,396</w:t>
            </w:r>
          </w:p>
        </w:tc>
        <w:tc>
          <w:tcPr>
            <w:tcW w:w="10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84,839</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rPr>
              <w:t>5.5%</w:t>
            </w:r>
          </w:p>
        </w:tc>
        <w:tc>
          <w:tcPr>
            <w:tcW w:w="132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6"/>
              </w:rPr>
              <w:t>53.4%</w:t>
            </w:r>
          </w:p>
        </w:tc>
      </w:tr>
      <w:tr>
        <w:trPr>
          <w:trHeight w:val="148"/>
        </w:trPr>
        <w:tc>
          <w:tcPr>
            <w:tcW w:w="5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Provision for credit losses on loan portfolio, net of recoveries</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7"/>
              </w:rPr>
              <w:t>(602,064)</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7"/>
              </w:rPr>
              <w:t>(536,258)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(382,163)</w:t>
            </w:r>
          </w:p>
        </w:tc>
        <w:tc>
          <w:tcPr>
            <w:tcW w:w="720" w:type="dxa"/>
            <w:vAlign w:val="bottom"/>
          </w:tcPr>
          <w:p>
            <w:pPr>
              <w:jc w:val="center"/>
              <w:ind w:left="206"/>
              <w:spacing w:after="0"/>
              <w:rPr>
                <w:sz w:val="20"/>
                <w:szCs w:val="20"/>
                <w:color w:val="auto"/>
              </w:rPr>
            </w:pPr>
            <w:r>
              <w:rPr>
                <w:rFonts w:ascii="Arial" w:cs="Arial" w:eastAsia="Arial" w:hAnsi="Arial"/>
                <w:sz w:val="11"/>
                <w:szCs w:val="11"/>
                <w:b w:val="1"/>
                <w:bCs w:val="1"/>
                <w:color w:val="auto"/>
                <w:w w:val="97"/>
              </w:rPr>
              <w:t>-28.7%</w:t>
            </w:r>
          </w:p>
        </w:tc>
        <w:tc>
          <w:tcPr>
            <w:tcW w:w="13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7"/>
              </w:rPr>
              <w:t>-36.5%</w:t>
            </w:r>
          </w:p>
        </w:tc>
      </w:tr>
      <w:tr>
        <w:trPr>
          <w:trHeight w:val="243"/>
        </w:trPr>
        <w:tc>
          <w:tcPr>
            <w:tcW w:w="5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Net interest, similar income and expenses, after provision for credit losses on loan portfolio</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7"/>
              </w:rPr>
              <w:t>2,008,945</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7"/>
              </w:rPr>
              <w:t>2,245,520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2,322,373</w:t>
            </w:r>
          </w:p>
        </w:tc>
        <w:tc>
          <w:tcPr>
            <w:tcW w:w="720" w:type="dxa"/>
            <w:vAlign w:val="bottom"/>
          </w:tcPr>
          <w:p>
            <w:pPr>
              <w:jc w:val="center"/>
              <w:ind w:left="206"/>
              <w:spacing w:after="0"/>
              <w:rPr>
                <w:sz w:val="20"/>
                <w:szCs w:val="20"/>
                <w:color w:val="auto"/>
              </w:rPr>
            </w:pPr>
            <w:r>
              <w:rPr>
                <w:rFonts w:ascii="Arial" w:cs="Arial" w:eastAsia="Arial" w:hAnsi="Arial"/>
                <w:sz w:val="11"/>
                <w:szCs w:val="11"/>
                <w:b w:val="1"/>
                <w:bCs w:val="1"/>
                <w:color w:val="auto"/>
              </w:rPr>
              <w:t>3.4%</w:t>
            </w:r>
          </w:p>
        </w:tc>
        <w:tc>
          <w:tcPr>
            <w:tcW w:w="13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6"/>
              </w:rPr>
              <w:t>15.6%</w:t>
            </w:r>
          </w:p>
        </w:tc>
      </w:tr>
      <w:tr>
        <w:trPr>
          <w:trHeight w:val="217"/>
        </w:trPr>
        <w:tc>
          <w:tcPr>
            <w:tcW w:w="5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Other income</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122"/>
        </w:trPr>
        <w:tc>
          <w:tcPr>
            <w:tcW w:w="570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1"/>
                <w:szCs w:val="11"/>
                <w:color w:val="auto"/>
              </w:rPr>
              <w:t>Fee income</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5"/>
              </w:rPr>
              <w:t>704,628</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rPr>
              <w:t>809,060</w:t>
            </w:r>
          </w:p>
        </w:tc>
        <w:tc>
          <w:tcPr>
            <w:tcW w:w="10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831,427</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rPr>
              <w:t>2.8%</w:t>
            </w:r>
          </w:p>
        </w:tc>
        <w:tc>
          <w:tcPr>
            <w:tcW w:w="132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6"/>
              </w:rPr>
              <w:t>18.0%</w:t>
            </w:r>
          </w:p>
        </w:tc>
      </w:tr>
      <w:tr>
        <w:trPr>
          <w:trHeight w:val="122"/>
        </w:trPr>
        <w:tc>
          <w:tcPr>
            <w:tcW w:w="570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Net gain on foreign exchange transactions</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5"/>
              </w:rPr>
              <w:t>259,059</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5"/>
              </w:rPr>
              <w:t>311,657</w:t>
            </w:r>
          </w:p>
        </w:tc>
        <w:tc>
          <w:tcPr>
            <w:tcW w:w="10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303,693</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rPr>
              <w:t>-2.6%</w:t>
            </w:r>
          </w:p>
        </w:tc>
        <w:tc>
          <w:tcPr>
            <w:tcW w:w="132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6"/>
              </w:rPr>
              <w:t>17.2%</w:t>
            </w:r>
          </w:p>
        </w:tc>
      </w:tr>
      <w:tr>
        <w:trPr>
          <w:trHeight w:val="121"/>
        </w:trPr>
        <w:tc>
          <w:tcPr>
            <w:tcW w:w="570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Net gain on securities</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rPr>
              <w:t>77,981</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4"/>
              </w:rPr>
              <w:t>88,641</w:t>
            </w:r>
          </w:p>
        </w:tc>
        <w:tc>
          <w:tcPr>
            <w:tcW w:w="10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100,397</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6"/>
              </w:rPr>
              <w:t>13.3%</w:t>
            </w:r>
          </w:p>
        </w:tc>
        <w:tc>
          <w:tcPr>
            <w:tcW w:w="132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6"/>
              </w:rPr>
              <w:t>28.7%</w:t>
            </w:r>
          </w:p>
        </w:tc>
      </w:tr>
      <w:tr>
        <w:trPr>
          <w:trHeight w:val="122"/>
        </w:trPr>
        <w:tc>
          <w:tcPr>
            <w:tcW w:w="570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Net gain (loss) from associates</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rPr>
              <w:t>(535)</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7"/>
              </w:rPr>
              <w:t>88</w:t>
            </w:r>
          </w:p>
        </w:tc>
        <w:tc>
          <w:tcPr>
            <w:tcW w:w="10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1,509</w:t>
            </w:r>
          </w:p>
        </w:tc>
        <w:tc>
          <w:tcPr>
            <w:tcW w:w="720" w:type="dxa"/>
            <w:vAlign w:val="bottom"/>
          </w:tcPr>
          <w:p>
            <w:pPr>
              <w:jc w:val="center"/>
              <w:ind w:left="166"/>
              <w:spacing w:after="0" w:line="122" w:lineRule="exact"/>
              <w:rPr>
                <w:sz w:val="20"/>
                <w:szCs w:val="20"/>
                <w:color w:val="auto"/>
              </w:rPr>
            </w:pPr>
            <w:r>
              <w:rPr>
                <w:rFonts w:ascii="Arial" w:cs="Arial" w:eastAsia="Arial" w:hAnsi="Arial"/>
                <w:sz w:val="11"/>
                <w:szCs w:val="11"/>
                <w:color w:val="auto"/>
                <w:w w:val="97"/>
              </w:rPr>
              <w:t>n.a.</w:t>
            </w:r>
          </w:p>
        </w:tc>
        <w:tc>
          <w:tcPr>
            <w:tcW w:w="1320" w:type="dxa"/>
            <w:vAlign w:val="bottom"/>
            <w:tcBorders>
              <w:right w:val="single" w:sz="8" w:color="auto"/>
            </w:tcBorders>
          </w:tcPr>
          <w:p>
            <w:pPr>
              <w:jc w:val="center"/>
              <w:ind w:left="246"/>
              <w:spacing w:after="0" w:line="122" w:lineRule="exact"/>
              <w:rPr>
                <w:sz w:val="20"/>
                <w:szCs w:val="20"/>
                <w:color w:val="auto"/>
              </w:rPr>
            </w:pPr>
            <w:r>
              <w:rPr>
                <w:rFonts w:ascii="Arial" w:cs="Arial" w:eastAsia="Arial" w:hAnsi="Arial"/>
                <w:sz w:val="11"/>
                <w:szCs w:val="11"/>
                <w:color w:val="auto"/>
                <w:w w:val="97"/>
              </w:rPr>
              <w:t>n.a.</w:t>
            </w:r>
          </w:p>
        </w:tc>
      </w:tr>
      <w:tr>
        <w:trPr>
          <w:trHeight w:val="122"/>
        </w:trPr>
        <w:tc>
          <w:tcPr>
            <w:tcW w:w="570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Net gain on derivatives held for trading</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rPr>
              <w:t>18,725</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4"/>
              </w:rPr>
              <w:t>23,551</w:t>
            </w:r>
          </w:p>
        </w:tc>
        <w:tc>
          <w:tcPr>
            <w:tcW w:w="10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13,752</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7"/>
              </w:rPr>
              <w:t>-41.6%</w:t>
            </w:r>
          </w:p>
        </w:tc>
        <w:tc>
          <w:tcPr>
            <w:tcW w:w="132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7"/>
              </w:rPr>
              <w:t>-26.6%</w:t>
            </w:r>
          </w:p>
        </w:tc>
      </w:tr>
      <w:tr>
        <w:trPr>
          <w:trHeight w:val="122"/>
        </w:trPr>
        <w:tc>
          <w:tcPr>
            <w:tcW w:w="570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Net loss (gain) from exchange differences</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4"/>
              </w:rPr>
              <w:t>8,988</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7"/>
              </w:rPr>
              <w:t>(1,525)</w:t>
            </w:r>
          </w:p>
        </w:tc>
        <w:tc>
          <w:tcPr>
            <w:tcW w:w="10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1,549</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7"/>
              </w:rPr>
              <w:t>n.a.</w:t>
            </w:r>
          </w:p>
        </w:tc>
        <w:tc>
          <w:tcPr>
            <w:tcW w:w="132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7"/>
              </w:rPr>
              <w:t>-82.8%</w:t>
            </w:r>
          </w:p>
        </w:tc>
      </w:tr>
      <w:tr>
        <w:trPr>
          <w:trHeight w:val="122"/>
        </w:trPr>
        <w:tc>
          <w:tcPr>
            <w:tcW w:w="570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b w:val="1"/>
                <w:bCs w:val="1"/>
                <w:color w:val="auto"/>
              </w:rPr>
              <w:t>Others</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rPr>
              <w:t>44,339</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4"/>
              </w:rPr>
              <w:t>94,340</w:t>
            </w:r>
          </w:p>
        </w:tc>
        <w:tc>
          <w:tcPr>
            <w:tcW w:w="10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23,180</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7"/>
              </w:rPr>
              <w:t>-75.4%</w:t>
            </w:r>
          </w:p>
        </w:tc>
        <w:tc>
          <w:tcPr>
            <w:tcW w:w="132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7"/>
              </w:rPr>
              <w:t>-47.7%</w:t>
            </w:r>
          </w:p>
        </w:tc>
      </w:tr>
      <w:tr>
        <w:trPr>
          <w:trHeight w:val="148"/>
        </w:trPr>
        <w:tc>
          <w:tcPr>
            <w:tcW w:w="5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Total other income</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3"/>
              </w:rPr>
              <w:t>1,113,185</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7"/>
              </w:rPr>
              <w:t>1,325,812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1,275,507</w:t>
            </w:r>
          </w:p>
        </w:tc>
        <w:tc>
          <w:tcPr>
            <w:tcW w:w="720" w:type="dxa"/>
            <w:vAlign w:val="bottom"/>
          </w:tcPr>
          <w:p>
            <w:pPr>
              <w:jc w:val="center"/>
              <w:ind w:left="206"/>
              <w:spacing w:after="0"/>
              <w:rPr>
                <w:sz w:val="20"/>
                <w:szCs w:val="20"/>
                <w:color w:val="auto"/>
              </w:rPr>
            </w:pPr>
            <w:r>
              <w:rPr>
                <w:rFonts w:ascii="Arial" w:cs="Arial" w:eastAsia="Arial" w:hAnsi="Arial"/>
                <w:sz w:val="11"/>
                <w:szCs w:val="11"/>
                <w:b w:val="1"/>
                <w:bCs w:val="1"/>
                <w:color w:val="auto"/>
              </w:rPr>
              <w:t>-3.8%</w:t>
            </w:r>
          </w:p>
        </w:tc>
        <w:tc>
          <w:tcPr>
            <w:tcW w:w="13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6"/>
              </w:rPr>
              <w:t>14.6%</w:t>
            </w:r>
          </w:p>
        </w:tc>
      </w:tr>
      <w:tr>
        <w:trPr>
          <w:trHeight w:val="217"/>
        </w:trPr>
        <w:tc>
          <w:tcPr>
            <w:tcW w:w="5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Total expenses</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122"/>
        </w:trPr>
        <w:tc>
          <w:tcPr>
            <w:tcW w:w="570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1"/>
                <w:szCs w:val="11"/>
                <w:color w:val="auto"/>
              </w:rPr>
              <w:t>Salaries and employee benefits</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7"/>
              </w:rPr>
              <w:t>(588,744)</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7"/>
              </w:rPr>
              <w:t>(762,850)</w:t>
            </w:r>
          </w:p>
        </w:tc>
        <w:tc>
          <w:tcPr>
            <w:tcW w:w="10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(745,935)</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rPr>
              <w:t>-2.2%</w:t>
            </w:r>
          </w:p>
        </w:tc>
        <w:tc>
          <w:tcPr>
            <w:tcW w:w="132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6"/>
              </w:rPr>
              <w:t>26.7%</w:t>
            </w:r>
          </w:p>
        </w:tc>
      </w:tr>
      <w:tr>
        <w:trPr>
          <w:trHeight w:val="113"/>
        </w:trPr>
        <w:tc>
          <w:tcPr>
            <w:tcW w:w="5700" w:type="dxa"/>
            <w:vAlign w:val="bottom"/>
            <w:tcBorders>
              <w:left w:val="single" w:sz="8" w:color="auto"/>
              <w:right w:val="single" w:sz="8" w:color="auto"/>
            </w:tcBorders>
          </w:tcPr>
          <w:p>
            <w:pPr>
              <w:ind w:left="160"/>
              <w:spacing w:after="0" w:line="113" w:lineRule="exact"/>
              <w:rPr>
                <w:sz w:val="20"/>
                <w:szCs w:val="20"/>
                <w:color w:val="auto"/>
              </w:rPr>
            </w:pPr>
            <w:r>
              <w:rPr>
                <w:rFonts w:ascii="Arial" w:cs="Arial" w:eastAsia="Arial" w:hAnsi="Arial"/>
                <w:sz w:val="11"/>
                <w:szCs w:val="11"/>
                <w:color w:val="auto"/>
              </w:rPr>
              <w:t>Administrative expenses</w:t>
            </w:r>
          </w:p>
        </w:tc>
        <w:tc>
          <w:tcPr>
            <w:tcW w:w="960" w:type="dxa"/>
            <w:vAlign w:val="bottom"/>
          </w:tcPr>
          <w:p>
            <w:pPr>
              <w:jc w:val="center"/>
              <w:spacing w:after="0" w:line="113" w:lineRule="exact"/>
              <w:rPr>
                <w:sz w:val="20"/>
                <w:szCs w:val="20"/>
                <w:color w:val="auto"/>
              </w:rPr>
            </w:pPr>
            <w:r>
              <w:rPr>
                <w:rFonts w:ascii="Arial" w:cs="Arial" w:eastAsia="Arial" w:hAnsi="Arial"/>
                <w:sz w:val="11"/>
                <w:szCs w:val="11"/>
                <w:color w:val="auto"/>
                <w:w w:val="97"/>
              </w:rPr>
              <w:t>(555,189)</w:t>
            </w:r>
          </w:p>
        </w:tc>
        <w:tc>
          <w:tcPr>
            <w:tcW w:w="960" w:type="dxa"/>
            <w:vAlign w:val="bottom"/>
          </w:tcPr>
          <w:p>
            <w:pPr>
              <w:jc w:val="center"/>
              <w:spacing w:after="0" w:line="113" w:lineRule="exact"/>
              <w:rPr>
                <w:sz w:val="20"/>
                <w:szCs w:val="20"/>
                <w:color w:val="auto"/>
              </w:rPr>
            </w:pPr>
            <w:r>
              <w:rPr>
                <w:rFonts w:ascii="Arial" w:cs="Arial" w:eastAsia="Arial" w:hAnsi="Arial"/>
                <w:sz w:val="11"/>
                <w:szCs w:val="11"/>
                <w:color w:val="auto"/>
                <w:w w:val="97"/>
              </w:rPr>
              <w:t>(820,566)</w:t>
            </w:r>
          </w:p>
        </w:tc>
        <w:tc>
          <w:tcPr>
            <w:tcW w:w="100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color w:val="auto"/>
                <w:w w:val="97"/>
              </w:rPr>
              <w:t>(562,439)</w:t>
            </w:r>
          </w:p>
        </w:tc>
        <w:tc>
          <w:tcPr>
            <w:tcW w:w="720" w:type="dxa"/>
            <w:vAlign w:val="bottom"/>
          </w:tcPr>
          <w:p>
            <w:pPr>
              <w:jc w:val="center"/>
              <w:ind w:left="206"/>
              <w:spacing w:after="0" w:line="113" w:lineRule="exact"/>
              <w:rPr>
                <w:sz w:val="20"/>
                <w:szCs w:val="20"/>
                <w:color w:val="auto"/>
              </w:rPr>
            </w:pPr>
            <w:r>
              <w:rPr>
                <w:rFonts w:ascii="Arial" w:cs="Arial" w:eastAsia="Arial" w:hAnsi="Arial"/>
                <w:sz w:val="11"/>
                <w:szCs w:val="11"/>
                <w:color w:val="auto"/>
                <w:w w:val="97"/>
              </w:rPr>
              <w:t>-31.5%</w:t>
            </w:r>
          </w:p>
        </w:tc>
        <w:tc>
          <w:tcPr>
            <w:tcW w:w="1320" w:type="dxa"/>
            <w:vAlign w:val="bottom"/>
            <w:tcBorders>
              <w:right w:val="single" w:sz="8" w:color="auto"/>
            </w:tcBorders>
          </w:tcPr>
          <w:p>
            <w:pPr>
              <w:jc w:val="center"/>
              <w:ind w:left="206"/>
              <w:spacing w:after="0" w:line="113" w:lineRule="exact"/>
              <w:rPr>
                <w:sz w:val="20"/>
                <w:szCs w:val="20"/>
                <w:color w:val="auto"/>
              </w:rPr>
            </w:pPr>
            <w:r>
              <w:rPr>
                <w:rFonts w:ascii="Arial" w:cs="Arial" w:eastAsia="Arial" w:hAnsi="Arial"/>
                <w:sz w:val="11"/>
                <w:szCs w:val="11"/>
                <w:color w:val="auto"/>
              </w:rPr>
              <w:t>1.3%</w:t>
            </w:r>
          </w:p>
        </w:tc>
      </w:tr>
      <w:tr>
        <w:trPr>
          <w:trHeight w:val="130"/>
        </w:trPr>
        <w:tc>
          <w:tcPr>
            <w:tcW w:w="570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0"/>
                <w:szCs w:val="10"/>
                <w:color w:val="auto"/>
              </w:rPr>
              <w:t xml:space="preserve">Depreciation and amortization </w:t>
            </w:r>
            <w:r>
              <w:rPr>
                <w:rFonts w:ascii="Arial" w:cs="Arial" w:eastAsia="Arial" w:hAnsi="Arial"/>
                <w:sz w:val="15"/>
                <w:szCs w:val="15"/>
                <w:color w:val="auto"/>
                <w:vertAlign w:val="superscript"/>
              </w:rPr>
              <w:t>(2)</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(119,026)</w:t>
            </w:r>
          </w:p>
        </w:tc>
        <w:tc>
          <w:tcPr>
            <w:tcW w:w="960" w:type="dxa"/>
            <w:vAlign w:val="bottom"/>
          </w:tcPr>
          <w:p>
            <w:pPr>
              <w:jc w:val="center"/>
              <w:spacing w:after="0"/>
              <w:rPr>
                <w:sz w:val="20"/>
                <w:szCs w:val="20"/>
                <w:color w:val="auto"/>
              </w:rPr>
            </w:pPr>
            <w:r>
              <w:rPr>
                <w:rFonts w:ascii="Arial" w:cs="Arial" w:eastAsia="Arial" w:hAnsi="Arial"/>
                <w:sz w:val="11"/>
                <w:szCs w:val="11"/>
                <w:color w:val="auto"/>
                <w:w w:val="97"/>
              </w:rPr>
              <w:t>(131,376)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(145,142)</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w w:val="96"/>
              </w:rPr>
              <w:t>10.5%</w:t>
            </w:r>
          </w:p>
        </w:tc>
        <w:tc>
          <w:tcPr>
            <w:tcW w:w="13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6"/>
              </w:rPr>
              <w:t>21.9%</w:t>
            </w:r>
          </w:p>
        </w:tc>
      </w:tr>
      <w:tr>
        <w:trPr>
          <w:trHeight w:val="122"/>
        </w:trPr>
        <w:tc>
          <w:tcPr>
            <w:tcW w:w="570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1"/>
                <w:szCs w:val="11"/>
                <w:color w:val="auto"/>
              </w:rPr>
              <w:t>Other expenses</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7"/>
              </w:rPr>
              <w:t>(45,954)</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7"/>
              </w:rPr>
              <w:t>(106,338)</w:t>
            </w:r>
          </w:p>
        </w:tc>
        <w:tc>
          <w:tcPr>
            <w:tcW w:w="10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(48,353)</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7"/>
              </w:rPr>
              <w:t>-54.5%</w:t>
            </w:r>
          </w:p>
        </w:tc>
        <w:tc>
          <w:tcPr>
            <w:tcW w:w="132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rPr>
              <w:t>5.2%</w:t>
            </w:r>
          </w:p>
        </w:tc>
      </w:tr>
      <w:tr>
        <w:trPr>
          <w:trHeight w:val="148"/>
        </w:trPr>
        <w:tc>
          <w:tcPr>
            <w:tcW w:w="5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Total expenses</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5"/>
              </w:rPr>
              <w:t>(1,308,913)</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9"/>
              </w:rPr>
              <w:t>(1,821,130)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(1,501,869)</w:t>
            </w:r>
          </w:p>
        </w:tc>
        <w:tc>
          <w:tcPr>
            <w:tcW w:w="720" w:type="dxa"/>
            <w:vAlign w:val="bottom"/>
          </w:tcPr>
          <w:p>
            <w:pPr>
              <w:jc w:val="center"/>
              <w:ind w:left="206"/>
              <w:spacing w:after="0"/>
              <w:rPr>
                <w:sz w:val="20"/>
                <w:szCs w:val="20"/>
                <w:color w:val="auto"/>
              </w:rPr>
            </w:pPr>
            <w:r>
              <w:rPr>
                <w:rFonts w:ascii="Arial" w:cs="Arial" w:eastAsia="Arial" w:hAnsi="Arial"/>
                <w:sz w:val="11"/>
                <w:szCs w:val="11"/>
                <w:b w:val="1"/>
                <w:bCs w:val="1"/>
                <w:color w:val="auto"/>
                <w:w w:val="97"/>
              </w:rPr>
              <w:t>-17.5%</w:t>
            </w:r>
          </w:p>
        </w:tc>
        <w:tc>
          <w:tcPr>
            <w:tcW w:w="13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6"/>
              </w:rPr>
              <w:t>14.7%</w:t>
            </w:r>
          </w:p>
        </w:tc>
      </w:tr>
      <w:tr>
        <w:trPr>
          <w:trHeight w:val="217"/>
        </w:trPr>
        <w:tc>
          <w:tcPr>
            <w:tcW w:w="570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Profit before income tax</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7"/>
              </w:rPr>
              <w:t>1,813,217</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7"/>
              </w:rPr>
              <w:t>1,750,202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2,096,011</w:t>
            </w:r>
          </w:p>
        </w:tc>
        <w:tc>
          <w:tcPr>
            <w:tcW w:w="720" w:type="dxa"/>
            <w:vAlign w:val="bottom"/>
          </w:tcPr>
          <w:p>
            <w:pPr>
              <w:jc w:val="center"/>
              <w:ind w:left="206"/>
              <w:spacing w:after="0"/>
              <w:rPr>
                <w:sz w:val="20"/>
                <w:szCs w:val="20"/>
                <w:color w:val="auto"/>
              </w:rPr>
            </w:pPr>
            <w:r>
              <w:rPr>
                <w:rFonts w:ascii="Arial" w:cs="Arial" w:eastAsia="Arial" w:hAnsi="Arial"/>
                <w:sz w:val="11"/>
                <w:szCs w:val="11"/>
                <w:b w:val="1"/>
                <w:bCs w:val="1"/>
                <w:color w:val="auto"/>
                <w:w w:val="96"/>
              </w:rPr>
              <w:t>19.8%</w:t>
            </w:r>
          </w:p>
        </w:tc>
        <w:tc>
          <w:tcPr>
            <w:tcW w:w="132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6"/>
              </w:rPr>
              <w:t>15.6%</w:t>
            </w:r>
          </w:p>
        </w:tc>
      </w:tr>
      <w:tr>
        <w:trPr>
          <w:trHeight w:val="121"/>
        </w:trPr>
        <w:tc>
          <w:tcPr>
            <w:tcW w:w="570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Income tax</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7"/>
              </w:rPr>
              <w:t>(431,670)</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7"/>
              </w:rPr>
              <w:t>(481,509)</w:t>
            </w:r>
          </w:p>
        </w:tc>
        <w:tc>
          <w:tcPr>
            <w:tcW w:w="10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(517,741)</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rPr>
              <w:t>7.5%</w:t>
            </w:r>
          </w:p>
        </w:tc>
        <w:tc>
          <w:tcPr>
            <w:tcW w:w="132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6"/>
              </w:rPr>
              <w:t>19.9%</w:t>
            </w:r>
          </w:p>
        </w:tc>
      </w:tr>
      <w:tr>
        <w:trPr>
          <w:trHeight w:val="122"/>
        </w:trPr>
        <w:tc>
          <w:tcPr>
            <w:tcW w:w="570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b w:val="1"/>
                <w:bCs w:val="1"/>
                <w:color w:val="auto"/>
              </w:rPr>
              <w:t>Net profit</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7"/>
              </w:rPr>
              <w:t>1,381,547</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7"/>
              </w:rPr>
              <w:t>1,268,693</w:t>
            </w:r>
          </w:p>
        </w:tc>
        <w:tc>
          <w:tcPr>
            <w:tcW w:w="10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1,578,270</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6"/>
              </w:rPr>
              <w:t>24.4%</w:t>
            </w:r>
          </w:p>
        </w:tc>
        <w:tc>
          <w:tcPr>
            <w:tcW w:w="132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6"/>
              </w:rPr>
              <w:t>14.2%</w:t>
            </w:r>
          </w:p>
        </w:tc>
      </w:tr>
      <w:tr>
        <w:trPr>
          <w:trHeight w:val="122"/>
        </w:trPr>
        <w:tc>
          <w:tcPr>
            <w:tcW w:w="570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1"/>
                <w:szCs w:val="11"/>
                <w:color w:val="auto"/>
              </w:rPr>
              <w:t>Non-controlling interest</w:t>
            </w:r>
          </w:p>
        </w:tc>
        <w:tc>
          <w:tcPr>
            <w:tcW w:w="96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rPr>
              <w:t>-</w:t>
            </w:r>
          </w:p>
        </w:tc>
        <w:tc>
          <w:tcPr>
            <w:tcW w:w="10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7"/>
              </w:rPr>
              <w:t>n.a.</w:t>
            </w:r>
          </w:p>
        </w:tc>
        <w:tc>
          <w:tcPr>
            <w:tcW w:w="132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7"/>
              </w:rPr>
              <w:t>n.a.</w:t>
            </w:r>
          </w:p>
        </w:tc>
      </w:tr>
      <w:tr>
        <w:trPr>
          <w:trHeight w:val="135"/>
        </w:trPr>
        <w:tc>
          <w:tcPr>
            <w:tcW w:w="57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Net profit attributable to BCP</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1,381,547</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1,268,693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1,578,270</w:t>
            </w:r>
          </w:p>
        </w:tc>
        <w:tc>
          <w:tcPr>
            <w:tcW w:w="72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6"/>
              </w:rPr>
              <w:t>24.4%</w:t>
            </w:r>
          </w:p>
        </w:tc>
        <w:tc>
          <w:tcPr>
            <w:tcW w:w="1320" w:type="dxa"/>
            <w:vAlign w:val="bottom"/>
            <w:tcBorders>
              <w:bottom w:val="single" w:sz="8" w:color="auto"/>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6"/>
              </w:rPr>
              <w:t>14.2%</w:t>
            </w:r>
          </w:p>
        </w:tc>
      </w:tr>
    </w:tbl>
    <w:p>
      <w:pPr>
        <w:spacing w:after="0" w:line="181" w:lineRule="exact"/>
        <w:rPr>
          <w:sz w:val="20"/>
          <w:szCs w:val="20"/>
          <w:color w:val="auto"/>
        </w:rPr>
      </w:pPr>
    </w:p>
    <w:p>
      <w:pPr>
        <w:ind w:left="1060" w:hanging="260"/>
        <w:spacing w:after="0"/>
        <w:tabs>
          <w:tab w:leader="none" w:pos="10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Financing expenses related to lease agreements are included according to the application of IFRS 16.</w:t>
      </w:r>
    </w:p>
    <w:p>
      <w:pPr>
        <w:spacing w:after="0" w:line="7" w:lineRule="exact"/>
        <w:rPr>
          <w:rFonts w:ascii="Arial" w:cs="Arial" w:eastAsia="Arial" w:hAnsi="Arial"/>
          <w:sz w:val="12"/>
          <w:szCs w:val="12"/>
          <w:color w:val="auto"/>
        </w:rPr>
      </w:pPr>
    </w:p>
    <w:p>
      <w:pPr>
        <w:ind w:left="1060" w:hanging="260"/>
        <w:spacing w:after="0"/>
        <w:tabs>
          <w:tab w:leader="none" w:pos="10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effect of the application of IFRS 16 is included, which corresponds to a greater depreciation for the asset for right-of-use”.</w:t>
      </w:r>
    </w:p>
    <w:p>
      <w:pPr>
        <w:spacing w:after="0" w:line="237"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Selected Financial Indicators</w:t>
      </w:r>
    </w:p>
    <w:p>
      <w:pPr>
        <w:spacing w:after="0" w:line="188" w:lineRule="exact"/>
        <w:rPr>
          <w:sz w:val="20"/>
          <w:szCs w:val="20"/>
          <w:color w:val="auto"/>
        </w:rPr>
      </w:pPr>
    </w:p>
    <w:tbl>
      <w:tblPr>
        <w:tblLayout w:type="fixed"/>
        <w:tblInd w:w="130" w:type="dxa"/>
        <w:tblCellMar>
          <w:top w:w="0" w:type="dxa"/>
          <w:left w:w="0" w:type="dxa"/>
          <w:bottom w:w="0" w:type="dxa"/>
          <w:right w:w="0" w:type="dxa"/>
        </w:tblCellMar>
      </w:tblPr>
      <w:tr>
        <w:trPr>
          <w:trHeight w:val="166"/>
        </w:trPr>
        <w:tc>
          <w:tcPr>
            <w:tcW w:w="5080" w:type="dxa"/>
            <w:vAlign w:val="bottom"/>
            <w:tcBorders>
              <w:top w:val="single" w:sz="8" w:color="auto"/>
              <w:left w:val="single" w:sz="8" w:color="auto"/>
              <w:right w:val="single" w:sz="8" w:color="auto"/>
            </w:tcBorders>
            <w:shd w:val="clear" w:color="auto" w:fill="2AD2C8"/>
          </w:tcPr>
          <w:p>
            <w:pPr>
              <w:spacing w:after="0"/>
              <w:rPr>
                <w:sz w:val="14"/>
                <w:szCs w:val="14"/>
                <w:color w:val="auto"/>
              </w:rPr>
            </w:pPr>
          </w:p>
        </w:tc>
        <w:tc>
          <w:tcPr>
            <w:tcW w:w="1100" w:type="dxa"/>
            <w:vAlign w:val="bottom"/>
            <w:tcBorders>
              <w:top w:val="single" w:sz="8" w:color="auto"/>
            </w:tcBorders>
            <w:shd w:val="clear" w:color="auto" w:fill="2AD2C8"/>
          </w:tcPr>
          <w:p>
            <w:pPr>
              <w:spacing w:after="0"/>
              <w:rPr>
                <w:sz w:val="14"/>
                <w:szCs w:val="14"/>
                <w:color w:val="auto"/>
              </w:rPr>
            </w:pPr>
          </w:p>
        </w:tc>
        <w:tc>
          <w:tcPr>
            <w:tcW w:w="1120" w:type="dxa"/>
            <w:vAlign w:val="bottom"/>
            <w:tcBorders>
              <w:top w:val="single" w:sz="8" w:color="auto"/>
            </w:tcBorders>
            <w:shd w:val="clear" w:color="auto" w:fill="2AD2C8"/>
          </w:tcPr>
          <w:p>
            <w:pPr>
              <w:jc w:val="center"/>
              <w:spacing w:after="0"/>
              <w:rPr>
                <w:sz w:val="20"/>
                <w:szCs w:val="20"/>
                <w:color w:val="auto"/>
              </w:rPr>
            </w:pPr>
            <w:r>
              <w:rPr>
                <w:rFonts w:ascii="Arial" w:cs="Arial" w:eastAsia="Arial" w:hAnsi="Arial"/>
                <w:sz w:val="14"/>
                <w:szCs w:val="14"/>
                <w:b w:val="1"/>
                <w:bCs w:val="1"/>
                <w:color w:val="FFFFFF"/>
              </w:rPr>
              <w:t>Quarter</w:t>
            </w:r>
          </w:p>
        </w:tc>
        <w:tc>
          <w:tcPr>
            <w:tcW w:w="1100" w:type="dxa"/>
            <w:vAlign w:val="bottom"/>
            <w:tcBorders>
              <w:top w:val="single" w:sz="8" w:color="auto"/>
              <w:right w:val="single" w:sz="8" w:color="auto"/>
            </w:tcBorders>
            <w:shd w:val="clear" w:color="auto" w:fill="2AD2C8"/>
          </w:tcPr>
          <w:p>
            <w:pPr>
              <w:spacing w:after="0"/>
              <w:rPr>
                <w:sz w:val="14"/>
                <w:szCs w:val="14"/>
                <w:color w:val="auto"/>
              </w:rPr>
            </w:pPr>
          </w:p>
        </w:tc>
        <w:tc>
          <w:tcPr>
            <w:tcW w:w="860" w:type="dxa"/>
            <w:vAlign w:val="bottom"/>
            <w:tcBorders>
              <w:top w:val="single" w:sz="8" w:color="auto"/>
            </w:tcBorders>
            <w:shd w:val="clear" w:color="auto" w:fill="2AD2C8"/>
          </w:tcPr>
          <w:p>
            <w:pPr>
              <w:spacing w:after="0"/>
              <w:rPr>
                <w:sz w:val="14"/>
                <w:szCs w:val="14"/>
                <w:color w:val="auto"/>
              </w:rPr>
            </w:pPr>
          </w:p>
        </w:tc>
        <w:tc>
          <w:tcPr>
            <w:tcW w:w="1400" w:type="dxa"/>
            <w:vAlign w:val="bottom"/>
            <w:tcBorders>
              <w:top w:val="single" w:sz="8" w:color="auto"/>
              <w:right w:val="single" w:sz="8" w:color="auto"/>
            </w:tcBorders>
            <w:shd w:val="clear" w:color="auto" w:fill="2AD2C8"/>
          </w:tcPr>
          <w:p>
            <w:pPr>
              <w:ind w:left="20"/>
              <w:spacing w:after="0"/>
              <w:rPr>
                <w:sz w:val="20"/>
                <w:szCs w:val="20"/>
                <w:color w:val="auto"/>
              </w:rPr>
            </w:pPr>
            <w:r>
              <w:rPr>
                <w:rFonts w:ascii="Arial" w:cs="Arial" w:eastAsia="Arial" w:hAnsi="Arial"/>
                <w:sz w:val="14"/>
                <w:szCs w:val="14"/>
                <w:color w:val="FFFFFF"/>
              </w:rPr>
              <w:t>Change</w:t>
            </w:r>
          </w:p>
        </w:tc>
      </w:tr>
      <w:tr>
        <w:trPr>
          <w:trHeight w:val="171"/>
        </w:trPr>
        <w:tc>
          <w:tcPr>
            <w:tcW w:w="5080" w:type="dxa"/>
            <w:vAlign w:val="bottom"/>
            <w:tcBorders>
              <w:left w:val="single" w:sz="8" w:color="auto"/>
              <w:bottom w:val="single" w:sz="8" w:color="auto"/>
              <w:right w:val="single" w:sz="8" w:color="auto"/>
            </w:tcBorders>
            <w:shd w:val="clear" w:color="auto" w:fill="2AD2C8"/>
          </w:tcPr>
          <w:p>
            <w:pPr>
              <w:spacing w:after="0"/>
              <w:rPr>
                <w:sz w:val="14"/>
                <w:szCs w:val="14"/>
                <w:color w:val="auto"/>
              </w:rPr>
            </w:pPr>
          </w:p>
        </w:tc>
        <w:tc>
          <w:tcPr>
            <w:tcW w:w="1100" w:type="dxa"/>
            <w:vAlign w:val="bottom"/>
            <w:tcBorders>
              <w:bottom w:val="single" w:sz="8" w:color="auto"/>
            </w:tcBorders>
            <w:shd w:val="clear" w:color="auto" w:fill="2AD2C8"/>
          </w:tcPr>
          <w:p>
            <w:pPr>
              <w:jc w:val="right"/>
              <w:ind w:right="308"/>
              <w:spacing w:after="0"/>
              <w:rPr>
                <w:sz w:val="20"/>
                <w:szCs w:val="20"/>
                <w:color w:val="auto"/>
              </w:rPr>
            </w:pPr>
            <w:r>
              <w:rPr>
                <w:rFonts w:ascii="Arial" w:cs="Arial" w:eastAsia="Arial" w:hAnsi="Arial"/>
                <w:sz w:val="14"/>
                <w:szCs w:val="14"/>
                <w:b w:val="1"/>
                <w:bCs w:val="1"/>
                <w:color w:val="FFFFFF"/>
              </w:rPr>
              <w:t>1Q24</w:t>
            </w:r>
          </w:p>
        </w:tc>
        <w:tc>
          <w:tcPr>
            <w:tcW w:w="112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4"/>
                <w:szCs w:val="14"/>
                <w:b w:val="1"/>
                <w:bCs w:val="1"/>
                <w:color w:val="FFFFFF"/>
                <w:w w:val="99"/>
              </w:rPr>
              <w:t>4Q24</w:t>
            </w:r>
          </w:p>
        </w:tc>
        <w:tc>
          <w:tcPr>
            <w:tcW w:w="1100" w:type="dxa"/>
            <w:vAlign w:val="bottom"/>
            <w:tcBorders>
              <w:bottom w:val="single" w:sz="8" w:color="auto"/>
              <w:right w:val="single" w:sz="8" w:color="auto"/>
            </w:tcBorders>
            <w:shd w:val="clear" w:color="auto" w:fill="2AD2C8"/>
          </w:tcPr>
          <w:p>
            <w:pPr>
              <w:ind w:left="360"/>
              <w:spacing w:after="0"/>
              <w:rPr>
                <w:sz w:val="20"/>
                <w:szCs w:val="20"/>
                <w:color w:val="auto"/>
              </w:rPr>
            </w:pPr>
            <w:r>
              <w:rPr>
                <w:rFonts w:ascii="Arial" w:cs="Arial" w:eastAsia="Arial" w:hAnsi="Arial"/>
                <w:sz w:val="14"/>
                <w:szCs w:val="14"/>
                <w:b w:val="1"/>
                <w:bCs w:val="1"/>
                <w:color w:val="FFFFFF"/>
              </w:rPr>
              <w:t>1Q25</w:t>
            </w:r>
          </w:p>
        </w:tc>
        <w:tc>
          <w:tcPr>
            <w:tcW w:w="860" w:type="dxa"/>
            <w:vAlign w:val="bottom"/>
            <w:tcBorders>
              <w:bottom w:val="single" w:sz="8" w:color="auto"/>
            </w:tcBorders>
            <w:shd w:val="clear" w:color="auto" w:fill="2AD2C8"/>
          </w:tcPr>
          <w:p>
            <w:pPr>
              <w:jc w:val="center"/>
              <w:ind w:left="188"/>
              <w:spacing w:after="0"/>
              <w:rPr>
                <w:sz w:val="20"/>
                <w:szCs w:val="20"/>
                <w:color w:val="auto"/>
              </w:rPr>
            </w:pPr>
            <w:r>
              <w:rPr>
                <w:rFonts w:ascii="Arial" w:cs="Arial" w:eastAsia="Arial" w:hAnsi="Arial"/>
                <w:sz w:val="14"/>
                <w:szCs w:val="14"/>
                <w:b w:val="1"/>
                <w:bCs w:val="1"/>
                <w:color w:val="FFFFFF"/>
              </w:rPr>
              <w:t>QoQ</w:t>
            </w:r>
          </w:p>
        </w:tc>
        <w:tc>
          <w:tcPr>
            <w:tcW w:w="1400" w:type="dxa"/>
            <w:vAlign w:val="bottom"/>
            <w:tcBorders>
              <w:bottom w:val="single" w:sz="8" w:color="auto"/>
              <w:right w:val="single" w:sz="8" w:color="auto"/>
            </w:tcBorders>
            <w:shd w:val="clear" w:color="auto" w:fill="2AD2C8"/>
          </w:tcPr>
          <w:p>
            <w:pPr>
              <w:jc w:val="center"/>
              <w:ind w:left="168"/>
              <w:spacing w:after="0"/>
              <w:rPr>
                <w:sz w:val="20"/>
                <w:szCs w:val="20"/>
                <w:color w:val="auto"/>
              </w:rPr>
            </w:pPr>
            <w:r>
              <w:rPr>
                <w:rFonts w:ascii="Arial" w:cs="Arial" w:eastAsia="Arial" w:hAnsi="Arial"/>
                <w:sz w:val="14"/>
                <w:szCs w:val="14"/>
                <w:b w:val="1"/>
                <w:bCs w:val="1"/>
                <w:color w:val="FFFFFF"/>
              </w:rPr>
              <w:t>YoY</w:t>
            </w:r>
          </w:p>
        </w:tc>
      </w:tr>
      <w:tr>
        <w:trPr>
          <w:trHeight w:val="170"/>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Profitability</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r>
      <w:tr>
        <w:trPr>
          <w:trHeight w:val="162"/>
        </w:trPr>
        <w:tc>
          <w:tcPr>
            <w:tcW w:w="508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8"/>
                <w:szCs w:val="18"/>
                <w:color w:val="auto"/>
                <w:vertAlign w:val="subscript"/>
              </w:rPr>
              <w:t>ROAA</w:t>
            </w:r>
            <w:r>
              <w:rPr>
                <w:rFonts w:ascii="Arial" w:cs="Arial" w:eastAsia="Arial" w:hAnsi="Arial"/>
                <w:sz w:val="9"/>
                <w:szCs w:val="9"/>
                <w:color w:val="auto"/>
              </w:rPr>
              <w:t xml:space="preserve"> (1)(2)</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3.0%</w:t>
            </w:r>
          </w:p>
        </w:tc>
        <w:tc>
          <w:tcPr>
            <w:tcW w:w="1120" w:type="dxa"/>
            <w:vAlign w:val="bottom"/>
          </w:tcPr>
          <w:p>
            <w:pPr>
              <w:jc w:val="center"/>
              <w:spacing w:after="0"/>
              <w:rPr>
                <w:sz w:val="20"/>
                <w:szCs w:val="20"/>
                <w:color w:val="auto"/>
              </w:rPr>
            </w:pPr>
            <w:r>
              <w:rPr>
                <w:rFonts w:ascii="Arial" w:cs="Arial" w:eastAsia="Arial" w:hAnsi="Arial"/>
                <w:sz w:val="14"/>
                <w:szCs w:val="14"/>
                <w:color w:val="auto"/>
              </w:rPr>
              <w:t>2.6%</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3.2%</w:t>
            </w:r>
          </w:p>
        </w:tc>
        <w:tc>
          <w:tcPr>
            <w:tcW w:w="860" w:type="dxa"/>
            <w:vAlign w:val="bottom"/>
          </w:tcPr>
          <w:p>
            <w:pPr>
              <w:jc w:val="center"/>
              <w:ind w:left="208"/>
              <w:spacing w:after="0"/>
              <w:rPr>
                <w:sz w:val="20"/>
                <w:szCs w:val="20"/>
                <w:color w:val="auto"/>
              </w:rPr>
            </w:pPr>
            <w:r>
              <w:rPr>
                <w:rFonts w:ascii="Arial" w:cs="Arial" w:eastAsia="Arial" w:hAnsi="Arial"/>
                <w:sz w:val="14"/>
                <w:szCs w:val="14"/>
                <w:color w:val="auto"/>
                <w:w w:val="99"/>
              </w:rPr>
              <w:t>60 bps</w:t>
            </w:r>
          </w:p>
        </w:tc>
        <w:tc>
          <w:tcPr>
            <w:tcW w:w="1400" w:type="dxa"/>
            <w:vAlign w:val="bottom"/>
            <w:tcBorders>
              <w:right w:val="single" w:sz="8" w:color="auto"/>
            </w:tcBorders>
          </w:tcPr>
          <w:p>
            <w:pPr>
              <w:jc w:val="center"/>
              <w:ind w:left="208"/>
              <w:spacing w:after="0"/>
              <w:rPr>
                <w:sz w:val="20"/>
                <w:szCs w:val="20"/>
                <w:color w:val="auto"/>
              </w:rPr>
            </w:pPr>
            <w:r>
              <w:rPr>
                <w:rFonts w:ascii="Arial" w:cs="Arial" w:eastAsia="Arial" w:hAnsi="Arial"/>
                <w:sz w:val="14"/>
                <w:szCs w:val="14"/>
                <w:color w:val="auto"/>
              </w:rPr>
              <w:t>18 bps</w:t>
            </w:r>
          </w:p>
        </w:tc>
      </w:tr>
      <w:tr>
        <w:trPr>
          <w:trHeight w:val="162"/>
        </w:trPr>
        <w:tc>
          <w:tcPr>
            <w:tcW w:w="508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8"/>
                <w:szCs w:val="18"/>
                <w:color w:val="auto"/>
                <w:vertAlign w:val="subscript"/>
              </w:rPr>
              <w:t>ROAE</w:t>
            </w:r>
            <w:r>
              <w:rPr>
                <w:rFonts w:ascii="Arial" w:cs="Arial" w:eastAsia="Arial" w:hAnsi="Arial"/>
                <w:sz w:val="9"/>
                <w:szCs w:val="9"/>
                <w:color w:val="auto"/>
              </w:rPr>
              <w:t xml:space="preserve"> (1)(2)</w:t>
            </w:r>
          </w:p>
        </w:tc>
        <w:tc>
          <w:tcPr>
            <w:tcW w:w="1100" w:type="dxa"/>
            <w:vAlign w:val="bottom"/>
          </w:tcPr>
          <w:p>
            <w:pPr>
              <w:jc w:val="center"/>
              <w:spacing w:after="0"/>
              <w:rPr>
                <w:sz w:val="20"/>
                <w:szCs w:val="20"/>
                <w:color w:val="auto"/>
              </w:rPr>
            </w:pPr>
            <w:r>
              <w:rPr>
                <w:rFonts w:ascii="Arial" w:cs="Arial" w:eastAsia="Arial" w:hAnsi="Arial"/>
                <w:sz w:val="14"/>
                <w:szCs w:val="14"/>
                <w:color w:val="auto"/>
              </w:rPr>
              <w:t>23.4%</w:t>
            </w:r>
          </w:p>
        </w:tc>
        <w:tc>
          <w:tcPr>
            <w:tcW w:w="1120" w:type="dxa"/>
            <w:vAlign w:val="bottom"/>
          </w:tcPr>
          <w:p>
            <w:pPr>
              <w:jc w:val="center"/>
              <w:spacing w:after="0"/>
              <w:rPr>
                <w:sz w:val="20"/>
                <w:szCs w:val="20"/>
                <w:color w:val="auto"/>
              </w:rPr>
            </w:pPr>
            <w:r>
              <w:rPr>
                <w:rFonts w:ascii="Arial" w:cs="Arial" w:eastAsia="Arial" w:hAnsi="Arial"/>
                <w:sz w:val="14"/>
                <w:szCs w:val="14"/>
                <w:color w:val="auto"/>
              </w:rPr>
              <w:t>19.8%</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25.8%</w:t>
            </w:r>
          </w:p>
        </w:tc>
        <w:tc>
          <w:tcPr>
            <w:tcW w:w="860" w:type="dxa"/>
            <w:vAlign w:val="bottom"/>
          </w:tcPr>
          <w:p>
            <w:pPr>
              <w:jc w:val="center"/>
              <w:ind w:left="188"/>
              <w:spacing w:after="0"/>
              <w:rPr>
                <w:sz w:val="20"/>
                <w:szCs w:val="20"/>
                <w:color w:val="auto"/>
              </w:rPr>
            </w:pPr>
            <w:r>
              <w:rPr>
                <w:rFonts w:ascii="Arial" w:cs="Arial" w:eastAsia="Arial" w:hAnsi="Arial"/>
                <w:sz w:val="14"/>
                <w:szCs w:val="14"/>
                <w:color w:val="auto"/>
              </w:rPr>
              <w:t>605 bps</w:t>
            </w:r>
          </w:p>
        </w:tc>
        <w:tc>
          <w:tcPr>
            <w:tcW w:w="1400" w:type="dxa"/>
            <w:vAlign w:val="bottom"/>
            <w:tcBorders>
              <w:right w:val="single" w:sz="8" w:color="auto"/>
            </w:tcBorders>
          </w:tcPr>
          <w:p>
            <w:pPr>
              <w:jc w:val="center"/>
              <w:ind w:left="188"/>
              <w:spacing w:after="0"/>
              <w:rPr>
                <w:sz w:val="20"/>
                <w:szCs w:val="20"/>
                <w:color w:val="auto"/>
              </w:rPr>
            </w:pPr>
            <w:r>
              <w:rPr>
                <w:rFonts w:ascii="Arial" w:cs="Arial" w:eastAsia="Arial" w:hAnsi="Arial"/>
                <w:sz w:val="14"/>
                <w:szCs w:val="14"/>
                <w:color w:val="auto"/>
              </w:rPr>
              <w:t>246 bps</w:t>
            </w:r>
          </w:p>
        </w:tc>
      </w:tr>
      <w:tr>
        <w:trPr>
          <w:trHeight w:val="162"/>
        </w:trPr>
        <w:tc>
          <w:tcPr>
            <w:tcW w:w="508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2"/>
                <w:szCs w:val="12"/>
                <w:color w:val="auto"/>
              </w:rPr>
              <w:t xml:space="preserve">Net interest margin </w:t>
            </w:r>
            <w:r>
              <w:rPr>
                <w:rFonts w:ascii="Arial" w:cs="Arial" w:eastAsia="Arial" w:hAnsi="Arial"/>
                <w:sz w:val="18"/>
                <w:szCs w:val="18"/>
                <w:color w:val="auto"/>
                <w:vertAlign w:val="superscript"/>
              </w:rPr>
              <w:t>(1)(2)</w:t>
            </w:r>
          </w:p>
        </w:tc>
        <w:tc>
          <w:tcPr>
            <w:tcW w:w="1100" w:type="dxa"/>
            <w:vAlign w:val="bottom"/>
          </w:tcPr>
          <w:p>
            <w:pPr>
              <w:jc w:val="center"/>
              <w:spacing w:after="0"/>
              <w:rPr>
                <w:sz w:val="20"/>
                <w:szCs w:val="20"/>
                <w:color w:val="auto"/>
              </w:rPr>
            </w:pPr>
            <w:r>
              <w:rPr>
                <w:rFonts w:ascii="Arial" w:cs="Arial" w:eastAsia="Arial" w:hAnsi="Arial"/>
                <w:sz w:val="14"/>
                <w:szCs w:val="14"/>
                <w:color w:val="auto"/>
              </w:rPr>
              <w:t>6.03%</w:t>
            </w:r>
          </w:p>
        </w:tc>
        <w:tc>
          <w:tcPr>
            <w:tcW w:w="1120" w:type="dxa"/>
            <w:vAlign w:val="bottom"/>
          </w:tcPr>
          <w:p>
            <w:pPr>
              <w:jc w:val="center"/>
              <w:spacing w:after="0"/>
              <w:rPr>
                <w:sz w:val="20"/>
                <w:szCs w:val="20"/>
                <w:color w:val="auto"/>
              </w:rPr>
            </w:pPr>
            <w:r>
              <w:rPr>
                <w:rFonts w:ascii="Arial" w:cs="Arial" w:eastAsia="Arial" w:hAnsi="Arial"/>
                <w:sz w:val="14"/>
                <w:szCs w:val="14"/>
                <w:color w:val="auto"/>
              </w:rPr>
              <w:t>6.01%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5.80%</w:t>
            </w:r>
          </w:p>
        </w:tc>
        <w:tc>
          <w:tcPr>
            <w:tcW w:w="860" w:type="dxa"/>
            <w:vAlign w:val="bottom"/>
          </w:tcPr>
          <w:p>
            <w:pPr>
              <w:jc w:val="center"/>
              <w:ind w:left="188"/>
              <w:spacing w:after="0"/>
              <w:rPr>
                <w:sz w:val="20"/>
                <w:szCs w:val="20"/>
                <w:color w:val="auto"/>
              </w:rPr>
            </w:pPr>
            <w:r>
              <w:rPr>
                <w:rFonts w:ascii="Arial" w:cs="Arial" w:eastAsia="Arial" w:hAnsi="Arial"/>
                <w:sz w:val="14"/>
                <w:szCs w:val="14"/>
                <w:color w:val="auto"/>
              </w:rPr>
              <w:t>-22 bps</w:t>
            </w:r>
          </w:p>
        </w:tc>
        <w:tc>
          <w:tcPr>
            <w:tcW w:w="1400" w:type="dxa"/>
            <w:vAlign w:val="bottom"/>
            <w:tcBorders>
              <w:right w:val="single" w:sz="8" w:color="auto"/>
            </w:tcBorders>
          </w:tcPr>
          <w:p>
            <w:pPr>
              <w:jc w:val="center"/>
              <w:ind w:left="208"/>
              <w:spacing w:after="0"/>
              <w:rPr>
                <w:sz w:val="20"/>
                <w:szCs w:val="20"/>
                <w:color w:val="auto"/>
              </w:rPr>
            </w:pPr>
            <w:r>
              <w:rPr>
                <w:rFonts w:ascii="Arial" w:cs="Arial" w:eastAsia="Arial" w:hAnsi="Arial"/>
                <w:sz w:val="14"/>
                <w:szCs w:val="14"/>
                <w:color w:val="auto"/>
              </w:rPr>
              <w:t>-24 bps</w:t>
            </w:r>
          </w:p>
        </w:tc>
      </w:tr>
      <w:tr>
        <w:trPr>
          <w:trHeight w:val="162"/>
        </w:trPr>
        <w:tc>
          <w:tcPr>
            <w:tcW w:w="508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2"/>
                <w:szCs w:val="12"/>
                <w:color w:val="auto"/>
              </w:rPr>
              <w:t xml:space="preserve">Risk-adjusted Net interest margin </w:t>
            </w:r>
            <w:r>
              <w:rPr>
                <w:rFonts w:ascii="Arial" w:cs="Arial" w:eastAsia="Arial" w:hAnsi="Arial"/>
                <w:sz w:val="18"/>
                <w:szCs w:val="18"/>
                <w:color w:val="auto"/>
                <w:vertAlign w:val="superscript"/>
              </w:rPr>
              <w:t>(1)(2)</w:t>
            </w:r>
          </w:p>
        </w:tc>
        <w:tc>
          <w:tcPr>
            <w:tcW w:w="1100" w:type="dxa"/>
            <w:vAlign w:val="bottom"/>
          </w:tcPr>
          <w:p>
            <w:pPr>
              <w:jc w:val="center"/>
              <w:spacing w:after="0"/>
              <w:rPr>
                <w:sz w:val="20"/>
                <w:szCs w:val="20"/>
                <w:color w:val="auto"/>
              </w:rPr>
            </w:pPr>
            <w:r>
              <w:rPr>
                <w:rFonts w:ascii="Arial" w:cs="Arial" w:eastAsia="Arial" w:hAnsi="Arial"/>
                <w:sz w:val="14"/>
                <w:szCs w:val="14"/>
                <w:color w:val="auto"/>
              </w:rPr>
              <w:t>4.64%</w:t>
            </w:r>
          </w:p>
        </w:tc>
        <w:tc>
          <w:tcPr>
            <w:tcW w:w="1120" w:type="dxa"/>
            <w:vAlign w:val="bottom"/>
          </w:tcPr>
          <w:p>
            <w:pPr>
              <w:jc w:val="center"/>
              <w:spacing w:after="0"/>
              <w:rPr>
                <w:sz w:val="20"/>
                <w:szCs w:val="20"/>
                <w:color w:val="auto"/>
              </w:rPr>
            </w:pPr>
            <w:r>
              <w:rPr>
                <w:rFonts w:ascii="Arial" w:cs="Arial" w:eastAsia="Arial" w:hAnsi="Arial"/>
                <w:sz w:val="14"/>
                <w:szCs w:val="14"/>
                <w:color w:val="auto"/>
              </w:rPr>
              <w:t>4.85%</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4.98%</w:t>
            </w:r>
          </w:p>
        </w:tc>
        <w:tc>
          <w:tcPr>
            <w:tcW w:w="860" w:type="dxa"/>
            <w:vAlign w:val="bottom"/>
          </w:tcPr>
          <w:p>
            <w:pPr>
              <w:jc w:val="center"/>
              <w:ind w:left="208"/>
              <w:spacing w:after="0"/>
              <w:rPr>
                <w:sz w:val="20"/>
                <w:szCs w:val="20"/>
                <w:color w:val="auto"/>
              </w:rPr>
            </w:pPr>
            <w:r>
              <w:rPr>
                <w:rFonts w:ascii="Arial" w:cs="Arial" w:eastAsia="Arial" w:hAnsi="Arial"/>
                <w:sz w:val="14"/>
                <w:szCs w:val="14"/>
                <w:color w:val="auto"/>
                <w:w w:val="99"/>
              </w:rPr>
              <w:t>13 bps</w:t>
            </w:r>
          </w:p>
        </w:tc>
        <w:tc>
          <w:tcPr>
            <w:tcW w:w="1400" w:type="dxa"/>
            <w:vAlign w:val="bottom"/>
            <w:tcBorders>
              <w:right w:val="single" w:sz="8" w:color="auto"/>
            </w:tcBorders>
          </w:tcPr>
          <w:p>
            <w:pPr>
              <w:jc w:val="center"/>
              <w:ind w:left="208"/>
              <w:spacing w:after="0"/>
              <w:rPr>
                <w:sz w:val="20"/>
                <w:szCs w:val="20"/>
                <w:color w:val="auto"/>
              </w:rPr>
            </w:pPr>
            <w:r>
              <w:rPr>
                <w:rFonts w:ascii="Arial" w:cs="Arial" w:eastAsia="Arial" w:hAnsi="Arial"/>
                <w:sz w:val="14"/>
                <w:szCs w:val="14"/>
                <w:color w:val="auto"/>
              </w:rPr>
              <w:t>34 bps</w:t>
            </w:r>
          </w:p>
        </w:tc>
      </w:tr>
      <w:tr>
        <w:trPr>
          <w:trHeight w:val="321"/>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xml:space="preserve">Funding cost </w:t>
            </w:r>
            <w:r>
              <w:rPr>
                <w:rFonts w:ascii="Arial" w:cs="Arial" w:eastAsia="Arial" w:hAnsi="Arial"/>
                <w:sz w:val="23"/>
                <w:szCs w:val="23"/>
                <w:color w:val="auto"/>
                <w:vertAlign w:val="superscript"/>
              </w:rPr>
              <w:t>(1)(2)(3)</w:t>
            </w:r>
          </w:p>
        </w:tc>
        <w:tc>
          <w:tcPr>
            <w:tcW w:w="1100" w:type="dxa"/>
            <w:vAlign w:val="bottom"/>
          </w:tcPr>
          <w:p>
            <w:pPr>
              <w:jc w:val="center"/>
              <w:spacing w:after="0"/>
              <w:rPr>
                <w:sz w:val="20"/>
                <w:szCs w:val="20"/>
                <w:color w:val="auto"/>
              </w:rPr>
            </w:pPr>
            <w:r>
              <w:rPr>
                <w:rFonts w:ascii="Arial" w:cs="Arial" w:eastAsia="Arial" w:hAnsi="Arial"/>
                <w:sz w:val="14"/>
                <w:szCs w:val="14"/>
                <w:color w:val="auto"/>
              </w:rPr>
              <w:t>2.41%</w:t>
            </w:r>
          </w:p>
        </w:tc>
        <w:tc>
          <w:tcPr>
            <w:tcW w:w="1120" w:type="dxa"/>
            <w:vAlign w:val="bottom"/>
          </w:tcPr>
          <w:p>
            <w:pPr>
              <w:jc w:val="center"/>
              <w:spacing w:after="0"/>
              <w:rPr>
                <w:sz w:val="20"/>
                <w:szCs w:val="20"/>
                <w:color w:val="auto"/>
              </w:rPr>
            </w:pPr>
            <w:r>
              <w:rPr>
                <w:rFonts w:ascii="Arial" w:cs="Arial" w:eastAsia="Arial" w:hAnsi="Arial"/>
                <w:sz w:val="14"/>
                <w:szCs w:val="14"/>
                <w:color w:val="auto"/>
              </w:rPr>
              <w:t>2.11%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1.99%</w:t>
            </w:r>
          </w:p>
        </w:tc>
        <w:tc>
          <w:tcPr>
            <w:tcW w:w="860" w:type="dxa"/>
            <w:vAlign w:val="bottom"/>
          </w:tcPr>
          <w:p>
            <w:pPr>
              <w:jc w:val="center"/>
              <w:ind w:left="188"/>
              <w:spacing w:after="0"/>
              <w:rPr>
                <w:sz w:val="20"/>
                <w:szCs w:val="20"/>
                <w:color w:val="auto"/>
              </w:rPr>
            </w:pPr>
            <w:r>
              <w:rPr>
                <w:rFonts w:ascii="Arial" w:cs="Arial" w:eastAsia="Arial" w:hAnsi="Arial"/>
                <w:sz w:val="14"/>
                <w:szCs w:val="14"/>
                <w:color w:val="auto"/>
              </w:rPr>
              <w:t>-12 bps</w:t>
            </w:r>
          </w:p>
        </w:tc>
        <w:tc>
          <w:tcPr>
            <w:tcW w:w="1400" w:type="dxa"/>
            <w:vAlign w:val="bottom"/>
            <w:tcBorders>
              <w:right w:val="single" w:sz="8" w:color="auto"/>
            </w:tcBorders>
          </w:tcPr>
          <w:p>
            <w:pPr>
              <w:jc w:val="center"/>
              <w:ind w:left="208"/>
              <w:spacing w:after="0"/>
              <w:rPr>
                <w:sz w:val="20"/>
                <w:szCs w:val="20"/>
                <w:color w:val="auto"/>
              </w:rPr>
            </w:pPr>
            <w:r>
              <w:rPr>
                <w:rFonts w:ascii="Arial" w:cs="Arial" w:eastAsia="Arial" w:hAnsi="Arial"/>
                <w:sz w:val="14"/>
                <w:szCs w:val="14"/>
                <w:color w:val="auto"/>
              </w:rPr>
              <w:t>-42 bps</w:t>
            </w:r>
          </w:p>
        </w:tc>
      </w:tr>
      <w:tr>
        <w:trPr>
          <w:trHeight w:val="182"/>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Loan portfolio quality</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r>
      <w:tr>
        <w:trPr>
          <w:trHeight w:val="162"/>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Internal overdue ratio</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4.3%</w:t>
            </w:r>
          </w:p>
        </w:tc>
        <w:tc>
          <w:tcPr>
            <w:tcW w:w="1120" w:type="dxa"/>
            <w:vAlign w:val="bottom"/>
          </w:tcPr>
          <w:p>
            <w:pPr>
              <w:jc w:val="center"/>
              <w:spacing w:after="0"/>
              <w:rPr>
                <w:sz w:val="20"/>
                <w:szCs w:val="20"/>
                <w:color w:val="auto"/>
              </w:rPr>
            </w:pPr>
            <w:r>
              <w:rPr>
                <w:rFonts w:ascii="Arial" w:cs="Arial" w:eastAsia="Arial" w:hAnsi="Arial"/>
                <w:sz w:val="14"/>
                <w:szCs w:val="14"/>
                <w:color w:val="auto"/>
              </w:rPr>
              <w:t>3.5%</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3.5%</w:t>
            </w:r>
          </w:p>
        </w:tc>
        <w:tc>
          <w:tcPr>
            <w:tcW w:w="860" w:type="dxa"/>
            <w:vAlign w:val="bottom"/>
          </w:tcPr>
          <w:p>
            <w:pPr>
              <w:jc w:val="center"/>
              <w:ind w:left="188"/>
              <w:spacing w:after="0"/>
              <w:rPr>
                <w:sz w:val="20"/>
                <w:szCs w:val="20"/>
                <w:color w:val="auto"/>
              </w:rPr>
            </w:pPr>
            <w:r>
              <w:rPr>
                <w:rFonts w:ascii="Arial" w:cs="Arial" w:eastAsia="Arial" w:hAnsi="Arial"/>
                <w:sz w:val="14"/>
                <w:szCs w:val="14"/>
                <w:color w:val="auto"/>
              </w:rPr>
              <w:t>-1 bps</w:t>
            </w:r>
          </w:p>
        </w:tc>
        <w:tc>
          <w:tcPr>
            <w:tcW w:w="1400" w:type="dxa"/>
            <w:vAlign w:val="bottom"/>
            <w:tcBorders>
              <w:right w:val="single" w:sz="8" w:color="auto"/>
            </w:tcBorders>
          </w:tcPr>
          <w:p>
            <w:pPr>
              <w:jc w:val="center"/>
              <w:ind w:left="208"/>
              <w:spacing w:after="0"/>
              <w:rPr>
                <w:sz w:val="20"/>
                <w:szCs w:val="20"/>
                <w:color w:val="auto"/>
              </w:rPr>
            </w:pPr>
            <w:r>
              <w:rPr>
                <w:rFonts w:ascii="Arial" w:cs="Arial" w:eastAsia="Arial" w:hAnsi="Arial"/>
                <w:sz w:val="14"/>
                <w:szCs w:val="14"/>
                <w:color w:val="auto"/>
              </w:rPr>
              <w:t>-81 bps</w:t>
            </w:r>
          </w:p>
        </w:tc>
      </w:tr>
      <w:tr>
        <w:trPr>
          <w:trHeight w:val="162"/>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NPL ratio</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6.4%</w:t>
            </w:r>
          </w:p>
        </w:tc>
        <w:tc>
          <w:tcPr>
            <w:tcW w:w="1120" w:type="dxa"/>
            <w:vAlign w:val="bottom"/>
          </w:tcPr>
          <w:p>
            <w:pPr>
              <w:jc w:val="center"/>
              <w:spacing w:after="0"/>
              <w:rPr>
                <w:sz w:val="20"/>
                <w:szCs w:val="20"/>
                <w:color w:val="auto"/>
              </w:rPr>
            </w:pPr>
            <w:r>
              <w:rPr>
                <w:rFonts w:ascii="Arial" w:cs="Arial" w:eastAsia="Arial" w:hAnsi="Arial"/>
                <w:sz w:val="14"/>
                <w:szCs w:val="14"/>
                <w:color w:val="auto"/>
              </w:rPr>
              <w:t>5.2%</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860" w:type="dxa"/>
            <w:vAlign w:val="bottom"/>
          </w:tcPr>
          <w:p>
            <w:pPr>
              <w:jc w:val="center"/>
              <w:ind w:left="188"/>
              <w:spacing w:after="0"/>
              <w:rPr>
                <w:sz w:val="20"/>
                <w:szCs w:val="20"/>
                <w:color w:val="auto"/>
              </w:rPr>
            </w:pPr>
            <w:r>
              <w:rPr>
                <w:rFonts w:ascii="Arial" w:cs="Arial" w:eastAsia="Arial" w:hAnsi="Arial"/>
                <w:sz w:val="14"/>
                <w:szCs w:val="14"/>
                <w:color w:val="auto"/>
              </w:rPr>
              <w:t>-20 bps</w:t>
            </w:r>
          </w:p>
        </w:tc>
        <w:tc>
          <w:tcPr>
            <w:tcW w:w="1400" w:type="dxa"/>
            <w:vAlign w:val="bottom"/>
            <w:tcBorders>
              <w:right w:val="single" w:sz="8" w:color="auto"/>
            </w:tcBorders>
          </w:tcPr>
          <w:p>
            <w:pPr>
              <w:jc w:val="center"/>
              <w:ind w:left="208"/>
              <w:spacing w:after="0"/>
              <w:rPr>
                <w:sz w:val="20"/>
                <w:szCs w:val="20"/>
                <w:color w:val="auto"/>
              </w:rPr>
            </w:pPr>
            <w:r>
              <w:rPr>
                <w:rFonts w:ascii="Arial" w:cs="Arial" w:eastAsia="Arial" w:hAnsi="Arial"/>
                <w:sz w:val="14"/>
                <w:szCs w:val="14"/>
                <w:color w:val="auto"/>
              </w:rPr>
              <w:t>-136 bps</w:t>
            </w:r>
          </w:p>
        </w:tc>
      </w:tr>
      <w:tr>
        <w:trPr>
          <w:trHeight w:val="162"/>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Coverager rattio of IOLs</w:t>
            </w:r>
          </w:p>
        </w:tc>
        <w:tc>
          <w:tcPr>
            <w:tcW w:w="1100" w:type="dxa"/>
            <w:vAlign w:val="bottom"/>
          </w:tcPr>
          <w:p>
            <w:pPr>
              <w:jc w:val="center"/>
              <w:spacing w:after="0"/>
              <w:rPr>
                <w:sz w:val="20"/>
                <w:szCs w:val="20"/>
                <w:color w:val="auto"/>
              </w:rPr>
            </w:pPr>
            <w:r>
              <w:rPr>
                <w:rFonts w:ascii="Arial" w:cs="Arial" w:eastAsia="Arial" w:hAnsi="Arial"/>
                <w:sz w:val="14"/>
                <w:szCs w:val="14"/>
                <w:color w:val="auto"/>
              </w:rPr>
              <w:t>134.1%</w:t>
            </w:r>
          </w:p>
        </w:tc>
        <w:tc>
          <w:tcPr>
            <w:tcW w:w="1120" w:type="dxa"/>
            <w:vAlign w:val="bottom"/>
          </w:tcPr>
          <w:p>
            <w:pPr>
              <w:jc w:val="center"/>
              <w:spacing w:after="0"/>
              <w:rPr>
                <w:sz w:val="20"/>
                <w:szCs w:val="20"/>
                <w:color w:val="auto"/>
              </w:rPr>
            </w:pPr>
            <w:r>
              <w:rPr>
                <w:rFonts w:ascii="Arial" w:cs="Arial" w:eastAsia="Arial" w:hAnsi="Arial"/>
                <w:sz w:val="14"/>
                <w:szCs w:val="14"/>
                <w:color w:val="auto"/>
              </w:rPr>
              <w:t>153.0%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153.7%</w:t>
            </w:r>
          </w:p>
        </w:tc>
        <w:tc>
          <w:tcPr>
            <w:tcW w:w="860" w:type="dxa"/>
            <w:vAlign w:val="bottom"/>
          </w:tcPr>
          <w:p>
            <w:pPr>
              <w:jc w:val="center"/>
              <w:ind w:left="208"/>
              <w:spacing w:after="0"/>
              <w:rPr>
                <w:sz w:val="20"/>
                <w:szCs w:val="20"/>
                <w:color w:val="auto"/>
              </w:rPr>
            </w:pPr>
            <w:r>
              <w:rPr>
                <w:rFonts w:ascii="Arial" w:cs="Arial" w:eastAsia="Arial" w:hAnsi="Arial"/>
                <w:sz w:val="14"/>
                <w:szCs w:val="14"/>
                <w:color w:val="auto"/>
                <w:w w:val="99"/>
              </w:rPr>
              <w:t>72 bps</w:t>
            </w:r>
          </w:p>
        </w:tc>
        <w:tc>
          <w:tcPr>
            <w:tcW w:w="1400" w:type="dxa"/>
            <w:vAlign w:val="bottom"/>
            <w:tcBorders>
              <w:right w:val="single" w:sz="8" w:color="auto"/>
            </w:tcBorders>
          </w:tcPr>
          <w:p>
            <w:pPr>
              <w:jc w:val="center"/>
              <w:ind w:left="208"/>
              <w:spacing w:after="0"/>
              <w:rPr>
                <w:sz w:val="20"/>
                <w:szCs w:val="20"/>
                <w:color w:val="auto"/>
              </w:rPr>
            </w:pPr>
            <w:r>
              <w:rPr>
                <w:rFonts w:ascii="Arial" w:cs="Arial" w:eastAsia="Arial" w:hAnsi="Arial"/>
                <w:sz w:val="14"/>
                <w:szCs w:val="14"/>
                <w:color w:val="auto"/>
              </w:rPr>
              <w:t>1967 bps</w:t>
            </w:r>
          </w:p>
        </w:tc>
      </w:tr>
      <w:tr>
        <w:trPr>
          <w:trHeight w:val="145"/>
        </w:trPr>
        <w:tc>
          <w:tcPr>
            <w:tcW w:w="5080" w:type="dxa"/>
            <w:vAlign w:val="bottom"/>
            <w:tcBorders>
              <w:left w:val="single" w:sz="8" w:color="auto"/>
              <w:right w:val="single" w:sz="8" w:color="auto"/>
            </w:tcBorders>
          </w:tcPr>
          <w:p>
            <w:pPr>
              <w:ind w:left="160"/>
              <w:spacing w:after="0" w:line="145" w:lineRule="exact"/>
              <w:rPr>
                <w:sz w:val="20"/>
                <w:szCs w:val="20"/>
                <w:color w:val="auto"/>
              </w:rPr>
            </w:pPr>
            <w:r>
              <w:rPr>
                <w:rFonts w:ascii="Arial" w:cs="Arial" w:eastAsia="Arial" w:hAnsi="Arial"/>
                <w:sz w:val="14"/>
                <w:szCs w:val="14"/>
                <w:color w:val="auto"/>
              </w:rPr>
              <w:t>Coverage ratio of NPLs</w:t>
            </w:r>
          </w:p>
        </w:tc>
        <w:tc>
          <w:tcPr>
            <w:tcW w:w="1100" w:type="dxa"/>
            <w:vAlign w:val="bottom"/>
          </w:tcPr>
          <w:p>
            <w:pPr>
              <w:jc w:val="center"/>
              <w:spacing w:after="0" w:line="145" w:lineRule="exact"/>
              <w:rPr>
                <w:sz w:val="20"/>
                <w:szCs w:val="20"/>
                <w:color w:val="auto"/>
              </w:rPr>
            </w:pPr>
            <w:r>
              <w:rPr>
                <w:rFonts w:ascii="Arial" w:cs="Arial" w:eastAsia="Arial" w:hAnsi="Arial"/>
                <w:sz w:val="14"/>
                <w:szCs w:val="14"/>
                <w:color w:val="auto"/>
              </w:rPr>
              <w:t>90.8%</w:t>
            </w:r>
          </w:p>
        </w:tc>
        <w:tc>
          <w:tcPr>
            <w:tcW w:w="1120" w:type="dxa"/>
            <w:vAlign w:val="bottom"/>
          </w:tcPr>
          <w:p>
            <w:pPr>
              <w:jc w:val="center"/>
              <w:spacing w:after="0" w:line="145" w:lineRule="exact"/>
              <w:rPr>
                <w:sz w:val="20"/>
                <w:szCs w:val="20"/>
                <w:color w:val="auto"/>
              </w:rPr>
            </w:pPr>
            <w:r>
              <w:rPr>
                <w:rFonts w:ascii="Arial" w:cs="Arial" w:eastAsia="Arial" w:hAnsi="Arial"/>
                <w:sz w:val="14"/>
                <w:szCs w:val="14"/>
                <w:color w:val="auto"/>
              </w:rPr>
              <w:t>103.5%</w:t>
            </w:r>
          </w:p>
        </w:tc>
        <w:tc>
          <w:tcPr>
            <w:tcW w:w="11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107.6%</w:t>
            </w:r>
          </w:p>
        </w:tc>
        <w:tc>
          <w:tcPr>
            <w:tcW w:w="860" w:type="dxa"/>
            <w:vAlign w:val="bottom"/>
          </w:tcPr>
          <w:p>
            <w:pPr>
              <w:jc w:val="center"/>
              <w:ind w:left="188"/>
              <w:spacing w:after="0" w:line="145" w:lineRule="exact"/>
              <w:rPr>
                <w:sz w:val="20"/>
                <w:szCs w:val="20"/>
                <w:color w:val="auto"/>
              </w:rPr>
            </w:pPr>
            <w:r>
              <w:rPr>
                <w:rFonts w:ascii="Arial" w:cs="Arial" w:eastAsia="Arial" w:hAnsi="Arial"/>
                <w:sz w:val="14"/>
                <w:szCs w:val="14"/>
                <w:color w:val="auto"/>
              </w:rPr>
              <w:t>409 bps</w:t>
            </w:r>
          </w:p>
        </w:tc>
        <w:tc>
          <w:tcPr>
            <w:tcW w:w="1400" w:type="dxa"/>
            <w:vAlign w:val="bottom"/>
            <w:tcBorders>
              <w:right w:val="single" w:sz="8" w:color="auto"/>
            </w:tcBorders>
          </w:tcPr>
          <w:p>
            <w:pPr>
              <w:jc w:val="center"/>
              <w:ind w:left="208"/>
              <w:spacing w:after="0" w:line="145" w:lineRule="exact"/>
              <w:rPr>
                <w:sz w:val="20"/>
                <w:szCs w:val="20"/>
                <w:color w:val="auto"/>
              </w:rPr>
            </w:pPr>
            <w:r>
              <w:rPr>
                <w:rFonts w:ascii="Arial" w:cs="Arial" w:eastAsia="Arial" w:hAnsi="Arial"/>
                <w:sz w:val="14"/>
                <w:szCs w:val="14"/>
                <w:color w:val="auto"/>
              </w:rPr>
              <w:t>1678 bps</w:t>
            </w:r>
          </w:p>
        </w:tc>
      </w:tr>
      <w:tr>
        <w:trPr>
          <w:trHeight w:val="321"/>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 xml:space="preserve">Cost of risk </w:t>
            </w:r>
            <w:r>
              <w:rPr>
                <w:rFonts w:ascii="Arial" w:cs="Arial" w:eastAsia="Arial" w:hAnsi="Arial"/>
                <w:sz w:val="23"/>
                <w:szCs w:val="23"/>
                <w:color w:val="auto"/>
                <w:vertAlign w:val="superscript"/>
              </w:rPr>
              <w:t>(4)</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2.1%</w:t>
            </w:r>
          </w:p>
        </w:tc>
        <w:tc>
          <w:tcPr>
            <w:tcW w:w="1120" w:type="dxa"/>
            <w:vAlign w:val="bottom"/>
          </w:tcPr>
          <w:p>
            <w:pPr>
              <w:jc w:val="center"/>
              <w:spacing w:after="0"/>
              <w:rPr>
                <w:sz w:val="20"/>
                <w:szCs w:val="20"/>
                <w:color w:val="auto"/>
              </w:rPr>
            </w:pPr>
            <w:r>
              <w:rPr>
                <w:rFonts w:ascii="Arial" w:cs="Arial" w:eastAsia="Arial" w:hAnsi="Arial"/>
                <w:sz w:val="14"/>
                <w:szCs w:val="14"/>
                <w:color w:val="auto"/>
              </w:rPr>
              <w:t>1.8%</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w:t>
            </w:r>
          </w:p>
        </w:tc>
        <w:tc>
          <w:tcPr>
            <w:tcW w:w="860" w:type="dxa"/>
            <w:vAlign w:val="bottom"/>
          </w:tcPr>
          <w:p>
            <w:pPr>
              <w:jc w:val="center"/>
              <w:ind w:left="188"/>
              <w:spacing w:after="0"/>
              <w:rPr>
                <w:sz w:val="20"/>
                <w:szCs w:val="20"/>
                <w:color w:val="auto"/>
              </w:rPr>
            </w:pPr>
            <w:r>
              <w:rPr>
                <w:rFonts w:ascii="Arial" w:cs="Arial" w:eastAsia="Arial" w:hAnsi="Arial"/>
                <w:sz w:val="14"/>
                <w:szCs w:val="14"/>
                <w:color w:val="auto"/>
              </w:rPr>
              <w:t>-53 bps</w:t>
            </w:r>
          </w:p>
        </w:tc>
        <w:tc>
          <w:tcPr>
            <w:tcW w:w="1400" w:type="dxa"/>
            <w:vAlign w:val="bottom"/>
            <w:tcBorders>
              <w:right w:val="single" w:sz="8" w:color="auto"/>
            </w:tcBorders>
          </w:tcPr>
          <w:p>
            <w:pPr>
              <w:jc w:val="center"/>
              <w:ind w:left="208"/>
              <w:spacing w:after="0"/>
              <w:rPr>
                <w:sz w:val="20"/>
                <w:szCs w:val="20"/>
                <w:color w:val="auto"/>
              </w:rPr>
            </w:pPr>
            <w:r>
              <w:rPr>
                <w:rFonts w:ascii="Arial" w:cs="Arial" w:eastAsia="Arial" w:hAnsi="Arial"/>
                <w:sz w:val="14"/>
                <w:szCs w:val="14"/>
                <w:color w:val="auto"/>
              </w:rPr>
              <w:t>-78 bps</w:t>
            </w:r>
          </w:p>
        </w:tc>
      </w:tr>
      <w:tr>
        <w:trPr>
          <w:trHeight w:val="165"/>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Operating efficiency</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r>
      <w:tr>
        <w:trPr>
          <w:trHeight w:val="162"/>
        </w:trPr>
        <w:tc>
          <w:tcPr>
            <w:tcW w:w="508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2"/>
                <w:szCs w:val="12"/>
                <w:color w:val="auto"/>
              </w:rPr>
              <w:t xml:space="preserve">Operating expenses / Total income </w:t>
            </w:r>
            <w:r>
              <w:rPr>
                <w:rFonts w:ascii="Arial" w:cs="Arial" w:eastAsia="Arial" w:hAnsi="Arial"/>
                <w:sz w:val="18"/>
                <w:szCs w:val="18"/>
                <w:color w:val="auto"/>
                <w:vertAlign w:val="superscript"/>
              </w:rPr>
              <w:t>(5)</w:t>
            </w:r>
          </w:p>
        </w:tc>
        <w:tc>
          <w:tcPr>
            <w:tcW w:w="1100" w:type="dxa"/>
            <w:vAlign w:val="bottom"/>
          </w:tcPr>
          <w:p>
            <w:pPr>
              <w:jc w:val="center"/>
              <w:spacing w:after="0"/>
              <w:rPr>
                <w:sz w:val="20"/>
                <w:szCs w:val="20"/>
                <w:color w:val="auto"/>
              </w:rPr>
            </w:pPr>
            <w:r>
              <w:rPr>
                <w:rFonts w:ascii="Arial" w:cs="Arial" w:eastAsia="Arial" w:hAnsi="Arial"/>
                <w:sz w:val="14"/>
                <w:szCs w:val="14"/>
                <w:color w:val="auto"/>
              </w:rPr>
              <w:t>35.1%</w:t>
            </w:r>
          </w:p>
        </w:tc>
        <w:tc>
          <w:tcPr>
            <w:tcW w:w="1120" w:type="dxa"/>
            <w:vAlign w:val="bottom"/>
          </w:tcPr>
          <w:p>
            <w:pPr>
              <w:jc w:val="center"/>
              <w:spacing w:after="0"/>
              <w:rPr>
                <w:sz w:val="20"/>
                <w:szCs w:val="20"/>
                <w:color w:val="auto"/>
              </w:rPr>
            </w:pPr>
            <w:r>
              <w:rPr>
                <w:rFonts w:ascii="Arial" w:cs="Arial" w:eastAsia="Arial" w:hAnsi="Arial"/>
                <w:sz w:val="14"/>
                <w:szCs w:val="14"/>
                <w:color w:val="auto"/>
              </w:rPr>
              <w:t>43.7%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37.7%</w:t>
            </w:r>
          </w:p>
        </w:tc>
        <w:tc>
          <w:tcPr>
            <w:tcW w:w="860" w:type="dxa"/>
            <w:vAlign w:val="bottom"/>
          </w:tcPr>
          <w:p>
            <w:pPr>
              <w:jc w:val="center"/>
              <w:ind w:left="188"/>
              <w:spacing w:after="0"/>
              <w:rPr>
                <w:sz w:val="20"/>
                <w:szCs w:val="20"/>
                <w:color w:val="auto"/>
              </w:rPr>
            </w:pPr>
            <w:r>
              <w:rPr>
                <w:rFonts w:ascii="Arial" w:cs="Arial" w:eastAsia="Arial" w:hAnsi="Arial"/>
                <w:sz w:val="14"/>
                <w:szCs w:val="14"/>
                <w:color w:val="auto"/>
              </w:rPr>
              <w:t>-600 bps</w:t>
            </w:r>
          </w:p>
        </w:tc>
        <w:tc>
          <w:tcPr>
            <w:tcW w:w="1400" w:type="dxa"/>
            <w:vAlign w:val="bottom"/>
            <w:tcBorders>
              <w:right w:val="single" w:sz="8" w:color="auto"/>
            </w:tcBorders>
          </w:tcPr>
          <w:p>
            <w:pPr>
              <w:jc w:val="center"/>
              <w:ind w:left="188"/>
              <w:spacing w:after="0"/>
              <w:rPr>
                <w:sz w:val="20"/>
                <w:szCs w:val="20"/>
                <w:color w:val="auto"/>
              </w:rPr>
            </w:pPr>
            <w:r>
              <w:rPr>
                <w:rFonts w:ascii="Arial" w:cs="Arial" w:eastAsia="Arial" w:hAnsi="Arial"/>
                <w:sz w:val="14"/>
                <w:szCs w:val="14"/>
                <w:color w:val="auto"/>
              </w:rPr>
              <w:t>263 bps</w:t>
            </w:r>
          </w:p>
        </w:tc>
      </w:tr>
      <w:tr>
        <w:trPr>
          <w:trHeight w:val="188"/>
        </w:trPr>
        <w:tc>
          <w:tcPr>
            <w:tcW w:w="5080" w:type="dxa"/>
            <w:vAlign w:val="bottom"/>
            <w:tcBorders>
              <w:left w:val="single" w:sz="8" w:color="auto"/>
              <w:bottom w:val="single" w:sz="8" w:color="auto"/>
              <w:right w:val="single" w:sz="8" w:color="auto"/>
            </w:tcBorders>
          </w:tcPr>
          <w:p>
            <w:pPr>
              <w:ind w:left="160"/>
              <w:spacing w:after="0" w:line="188" w:lineRule="exact"/>
              <w:rPr>
                <w:sz w:val="20"/>
                <w:szCs w:val="20"/>
                <w:color w:val="auto"/>
              </w:rPr>
            </w:pPr>
            <w:r>
              <w:rPr>
                <w:rFonts w:ascii="Arial" w:cs="Arial" w:eastAsia="Arial" w:hAnsi="Arial"/>
                <w:sz w:val="13"/>
                <w:szCs w:val="13"/>
                <w:color w:val="auto"/>
              </w:rPr>
              <w:t xml:space="preserve">Operating expenses / Total average assets </w:t>
            </w:r>
            <w:r>
              <w:rPr>
                <w:rFonts w:ascii="Arial" w:cs="Arial" w:eastAsia="Arial" w:hAnsi="Arial"/>
                <w:sz w:val="21"/>
                <w:szCs w:val="21"/>
                <w:color w:val="auto"/>
                <w:vertAlign w:val="superscript"/>
              </w:rPr>
              <w:t>(1)(2)(5)</w:t>
            </w: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2.8%</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3.5%</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3.0%</w:t>
            </w:r>
          </w:p>
        </w:tc>
        <w:tc>
          <w:tcPr>
            <w:tcW w:w="86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-57 bps</w:t>
            </w:r>
          </w:p>
        </w:tc>
        <w:tc>
          <w:tcPr>
            <w:tcW w:w="140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color w:val="auto"/>
              </w:rPr>
              <w:t>18 bps</w:t>
            </w:r>
          </w:p>
        </w:tc>
      </w:tr>
    </w:tbl>
    <w:p>
      <w:pPr>
        <w:ind w:left="980" w:hanging="180"/>
        <w:spacing w:after="0"/>
        <w:tabs>
          <w:tab w:leader="none" w:pos="9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Ratios are annualized.</w:t>
      </w:r>
    </w:p>
    <w:p>
      <w:pPr>
        <w:ind w:left="980" w:hanging="180"/>
        <w:spacing w:after="0" w:line="234" w:lineRule="auto"/>
        <w:tabs>
          <w:tab w:leader="none" w:pos="9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Averages are determined as the average of period-beginning and period-ending balances.</w:t>
      </w:r>
    </w:p>
    <w:p>
      <w:pPr>
        <w:ind w:left="800" w:right="380"/>
        <w:spacing w:after="0" w:line="234" w:lineRule="auto"/>
        <w:tabs>
          <w:tab w:leader="none" w:pos="975"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980" w:hanging="180"/>
        <w:spacing w:after="0" w:line="234" w:lineRule="auto"/>
        <w:tabs>
          <w:tab w:leader="none" w:pos="9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Cost of risk: Annualized provision for loan losses / Average total loans.</w:t>
      </w:r>
    </w:p>
    <w:p>
      <w:pPr>
        <w:ind w:left="800" w:right="20"/>
        <w:spacing w:after="0" w:line="241" w:lineRule="auto"/>
        <w:tabs>
          <w:tab w:leader="none" w:pos="975" w:val="left"/>
        </w:tabs>
        <w:numPr>
          <w:ilvl w:val="0"/>
          <w:numId w:val="64"/>
        </w:numPr>
        <w:rPr>
          <w:rFonts w:ascii="Arial" w:cs="Arial" w:eastAsia="Arial" w:hAnsi="Arial"/>
          <w:sz w:val="12"/>
          <w:szCs w:val="12"/>
          <w:color w:val="auto"/>
        </w:rPr>
      </w:pPr>
      <w:r>
        <w:rPr>
          <w:rFonts w:ascii="Arial" w:cs="Arial" w:eastAsia="Arial" w:hAnsi="Arial"/>
          <w:sz w:val="12"/>
          <w:szCs w:val="12"/>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40640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314" w:right="339" w:bottom="1440" w:gutter="0" w:footer="0" w:header="0"/>
        </w:sectPr>
      </w:pPr>
    </w:p>
    <w:bookmarkStart w:id="67" w:name="page68"/>
    <w:bookmarkEnd w:id="67"/>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12.6.5. BCP Bolivia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BCP BOLIVIA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S/ Thousands, IFRS)</w:t>
      </w:r>
    </w:p>
    <w:p>
      <w:pPr>
        <w:spacing w:after="0" w:line="172" w:lineRule="exact"/>
        <w:rPr>
          <w:sz w:val="20"/>
          <w:szCs w:val="20"/>
          <w:color w:val="auto"/>
        </w:rPr>
      </w:pPr>
    </w:p>
    <w:tbl>
      <w:tblPr>
        <w:tblLayout w:type="fixed"/>
        <w:tblInd w:w="310" w:type="dxa"/>
        <w:tblCellMar>
          <w:top w:w="0" w:type="dxa"/>
          <w:left w:w="0" w:type="dxa"/>
          <w:bottom w:w="0" w:type="dxa"/>
          <w:right w:w="0" w:type="dxa"/>
        </w:tblCellMar>
      </w:tblPr>
      <w:tr>
        <w:trPr>
          <w:trHeight w:val="180"/>
        </w:trPr>
        <w:tc>
          <w:tcPr>
            <w:tcW w:w="3800" w:type="dxa"/>
            <w:vAlign w:val="bottom"/>
            <w:tcBorders>
              <w:top w:val="single" w:sz="8" w:color="auto"/>
              <w:left w:val="single" w:sz="8" w:color="auto"/>
            </w:tcBorders>
            <w:shd w:val="clear" w:color="auto" w:fill="2AD2C8"/>
          </w:tcPr>
          <w:p>
            <w:pPr>
              <w:spacing w:after="0"/>
              <w:rPr>
                <w:sz w:val="15"/>
                <w:szCs w:val="15"/>
                <w:color w:val="auto"/>
              </w:rPr>
            </w:pPr>
          </w:p>
        </w:tc>
        <w:tc>
          <w:tcPr>
            <w:tcW w:w="1480" w:type="dxa"/>
            <w:vAlign w:val="bottom"/>
            <w:tcBorders>
              <w:top w:val="single" w:sz="8" w:color="auto"/>
              <w:right w:val="single" w:sz="8" w:color="auto"/>
            </w:tcBorders>
            <w:shd w:val="clear" w:color="auto" w:fill="2AD2C8"/>
          </w:tcPr>
          <w:p>
            <w:pPr>
              <w:spacing w:after="0"/>
              <w:rPr>
                <w:sz w:val="15"/>
                <w:szCs w:val="15"/>
                <w:color w:val="auto"/>
              </w:rPr>
            </w:pPr>
          </w:p>
        </w:tc>
        <w:tc>
          <w:tcPr>
            <w:tcW w:w="1240" w:type="dxa"/>
            <w:vAlign w:val="bottom"/>
            <w:tcBorders>
              <w:top w:val="single" w:sz="8" w:color="auto"/>
            </w:tcBorders>
            <w:shd w:val="clear" w:color="auto" w:fill="2AD2C8"/>
          </w:tcPr>
          <w:p>
            <w:pPr>
              <w:spacing w:after="0"/>
              <w:rPr>
                <w:sz w:val="15"/>
                <w:szCs w:val="15"/>
                <w:color w:val="auto"/>
              </w:rPr>
            </w:pPr>
          </w:p>
        </w:tc>
        <w:tc>
          <w:tcPr>
            <w:tcW w:w="980" w:type="dxa"/>
            <w:vAlign w:val="bottom"/>
            <w:tcBorders>
              <w:top w:val="single" w:sz="8" w:color="auto"/>
            </w:tcBorders>
            <w:shd w:val="clear" w:color="auto" w:fill="2AD2C8"/>
          </w:tcPr>
          <w:p>
            <w:pPr>
              <w:ind w:left="240"/>
              <w:spacing w:after="0"/>
              <w:rPr>
                <w:sz w:val="20"/>
                <w:szCs w:val="20"/>
                <w:color w:val="auto"/>
              </w:rPr>
            </w:pPr>
            <w:r>
              <w:rPr>
                <w:rFonts w:ascii="Arial" w:cs="Arial" w:eastAsia="Arial" w:hAnsi="Arial"/>
                <w:sz w:val="13"/>
                <w:szCs w:val="13"/>
                <w:b w:val="1"/>
                <w:bCs w:val="1"/>
                <w:color w:val="FFFFFF"/>
              </w:rPr>
              <w:t>As of</w:t>
            </w:r>
          </w:p>
        </w:tc>
        <w:tc>
          <w:tcPr>
            <w:tcW w:w="1120" w:type="dxa"/>
            <w:vAlign w:val="bottom"/>
            <w:tcBorders>
              <w:top w:val="single" w:sz="8" w:color="auto"/>
              <w:right w:val="single" w:sz="8" w:color="auto"/>
            </w:tcBorders>
            <w:shd w:val="clear" w:color="auto" w:fill="2AD2C8"/>
          </w:tcPr>
          <w:p>
            <w:pPr>
              <w:spacing w:after="0"/>
              <w:rPr>
                <w:sz w:val="15"/>
                <w:szCs w:val="15"/>
                <w:color w:val="auto"/>
              </w:rPr>
            </w:pPr>
          </w:p>
        </w:tc>
        <w:tc>
          <w:tcPr>
            <w:tcW w:w="2040" w:type="dxa"/>
            <w:vAlign w:val="bottom"/>
            <w:tcBorders>
              <w:top w:val="single" w:sz="8" w:color="auto"/>
              <w:right w:val="single" w:sz="8" w:color="auto"/>
            </w:tcBorders>
            <w:gridSpan w:val="2"/>
            <w:shd w:val="clear" w:color="auto" w:fill="2AD2C8"/>
          </w:tcPr>
          <w:p>
            <w:pPr>
              <w:jc w:val="center"/>
              <w:spacing w:after="0"/>
              <w:rPr>
                <w:sz w:val="20"/>
                <w:szCs w:val="20"/>
                <w:color w:val="auto"/>
              </w:rPr>
            </w:pPr>
            <w:r>
              <w:rPr>
                <w:rFonts w:ascii="Arial" w:cs="Arial" w:eastAsia="Arial" w:hAnsi="Arial"/>
                <w:sz w:val="13"/>
                <w:szCs w:val="13"/>
                <w:b w:val="1"/>
                <w:bCs w:val="1"/>
                <w:color w:val="FFFFFF"/>
                <w:w w:val="98"/>
              </w:rPr>
              <w:t>% change</w:t>
            </w:r>
          </w:p>
        </w:tc>
        <w:tc>
          <w:tcPr>
            <w:tcW w:w="0" w:type="dxa"/>
            <w:vAlign w:val="bottom"/>
          </w:tcPr>
          <w:p>
            <w:pPr>
              <w:spacing w:after="0"/>
              <w:rPr>
                <w:sz w:val="1"/>
                <w:szCs w:val="1"/>
                <w:color w:val="auto"/>
              </w:rPr>
            </w:pPr>
          </w:p>
        </w:tc>
      </w:tr>
      <w:tr>
        <w:trPr>
          <w:trHeight w:val="212"/>
        </w:trPr>
        <w:tc>
          <w:tcPr>
            <w:tcW w:w="3800" w:type="dxa"/>
            <w:vAlign w:val="bottom"/>
            <w:tcBorders>
              <w:left w:val="single" w:sz="8" w:color="auto"/>
              <w:bottom w:val="single" w:sz="8" w:color="auto"/>
            </w:tcBorders>
            <w:shd w:val="clear" w:color="auto" w:fill="2AD2C8"/>
          </w:tcPr>
          <w:p>
            <w:pPr>
              <w:spacing w:after="0"/>
              <w:rPr>
                <w:sz w:val="18"/>
                <w:szCs w:val="18"/>
                <w:color w:val="auto"/>
              </w:rPr>
            </w:pPr>
          </w:p>
        </w:tc>
        <w:tc>
          <w:tcPr>
            <w:tcW w:w="1480" w:type="dxa"/>
            <w:vAlign w:val="bottom"/>
            <w:tcBorders>
              <w:bottom w:val="single" w:sz="8" w:color="auto"/>
              <w:right w:val="single" w:sz="8" w:color="auto"/>
            </w:tcBorders>
            <w:shd w:val="clear" w:color="auto" w:fill="2AD2C8"/>
          </w:tcPr>
          <w:p>
            <w:pPr>
              <w:spacing w:after="0"/>
              <w:rPr>
                <w:sz w:val="18"/>
                <w:szCs w:val="18"/>
                <w:color w:val="auto"/>
              </w:rPr>
            </w:pPr>
          </w:p>
        </w:tc>
        <w:tc>
          <w:tcPr>
            <w:tcW w:w="1240" w:type="dxa"/>
            <w:vAlign w:val="bottom"/>
            <w:tcBorders>
              <w:bottom w:val="single" w:sz="8" w:color="auto"/>
            </w:tcBorders>
            <w:shd w:val="clear" w:color="auto" w:fill="2AD2C8"/>
          </w:tcPr>
          <w:p>
            <w:pPr>
              <w:ind w:left="340"/>
              <w:spacing w:after="0"/>
              <w:rPr>
                <w:sz w:val="20"/>
                <w:szCs w:val="20"/>
                <w:color w:val="auto"/>
              </w:rPr>
            </w:pPr>
            <w:r>
              <w:rPr>
                <w:rFonts w:ascii="Arial" w:cs="Arial" w:eastAsia="Arial" w:hAnsi="Arial"/>
                <w:sz w:val="14"/>
                <w:szCs w:val="14"/>
                <w:b w:val="1"/>
                <w:bCs w:val="1"/>
                <w:color w:val="FFFFFF"/>
              </w:rPr>
              <w:t>Mar 24</w:t>
            </w:r>
          </w:p>
        </w:tc>
        <w:tc>
          <w:tcPr>
            <w:tcW w:w="980" w:type="dxa"/>
            <w:vAlign w:val="bottom"/>
            <w:tcBorders>
              <w:bottom w:val="single" w:sz="8" w:color="auto"/>
            </w:tcBorders>
            <w:shd w:val="clear" w:color="auto" w:fill="2AD2C8"/>
          </w:tcPr>
          <w:p>
            <w:pPr>
              <w:jc w:val="center"/>
              <w:ind w:right="97"/>
              <w:spacing w:after="0"/>
              <w:rPr>
                <w:sz w:val="20"/>
                <w:szCs w:val="20"/>
                <w:color w:val="auto"/>
              </w:rPr>
            </w:pPr>
            <w:r>
              <w:rPr>
                <w:rFonts w:ascii="Arial" w:cs="Arial" w:eastAsia="Arial" w:hAnsi="Arial"/>
                <w:sz w:val="14"/>
                <w:szCs w:val="14"/>
                <w:b w:val="1"/>
                <w:bCs w:val="1"/>
                <w:color w:val="FFFFFF"/>
              </w:rPr>
              <w:t>Dec 24</w:t>
            </w:r>
          </w:p>
        </w:tc>
        <w:tc>
          <w:tcPr>
            <w:tcW w:w="112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4"/>
                <w:szCs w:val="14"/>
                <w:b w:val="1"/>
                <w:bCs w:val="1"/>
                <w:color w:val="FFFFFF"/>
              </w:rPr>
              <w:t>Mar 25</w:t>
            </w:r>
          </w:p>
        </w:tc>
        <w:tc>
          <w:tcPr>
            <w:tcW w:w="98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6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w w:val="86"/>
              </w:rPr>
              <w:t>YoY</w:t>
            </w:r>
          </w:p>
        </w:tc>
        <w:tc>
          <w:tcPr>
            <w:tcW w:w="0" w:type="dxa"/>
            <w:vAlign w:val="bottom"/>
          </w:tcPr>
          <w:p>
            <w:pPr>
              <w:spacing w:after="0"/>
              <w:rPr>
                <w:sz w:val="1"/>
                <w:szCs w:val="1"/>
                <w:color w:val="auto"/>
              </w:rPr>
            </w:pPr>
          </w:p>
        </w:tc>
      </w:tr>
      <w:tr>
        <w:trPr>
          <w:trHeight w:val="124"/>
        </w:trPr>
        <w:tc>
          <w:tcPr>
            <w:tcW w:w="3800" w:type="dxa"/>
            <w:vAlign w:val="bottom"/>
            <w:tcBorders>
              <w:left w:val="single" w:sz="8" w:color="auto"/>
            </w:tcBorders>
          </w:tcPr>
          <w:p>
            <w:pPr>
              <w:spacing w:after="0" w:line="124" w:lineRule="exact"/>
              <w:rPr>
                <w:sz w:val="20"/>
                <w:szCs w:val="20"/>
                <w:color w:val="auto"/>
              </w:rPr>
            </w:pPr>
            <w:r>
              <w:rPr>
                <w:rFonts w:ascii="Arial" w:cs="Arial" w:eastAsia="Arial" w:hAnsi="Arial"/>
                <w:sz w:val="13"/>
                <w:szCs w:val="13"/>
                <w:b w:val="1"/>
                <w:bCs w:val="1"/>
                <w:color w:val="auto"/>
              </w:rPr>
              <w:t>ASSETS</w:t>
            </w:r>
          </w:p>
        </w:tc>
        <w:tc>
          <w:tcPr>
            <w:tcW w:w="148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Cash and due from banks</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6"/>
              </w:rPr>
              <w:t>2,374,484</w:t>
            </w: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6"/>
              </w:rPr>
              <w:t>2,216,270</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1,646,883</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7"/>
              </w:rPr>
              <w:t>-25.7%</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-30.6%</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Investments</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6"/>
              </w:rPr>
              <w:t>1,578,839</w:t>
            </w: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6"/>
              </w:rPr>
              <w:t>1,739,760</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1,248,084</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7"/>
              </w:rPr>
              <w:t>-28.3%</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-20.9%</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b w:val="1"/>
                <w:bCs w:val="1"/>
                <w:color w:val="auto"/>
              </w:rPr>
              <w:t>Loans</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9,739,036</w:t>
            </w: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9,938,971</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6,293,810</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-36.7%</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-35.4%</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ind w:left="160"/>
              <w:spacing w:after="0" w:line="135" w:lineRule="exact"/>
              <w:rPr>
                <w:sz w:val="20"/>
                <w:szCs w:val="20"/>
                <w:color w:val="auto"/>
              </w:rPr>
            </w:pPr>
            <w:r>
              <w:rPr>
                <w:rFonts w:ascii="Arial" w:cs="Arial" w:eastAsia="Arial" w:hAnsi="Arial"/>
                <w:sz w:val="13"/>
                <w:szCs w:val="13"/>
                <w:color w:val="auto"/>
              </w:rPr>
              <w:t>Current</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6"/>
              </w:rPr>
              <w:t>9,434,678</w:t>
            </w: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6"/>
              </w:rPr>
              <w:t>9,609,399</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6,075,092</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7"/>
              </w:rPr>
              <w:t>-36.8%</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-35.6%</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ind w:left="160"/>
              <w:spacing w:after="0" w:line="135" w:lineRule="exact"/>
              <w:rPr>
                <w:sz w:val="20"/>
                <w:szCs w:val="20"/>
                <w:color w:val="auto"/>
              </w:rPr>
            </w:pPr>
            <w:r>
              <w:rPr>
                <w:rFonts w:ascii="Arial" w:cs="Arial" w:eastAsia="Arial" w:hAnsi="Arial"/>
                <w:sz w:val="13"/>
                <w:szCs w:val="13"/>
                <w:color w:val="auto"/>
              </w:rPr>
              <w:t>Internal overdue loans</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7"/>
              </w:rPr>
              <w:t>250,051</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7"/>
              </w:rPr>
              <w:t>266,296</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174,431</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7"/>
              </w:rPr>
              <w:t>-34.5%</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-30.2%</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ind w:left="160"/>
              <w:spacing w:after="0" w:line="135" w:lineRule="exact"/>
              <w:rPr>
                <w:sz w:val="20"/>
                <w:szCs w:val="20"/>
                <w:color w:val="auto"/>
              </w:rPr>
            </w:pPr>
            <w:r>
              <w:rPr>
                <w:rFonts w:ascii="Arial" w:cs="Arial" w:eastAsia="Arial" w:hAnsi="Arial"/>
                <w:sz w:val="13"/>
                <w:szCs w:val="13"/>
                <w:color w:val="auto"/>
              </w:rPr>
              <w:t>Refinanced loans</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5"/>
              </w:rPr>
              <w:t>54,307</w:t>
            </w:r>
          </w:p>
        </w:tc>
        <w:tc>
          <w:tcPr>
            <w:tcW w:w="98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5"/>
              </w:rPr>
              <w:t>63,276</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44,287</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7"/>
              </w:rPr>
              <w:t>-30.0%</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-18.5%</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ind w:left="160"/>
              <w:spacing w:after="0" w:line="135" w:lineRule="exact"/>
              <w:rPr>
                <w:sz w:val="20"/>
                <w:szCs w:val="20"/>
                <w:color w:val="auto"/>
              </w:rPr>
            </w:pPr>
            <w:r>
              <w:rPr>
                <w:rFonts w:ascii="Arial" w:cs="Arial" w:eastAsia="Arial" w:hAnsi="Arial"/>
                <w:sz w:val="13"/>
                <w:szCs w:val="13"/>
                <w:color w:val="auto"/>
              </w:rPr>
              <w:t>Less - allowance for loan losses</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6"/>
              </w:rPr>
              <w:t>(352,327)</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6"/>
              </w:rPr>
              <w:t>(366,704)</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(226,534)</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7"/>
              </w:rPr>
              <w:t>-38.2%</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-35.7%</w:t>
            </w:r>
          </w:p>
        </w:tc>
        <w:tc>
          <w:tcPr>
            <w:tcW w:w="0" w:type="dxa"/>
            <w:vAlign w:val="bottom"/>
          </w:tcPr>
          <w:p>
            <w:pPr>
              <w:spacing w:after="0"/>
              <w:rPr>
                <w:sz w:val="1"/>
                <w:szCs w:val="1"/>
                <w:color w:val="auto"/>
              </w:rPr>
            </w:pPr>
          </w:p>
        </w:tc>
      </w:tr>
      <w:tr>
        <w:trPr>
          <w:trHeight w:val="148"/>
        </w:trPr>
        <w:tc>
          <w:tcPr>
            <w:tcW w:w="3800" w:type="dxa"/>
            <w:vAlign w:val="bottom"/>
            <w:tcBorders>
              <w:left w:val="single" w:sz="8" w:color="auto"/>
            </w:tcBorders>
          </w:tcPr>
          <w:p>
            <w:pPr>
              <w:spacing w:after="0"/>
              <w:rPr>
                <w:sz w:val="20"/>
                <w:szCs w:val="20"/>
                <w:color w:val="auto"/>
              </w:rPr>
            </w:pPr>
            <w:r>
              <w:rPr>
                <w:rFonts w:ascii="Arial" w:cs="Arial" w:eastAsia="Arial" w:hAnsi="Arial"/>
                <w:sz w:val="13"/>
                <w:szCs w:val="13"/>
                <w:b w:val="1"/>
                <w:bCs w:val="1"/>
                <w:color w:val="auto"/>
              </w:rPr>
              <w:t>Loans, net</w:t>
            </w:r>
          </w:p>
        </w:tc>
        <w:tc>
          <w:tcPr>
            <w:tcW w:w="1480" w:type="dxa"/>
            <w:vAlign w:val="bottom"/>
            <w:tcBorders>
              <w:right w:val="single" w:sz="8" w:color="auto"/>
            </w:tcBorders>
          </w:tcPr>
          <w:p>
            <w:pPr>
              <w:spacing w:after="0"/>
              <w:rPr>
                <w:sz w:val="12"/>
                <w:szCs w:val="12"/>
                <w:color w:val="auto"/>
              </w:rPr>
            </w:pPr>
          </w:p>
        </w:tc>
        <w:tc>
          <w:tcPr>
            <w:tcW w:w="124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9,386,709</w:t>
            </w:r>
          </w:p>
        </w:tc>
        <w:tc>
          <w:tcPr>
            <w:tcW w:w="98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9,572,267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6,067,276</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-36.6%</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-35.4%</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Property, furniture and equipment, net</w:t>
            </w:r>
          </w:p>
        </w:tc>
        <w:tc>
          <w:tcPr>
            <w:tcW w:w="1480" w:type="dxa"/>
            <w:vAlign w:val="bottom"/>
            <w:tcBorders>
              <w:right w:val="single" w:sz="8" w:color="auto"/>
            </w:tcBorders>
          </w:tcPr>
          <w:p>
            <w:pPr>
              <w:spacing w:after="0"/>
              <w:rPr>
                <w:sz w:val="12"/>
                <w:szCs w:val="12"/>
                <w:color w:val="auto"/>
              </w:rPr>
            </w:pPr>
          </w:p>
        </w:tc>
        <w:tc>
          <w:tcPr>
            <w:tcW w:w="1240" w:type="dxa"/>
            <w:vAlign w:val="bottom"/>
          </w:tcPr>
          <w:p>
            <w:pPr>
              <w:jc w:val="center"/>
              <w:ind w:right="77"/>
              <w:spacing w:after="0"/>
              <w:rPr>
                <w:sz w:val="20"/>
                <w:szCs w:val="20"/>
                <w:color w:val="auto"/>
              </w:rPr>
            </w:pPr>
            <w:r>
              <w:rPr>
                <w:rFonts w:ascii="Arial" w:cs="Arial" w:eastAsia="Arial" w:hAnsi="Arial"/>
                <w:sz w:val="13"/>
                <w:szCs w:val="13"/>
                <w:color w:val="auto"/>
                <w:w w:val="95"/>
              </w:rPr>
              <w:t>65,712</w:t>
            </w:r>
          </w:p>
        </w:tc>
        <w:tc>
          <w:tcPr>
            <w:tcW w:w="980" w:type="dxa"/>
            <w:vAlign w:val="bottom"/>
          </w:tcPr>
          <w:p>
            <w:pPr>
              <w:jc w:val="center"/>
              <w:ind w:right="97"/>
              <w:spacing w:after="0"/>
              <w:rPr>
                <w:sz w:val="20"/>
                <w:szCs w:val="20"/>
                <w:color w:val="auto"/>
              </w:rPr>
            </w:pPr>
            <w:r>
              <w:rPr>
                <w:rFonts w:ascii="Arial" w:cs="Arial" w:eastAsia="Arial" w:hAnsi="Arial"/>
                <w:sz w:val="13"/>
                <w:szCs w:val="13"/>
                <w:color w:val="auto"/>
                <w:w w:val="97"/>
              </w:rPr>
              <w:t>132,210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81,105</w:t>
            </w:r>
          </w:p>
        </w:tc>
        <w:tc>
          <w:tcPr>
            <w:tcW w:w="980" w:type="dxa"/>
            <w:vAlign w:val="bottom"/>
          </w:tcPr>
          <w:p>
            <w:pPr>
              <w:jc w:val="center"/>
              <w:spacing w:after="0"/>
              <w:rPr>
                <w:sz w:val="20"/>
                <w:szCs w:val="20"/>
                <w:color w:val="auto"/>
              </w:rPr>
            </w:pPr>
            <w:r>
              <w:rPr>
                <w:rFonts w:ascii="Arial" w:cs="Arial" w:eastAsia="Arial" w:hAnsi="Arial"/>
                <w:sz w:val="13"/>
                <w:szCs w:val="13"/>
                <w:color w:val="auto"/>
                <w:w w:val="97"/>
              </w:rPr>
              <w:t>-38.7%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23.4%</w:t>
            </w:r>
          </w:p>
        </w:tc>
        <w:tc>
          <w:tcPr>
            <w:tcW w:w="0" w:type="dxa"/>
            <w:vAlign w:val="bottom"/>
          </w:tcPr>
          <w:p>
            <w:pPr>
              <w:spacing w:after="0"/>
              <w:rPr>
                <w:sz w:val="1"/>
                <w:szCs w:val="1"/>
                <w:color w:val="auto"/>
              </w:rPr>
            </w:pPr>
          </w:p>
        </w:tc>
      </w:tr>
      <w:tr>
        <w:trPr>
          <w:trHeight w:val="148"/>
        </w:trPr>
        <w:tc>
          <w:tcPr>
            <w:tcW w:w="380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Other assets</w:t>
            </w:r>
          </w:p>
        </w:tc>
        <w:tc>
          <w:tcPr>
            <w:tcW w:w="1480" w:type="dxa"/>
            <w:vAlign w:val="bottom"/>
            <w:tcBorders>
              <w:right w:val="single" w:sz="8" w:color="auto"/>
            </w:tcBorders>
          </w:tcPr>
          <w:p>
            <w:pPr>
              <w:spacing w:after="0"/>
              <w:rPr>
                <w:sz w:val="12"/>
                <w:szCs w:val="12"/>
                <w:color w:val="auto"/>
              </w:rPr>
            </w:pPr>
          </w:p>
        </w:tc>
        <w:tc>
          <w:tcPr>
            <w:tcW w:w="1240" w:type="dxa"/>
            <w:vAlign w:val="bottom"/>
          </w:tcPr>
          <w:p>
            <w:pPr>
              <w:jc w:val="center"/>
              <w:ind w:right="77"/>
              <w:spacing w:after="0"/>
              <w:rPr>
                <w:sz w:val="20"/>
                <w:szCs w:val="20"/>
                <w:color w:val="auto"/>
              </w:rPr>
            </w:pPr>
            <w:r>
              <w:rPr>
                <w:rFonts w:ascii="Arial" w:cs="Arial" w:eastAsia="Arial" w:hAnsi="Arial"/>
                <w:sz w:val="13"/>
                <w:szCs w:val="13"/>
                <w:color w:val="auto"/>
                <w:w w:val="97"/>
              </w:rPr>
              <w:t>339,171</w:t>
            </w:r>
          </w:p>
        </w:tc>
        <w:tc>
          <w:tcPr>
            <w:tcW w:w="980" w:type="dxa"/>
            <w:vAlign w:val="bottom"/>
          </w:tcPr>
          <w:p>
            <w:pPr>
              <w:jc w:val="center"/>
              <w:ind w:right="97"/>
              <w:spacing w:after="0"/>
              <w:rPr>
                <w:sz w:val="20"/>
                <w:szCs w:val="20"/>
                <w:color w:val="auto"/>
              </w:rPr>
            </w:pPr>
            <w:r>
              <w:rPr>
                <w:rFonts w:ascii="Arial" w:cs="Arial" w:eastAsia="Arial" w:hAnsi="Arial"/>
                <w:sz w:val="13"/>
                <w:szCs w:val="13"/>
                <w:color w:val="auto"/>
                <w:w w:val="97"/>
              </w:rPr>
              <w:t>314,226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210,298</w:t>
            </w:r>
          </w:p>
        </w:tc>
        <w:tc>
          <w:tcPr>
            <w:tcW w:w="980" w:type="dxa"/>
            <w:vAlign w:val="bottom"/>
          </w:tcPr>
          <w:p>
            <w:pPr>
              <w:jc w:val="center"/>
              <w:spacing w:after="0"/>
              <w:rPr>
                <w:sz w:val="20"/>
                <w:szCs w:val="20"/>
                <w:color w:val="auto"/>
              </w:rPr>
            </w:pPr>
            <w:r>
              <w:rPr>
                <w:rFonts w:ascii="Arial" w:cs="Arial" w:eastAsia="Arial" w:hAnsi="Arial"/>
                <w:sz w:val="13"/>
                <w:szCs w:val="13"/>
                <w:color w:val="auto"/>
                <w:w w:val="97"/>
              </w:rPr>
              <w:t>-33.1%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-38.0%</w:t>
            </w:r>
          </w:p>
        </w:tc>
        <w:tc>
          <w:tcPr>
            <w:tcW w:w="0" w:type="dxa"/>
            <w:vAlign w:val="bottom"/>
          </w:tcPr>
          <w:p>
            <w:pPr>
              <w:spacing w:after="0"/>
              <w:rPr>
                <w:sz w:val="1"/>
                <w:szCs w:val="1"/>
                <w:color w:val="auto"/>
              </w:rPr>
            </w:pPr>
          </w:p>
        </w:tc>
      </w:tr>
      <w:tr>
        <w:trPr>
          <w:trHeight w:val="185"/>
        </w:trPr>
        <w:tc>
          <w:tcPr>
            <w:tcW w:w="3800" w:type="dxa"/>
            <w:vAlign w:val="bottom"/>
            <w:tcBorders>
              <w:left w:val="single" w:sz="8" w:color="auto"/>
            </w:tcBorders>
          </w:tcPr>
          <w:p>
            <w:pPr>
              <w:ind w:left="2280"/>
              <w:spacing w:after="0"/>
              <w:rPr>
                <w:sz w:val="20"/>
                <w:szCs w:val="20"/>
                <w:color w:val="auto"/>
              </w:rPr>
            </w:pPr>
            <w:r>
              <w:rPr>
                <w:rFonts w:ascii="Arial" w:cs="Arial" w:eastAsia="Arial" w:hAnsi="Arial"/>
                <w:sz w:val="13"/>
                <w:szCs w:val="13"/>
                <w:b w:val="1"/>
                <w:bCs w:val="1"/>
                <w:color w:val="auto"/>
              </w:rPr>
              <w:t>Total assets</w:t>
            </w:r>
          </w:p>
        </w:tc>
        <w:tc>
          <w:tcPr>
            <w:tcW w:w="1480" w:type="dxa"/>
            <w:vAlign w:val="bottom"/>
            <w:tcBorders>
              <w:right w:val="single" w:sz="8" w:color="auto"/>
            </w:tcBorders>
          </w:tcPr>
          <w:p>
            <w:pPr>
              <w:spacing w:after="0"/>
              <w:rPr>
                <w:sz w:val="16"/>
                <w:szCs w:val="16"/>
                <w:color w:val="auto"/>
              </w:rPr>
            </w:pPr>
          </w:p>
        </w:tc>
        <w:tc>
          <w:tcPr>
            <w:tcW w:w="124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13,744,915</w:t>
            </w:r>
          </w:p>
        </w:tc>
        <w:tc>
          <w:tcPr>
            <w:tcW w:w="98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13,974,733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9,253,646</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-33.8%</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-32.7%</w:t>
            </w:r>
          </w:p>
        </w:tc>
        <w:tc>
          <w:tcPr>
            <w:tcW w:w="0" w:type="dxa"/>
            <w:vAlign w:val="bottom"/>
          </w:tcPr>
          <w:p>
            <w:pPr>
              <w:spacing w:after="0"/>
              <w:rPr>
                <w:sz w:val="1"/>
                <w:szCs w:val="1"/>
                <w:color w:val="auto"/>
              </w:rPr>
            </w:pPr>
          </w:p>
        </w:tc>
      </w:tr>
      <w:tr>
        <w:trPr>
          <w:trHeight w:val="355"/>
        </w:trPr>
        <w:tc>
          <w:tcPr>
            <w:tcW w:w="3800" w:type="dxa"/>
            <w:vAlign w:val="bottom"/>
            <w:tcBorders>
              <w:left w:val="single" w:sz="8" w:color="auto"/>
            </w:tcBorders>
          </w:tcPr>
          <w:p>
            <w:pPr>
              <w:spacing w:after="0"/>
              <w:rPr>
                <w:sz w:val="20"/>
                <w:szCs w:val="20"/>
                <w:color w:val="auto"/>
              </w:rPr>
            </w:pPr>
            <w:r>
              <w:rPr>
                <w:rFonts w:ascii="Arial" w:cs="Arial" w:eastAsia="Arial" w:hAnsi="Arial"/>
                <w:sz w:val="13"/>
                <w:szCs w:val="13"/>
                <w:b w:val="1"/>
                <w:bCs w:val="1"/>
                <w:color w:val="auto"/>
              </w:rPr>
              <w:t>LIABILITIES AND NET SHAREHOLDERS’ EQUITY</w:t>
            </w:r>
          </w:p>
        </w:tc>
        <w:tc>
          <w:tcPr>
            <w:tcW w:w="1480" w:type="dxa"/>
            <w:vAlign w:val="bottom"/>
            <w:tcBorders>
              <w:right w:val="single" w:sz="8" w:color="auto"/>
            </w:tcBorders>
          </w:tcPr>
          <w:p>
            <w:pPr>
              <w:spacing w:after="0"/>
              <w:rPr>
                <w:sz w:val="24"/>
                <w:szCs w:val="24"/>
                <w:color w:val="auto"/>
              </w:rPr>
            </w:pPr>
          </w:p>
        </w:tc>
        <w:tc>
          <w:tcPr>
            <w:tcW w:w="1240" w:type="dxa"/>
            <w:vAlign w:val="bottom"/>
            <w:vMerge w:val="restart"/>
          </w:tcPr>
          <w:p>
            <w:pPr>
              <w:jc w:val="center"/>
              <w:ind w:right="77"/>
              <w:spacing w:after="0"/>
              <w:rPr>
                <w:sz w:val="20"/>
                <w:szCs w:val="20"/>
                <w:color w:val="auto"/>
              </w:rPr>
            </w:pPr>
            <w:r>
              <w:rPr>
                <w:rFonts w:ascii="Arial" w:cs="Arial" w:eastAsia="Arial" w:hAnsi="Arial"/>
                <w:sz w:val="13"/>
                <w:szCs w:val="13"/>
                <w:color w:val="auto"/>
                <w:w w:val="95"/>
              </w:rPr>
              <w:t>11,727,803</w:t>
            </w:r>
          </w:p>
        </w:tc>
        <w:tc>
          <w:tcPr>
            <w:tcW w:w="980" w:type="dxa"/>
            <w:vAlign w:val="bottom"/>
            <w:vMerge w:val="restart"/>
          </w:tcPr>
          <w:p>
            <w:pPr>
              <w:jc w:val="center"/>
              <w:ind w:right="97"/>
              <w:spacing w:after="0"/>
              <w:rPr>
                <w:sz w:val="20"/>
                <w:szCs w:val="20"/>
                <w:color w:val="auto"/>
              </w:rPr>
            </w:pPr>
            <w:r>
              <w:rPr>
                <w:rFonts w:ascii="Arial" w:cs="Arial" w:eastAsia="Arial" w:hAnsi="Arial"/>
                <w:sz w:val="13"/>
                <w:szCs w:val="13"/>
                <w:color w:val="auto"/>
                <w:w w:val="95"/>
              </w:rPr>
              <w:t>12,145,811</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7,971,085</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7"/>
              </w:rPr>
              <w:t>-34.4%</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-32.0%</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Deposits and obligations</w:t>
            </w:r>
          </w:p>
        </w:tc>
        <w:tc>
          <w:tcPr>
            <w:tcW w:w="1480" w:type="dxa"/>
            <w:vAlign w:val="bottom"/>
            <w:tcBorders>
              <w:right w:val="single" w:sz="8" w:color="auto"/>
            </w:tcBorders>
          </w:tcPr>
          <w:p>
            <w:pPr>
              <w:spacing w:after="0"/>
              <w:rPr>
                <w:sz w:val="11"/>
                <w:szCs w:val="11"/>
                <w:color w:val="auto"/>
              </w:rPr>
            </w:pPr>
          </w:p>
        </w:tc>
        <w:tc>
          <w:tcPr>
            <w:tcW w:w="12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Due to banks and correspondents</w:t>
            </w:r>
          </w:p>
        </w:tc>
        <w:tc>
          <w:tcPr>
            <w:tcW w:w="1480" w:type="dxa"/>
            <w:vAlign w:val="bottom"/>
            <w:tcBorders>
              <w:right w:val="single" w:sz="8" w:color="auto"/>
            </w:tcBorders>
          </w:tcPr>
          <w:p>
            <w:pPr>
              <w:spacing w:after="0"/>
              <w:rPr>
                <w:sz w:val="12"/>
                <w:szCs w:val="12"/>
                <w:color w:val="auto"/>
              </w:rPr>
            </w:pPr>
          </w:p>
        </w:tc>
        <w:tc>
          <w:tcPr>
            <w:tcW w:w="1240" w:type="dxa"/>
            <w:vAlign w:val="bottom"/>
          </w:tcPr>
          <w:p>
            <w:pPr>
              <w:jc w:val="center"/>
              <w:ind w:right="77"/>
              <w:spacing w:after="0"/>
              <w:rPr>
                <w:sz w:val="20"/>
                <w:szCs w:val="20"/>
                <w:color w:val="auto"/>
              </w:rPr>
            </w:pPr>
            <w:r>
              <w:rPr>
                <w:rFonts w:ascii="Arial" w:cs="Arial" w:eastAsia="Arial" w:hAnsi="Arial"/>
                <w:sz w:val="13"/>
                <w:szCs w:val="13"/>
                <w:color w:val="auto"/>
                <w:w w:val="95"/>
              </w:rPr>
              <w:t>76,650</w:t>
            </w: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91"/>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980" w:type="dxa"/>
            <w:vAlign w:val="bottom"/>
          </w:tcPr>
          <w:p>
            <w:pPr>
              <w:jc w:val="center"/>
              <w:spacing w:after="0"/>
              <w:rPr>
                <w:sz w:val="20"/>
                <w:szCs w:val="20"/>
                <w:color w:val="auto"/>
              </w:rPr>
            </w:pPr>
            <w:r>
              <w:rPr>
                <w:rFonts w:ascii="Arial" w:cs="Arial" w:eastAsia="Arial" w:hAnsi="Arial"/>
                <w:sz w:val="13"/>
                <w:szCs w:val="13"/>
                <w:color w:val="auto"/>
                <w:w w:val="88"/>
              </w:rPr>
              <w:t>n.a</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48"/>
        </w:trPr>
        <w:tc>
          <w:tcPr>
            <w:tcW w:w="380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Bonds and subordinated debt</w:t>
            </w:r>
          </w:p>
        </w:tc>
        <w:tc>
          <w:tcPr>
            <w:tcW w:w="1480" w:type="dxa"/>
            <w:vAlign w:val="bottom"/>
            <w:tcBorders>
              <w:right w:val="single" w:sz="8" w:color="auto"/>
            </w:tcBorders>
          </w:tcPr>
          <w:p>
            <w:pPr>
              <w:spacing w:after="0"/>
              <w:rPr>
                <w:sz w:val="12"/>
                <w:szCs w:val="12"/>
                <w:color w:val="auto"/>
              </w:rPr>
            </w:pPr>
          </w:p>
        </w:tc>
        <w:tc>
          <w:tcPr>
            <w:tcW w:w="1240" w:type="dxa"/>
            <w:vAlign w:val="bottom"/>
          </w:tcPr>
          <w:p>
            <w:pPr>
              <w:jc w:val="center"/>
              <w:ind w:right="77"/>
              <w:spacing w:after="0"/>
              <w:rPr>
                <w:sz w:val="20"/>
                <w:szCs w:val="20"/>
                <w:color w:val="auto"/>
              </w:rPr>
            </w:pPr>
            <w:r>
              <w:rPr>
                <w:rFonts w:ascii="Arial" w:cs="Arial" w:eastAsia="Arial" w:hAnsi="Arial"/>
                <w:sz w:val="13"/>
                <w:szCs w:val="13"/>
                <w:color w:val="auto"/>
                <w:w w:val="97"/>
              </w:rPr>
              <w:t>161,970</w:t>
            </w:r>
          </w:p>
        </w:tc>
        <w:tc>
          <w:tcPr>
            <w:tcW w:w="980" w:type="dxa"/>
            <w:vAlign w:val="bottom"/>
          </w:tcPr>
          <w:p>
            <w:pPr>
              <w:jc w:val="center"/>
              <w:ind w:right="97"/>
              <w:spacing w:after="0"/>
              <w:rPr>
                <w:sz w:val="20"/>
                <w:szCs w:val="20"/>
                <w:color w:val="auto"/>
              </w:rPr>
            </w:pPr>
            <w:r>
              <w:rPr>
                <w:rFonts w:ascii="Arial" w:cs="Arial" w:eastAsia="Arial" w:hAnsi="Arial"/>
                <w:sz w:val="13"/>
                <w:szCs w:val="13"/>
                <w:color w:val="auto"/>
                <w:w w:val="97"/>
              </w:rPr>
              <w:t>157,253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97,465</w:t>
            </w:r>
          </w:p>
        </w:tc>
        <w:tc>
          <w:tcPr>
            <w:tcW w:w="980" w:type="dxa"/>
            <w:vAlign w:val="bottom"/>
          </w:tcPr>
          <w:p>
            <w:pPr>
              <w:jc w:val="center"/>
              <w:spacing w:after="0"/>
              <w:rPr>
                <w:sz w:val="20"/>
                <w:szCs w:val="20"/>
                <w:color w:val="auto"/>
              </w:rPr>
            </w:pPr>
            <w:r>
              <w:rPr>
                <w:rFonts w:ascii="Arial" w:cs="Arial" w:eastAsia="Arial" w:hAnsi="Arial"/>
                <w:sz w:val="13"/>
                <w:szCs w:val="13"/>
                <w:color w:val="auto"/>
                <w:w w:val="97"/>
              </w:rPr>
              <w:t>-38.0%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-39.8%</w:t>
            </w:r>
          </w:p>
        </w:tc>
        <w:tc>
          <w:tcPr>
            <w:tcW w:w="0" w:type="dxa"/>
            <w:vAlign w:val="bottom"/>
          </w:tcPr>
          <w:p>
            <w:pPr>
              <w:spacing w:after="0"/>
              <w:rPr>
                <w:sz w:val="1"/>
                <w:szCs w:val="1"/>
                <w:color w:val="auto"/>
              </w:rPr>
            </w:pPr>
          </w:p>
        </w:tc>
      </w:tr>
      <w:tr>
        <w:trPr>
          <w:trHeight w:val="148"/>
        </w:trPr>
        <w:tc>
          <w:tcPr>
            <w:tcW w:w="380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Other liabilities</w:t>
            </w:r>
          </w:p>
        </w:tc>
        <w:tc>
          <w:tcPr>
            <w:tcW w:w="1480" w:type="dxa"/>
            <w:vAlign w:val="bottom"/>
            <w:tcBorders>
              <w:right w:val="single" w:sz="8" w:color="auto"/>
            </w:tcBorders>
          </w:tcPr>
          <w:p>
            <w:pPr>
              <w:spacing w:after="0"/>
              <w:rPr>
                <w:sz w:val="12"/>
                <w:szCs w:val="12"/>
                <w:color w:val="auto"/>
              </w:rPr>
            </w:pPr>
          </w:p>
        </w:tc>
        <w:tc>
          <w:tcPr>
            <w:tcW w:w="1240" w:type="dxa"/>
            <w:vAlign w:val="bottom"/>
          </w:tcPr>
          <w:p>
            <w:pPr>
              <w:jc w:val="center"/>
              <w:ind w:right="77"/>
              <w:spacing w:after="0"/>
              <w:rPr>
                <w:sz w:val="20"/>
                <w:szCs w:val="20"/>
                <w:color w:val="auto"/>
              </w:rPr>
            </w:pPr>
            <w:r>
              <w:rPr>
                <w:rFonts w:ascii="Arial" w:cs="Arial" w:eastAsia="Arial" w:hAnsi="Arial"/>
                <w:sz w:val="13"/>
                <w:szCs w:val="13"/>
                <w:color w:val="auto"/>
                <w:w w:val="97"/>
              </w:rPr>
              <w:t>879,270</w:t>
            </w:r>
          </w:p>
        </w:tc>
        <w:tc>
          <w:tcPr>
            <w:tcW w:w="980" w:type="dxa"/>
            <w:vAlign w:val="bottom"/>
          </w:tcPr>
          <w:p>
            <w:pPr>
              <w:jc w:val="center"/>
              <w:ind w:right="97"/>
              <w:spacing w:after="0"/>
              <w:rPr>
                <w:sz w:val="20"/>
                <w:szCs w:val="20"/>
                <w:color w:val="auto"/>
              </w:rPr>
            </w:pPr>
            <w:r>
              <w:rPr>
                <w:rFonts w:ascii="Arial" w:cs="Arial" w:eastAsia="Arial" w:hAnsi="Arial"/>
                <w:sz w:val="13"/>
                <w:szCs w:val="13"/>
                <w:color w:val="auto"/>
                <w:w w:val="97"/>
              </w:rPr>
              <w:t>665,519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475,663</w:t>
            </w:r>
          </w:p>
        </w:tc>
        <w:tc>
          <w:tcPr>
            <w:tcW w:w="980" w:type="dxa"/>
            <w:vAlign w:val="bottom"/>
          </w:tcPr>
          <w:p>
            <w:pPr>
              <w:jc w:val="center"/>
              <w:spacing w:after="0"/>
              <w:rPr>
                <w:sz w:val="20"/>
                <w:szCs w:val="20"/>
                <w:color w:val="auto"/>
              </w:rPr>
            </w:pPr>
            <w:r>
              <w:rPr>
                <w:rFonts w:ascii="Arial" w:cs="Arial" w:eastAsia="Arial" w:hAnsi="Arial"/>
                <w:sz w:val="13"/>
                <w:szCs w:val="13"/>
                <w:color w:val="auto"/>
                <w:w w:val="97"/>
              </w:rPr>
              <w:t>-28.5%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-45.9%</w:t>
            </w:r>
          </w:p>
        </w:tc>
        <w:tc>
          <w:tcPr>
            <w:tcW w:w="0" w:type="dxa"/>
            <w:vAlign w:val="bottom"/>
          </w:tcPr>
          <w:p>
            <w:pPr>
              <w:spacing w:after="0"/>
              <w:rPr>
                <w:sz w:val="1"/>
                <w:szCs w:val="1"/>
                <w:color w:val="auto"/>
              </w:rPr>
            </w:pPr>
          </w:p>
        </w:tc>
      </w:tr>
      <w:tr>
        <w:trPr>
          <w:trHeight w:val="185"/>
        </w:trPr>
        <w:tc>
          <w:tcPr>
            <w:tcW w:w="3800" w:type="dxa"/>
            <w:vAlign w:val="bottom"/>
            <w:tcBorders>
              <w:left w:val="single" w:sz="8" w:color="auto"/>
            </w:tcBorders>
          </w:tcPr>
          <w:p>
            <w:pPr>
              <w:ind w:left="2220"/>
              <w:spacing w:after="0"/>
              <w:rPr>
                <w:sz w:val="20"/>
                <w:szCs w:val="20"/>
                <w:color w:val="auto"/>
              </w:rPr>
            </w:pPr>
            <w:r>
              <w:rPr>
                <w:rFonts w:ascii="Arial" w:cs="Arial" w:eastAsia="Arial" w:hAnsi="Arial"/>
                <w:sz w:val="13"/>
                <w:szCs w:val="13"/>
                <w:b w:val="1"/>
                <w:bCs w:val="1"/>
                <w:color w:val="auto"/>
              </w:rPr>
              <w:t>Total liabilities</w:t>
            </w:r>
          </w:p>
        </w:tc>
        <w:tc>
          <w:tcPr>
            <w:tcW w:w="1480" w:type="dxa"/>
            <w:vAlign w:val="bottom"/>
            <w:tcBorders>
              <w:right w:val="single" w:sz="8" w:color="auto"/>
            </w:tcBorders>
          </w:tcPr>
          <w:p>
            <w:pPr>
              <w:spacing w:after="0"/>
              <w:rPr>
                <w:sz w:val="16"/>
                <w:szCs w:val="16"/>
                <w:color w:val="auto"/>
              </w:rPr>
            </w:pPr>
          </w:p>
        </w:tc>
        <w:tc>
          <w:tcPr>
            <w:tcW w:w="124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12,845,693</w:t>
            </w:r>
          </w:p>
        </w:tc>
        <w:tc>
          <w:tcPr>
            <w:tcW w:w="98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12,968,583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8,544,213</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-34.1%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-33.5%</w:t>
            </w:r>
          </w:p>
        </w:tc>
        <w:tc>
          <w:tcPr>
            <w:tcW w:w="0" w:type="dxa"/>
            <w:vAlign w:val="bottom"/>
          </w:tcPr>
          <w:p>
            <w:pPr>
              <w:spacing w:after="0"/>
              <w:rPr>
                <w:sz w:val="1"/>
                <w:szCs w:val="1"/>
                <w:color w:val="auto"/>
              </w:rPr>
            </w:pPr>
          </w:p>
        </w:tc>
      </w:tr>
      <w:tr>
        <w:trPr>
          <w:trHeight w:val="378"/>
        </w:trPr>
        <w:tc>
          <w:tcPr>
            <w:tcW w:w="3800" w:type="dxa"/>
            <w:vAlign w:val="bottom"/>
            <w:tcBorders>
              <w:left w:val="single" w:sz="8" w:color="auto"/>
            </w:tcBorders>
          </w:tcPr>
          <w:p>
            <w:pPr>
              <w:spacing w:after="0"/>
              <w:rPr>
                <w:sz w:val="20"/>
                <w:szCs w:val="20"/>
                <w:color w:val="auto"/>
              </w:rPr>
            </w:pPr>
            <w:r>
              <w:rPr>
                <w:rFonts w:ascii="Arial" w:cs="Arial" w:eastAsia="Arial" w:hAnsi="Arial"/>
                <w:sz w:val="13"/>
                <w:szCs w:val="13"/>
                <w:b w:val="1"/>
                <w:bCs w:val="1"/>
                <w:color w:val="auto"/>
              </w:rPr>
              <w:t>Net equity</w:t>
            </w:r>
          </w:p>
        </w:tc>
        <w:tc>
          <w:tcPr>
            <w:tcW w:w="1480" w:type="dxa"/>
            <w:vAlign w:val="bottom"/>
            <w:tcBorders>
              <w:right w:val="single" w:sz="8" w:color="auto"/>
            </w:tcBorders>
          </w:tcPr>
          <w:p>
            <w:pPr>
              <w:spacing w:after="0"/>
              <w:rPr>
                <w:sz w:val="24"/>
                <w:szCs w:val="24"/>
                <w:color w:val="auto"/>
              </w:rPr>
            </w:pPr>
          </w:p>
        </w:tc>
        <w:tc>
          <w:tcPr>
            <w:tcW w:w="124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899,222</w:t>
            </w:r>
          </w:p>
        </w:tc>
        <w:tc>
          <w:tcPr>
            <w:tcW w:w="98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1,006,150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709,433</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-29.5%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-21.1%</w:t>
            </w:r>
          </w:p>
        </w:tc>
        <w:tc>
          <w:tcPr>
            <w:tcW w:w="0" w:type="dxa"/>
            <w:vAlign w:val="bottom"/>
          </w:tcPr>
          <w:p>
            <w:pPr>
              <w:spacing w:after="0"/>
              <w:rPr>
                <w:sz w:val="1"/>
                <w:szCs w:val="1"/>
                <w:color w:val="auto"/>
              </w:rPr>
            </w:pPr>
          </w:p>
        </w:tc>
      </w:tr>
      <w:tr>
        <w:trPr>
          <w:trHeight w:val="359"/>
        </w:trPr>
        <w:tc>
          <w:tcPr>
            <w:tcW w:w="3800" w:type="dxa"/>
            <w:vAlign w:val="bottom"/>
            <w:tcBorders>
              <w:left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TOTAL LIABILITIES AND NET EQUITY</w:t>
            </w:r>
          </w:p>
        </w:tc>
        <w:tc>
          <w:tcPr>
            <w:tcW w:w="14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13,744,915</w:t>
            </w: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13,974,733</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9,253,646</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-33.8%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-32.7%</w:t>
            </w:r>
          </w:p>
        </w:tc>
        <w:tc>
          <w:tcPr>
            <w:tcW w:w="0" w:type="dxa"/>
            <w:vAlign w:val="bottom"/>
          </w:tcPr>
          <w:p>
            <w:pPr>
              <w:spacing w:after="0"/>
              <w:rPr>
                <w:sz w:val="1"/>
                <w:szCs w:val="1"/>
                <w:color w:val="auto"/>
              </w:rPr>
            </w:pPr>
          </w:p>
        </w:tc>
      </w:tr>
      <w:tr>
        <w:trPr>
          <w:trHeight w:val="357"/>
        </w:trPr>
        <w:tc>
          <w:tcPr>
            <w:tcW w:w="3800" w:type="dxa"/>
            <w:vAlign w:val="bottom"/>
          </w:tcPr>
          <w:p>
            <w:pPr>
              <w:spacing w:after="0"/>
              <w:rPr>
                <w:sz w:val="24"/>
                <w:szCs w:val="24"/>
                <w:color w:val="auto"/>
              </w:rPr>
            </w:pPr>
          </w:p>
        </w:tc>
        <w:tc>
          <w:tcPr>
            <w:tcW w:w="272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rPr>
              <w:t>Statement of Income</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272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rPr>
              <w:t>(S/ Thousands, IFRS)</w:t>
            </w: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8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800" w:type="dxa"/>
            <w:vAlign w:val="bottom"/>
            <w:tcBorders>
              <w:left w:val="single" w:sz="8" w:color="auto"/>
            </w:tcBorders>
            <w:shd w:val="clear" w:color="auto" w:fill="2AD2C8"/>
          </w:tcPr>
          <w:p>
            <w:pPr>
              <w:spacing w:after="0"/>
              <w:rPr>
                <w:sz w:val="12"/>
                <w:szCs w:val="12"/>
                <w:color w:val="auto"/>
              </w:rPr>
            </w:pPr>
          </w:p>
        </w:tc>
        <w:tc>
          <w:tcPr>
            <w:tcW w:w="1480" w:type="dxa"/>
            <w:vAlign w:val="bottom"/>
            <w:tcBorders>
              <w:right w:val="single" w:sz="8" w:color="auto"/>
            </w:tcBorders>
            <w:shd w:val="clear" w:color="auto" w:fill="2AD2C8"/>
          </w:tcPr>
          <w:p>
            <w:pPr>
              <w:spacing w:after="0"/>
              <w:rPr>
                <w:sz w:val="12"/>
                <w:szCs w:val="12"/>
                <w:color w:val="auto"/>
              </w:rPr>
            </w:pPr>
          </w:p>
        </w:tc>
        <w:tc>
          <w:tcPr>
            <w:tcW w:w="1240" w:type="dxa"/>
            <w:vAlign w:val="bottom"/>
            <w:shd w:val="clear" w:color="auto" w:fill="2AD2C8"/>
          </w:tcPr>
          <w:p>
            <w:pPr>
              <w:spacing w:after="0"/>
              <w:rPr>
                <w:sz w:val="12"/>
                <w:szCs w:val="12"/>
                <w:color w:val="auto"/>
              </w:rPr>
            </w:pPr>
          </w:p>
        </w:tc>
        <w:tc>
          <w:tcPr>
            <w:tcW w:w="980" w:type="dxa"/>
            <w:vAlign w:val="bottom"/>
            <w:shd w:val="clear" w:color="auto" w:fill="2AD2C8"/>
          </w:tcPr>
          <w:p>
            <w:pPr>
              <w:jc w:val="center"/>
              <w:ind w:right="117"/>
              <w:spacing w:after="0" w:line="141" w:lineRule="exact"/>
              <w:rPr>
                <w:sz w:val="20"/>
                <w:szCs w:val="20"/>
                <w:color w:val="auto"/>
              </w:rPr>
            </w:pPr>
            <w:r>
              <w:rPr>
                <w:rFonts w:ascii="Arial" w:cs="Arial" w:eastAsia="Arial" w:hAnsi="Arial"/>
                <w:sz w:val="13"/>
                <w:szCs w:val="13"/>
                <w:b w:val="1"/>
                <w:bCs w:val="1"/>
                <w:color w:val="FFFFFF"/>
              </w:rPr>
              <w:t>Quarter</w:t>
            </w:r>
          </w:p>
        </w:tc>
        <w:tc>
          <w:tcPr>
            <w:tcW w:w="1120" w:type="dxa"/>
            <w:vAlign w:val="bottom"/>
            <w:tcBorders>
              <w:right w:val="single" w:sz="8" w:color="auto"/>
            </w:tcBorders>
            <w:shd w:val="clear" w:color="auto" w:fill="2AD2C8"/>
          </w:tcPr>
          <w:p>
            <w:pPr>
              <w:spacing w:after="0"/>
              <w:rPr>
                <w:sz w:val="12"/>
                <w:szCs w:val="12"/>
                <w:color w:val="auto"/>
              </w:rPr>
            </w:pPr>
          </w:p>
        </w:tc>
        <w:tc>
          <w:tcPr>
            <w:tcW w:w="2040" w:type="dxa"/>
            <w:vAlign w:val="bottom"/>
            <w:tcBorders>
              <w:right w:val="single" w:sz="8" w:color="auto"/>
            </w:tcBorders>
            <w:gridSpan w:val="2"/>
            <w:shd w:val="clear" w:color="auto" w:fill="2AD2C8"/>
          </w:tcPr>
          <w:p>
            <w:pPr>
              <w:jc w:val="center"/>
              <w:spacing w:after="0" w:line="141" w:lineRule="exact"/>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90"/>
        </w:trPr>
        <w:tc>
          <w:tcPr>
            <w:tcW w:w="3800" w:type="dxa"/>
            <w:vAlign w:val="bottom"/>
            <w:tcBorders>
              <w:left w:val="single" w:sz="8" w:color="auto"/>
              <w:bottom w:val="single" w:sz="8" w:color="auto"/>
            </w:tcBorders>
            <w:shd w:val="clear" w:color="auto" w:fill="2AD2C8"/>
          </w:tcPr>
          <w:p>
            <w:pPr>
              <w:spacing w:after="0"/>
              <w:rPr>
                <w:sz w:val="16"/>
                <w:szCs w:val="16"/>
                <w:color w:val="auto"/>
              </w:rPr>
            </w:pPr>
          </w:p>
        </w:tc>
        <w:tc>
          <w:tcPr>
            <w:tcW w:w="1480" w:type="dxa"/>
            <w:vAlign w:val="bottom"/>
            <w:tcBorders>
              <w:bottom w:val="single" w:sz="8" w:color="auto"/>
              <w:right w:val="single" w:sz="8" w:color="auto"/>
            </w:tcBorders>
            <w:shd w:val="clear" w:color="auto" w:fill="2AD2C8"/>
          </w:tcPr>
          <w:p>
            <w:pPr>
              <w:spacing w:after="0"/>
              <w:rPr>
                <w:sz w:val="16"/>
                <w:szCs w:val="16"/>
                <w:color w:val="auto"/>
              </w:rPr>
            </w:pPr>
          </w:p>
        </w:tc>
        <w:tc>
          <w:tcPr>
            <w:tcW w:w="1240" w:type="dxa"/>
            <w:vAlign w:val="bottom"/>
            <w:tcBorders>
              <w:bottom w:val="single" w:sz="8" w:color="auto"/>
            </w:tcBorders>
            <w:shd w:val="clear" w:color="auto" w:fill="2AD2C8"/>
          </w:tcPr>
          <w:p>
            <w:pPr>
              <w:jc w:val="center"/>
              <w:ind w:right="57"/>
              <w:spacing w:after="0"/>
              <w:rPr>
                <w:sz w:val="20"/>
                <w:szCs w:val="20"/>
                <w:color w:val="auto"/>
              </w:rPr>
            </w:pPr>
            <w:r>
              <w:rPr>
                <w:rFonts w:ascii="Arial" w:cs="Arial" w:eastAsia="Arial" w:hAnsi="Arial"/>
                <w:sz w:val="13"/>
                <w:szCs w:val="13"/>
                <w:b w:val="1"/>
                <w:bCs w:val="1"/>
                <w:color w:val="FFFFFF"/>
              </w:rPr>
              <w:t>1Q24</w:t>
            </w:r>
          </w:p>
        </w:tc>
        <w:tc>
          <w:tcPr>
            <w:tcW w:w="980" w:type="dxa"/>
            <w:vAlign w:val="bottom"/>
            <w:tcBorders>
              <w:bottom w:val="single" w:sz="8" w:color="auto"/>
            </w:tcBorders>
            <w:shd w:val="clear" w:color="auto" w:fill="2AD2C8"/>
          </w:tcPr>
          <w:p>
            <w:pPr>
              <w:jc w:val="center"/>
              <w:ind w:right="97"/>
              <w:spacing w:after="0"/>
              <w:rPr>
                <w:sz w:val="20"/>
                <w:szCs w:val="20"/>
                <w:color w:val="auto"/>
              </w:rPr>
            </w:pPr>
            <w:r>
              <w:rPr>
                <w:rFonts w:ascii="Arial" w:cs="Arial" w:eastAsia="Arial" w:hAnsi="Arial"/>
                <w:sz w:val="13"/>
                <w:szCs w:val="13"/>
                <w:b w:val="1"/>
                <w:bCs w:val="1"/>
                <w:color w:val="FFFFFF"/>
              </w:rPr>
              <w:t>4Q24</w:t>
            </w:r>
          </w:p>
        </w:tc>
        <w:tc>
          <w:tcPr>
            <w:tcW w:w="112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rPr>
              <w:t>1Q25</w:t>
            </w:r>
          </w:p>
        </w:tc>
        <w:tc>
          <w:tcPr>
            <w:tcW w:w="98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rPr>
              <w:t>QoQ</w:t>
            </w:r>
          </w:p>
        </w:tc>
        <w:tc>
          <w:tcPr>
            <w:tcW w:w="106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rPr>
              <w:t>YoY</w:t>
            </w:r>
          </w:p>
        </w:tc>
        <w:tc>
          <w:tcPr>
            <w:tcW w:w="0" w:type="dxa"/>
            <w:vAlign w:val="bottom"/>
          </w:tcPr>
          <w:p>
            <w:pPr>
              <w:spacing w:after="0"/>
              <w:rPr>
                <w:sz w:val="1"/>
                <w:szCs w:val="1"/>
                <w:color w:val="auto"/>
              </w:rPr>
            </w:pPr>
          </w:p>
        </w:tc>
      </w:tr>
      <w:tr>
        <w:trPr>
          <w:trHeight w:val="111"/>
        </w:trPr>
        <w:tc>
          <w:tcPr>
            <w:tcW w:w="3800" w:type="dxa"/>
            <w:vAlign w:val="bottom"/>
            <w:tcBorders>
              <w:left w:val="single" w:sz="8" w:color="auto"/>
            </w:tcBorders>
          </w:tcPr>
          <w:p>
            <w:pPr>
              <w:spacing w:after="0" w:line="111" w:lineRule="exact"/>
              <w:rPr>
                <w:sz w:val="20"/>
                <w:szCs w:val="20"/>
                <w:color w:val="auto"/>
              </w:rPr>
            </w:pPr>
            <w:r>
              <w:rPr>
                <w:rFonts w:ascii="Arial" w:cs="Arial" w:eastAsia="Arial" w:hAnsi="Arial"/>
                <w:sz w:val="12"/>
                <w:szCs w:val="12"/>
                <w:color w:val="auto"/>
              </w:rPr>
              <w:t>Interests income, net</w:t>
            </w:r>
          </w:p>
        </w:tc>
        <w:tc>
          <w:tcPr>
            <w:tcW w:w="1480" w:type="dxa"/>
            <w:vAlign w:val="bottom"/>
            <w:tcBorders>
              <w:right w:val="single" w:sz="8" w:color="auto"/>
            </w:tcBorders>
          </w:tcPr>
          <w:p>
            <w:pPr>
              <w:spacing w:after="0"/>
              <w:rPr>
                <w:sz w:val="9"/>
                <w:szCs w:val="9"/>
                <w:color w:val="auto"/>
              </w:rPr>
            </w:pPr>
          </w:p>
        </w:tc>
        <w:tc>
          <w:tcPr>
            <w:tcW w:w="1240" w:type="dxa"/>
            <w:vAlign w:val="bottom"/>
          </w:tcPr>
          <w:p>
            <w:pPr>
              <w:jc w:val="center"/>
              <w:ind w:right="77"/>
              <w:spacing w:after="0" w:line="111" w:lineRule="exact"/>
              <w:rPr>
                <w:sz w:val="20"/>
                <w:szCs w:val="20"/>
                <w:color w:val="auto"/>
              </w:rPr>
            </w:pPr>
            <w:r>
              <w:rPr>
                <w:rFonts w:ascii="Arial" w:cs="Arial" w:eastAsia="Arial" w:hAnsi="Arial"/>
                <w:sz w:val="12"/>
                <w:szCs w:val="12"/>
                <w:color w:val="auto"/>
              </w:rPr>
              <w:t>86,848</w:t>
            </w:r>
          </w:p>
        </w:tc>
        <w:tc>
          <w:tcPr>
            <w:tcW w:w="980" w:type="dxa"/>
            <w:vAlign w:val="bottom"/>
          </w:tcPr>
          <w:p>
            <w:pPr>
              <w:jc w:val="center"/>
              <w:ind w:right="97"/>
              <w:spacing w:after="0" w:line="111" w:lineRule="exact"/>
              <w:rPr>
                <w:sz w:val="20"/>
                <w:szCs w:val="20"/>
                <w:color w:val="auto"/>
              </w:rPr>
            </w:pPr>
            <w:r>
              <w:rPr>
                <w:rFonts w:ascii="Arial" w:cs="Arial" w:eastAsia="Arial" w:hAnsi="Arial"/>
                <w:sz w:val="12"/>
                <w:szCs w:val="12"/>
                <w:color w:val="auto"/>
              </w:rPr>
              <w:t>87,812</w:t>
            </w:r>
          </w:p>
        </w:tc>
        <w:tc>
          <w:tcPr>
            <w:tcW w:w="112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71,066</w:t>
            </w:r>
          </w:p>
        </w:tc>
        <w:tc>
          <w:tcPr>
            <w:tcW w:w="980" w:type="dxa"/>
            <w:vAlign w:val="bottom"/>
          </w:tcPr>
          <w:p>
            <w:pPr>
              <w:jc w:val="center"/>
              <w:spacing w:after="0" w:line="111" w:lineRule="exact"/>
              <w:rPr>
                <w:sz w:val="20"/>
                <w:szCs w:val="20"/>
                <w:color w:val="auto"/>
              </w:rPr>
            </w:pPr>
            <w:r>
              <w:rPr>
                <w:rFonts w:ascii="Arial" w:cs="Arial" w:eastAsia="Arial" w:hAnsi="Arial"/>
                <w:sz w:val="12"/>
                <w:szCs w:val="12"/>
                <w:color w:val="auto"/>
              </w:rPr>
              <w:t>-19.1%</w:t>
            </w:r>
          </w:p>
        </w:tc>
        <w:tc>
          <w:tcPr>
            <w:tcW w:w="106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-18.2%</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Provisions for doubtful accounts receivable, net of recoveries</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9"/>
              </w:rPr>
              <w:t>(14,653)</w:t>
            </w: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9"/>
              </w:rPr>
              <w:t>(25,027)</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(5,743)</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7"/>
              </w:rPr>
              <w:t>-77.1%</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-60.8%</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b w:val="1"/>
                <w:bCs w:val="1"/>
                <w:color w:val="auto"/>
              </w:rPr>
              <w:t>Net interest income after provisions</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5"/>
              </w:rPr>
              <w:t>72,195</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5"/>
              </w:rPr>
              <w:t>62,785</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65,323</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4.0%</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-9.5%</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Non financial income</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5"/>
              </w:rPr>
              <w:t>62,748</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5"/>
              </w:rPr>
              <w:t>85,923</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60,815</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7"/>
              </w:rPr>
              <w:t>-29.2%</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-3.1%</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Total expenses</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6"/>
              </w:rPr>
              <w:t>(101,422)</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6"/>
              </w:rPr>
              <w:t>(114,966)</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(93,862)</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7"/>
              </w:rPr>
              <w:t>-18.4%</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-7.5%</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Translation result</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2"/>
              </w:rPr>
              <w:t>(163)</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2"/>
              </w:rPr>
              <w:t>1,281</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3,768</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9"/>
              </w:rPr>
              <w:t>194.1%</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n.a.</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Income tax</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9"/>
              </w:rPr>
              <w:t>(13,002)</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4"/>
              </w:rPr>
              <w:t>(11,521)</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(11,817)</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4"/>
              </w:rPr>
              <w:t>2.6%</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-9.1%</w:t>
            </w:r>
          </w:p>
        </w:tc>
        <w:tc>
          <w:tcPr>
            <w:tcW w:w="0" w:type="dxa"/>
            <w:vAlign w:val="bottom"/>
          </w:tcPr>
          <w:p>
            <w:pPr>
              <w:spacing w:after="0"/>
              <w:rPr>
                <w:sz w:val="1"/>
                <w:szCs w:val="1"/>
                <w:color w:val="auto"/>
              </w:rPr>
            </w:pPr>
          </w:p>
        </w:tc>
      </w:tr>
      <w:tr>
        <w:trPr>
          <w:trHeight w:val="153"/>
        </w:trPr>
        <w:tc>
          <w:tcPr>
            <w:tcW w:w="3800" w:type="dxa"/>
            <w:vAlign w:val="bottom"/>
            <w:tcBorders>
              <w:left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Net profit</w:t>
            </w:r>
          </w:p>
        </w:tc>
        <w:tc>
          <w:tcPr>
            <w:tcW w:w="148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20,356</w:t>
            </w: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23,502</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24,227</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3.1%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19.0%</w:t>
            </w:r>
          </w:p>
        </w:tc>
        <w:tc>
          <w:tcPr>
            <w:tcW w:w="0" w:type="dxa"/>
            <w:vAlign w:val="bottom"/>
          </w:tcPr>
          <w:p>
            <w:pPr>
              <w:spacing w:after="0"/>
              <w:rPr>
                <w:sz w:val="1"/>
                <w:szCs w:val="1"/>
                <w:color w:val="auto"/>
              </w:rPr>
            </w:pPr>
          </w:p>
        </w:tc>
      </w:tr>
      <w:tr>
        <w:trPr>
          <w:trHeight w:val="391"/>
        </w:trPr>
        <w:tc>
          <w:tcPr>
            <w:tcW w:w="3800" w:type="dxa"/>
            <w:vAlign w:val="bottom"/>
          </w:tcPr>
          <w:p>
            <w:pPr>
              <w:spacing w:after="0"/>
              <w:rPr>
                <w:sz w:val="24"/>
                <w:szCs w:val="24"/>
                <w:color w:val="auto"/>
              </w:rPr>
            </w:pPr>
          </w:p>
        </w:tc>
        <w:tc>
          <w:tcPr>
            <w:tcW w:w="272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rPr>
              <w:t>Selected Financial Indicators</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8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800" w:type="dxa"/>
            <w:vAlign w:val="bottom"/>
            <w:tcBorders>
              <w:left w:val="single" w:sz="8" w:color="auto"/>
            </w:tcBorders>
            <w:shd w:val="clear" w:color="auto" w:fill="2AD2C9"/>
          </w:tcPr>
          <w:p>
            <w:pPr>
              <w:spacing w:after="0"/>
              <w:rPr>
                <w:sz w:val="16"/>
                <w:szCs w:val="16"/>
                <w:color w:val="auto"/>
              </w:rPr>
            </w:pPr>
          </w:p>
        </w:tc>
        <w:tc>
          <w:tcPr>
            <w:tcW w:w="1480" w:type="dxa"/>
            <w:vAlign w:val="bottom"/>
            <w:tcBorders>
              <w:right w:val="single" w:sz="8" w:color="auto"/>
            </w:tcBorders>
            <w:shd w:val="clear" w:color="auto" w:fill="2AD2C9"/>
          </w:tcPr>
          <w:p>
            <w:pPr>
              <w:spacing w:after="0"/>
              <w:rPr>
                <w:sz w:val="16"/>
                <w:szCs w:val="16"/>
                <w:color w:val="auto"/>
              </w:rPr>
            </w:pPr>
          </w:p>
        </w:tc>
        <w:tc>
          <w:tcPr>
            <w:tcW w:w="1240" w:type="dxa"/>
            <w:vAlign w:val="bottom"/>
            <w:shd w:val="clear" w:color="auto" w:fill="2AD2C9"/>
          </w:tcPr>
          <w:p>
            <w:pPr>
              <w:spacing w:after="0"/>
              <w:rPr>
                <w:sz w:val="16"/>
                <w:szCs w:val="16"/>
                <w:color w:val="auto"/>
              </w:rPr>
            </w:pPr>
          </w:p>
        </w:tc>
        <w:tc>
          <w:tcPr>
            <w:tcW w:w="980" w:type="dxa"/>
            <w:vAlign w:val="bottom"/>
            <w:shd w:val="clear" w:color="auto" w:fill="2AD2C9"/>
          </w:tcPr>
          <w:p>
            <w:pPr>
              <w:jc w:val="center"/>
              <w:ind w:right="77"/>
              <w:spacing w:after="0"/>
              <w:rPr>
                <w:sz w:val="20"/>
                <w:szCs w:val="20"/>
                <w:color w:val="auto"/>
              </w:rPr>
            </w:pPr>
            <w:r>
              <w:rPr>
                <w:rFonts w:ascii="Arial" w:cs="Arial" w:eastAsia="Arial" w:hAnsi="Arial"/>
                <w:sz w:val="13"/>
                <w:szCs w:val="13"/>
                <w:b w:val="1"/>
                <w:bCs w:val="1"/>
                <w:color w:val="FFFFFF"/>
              </w:rPr>
              <w:t>Quarter</w:t>
            </w:r>
          </w:p>
        </w:tc>
        <w:tc>
          <w:tcPr>
            <w:tcW w:w="1120" w:type="dxa"/>
            <w:vAlign w:val="bottom"/>
            <w:tcBorders>
              <w:right w:val="single" w:sz="8" w:color="auto"/>
            </w:tcBorders>
            <w:shd w:val="clear" w:color="auto" w:fill="2AD2C9"/>
          </w:tcPr>
          <w:p>
            <w:pPr>
              <w:spacing w:after="0"/>
              <w:rPr>
                <w:sz w:val="16"/>
                <w:szCs w:val="16"/>
                <w:color w:val="auto"/>
              </w:rPr>
            </w:pPr>
          </w:p>
        </w:tc>
        <w:tc>
          <w:tcPr>
            <w:tcW w:w="2040" w:type="dxa"/>
            <w:vAlign w:val="bottom"/>
            <w:tcBorders>
              <w:right w:val="single" w:sz="8" w:color="auto"/>
            </w:tcBorders>
            <w:gridSpan w:val="2"/>
            <w:shd w:val="clear" w:color="auto" w:fill="2AD2C9"/>
          </w:tcPr>
          <w:p>
            <w:pPr>
              <w:jc w:val="center"/>
              <w:spacing w:after="0"/>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205"/>
        </w:trPr>
        <w:tc>
          <w:tcPr>
            <w:tcW w:w="3800" w:type="dxa"/>
            <w:vAlign w:val="bottom"/>
            <w:tcBorders>
              <w:left w:val="single" w:sz="8" w:color="auto"/>
              <w:bottom w:val="single" w:sz="8" w:color="auto"/>
            </w:tcBorders>
            <w:shd w:val="clear" w:color="auto" w:fill="2AD2C9"/>
          </w:tcPr>
          <w:p>
            <w:pPr>
              <w:spacing w:after="0"/>
              <w:rPr>
                <w:sz w:val="17"/>
                <w:szCs w:val="17"/>
                <w:color w:val="auto"/>
              </w:rPr>
            </w:pPr>
          </w:p>
        </w:tc>
        <w:tc>
          <w:tcPr>
            <w:tcW w:w="1480" w:type="dxa"/>
            <w:vAlign w:val="bottom"/>
            <w:tcBorders>
              <w:bottom w:val="single" w:sz="8" w:color="auto"/>
              <w:right w:val="single" w:sz="8" w:color="auto"/>
            </w:tcBorders>
            <w:shd w:val="clear" w:color="auto" w:fill="2AD2C9"/>
          </w:tcPr>
          <w:p>
            <w:pPr>
              <w:spacing w:after="0"/>
              <w:rPr>
                <w:sz w:val="17"/>
                <w:szCs w:val="17"/>
                <w:color w:val="auto"/>
              </w:rPr>
            </w:pPr>
          </w:p>
        </w:tc>
        <w:tc>
          <w:tcPr>
            <w:tcW w:w="1240" w:type="dxa"/>
            <w:vAlign w:val="bottom"/>
            <w:tcBorders>
              <w:bottom w:val="single" w:sz="8" w:color="auto"/>
            </w:tcBorders>
            <w:shd w:val="clear" w:color="auto" w:fill="2AD2C9"/>
          </w:tcPr>
          <w:p>
            <w:pPr>
              <w:jc w:val="center"/>
              <w:ind w:right="77"/>
              <w:spacing w:after="0"/>
              <w:rPr>
                <w:sz w:val="20"/>
                <w:szCs w:val="20"/>
                <w:color w:val="auto"/>
              </w:rPr>
            </w:pPr>
            <w:r>
              <w:rPr>
                <w:rFonts w:ascii="Arial" w:cs="Arial" w:eastAsia="Arial" w:hAnsi="Arial"/>
                <w:sz w:val="13"/>
                <w:szCs w:val="13"/>
                <w:b w:val="1"/>
                <w:bCs w:val="1"/>
                <w:color w:val="FFFFFF"/>
              </w:rPr>
              <w:t>1Q24</w:t>
            </w:r>
          </w:p>
        </w:tc>
        <w:tc>
          <w:tcPr>
            <w:tcW w:w="980" w:type="dxa"/>
            <w:vAlign w:val="bottom"/>
            <w:tcBorders>
              <w:bottom w:val="single" w:sz="8" w:color="auto"/>
            </w:tcBorders>
            <w:shd w:val="clear" w:color="auto" w:fill="2AD2C9"/>
          </w:tcPr>
          <w:p>
            <w:pPr>
              <w:jc w:val="center"/>
              <w:ind w:right="97"/>
              <w:spacing w:after="0"/>
              <w:rPr>
                <w:sz w:val="20"/>
                <w:szCs w:val="20"/>
                <w:color w:val="auto"/>
              </w:rPr>
            </w:pPr>
            <w:r>
              <w:rPr>
                <w:rFonts w:ascii="Arial" w:cs="Arial" w:eastAsia="Arial" w:hAnsi="Arial"/>
                <w:sz w:val="13"/>
                <w:szCs w:val="13"/>
                <w:b w:val="1"/>
                <w:bCs w:val="1"/>
                <w:color w:val="FFFFFF"/>
              </w:rPr>
              <w:t>4Q24</w:t>
            </w:r>
          </w:p>
        </w:tc>
        <w:tc>
          <w:tcPr>
            <w:tcW w:w="11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1Q25</w:t>
            </w:r>
          </w:p>
        </w:tc>
        <w:tc>
          <w:tcPr>
            <w:tcW w:w="9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YoY</w:t>
            </w:r>
          </w:p>
        </w:tc>
        <w:tc>
          <w:tcPr>
            <w:tcW w:w="0" w:type="dxa"/>
            <w:vAlign w:val="bottom"/>
          </w:tcPr>
          <w:p>
            <w:pPr>
              <w:spacing w:after="0"/>
              <w:rPr>
                <w:sz w:val="1"/>
                <w:szCs w:val="1"/>
                <w:color w:val="auto"/>
              </w:rPr>
            </w:pPr>
          </w:p>
        </w:tc>
      </w:tr>
      <w:tr>
        <w:trPr>
          <w:trHeight w:val="113"/>
        </w:trPr>
        <w:tc>
          <w:tcPr>
            <w:tcW w:w="3800" w:type="dxa"/>
            <w:vAlign w:val="bottom"/>
            <w:tcBorders>
              <w:left w:val="single" w:sz="8" w:color="auto"/>
            </w:tcBorders>
          </w:tcPr>
          <w:p>
            <w:pPr>
              <w:spacing w:after="0" w:line="113" w:lineRule="exact"/>
              <w:rPr>
                <w:sz w:val="20"/>
                <w:szCs w:val="20"/>
                <w:color w:val="auto"/>
              </w:rPr>
            </w:pPr>
            <w:r>
              <w:rPr>
                <w:rFonts w:ascii="Arial" w:cs="Arial" w:eastAsia="Arial" w:hAnsi="Arial"/>
                <w:sz w:val="13"/>
                <w:szCs w:val="13"/>
                <w:color w:val="auto"/>
              </w:rPr>
              <w:t>Efficiency ratio</w:t>
            </w:r>
          </w:p>
        </w:tc>
        <w:tc>
          <w:tcPr>
            <w:tcW w:w="1480" w:type="dxa"/>
            <w:vAlign w:val="bottom"/>
            <w:tcBorders>
              <w:right w:val="single" w:sz="8" w:color="auto"/>
            </w:tcBorders>
          </w:tcPr>
          <w:p>
            <w:pPr>
              <w:spacing w:after="0"/>
              <w:rPr>
                <w:sz w:val="9"/>
                <w:szCs w:val="9"/>
                <w:color w:val="auto"/>
              </w:rPr>
            </w:pPr>
          </w:p>
        </w:tc>
        <w:tc>
          <w:tcPr>
            <w:tcW w:w="1240" w:type="dxa"/>
            <w:vAlign w:val="bottom"/>
          </w:tcPr>
          <w:p>
            <w:pPr>
              <w:jc w:val="center"/>
              <w:ind w:right="77"/>
              <w:spacing w:after="0" w:line="113" w:lineRule="exact"/>
              <w:rPr>
                <w:sz w:val="20"/>
                <w:szCs w:val="20"/>
                <w:color w:val="auto"/>
              </w:rPr>
            </w:pPr>
            <w:r>
              <w:rPr>
                <w:rFonts w:ascii="Arial" w:cs="Arial" w:eastAsia="Arial" w:hAnsi="Arial"/>
                <w:sz w:val="13"/>
                <w:szCs w:val="13"/>
                <w:color w:val="auto"/>
                <w:w w:val="95"/>
              </w:rPr>
              <w:t>58.06%</w:t>
            </w:r>
          </w:p>
        </w:tc>
        <w:tc>
          <w:tcPr>
            <w:tcW w:w="980" w:type="dxa"/>
            <w:vAlign w:val="bottom"/>
          </w:tcPr>
          <w:p>
            <w:pPr>
              <w:jc w:val="center"/>
              <w:ind w:right="97"/>
              <w:spacing w:after="0" w:line="113" w:lineRule="exact"/>
              <w:rPr>
                <w:sz w:val="20"/>
                <w:szCs w:val="20"/>
                <w:color w:val="auto"/>
              </w:rPr>
            </w:pPr>
            <w:r>
              <w:rPr>
                <w:rFonts w:ascii="Arial" w:cs="Arial" w:eastAsia="Arial" w:hAnsi="Arial"/>
                <w:sz w:val="13"/>
                <w:szCs w:val="13"/>
                <w:color w:val="auto"/>
                <w:w w:val="95"/>
              </w:rPr>
              <w:t>62.97%</w:t>
            </w:r>
          </w:p>
        </w:tc>
        <w:tc>
          <w:tcPr>
            <w:tcW w:w="11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3"/>
                <w:szCs w:val="13"/>
                <w:color w:val="auto"/>
                <w:w w:val="95"/>
              </w:rPr>
              <w:t>69.62%</w:t>
            </w:r>
          </w:p>
        </w:tc>
        <w:tc>
          <w:tcPr>
            <w:tcW w:w="980" w:type="dxa"/>
            <w:vAlign w:val="bottom"/>
          </w:tcPr>
          <w:p>
            <w:pPr>
              <w:jc w:val="center"/>
              <w:spacing w:after="0" w:line="113" w:lineRule="exact"/>
              <w:rPr>
                <w:sz w:val="20"/>
                <w:szCs w:val="20"/>
                <w:color w:val="auto"/>
              </w:rPr>
            </w:pPr>
            <w:r>
              <w:rPr>
                <w:rFonts w:ascii="Arial" w:cs="Arial" w:eastAsia="Arial" w:hAnsi="Arial"/>
                <w:sz w:val="13"/>
                <w:szCs w:val="13"/>
                <w:color w:val="auto"/>
                <w:w w:val="95"/>
              </w:rPr>
              <w:t>665 bps</w:t>
            </w:r>
          </w:p>
        </w:tc>
        <w:tc>
          <w:tcPr>
            <w:tcW w:w="106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3"/>
                <w:szCs w:val="13"/>
                <w:color w:val="auto"/>
                <w:w w:val="93"/>
              </w:rPr>
              <w:t>1157 bps</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ROAE</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2"/>
              </w:rPr>
              <w:t>9.11%</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2"/>
              </w:rPr>
              <w:t>9.52%</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11.30%</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5"/>
              </w:rPr>
              <w:t>178 bps</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9"/>
              </w:rPr>
              <w:t>219 bps</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L/D ratio</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5"/>
              </w:rPr>
              <w:t>83.04%</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5"/>
              </w:rPr>
              <w:t>81.83%</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78.96%</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4"/>
              </w:rPr>
              <w:t>-287 bps</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-408 bps</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IOL ratio</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2"/>
              </w:rPr>
              <w:t>2.57%</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2"/>
              </w:rPr>
              <w:t>2.68%</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2.77%</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rPr>
              <w:t>9 bps</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20 bps</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NPL ratio</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2"/>
              </w:rPr>
              <w:t>3.13%</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2"/>
              </w:rPr>
              <w:t>3.32%</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3.48%</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7"/>
              </w:rPr>
              <w:t>16 bps</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35 bps</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Coverage of IOLs</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7"/>
              </w:rPr>
              <w:t>140.90%</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7"/>
              </w:rPr>
              <w:t>137.71%</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129.87%</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4"/>
              </w:rPr>
              <w:t>-784 bps</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-1103 bps</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Coverage of NPLs</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7"/>
              </w:rPr>
              <w:t>115.76%</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89"/>
              </w:rPr>
              <w:t>111.27%</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103.57%</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4"/>
              </w:rPr>
              <w:t>-769 bps</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-1219 bps</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Branches</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6"/>
              </w:rPr>
              <w:t>46</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6"/>
              </w:rPr>
              <w:t>46</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46</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4"/>
              </w:rPr>
              <w:t>0.0%</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Agentes</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2"/>
              </w:rPr>
              <w:t>1,350</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2"/>
              </w:rPr>
              <w:t>1,834</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1,848</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4"/>
              </w:rPr>
              <w:t>0.8%</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36.9%</w:t>
            </w:r>
          </w:p>
        </w:tc>
        <w:tc>
          <w:tcPr>
            <w:tcW w:w="0" w:type="dxa"/>
            <w:vAlign w:val="bottom"/>
          </w:tcPr>
          <w:p>
            <w:pPr>
              <w:spacing w:after="0"/>
              <w:rPr>
                <w:sz w:val="1"/>
                <w:szCs w:val="1"/>
                <w:color w:val="auto"/>
              </w:rPr>
            </w:pPr>
          </w:p>
        </w:tc>
      </w:tr>
      <w:tr>
        <w:trPr>
          <w:trHeight w:val="135"/>
        </w:trPr>
        <w:tc>
          <w:tcPr>
            <w:tcW w:w="3800" w:type="dxa"/>
            <w:vAlign w:val="bottom"/>
            <w:tcBorders>
              <w:left w:val="single" w:sz="8" w:color="auto"/>
            </w:tcBorders>
          </w:tcPr>
          <w:p>
            <w:pPr>
              <w:spacing w:after="0" w:line="135" w:lineRule="exact"/>
              <w:rPr>
                <w:sz w:val="20"/>
                <w:szCs w:val="20"/>
                <w:color w:val="auto"/>
              </w:rPr>
            </w:pPr>
            <w:r>
              <w:rPr>
                <w:rFonts w:ascii="Arial" w:cs="Arial" w:eastAsia="Arial" w:hAnsi="Arial"/>
                <w:sz w:val="13"/>
                <w:szCs w:val="13"/>
                <w:color w:val="auto"/>
              </w:rPr>
              <w:t>ATMs</w:t>
            </w:r>
          </w:p>
        </w:tc>
        <w:tc>
          <w:tcPr>
            <w:tcW w:w="1480" w:type="dxa"/>
            <w:vAlign w:val="bottom"/>
            <w:tcBorders>
              <w:right w:val="single" w:sz="8" w:color="auto"/>
            </w:tcBorders>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color w:val="auto"/>
              </w:rPr>
              <w:t>315</w:t>
            </w:r>
          </w:p>
        </w:tc>
        <w:tc>
          <w:tcPr>
            <w:tcW w:w="980" w:type="dxa"/>
            <w:vAlign w:val="bottom"/>
          </w:tcPr>
          <w:p>
            <w:pPr>
              <w:jc w:val="center"/>
              <w:ind w:right="97"/>
              <w:spacing w:after="0" w:line="135" w:lineRule="exact"/>
              <w:rPr>
                <w:sz w:val="20"/>
                <w:szCs w:val="20"/>
                <w:color w:val="auto"/>
              </w:rPr>
            </w:pPr>
            <w:r>
              <w:rPr>
                <w:rFonts w:ascii="Arial" w:cs="Arial" w:eastAsia="Arial" w:hAnsi="Arial"/>
                <w:sz w:val="13"/>
                <w:szCs w:val="13"/>
                <w:color w:val="auto"/>
              </w:rPr>
              <w:t>314</w:t>
            </w:r>
          </w:p>
        </w:tc>
        <w:tc>
          <w:tcPr>
            <w:tcW w:w="1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314</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4"/>
              </w:rPr>
              <w:t>0.0%</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9"/>
              </w:rPr>
              <w:t>-0.3%</w:t>
            </w:r>
          </w:p>
        </w:tc>
        <w:tc>
          <w:tcPr>
            <w:tcW w:w="0" w:type="dxa"/>
            <w:vAlign w:val="bottom"/>
          </w:tcPr>
          <w:p>
            <w:pPr>
              <w:spacing w:after="0"/>
              <w:rPr>
                <w:sz w:val="1"/>
                <w:szCs w:val="1"/>
                <w:color w:val="auto"/>
              </w:rPr>
            </w:pPr>
          </w:p>
        </w:tc>
      </w:tr>
      <w:tr>
        <w:trPr>
          <w:trHeight w:val="153"/>
        </w:trPr>
        <w:tc>
          <w:tcPr>
            <w:tcW w:w="3800" w:type="dxa"/>
            <w:vAlign w:val="bottom"/>
            <w:tcBorders>
              <w:left w:val="single" w:sz="8" w:color="auto"/>
              <w:bottom w:val="single" w:sz="8" w:color="auto"/>
            </w:tcBorders>
          </w:tcPr>
          <w:p>
            <w:pPr>
              <w:spacing w:after="0"/>
              <w:rPr>
                <w:sz w:val="20"/>
                <w:szCs w:val="20"/>
                <w:color w:val="auto"/>
              </w:rPr>
            </w:pPr>
            <w:r>
              <w:rPr>
                <w:rFonts w:ascii="Arial" w:cs="Arial" w:eastAsia="Arial" w:hAnsi="Arial"/>
                <w:sz w:val="13"/>
                <w:szCs w:val="13"/>
                <w:color w:val="auto"/>
              </w:rPr>
              <w:t>Employees</w:t>
            </w:r>
          </w:p>
        </w:tc>
        <w:tc>
          <w:tcPr>
            <w:tcW w:w="148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2"/>
              </w:rPr>
              <w:t>1,719</w:t>
            </w: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92"/>
              </w:rPr>
              <w:t>1,819</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1,859</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2.2%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bl>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8" w:name="page69"/>
    <w:bookmarkEnd w:id="68"/>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12.6.6. Mibanco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MIBANCO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S/ Thousands, IFRS)</w:t>
      </w:r>
    </w:p>
    <w:p>
      <w:pPr>
        <w:spacing w:after="0" w:line="172" w:lineRule="exact"/>
        <w:rPr>
          <w:sz w:val="20"/>
          <w:szCs w:val="20"/>
          <w:color w:val="auto"/>
        </w:rPr>
      </w:pPr>
    </w:p>
    <w:tbl>
      <w:tblPr>
        <w:tblLayout w:type="fixed"/>
        <w:tblInd w:w="310" w:type="dxa"/>
        <w:tblCellMar>
          <w:top w:w="0" w:type="dxa"/>
          <w:left w:w="0" w:type="dxa"/>
          <w:bottom w:w="0" w:type="dxa"/>
          <w:right w:w="0" w:type="dxa"/>
        </w:tblCellMar>
      </w:tblPr>
      <w:tr>
        <w:trPr>
          <w:trHeight w:val="171"/>
        </w:trPr>
        <w:tc>
          <w:tcPr>
            <w:tcW w:w="3920" w:type="dxa"/>
            <w:vAlign w:val="bottom"/>
            <w:tcBorders>
              <w:top w:val="single" w:sz="8" w:color="auto"/>
              <w:left w:val="single" w:sz="8" w:color="auto"/>
            </w:tcBorders>
            <w:shd w:val="clear" w:color="auto" w:fill="2AD2C8"/>
          </w:tcPr>
          <w:p>
            <w:pPr>
              <w:spacing w:after="0"/>
              <w:rPr>
                <w:sz w:val="14"/>
                <w:szCs w:val="14"/>
                <w:color w:val="auto"/>
              </w:rPr>
            </w:pPr>
          </w:p>
        </w:tc>
        <w:tc>
          <w:tcPr>
            <w:tcW w:w="1360" w:type="dxa"/>
            <w:vAlign w:val="bottom"/>
            <w:tcBorders>
              <w:top w:val="single" w:sz="8" w:color="auto"/>
              <w:right w:val="single" w:sz="8" w:color="auto"/>
            </w:tcBorders>
            <w:shd w:val="clear" w:color="auto" w:fill="2AD2C8"/>
          </w:tcPr>
          <w:p>
            <w:pPr>
              <w:spacing w:after="0"/>
              <w:rPr>
                <w:sz w:val="14"/>
                <w:szCs w:val="14"/>
                <w:color w:val="auto"/>
              </w:rPr>
            </w:pPr>
          </w:p>
        </w:tc>
        <w:tc>
          <w:tcPr>
            <w:tcW w:w="1240" w:type="dxa"/>
            <w:vAlign w:val="bottom"/>
            <w:tcBorders>
              <w:top w:val="single" w:sz="8" w:color="auto"/>
            </w:tcBorders>
            <w:vMerge w:val="restart"/>
            <w:shd w:val="clear" w:color="auto" w:fill="2AD2C8"/>
          </w:tcPr>
          <w:p>
            <w:pPr>
              <w:ind w:left="360"/>
              <w:spacing w:after="0"/>
              <w:rPr>
                <w:sz w:val="20"/>
                <w:szCs w:val="20"/>
                <w:color w:val="auto"/>
              </w:rPr>
            </w:pPr>
            <w:r>
              <w:rPr>
                <w:rFonts w:ascii="Arial" w:cs="Arial" w:eastAsia="Arial" w:hAnsi="Arial"/>
                <w:sz w:val="13"/>
                <w:szCs w:val="13"/>
                <w:b w:val="1"/>
                <w:bCs w:val="1"/>
                <w:color w:val="FFFFFF"/>
              </w:rPr>
              <w:t>Mar 24</w:t>
            </w:r>
          </w:p>
        </w:tc>
        <w:tc>
          <w:tcPr>
            <w:tcW w:w="980" w:type="dxa"/>
            <w:vAlign w:val="bottom"/>
            <w:tcBorders>
              <w:top w:val="single" w:sz="8" w:color="auto"/>
            </w:tcBorders>
            <w:shd w:val="clear" w:color="auto" w:fill="2AD2C8"/>
          </w:tcPr>
          <w:p>
            <w:pPr>
              <w:jc w:val="center"/>
              <w:ind w:right="93"/>
              <w:spacing w:after="0"/>
              <w:rPr>
                <w:sz w:val="20"/>
                <w:szCs w:val="20"/>
                <w:color w:val="auto"/>
              </w:rPr>
            </w:pPr>
            <w:r>
              <w:rPr>
                <w:rFonts w:ascii="Arial" w:cs="Arial" w:eastAsia="Arial" w:hAnsi="Arial"/>
                <w:sz w:val="13"/>
                <w:szCs w:val="13"/>
                <w:b w:val="1"/>
                <w:bCs w:val="1"/>
                <w:color w:val="FFFFFF"/>
                <w:w w:val="92"/>
              </w:rPr>
              <w:t>As of</w:t>
            </w:r>
          </w:p>
        </w:tc>
        <w:tc>
          <w:tcPr>
            <w:tcW w:w="1120" w:type="dxa"/>
            <w:vAlign w:val="bottom"/>
            <w:tcBorders>
              <w:top w:val="single" w:sz="8" w:color="auto"/>
              <w:right w:val="single" w:sz="8" w:color="auto"/>
            </w:tcBorders>
            <w:vMerge w:val="restart"/>
            <w:shd w:val="clear" w:color="auto" w:fill="2AD2C8"/>
          </w:tcPr>
          <w:p>
            <w:pPr>
              <w:jc w:val="center"/>
              <w:spacing w:after="0"/>
              <w:rPr>
                <w:sz w:val="20"/>
                <w:szCs w:val="20"/>
                <w:color w:val="auto"/>
              </w:rPr>
            </w:pPr>
            <w:r>
              <w:rPr>
                <w:rFonts w:ascii="Arial" w:cs="Arial" w:eastAsia="Arial" w:hAnsi="Arial"/>
                <w:sz w:val="13"/>
                <w:szCs w:val="13"/>
                <w:b w:val="1"/>
                <w:bCs w:val="1"/>
                <w:color w:val="FFFFFF"/>
                <w:w w:val="97"/>
              </w:rPr>
              <w:t>Mar 25</w:t>
            </w:r>
          </w:p>
        </w:tc>
        <w:tc>
          <w:tcPr>
            <w:tcW w:w="2040" w:type="dxa"/>
            <w:vAlign w:val="bottom"/>
            <w:tcBorders>
              <w:top w:val="single" w:sz="8" w:color="auto"/>
              <w:right w:val="single" w:sz="8" w:color="auto"/>
            </w:tcBorders>
            <w:gridSpan w:val="2"/>
            <w:shd w:val="clear" w:color="auto" w:fill="2AD2C8"/>
          </w:tcPr>
          <w:p>
            <w:pPr>
              <w:ind w:left="720"/>
              <w:spacing w:after="0"/>
              <w:rPr>
                <w:sz w:val="20"/>
                <w:szCs w:val="20"/>
                <w:color w:val="auto"/>
              </w:rPr>
            </w:pPr>
            <w:r>
              <w:rPr>
                <w:rFonts w:ascii="Arial" w:cs="Arial" w:eastAsia="Arial" w:hAnsi="Arial"/>
                <w:sz w:val="13"/>
                <w:szCs w:val="13"/>
                <w:color w:val="FFFFFF"/>
              </w:rPr>
              <w:t>% change</w:t>
            </w:r>
          </w:p>
        </w:tc>
        <w:tc>
          <w:tcPr>
            <w:tcW w:w="0" w:type="dxa"/>
            <w:vAlign w:val="bottom"/>
          </w:tcPr>
          <w:p>
            <w:pPr>
              <w:spacing w:after="0"/>
              <w:rPr>
                <w:sz w:val="1"/>
                <w:szCs w:val="1"/>
                <w:color w:val="auto"/>
              </w:rPr>
            </w:pPr>
          </w:p>
        </w:tc>
      </w:tr>
      <w:tr>
        <w:trPr>
          <w:trHeight w:val="153"/>
        </w:trPr>
        <w:tc>
          <w:tcPr>
            <w:tcW w:w="3920" w:type="dxa"/>
            <w:vAlign w:val="bottom"/>
            <w:tcBorders>
              <w:left w:val="single" w:sz="8" w:color="auto"/>
              <w:bottom w:val="single" w:sz="8" w:color="auto"/>
            </w:tcBorders>
            <w:shd w:val="clear" w:color="auto" w:fill="2AD2C8"/>
          </w:tcPr>
          <w:p>
            <w:pPr>
              <w:spacing w:after="0"/>
              <w:rPr>
                <w:sz w:val="13"/>
                <w:szCs w:val="13"/>
                <w:color w:val="auto"/>
              </w:rPr>
            </w:pPr>
          </w:p>
        </w:tc>
        <w:tc>
          <w:tcPr>
            <w:tcW w:w="1360" w:type="dxa"/>
            <w:vAlign w:val="bottom"/>
            <w:tcBorders>
              <w:bottom w:val="single" w:sz="8" w:color="auto"/>
              <w:right w:val="single" w:sz="8" w:color="auto"/>
            </w:tcBorders>
            <w:shd w:val="clear" w:color="auto" w:fill="2AD2C8"/>
          </w:tcPr>
          <w:p>
            <w:pPr>
              <w:spacing w:after="0"/>
              <w:rPr>
                <w:sz w:val="13"/>
                <w:szCs w:val="13"/>
                <w:color w:val="auto"/>
              </w:rPr>
            </w:pPr>
          </w:p>
        </w:tc>
        <w:tc>
          <w:tcPr>
            <w:tcW w:w="1240" w:type="dxa"/>
            <w:vAlign w:val="bottom"/>
            <w:tcBorders>
              <w:bottom w:val="single" w:sz="8" w:color="auto"/>
            </w:tcBorders>
            <w:vMerge w:val="continue"/>
            <w:shd w:val="clear" w:color="auto" w:fill="2AD2C8"/>
          </w:tcPr>
          <w:p>
            <w:pPr>
              <w:spacing w:after="0"/>
              <w:rPr>
                <w:sz w:val="13"/>
                <w:szCs w:val="13"/>
                <w:color w:val="auto"/>
              </w:rPr>
            </w:pPr>
          </w:p>
        </w:tc>
        <w:tc>
          <w:tcPr>
            <w:tcW w:w="980" w:type="dxa"/>
            <w:vAlign w:val="bottom"/>
            <w:tcBorders>
              <w:bottom w:val="single" w:sz="8" w:color="auto"/>
            </w:tcBorders>
            <w:shd w:val="clear" w:color="auto" w:fill="2AD2C8"/>
          </w:tcPr>
          <w:p>
            <w:pPr>
              <w:jc w:val="center"/>
              <w:ind w:right="73"/>
              <w:spacing w:after="0"/>
              <w:rPr>
                <w:sz w:val="20"/>
                <w:szCs w:val="20"/>
                <w:color w:val="auto"/>
              </w:rPr>
            </w:pPr>
            <w:r>
              <w:rPr>
                <w:rFonts w:ascii="Arial" w:cs="Arial" w:eastAsia="Arial" w:hAnsi="Arial"/>
                <w:sz w:val="13"/>
                <w:szCs w:val="13"/>
                <w:b w:val="1"/>
                <w:bCs w:val="1"/>
                <w:color w:val="FFFFFF"/>
                <w:w w:val="95"/>
              </w:rPr>
              <w:t>Dec 24</w:t>
            </w:r>
          </w:p>
        </w:tc>
        <w:tc>
          <w:tcPr>
            <w:tcW w:w="1120" w:type="dxa"/>
            <w:vAlign w:val="bottom"/>
            <w:tcBorders>
              <w:bottom w:val="single" w:sz="8" w:color="auto"/>
              <w:right w:val="single" w:sz="8" w:color="auto"/>
            </w:tcBorders>
            <w:vMerge w:val="continue"/>
            <w:shd w:val="clear" w:color="auto" w:fill="2AD2C8"/>
          </w:tcPr>
          <w:p>
            <w:pPr>
              <w:spacing w:after="0"/>
              <w:rPr>
                <w:sz w:val="13"/>
                <w:szCs w:val="13"/>
                <w:color w:val="auto"/>
              </w:rPr>
            </w:pPr>
          </w:p>
        </w:tc>
        <w:tc>
          <w:tcPr>
            <w:tcW w:w="98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6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w w:val="86"/>
              </w:rPr>
              <w:t>YoY</w:t>
            </w:r>
          </w:p>
        </w:tc>
        <w:tc>
          <w:tcPr>
            <w:tcW w:w="0" w:type="dxa"/>
            <w:vAlign w:val="bottom"/>
          </w:tcPr>
          <w:p>
            <w:pPr>
              <w:spacing w:after="0"/>
              <w:rPr>
                <w:sz w:val="1"/>
                <w:szCs w:val="1"/>
                <w:color w:val="auto"/>
              </w:rPr>
            </w:pPr>
          </w:p>
        </w:tc>
      </w:tr>
      <w:tr>
        <w:trPr>
          <w:trHeight w:val="143"/>
        </w:trPr>
        <w:tc>
          <w:tcPr>
            <w:tcW w:w="3920" w:type="dxa"/>
            <w:vAlign w:val="bottom"/>
            <w:tcBorders>
              <w:left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ASSETS</w:t>
            </w:r>
          </w:p>
        </w:tc>
        <w:tc>
          <w:tcPr>
            <w:tcW w:w="136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Cash and due from banks</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93"/>
              <w:spacing w:after="0"/>
              <w:rPr>
                <w:sz w:val="20"/>
                <w:szCs w:val="20"/>
                <w:color w:val="auto"/>
              </w:rPr>
            </w:pPr>
            <w:r>
              <w:rPr>
                <w:rFonts w:ascii="Arial" w:cs="Arial" w:eastAsia="Arial" w:hAnsi="Arial"/>
                <w:sz w:val="13"/>
                <w:szCs w:val="13"/>
                <w:color w:val="auto"/>
              </w:rPr>
              <w:t>1,250,746</w:t>
            </w:r>
          </w:p>
        </w:tc>
        <w:tc>
          <w:tcPr>
            <w:tcW w:w="980" w:type="dxa"/>
            <w:vAlign w:val="bottom"/>
          </w:tcPr>
          <w:p>
            <w:pPr>
              <w:jc w:val="center"/>
              <w:ind w:right="113"/>
              <w:spacing w:after="0"/>
              <w:rPr>
                <w:sz w:val="20"/>
                <w:szCs w:val="20"/>
                <w:color w:val="auto"/>
              </w:rPr>
            </w:pPr>
            <w:r>
              <w:rPr>
                <w:rFonts w:ascii="Arial" w:cs="Arial" w:eastAsia="Arial" w:hAnsi="Arial"/>
                <w:sz w:val="13"/>
                <w:szCs w:val="13"/>
                <w:color w:val="auto"/>
              </w:rPr>
              <w:t>1,833,225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1,931,908</w:t>
            </w:r>
          </w:p>
        </w:tc>
        <w:tc>
          <w:tcPr>
            <w:tcW w:w="980" w:type="dxa"/>
            <w:vAlign w:val="bottom"/>
          </w:tcPr>
          <w:p>
            <w:pPr>
              <w:jc w:val="center"/>
              <w:spacing w:after="0"/>
              <w:rPr>
                <w:sz w:val="20"/>
                <w:szCs w:val="20"/>
                <w:color w:val="auto"/>
              </w:rPr>
            </w:pPr>
            <w:r>
              <w:rPr>
                <w:rFonts w:ascii="Arial" w:cs="Arial" w:eastAsia="Arial" w:hAnsi="Arial"/>
                <w:sz w:val="13"/>
                <w:szCs w:val="13"/>
                <w:color w:val="auto"/>
              </w:rPr>
              <w:t>5.4%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54.5%</w:t>
            </w:r>
          </w:p>
        </w:tc>
        <w:tc>
          <w:tcPr>
            <w:tcW w:w="0" w:type="dxa"/>
            <w:vAlign w:val="bottom"/>
          </w:tcPr>
          <w:p>
            <w:pPr>
              <w:spacing w:after="0"/>
              <w:rPr>
                <w:sz w:val="1"/>
                <w:szCs w:val="1"/>
                <w:color w:val="auto"/>
              </w:rPr>
            </w:pPr>
          </w:p>
        </w:tc>
      </w:tr>
      <w:tr>
        <w:trPr>
          <w:trHeight w:val="146"/>
        </w:trPr>
        <w:tc>
          <w:tcPr>
            <w:tcW w:w="3920" w:type="dxa"/>
            <w:vAlign w:val="bottom"/>
            <w:tcBorders>
              <w:left w:val="single" w:sz="8" w:color="auto"/>
            </w:tcBorders>
          </w:tcPr>
          <w:p>
            <w:pPr>
              <w:spacing w:after="0" w:line="147" w:lineRule="exact"/>
              <w:rPr>
                <w:sz w:val="20"/>
                <w:szCs w:val="20"/>
                <w:color w:val="auto"/>
              </w:rPr>
            </w:pPr>
            <w:r>
              <w:rPr>
                <w:rFonts w:ascii="Arial" w:cs="Arial" w:eastAsia="Arial" w:hAnsi="Arial"/>
                <w:sz w:val="13"/>
                <w:szCs w:val="13"/>
                <w:color w:val="auto"/>
              </w:rPr>
              <w:t>Investments</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93"/>
              <w:spacing w:after="0" w:line="147" w:lineRule="exact"/>
              <w:rPr>
                <w:sz w:val="20"/>
                <w:szCs w:val="20"/>
                <w:color w:val="auto"/>
              </w:rPr>
            </w:pPr>
            <w:r>
              <w:rPr>
                <w:rFonts w:ascii="Arial" w:cs="Arial" w:eastAsia="Arial" w:hAnsi="Arial"/>
                <w:sz w:val="13"/>
                <w:szCs w:val="13"/>
                <w:color w:val="auto"/>
              </w:rPr>
              <w:t>2,882,015</w:t>
            </w:r>
          </w:p>
        </w:tc>
        <w:tc>
          <w:tcPr>
            <w:tcW w:w="980" w:type="dxa"/>
            <w:vAlign w:val="bottom"/>
          </w:tcPr>
          <w:p>
            <w:pPr>
              <w:jc w:val="center"/>
              <w:ind w:right="113"/>
              <w:spacing w:after="0" w:line="147" w:lineRule="exact"/>
              <w:rPr>
                <w:sz w:val="20"/>
                <w:szCs w:val="20"/>
                <w:color w:val="auto"/>
              </w:rPr>
            </w:pPr>
            <w:r>
              <w:rPr>
                <w:rFonts w:ascii="Arial" w:cs="Arial" w:eastAsia="Arial" w:hAnsi="Arial"/>
                <w:sz w:val="13"/>
                <w:szCs w:val="13"/>
                <w:color w:val="auto"/>
              </w:rPr>
              <w:t>2,917,396</w:t>
            </w:r>
          </w:p>
        </w:tc>
        <w:tc>
          <w:tcPr>
            <w:tcW w:w="11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color w:val="auto"/>
              </w:rPr>
              <w:t>3,124,911</w:t>
            </w:r>
          </w:p>
        </w:tc>
        <w:tc>
          <w:tcPr>
            <w:tcW w:w="980" w:type="dxa"/>
            <w:vAlign w:val="bottom"/>
          </w:tcPr>
          <w:p>
            <w:pPr>
              <w:jc w:val="center"/>
              <w:spacing w:after="0" w:line="147" w:lineRule="exact"/>
              <w:rPr>
                <w:sz w:val="20"/>
                <w:szCs w:val="20"/>
                <w:color w:val="auto"/>
              </w:rPr>
            </w:pPr>
            <w:r>
              <w:rPr>
                <w:rFonts w:ascii="Arial" w:cs="Arial" w:eastAsia="Arial" w:hAnsi="Arial"/>
                <w:sz w:val="13"/>
                <w:szCs w:val="13"/>
                <w:color w:val="auto"/>
              </w:rPr>
              <w:t>7.1%</w:t>
            </w:r>
          </w:p>
        </w:tc>
        <w:tc>
          <w:tcPr>
            <w:tcW w:w="10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1"/>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b w:val="1"/>
                <w:bCs w:val="1"/>
                <w:color w:val="auto"/>
              </w:rPr>
              <w:t>Total loans</w:t>
            </w:r>
          </w:p>
        </w:tc>
        <w:tc>
          <w:tcPr>
            <w:tcW w:w="1360" w:type="dxa"/>
            <w:vAlign w:val="bottom"/>
            <w:tcBorders>
              <w:right w:val="single" w:sz="8" w:color="auto"/>
            </w:tcBorders>
          </w:tcPr>
          <w:p>
            <w:pPr>
              <w:spacing w:after="0"/>
              <w:rPr>
                <w:sz w:val="13"/>
                <w:szCs w:val="13"/>
                <w:color w:val="auto"/>
              </w:rPr>
            </w:pPr>
          </w:p>
        </w:tc>
        <w:tc>
          <w:tcPr>
            <w:tcW w:w="1240" w:type="dxa"/>
            <w:vAlign w:val="bottom"/>
          </w:tcPr>
          <w:p>
            <w:pPr>
              <w:jc w:val="center"/>
              <w:ind w:right="93"/>
              <w:spacing w:after="0"/>
              <w:rPr>
                <w:sz w:val="20"/>
                <w:szCs w:val="20"/>
                <w:color w:val="auto"/>
              </w:rPr>
            </w:pPr>
            <w:r>
              <w:rPr>
                <w:rFonts w:ascii="Arial" w:cs="Arial" w:eastAsia="Arial" w:hAnsi="Arial"/>
                <w:sz w:val="13"/>
                <w:szCs w:val="13"/>
                <w:b w:val="1"/>
                <w:bCs w:val="1"/>
                <w:color w:val="auto"/>
              </w:rPr>
              <w:t>13,080,143</w:t>
            </w:r>
          </w:p>
        </w:tc>
        <w:tc>
          <w:tcPr>
            <w:tcW w:w="980" w:type="dxa"/>
            <w:vAlign w:val="bottom"/>
          </w:tcPr>
          <w:p>
            <w:pPr>
              <w:jc w:val="center"/>
              <w:ind w:right="113"/>
              <w:spacing w:after="0"/>
              <w:rPr>
                <w:sz w:val="20"/>
                <w:szCs w:val="20"/>
                <w:color w:val="auto"/>
              </w:rPr>
            </w:pPr>
            <w:r>
              <w:rPr>
                <w:rFonts w:ascii="Arial" w:cs="Arial" w:eastAsia="Arial" w:hAnsi="Arial"/>
                <w:sz w:val="13"/>
                <w:szCs w:val="13"/>
                <w:b w:val="1"/>
                <w:bCs w:val="1"/>
                <w:color w:val="auto"/>
              </w:rPr>
              <w:t>12,239,171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12,525,099</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2.3%</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-4.2%</w:t>
            </w:r>
          </w:p>
        </w:tc>
        <w:tc>
          <w:tcPr>
            <w:tcW w:w="0" w:type="dxa"/>
            <w:vAlign w:val="bottom"/>
          </w:tcPr>
          <w:p>
            <w:pPr>
              <w:spacing w:after="0"/>
              <w:rPr>
                <w:sz w:val="1"/>
                <w:szCs w:val="1"/>
                <w:color w:val="auto"/>
              </w:rPr>
            </w:pPr>
          </w:p>
        </w:tc>
      </w:tr>
      <w:tr>
        <w:trPr>
          <w:trHeight w:val="149"/>
        </w:trPr>
        <w:tc>
          <w:tcPr>
            <w:tcW w:w="392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Current</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93"/>
              <w:spacing w:after="0"/>
              <w:rPr>
                <w:sz w:val="20"/>
                <w:szCs w:val="20"/>
                <w:color w:val="auto"/>
              </w:rPr>
            </w:pPr>
            <w:r>
              <w:rPr>
                <w:rFonts w:ascii="Arial" w:cs="Arial" w:eastAsia="Arial" w:hAnsi="Arial"/>
                <w:sz w:val="13"/>
                <w:szCs w:val="13"/>
                <w:color w:val="auto"/>
              </w:rPr>
              <w:t>12,106,939</w:t>
            </w:r>
          </w:p>
        </w:tc>
        <w:tc>
          <w:tcPr>
            <w:tcW w:w="980" w:type="dxa"/>
            <w:vAlign w:val="bottom"/>
          </w:tcPr>
          <w:p>
            <w:pPr>
              <w:jc w:val="center"/>
              <w:ind w:right="93"/>
              <w:spacing w:after="0"/>
              <w:rPr>
                <w:sz w:val="20"/>
                <w:szCs w:val="20"/>
                <w:color w:val="auto"/>
              </w:rPr>
            </w:pPr>
            <w:r>
              <w:rPr>
                <w:rFonts w:ascii="Arial" w:cs="Arial" w:eastAsia="Arial" w:hAnsi="Arial"/>
                <w:sz w:val="13"/>
                <w:szCs w:val="13"/>
                <w:color w:val="auto"/>
              </w:rPr>
              <w:t>11,330,124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11,719,353</w:t>
            </w:r>
          </w:p>
        </w:tc>
        <w:tc>
          <w:tcPr>
            <w:tcW w:w="980" w:type="dxa"/>
            <w:vAlign w:val="bottom"/>
          </w:tcPr>
          <w:p>
            <w:pPr>
              <w:jc w:val="center"/>
              <w:spacing w:after="0"/>
              <w:rPr>
                <w:sz w:val="20"/>
                <w:szCs w:val="20"/>
                <w:color w:val="auto"/>
              </w:rPr>
            </w:pPr>
            <w:r>
              <w:rPr>
                <w:rFonts w:ascii="Arial" w:cs="Arial" w:eastAsia="Arial" w:hAnsi="Arial"/>
                <w:sz w:val="13"/>
                <w:szCs w:val="13"/>
                <w:color w:val="auto"/>
              </w:rPr>
              <w:t>3.4%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48"/>
        </w:trPr>
        <w:tc>
          <w:tcPr>
            <w:tcW w:w="392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Internal overdue loans</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color w:val="auto"/>
              </w:rPr>
              <w:t>870,892</w:t>
            </w:r>
          </w:p>
        </w:tc>
        <w:tc>
          <w:tcPr>
            <w:tcW w:w="980" w:type="dxa"/>
            <w:vAlign w:val="bottom"/>
          </w:tcPr>
          <w:p>
            <w:pPr>
              <w:jc w:val="center"/>
              <w:ind w:right="93"/>
              <w:spacing w:after="0"/>
              <w:rPr>
                <w:sz w:val="20"/>
                <w:szCs w:val="20"/>
                <w:color w:val="auto"/>
              </w:rPr>
            </w:pPr>
            <w:r>
              <w:rPr>
                <w:rFonts w:ascii="Arial" w:cs="Arial" w:eastAsia="Arial" w:hAnsi="Arial"/>
                <w:sz w:val="13"/>
                <w:szCs w:val="13"/>
                <w:color w:val="auto"/>
              </w:rPr>
              <w:t>802,133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698,528</w:t>
            </w:r>
          </w:p>
        </w:tc>
        <w:tc>
          <w:tcPr>
            <w:tcW w:w="980" w:type="dxa"/>
            <w:vAlign w:val="bottom"/>
          </w:tcPr>
          <w:p>
            <w:pPr>
              <w:jc w:val="center"/>
              <w:spacing w:after="0"/>
              <w:rPr>
                <w:sz w:val="20"/>
                <w:szCs w:val="20"/>
                <w:color w:val="auto"/>
              </w:rPr>
            </w:pPr>
            <w:r>
              <w:rPr>
                <w:rFonts w:ascii="Arial" w:cs="Arial" w:eastAsia="Arial" w:hAnsi="Arial"/>
                <w:sz w:val="13"/>
                <w:szCs w:val="13"/>
                <w:color w:val="auto"/>
              </w:rPr>
              <w:t>-12.9%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48"/>
        </w:trPr>
        <w:tc>
          <w:tcPr>
            <w:tcW w:w="392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Refinanced</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color w:val="auto"/>
              </w:rPr>
              <w:t>102,312</w:t>
            </w:r>
          </w:p>
        </w:tc>
        <w:tc>
          <w:tcPr>
            <w:tcW w:w="980" w:type="dxa"/>
            <w:vAlign w:val="bottom"/>
          </w:tcPr>
          <w:p>
            <w:pPr>
              <w:jc w:val="center"/>
              <w:ind w:right="93"/>
              <w:spacing w:after="0"/>
              <w:rPr>
                <w:sz w:val="20"/>
                <w:szCs w:val="20"/>
                <w:color w:val="auto"/>
              </w:rPr>
            </w:pPr>
            <w:r>
              <w:rPr>
                <w:rFonts w:ascii="Arial" w:cs="Arial" w:eastAsia="Arial" w:hAnsi="Arial"/>
                <w:sz w:val="13"/>
                <w:szCs w:val="13"/>
                <w:color w:val="auto"/>
              </w:rPr>
              <w:t>106,914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107,218</w:t>
            </w:r>
          </w:p>
        </w:tc>
        <w:tc>
          <w:tcPr>
            <w:tcW w:w="980" w:type="dxa"/>
            <w:vAlign w:val="bottom"/>
          </w:tcPr>
          <w:p>
            <w:pPr>
              <w:jc w:val="center"/>
              <w:spacing w:after="0"/>
              <w:rPr>
                <w:sz w:val="20"/>
                <w:szCs w:val="20"/>
                <w:color w:val="auto"/>
              </w:rPr>
            </w:pPr>
            <w:r>
              <w:rPr>
                <w:rFonts w:ascii="Arial" w:cs="Arial" w:eastAsia="Arial" w:hAnsi="Arial"/>
                <w:sz w:val="13"/>
                <w:szCs w:val="13"/>
                <w:color w:val="auto"/>
              </w:rPr>
              <w:t>0.3%</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46"/>
        </w:trPr>
        <w:tc>
          <w:tcPr>
            <w:tcW w:w="3920" w:type="dxa"/>
            <w:vAlign w:val="bottom"/>
            <w:tcBorders>
              <w:left w:val="single" w:sz="8" w:color="auto"/>
            </w:tcBorders>
          </w:tcPr>
          <w:p>
            <w:pPr>
              <w:ind w:left="160"/>
              <w:spacing w:after="0" w:line="147" w:lineRule="exact"/>
              <w:rPr>
                <w:sz w:val="20"/>
                <w:szCs w:val="20"/>
                <w:color w:val="auto"/>
              </w:rPr>
            </w:pPr>
            <w:r>
              <w:rPr>
                <w:rFonts w:ascii="Arial" w:cs="Arial" w:eastAsia="Arial" w:hAnsi="Arial"/>
                <w:sz w:val="13"/>
                <w:szCs w:val="13"/>
                <w:color w:val="auto"/>
              </w:rPr>
              <w:t>Allowance for loan losses</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73"/>
              <w:spacing w:after="0" w:line="147" w:lineRule="exact"/>
              <w:rPr>
                <w:sz w:val="20"/>
                <w:szCs w:val="20"/>
                <w:color w:val="auto"/>
              </w:rPr>
            </w:pPr>
            <w:r>
              <w:rPr>
                <w:rFonts w:ascii="Arial" w:cs="Arial" w:eastAsia="Arial" w:hAnsi="Arial"/>
                <w:sz w:val="13"/>
                <w:szCs w:val="13"/>
                <w:color w:val="auto"/>
              </w:rPr>
              <w:t>(968,082)</w:t>
            </w:r>
          </w:p>
        </w:tc>
        <w:tc>
          <w:tcPr>
            <w:tcW w:w="980" w:type="dxa"/>
            <w:vAlign w:val="bottom"/>
          </w:tcPr>
          <w:p>
            <w:pPr>
              <w:jc w:val="center"/>
              <w:ind w:right="93"/>
              <w:spacing w:after="0" w:line="147" w:lineRule="exact"/>
              <w:rPr>
                <w:sz w:val="20"/>
                <w:szCs w:val="20"/>
                <w:color w:val="auto"/>
              </w:rPr>
            </w:pPr>
            <w:r>
              <w:rPr>
                <w:rFonts w:ascii="Arial" w:cs="Arial" w:eastAsia="Arial" w:hAnsi="Arial"/>
                <w:sz w:val="13"/>
                <w:szCs w:val="13"/>
                <w:color w:val="auto"/>
              </w:rPr>
              <w:t>(924,703)</w:t>
            </w:r>
          </w:p>
        </w:tc>
        <w:tc>
          <w:tcPr>
            <w:tcW w:w="11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color w:val="auto"/>
              </w:rPr>
              <w:t>(864,812)</w:t>
            </w:r>
          </w:p>
        </w:tc>
        <w:tc>
          <w:tcPr>
            <w:tcW w:w="980" w:type="dxa"/>
            <w:vAlign w:val="bottom"/>
          </w:tcPr>
          <w:p>
            <w:pPr>
              <w:jc w:val="center"/>
              <w:spacing w:after="0" w:line="147" w:lineRule="exact"/>
              <w:rPr>
                <w:sz w:val="20"/>
                <w:szCs w:val="20"/>
                <w:color w:val="auto"/>
              </w:rPr>
            </w:pPr>
            <w:r>
              <w:rPr>
                <w:rFonts w:ascii="Arial" w:cs="Arial" w:eastAsia="Arial" w:hAnsi="Arial"/>
                <w:sz w:val="13"/>
                <w:szCs w:val="13"/>
                <w:color w:val="auto"/>
              </w:rPr>
              <w:t>-6.5%</w:t>
            </w:r>
          </w:p>
        </w:tc>
        <w:tc>
          <w:tcPr>
            <w:tcW w:w="10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51"/>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b w:val="1"/>
                <w:bCs w:val="1"/>
                <w:color w:val="auto"/>
              </w:rPr>
              <w:t>Net loans</w:t>
            </w:r>
          </w:p>
        </w:tc>
        <w:tc>
          <w:tcPr>
            <w:tcW w:w="1360" w:type="dxa"/>
            <w:vAlign w:val="bottom"/>
            <w:tcBorders>
              <w:right w:val="single" w:sz="8" w:color="auto"/>
            </w:tcBorders>
          </w:tcPr>
          <w:p>
            <w:pPr>
              <w:spacing w:after="0"/>
              <w:rPr>
                <w:sz w:val="13"/>
                <w:szCs w:val="13"/>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b w:val="1"/>
                <w:bCs w:val="1"/>
                <w:color w:val="auto"/>
              </w:rPr>
              <w:t>12,112,061</w:t>
            </w:r>
          </w:p>
        </w:tc>
        <w:tc>
          <w:tcPr>
            <w:tcW w:w="980" w:type="dxa"/>
            <w:vAlign w:val="bottom"/>
          </w:tcPr>
          <w:p>
            <w:pPr>
              <w:jc w:val="center"/>
              <w:ind w:right="93"/>
              <w:spacing w:after="0"/>
              <w:rPr>
                <w:sz w:val="20"/>
                <w:szCs w:val="20"/>
                <w:color w:val="auto"/>
              </w:rPr>
            </w:pPr>
            <w:r>
              <w:rPr>
                <w:rFonts w:ascii="Arial" w:cs="Arial" w:eastAsia="Arial" w:hAnsi="Arial"/>
                <w:sz w:val="13"/>
                <w:szCs w:val="13"/>
                <w:b w:val="1"/>
                <w:bCs w:val="1"/>
                <w:color w:val="auto"/>
              </w:rPr>
              <w:t>11,314,468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11,660,287</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3.1%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-3.7%</w:t>
            </w:r>
          </w:p>
        </w:tc>
        <w:tc>
          <w:tcPr>
            <w:tcW w:w="0" w:type="dxa"/>
            <w:vAlign w:val="bottom"/>
          </w:tcPr>
          <w:p>
            <w:pPr>
              <w:spacing w:after="0"/>
              <w:rPr>
                <w:sz w:val="1"/>
                <w:szCs w:val="1"/>
                <w:color w:val="auto"/>
              </w:rPr>
            </w:pPr>
          </w:p>
        </w:tc>
      </w:tr>
      <w:tr>
        <w:trPr>
          <w:trHeight w:val="149"/>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Property, plant and equipment, net</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color w:val="auto"/>
              </w:rPr>
              <w:t>135,215</w:t>
            </w:r>
          </w:p>
        </w:tc>
        <w:tc>
          <w:tcPr>
            <w:tcW w:w="980" w:type="dxa"/>
            <w:vAlign w:val="bottom"/>
          </w:tcPr>
          <w:p>
            <w:pPr>
              <w:jc w:val="center"/>
              <w:ind w:right="93"/>
              <w:spacing w:after="0"/>
              <w:rPr>
                <w:sz w:val="20"/>
                <w:szCs w:val="20"/>
                <w:color w:val="auto"/>
              </w:rPr>
            </w:pPr>
            <w:r>
              <w:rPr>
                <w:rFonts w:ascii="Arial" w:cs="Arial" w:eastAsia="Arial" w:hAnsi="Arial"/>
                <w:sz w:val="13"/>
                <w:szCs w:val="13"/>
                <w:color w:val="auto"/>
              </w:rPr>
              <w:t>131,261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127,401</w:t>
            </w:r>
          </w:p>
        </w:tc>
        <w:tc>
          <w:tcPr>
            <w:tcW w:w="980" w:type="dxa"/>
            <w:vAlign w:val="bottom"/>
          </w:tcPr>
          <w:p>
            <w:pPr>
              <w:jc w:val="center"/>
              <w:spacing w:after="0"/>
              <w:rPr>
                <w:sz w:val="20"/>
                <w:szCs w:val="20"/>
                <w:color w:val="auto"/>
              </w:rPr>
            </w:pPr>
            <w:r>
              <w:rPr>
                <w:rFonts w:ascii="Arial" w:cs="Arial" w:eastAsia="Arial" w:hAnsi="Arial"/>
                <w:sz w:val="13"/>
                <w:szCs w:val="13"/>
                <w:color w:val="auto"/>
              </w:rPr>
              <w:t>-2.9%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46"/>
        </w:trPr>
        <w:tc>
          <w:tcPr>
            <w:tcW w:w="3920" w:type="dxa"/>
            <w:vAlign w:val="bottom"/>
            <w:tcBorders>
              <w:left w:val="single" w:sz="8" w:color="auto"/>
            </w:tcBorders>
          </w:tcPr>
          <w:p>
            <w:pPr>
              <w:spacing w:after="0" w:line="147" w:lineRule="exact"/>
              <w:rPr>
                <w:sz w:val="20"/>
                <w:szCs w:val="20"/>
                <w:color w:val="auto"/>
              </w:rPr>
            </w:pPr>
            <w:r>
              <w:rPr>
                <w:rFonts w:ascii="Arial" w:cs="Arial" w:eastAsia="Arial" w:hAnsi="Arial"/>
                <w:sz w:val="13"/>
                <w:szCs w:val="13"/>
                <w:color w:val="auto"/>
              </w:rPr>
              <w:t>Other assets</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73"/>
              <w:spacing w:after="0" w:line="147" w:lineRule="exact"/>
              <w:rPr>
                <w:sz w:val="20"/>
                <w:szCs w:val="20"/>
                <w:color w:val="auto"/>
              </w:rPr>
            </w:pPr>
            <w:r>
              <w:rPr>
                <w:rFonts w:ascii="Arial" w:cs="Arial" w:eastAsia="Arial" w:hAnsi="Arial"/>
                <w:sz w:val="13"/>
                <w:szCs w:val="13"/>
                <w:color w:val="auto"/>
              </w:rPr>
              <w:t>810,313</w:t>
            </w:r>
          </w:p>
        </w:tc>
        <w:tc>
          <w:tcPr>
            <w:tcW w:w="980" w:type="dxa"/>
            <w:vAlign w:val="bottom"/>
          </w:tcPr>
          <w:p>
            <w:pPr>
              <w:jc w:val="center"/>
              <w:ind w:right="93"/>
              <w:spacing w:after="0" w:line="147" w:lineRule="exact"/>
              <w:rPr>
                <w:sz w:val="20"/>
                <w:szCs w:val="20"/>
                <w:color w:val="auto"/>
              </w:rPr>
            </w:pPr>
            <w:r>
              <w:rPr>
                <w:rFonts w:ascii="Arial" w:cs="Arial" w:eastAsia="Arial" w:hAnsi="Arial"/>
                <w:sz w:val="13"/>
                <w:szCs w:val="13"/>
                <w:color w:val="auto"/>
              </w:rPr>
              <w:t>750,972</w:t>
            </w:r>
          </w:p>
        </w:tc>
        <w:tc>
          <w:tcPr>
            <w:tcW w:w="11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color w:val="auto"/>
              </w:rPr>
              <w:t>719,368</w:t>
            </w:r>
          </w:p>
        </w:tc>
        <w:tc>
          <w:tcPr>
            <w:tcW w:w="980" w:type="dxa"/>
            <w:vAlign w:val="bottom"/>
          </w:tcPr>
          <w:p>
            <w:pPr>
              <w:jc w:val="center"/>
              <w:spacing w:after="0" w:line="147" w:lineRule="exact"/>
              <w:rPr>
                <w:sz w:val="20"/>
                <w:szCs w:val="20"/>
                <w:color w:val="auto"/>
              </w:rPr>
            </w:pPr>
            <w:r>
              <w:rPr>
                <w:rFonts w:ascii="Arial" w:cs="Arial" w:eastAsia="Arial" w:hAnsi="Arial"/>
                <w:sz w:val="13"/>
                <w:szCs w:val="13"/>
                <w:color w:val="auto"/>
              </w:rPr>
              <w:t>-4.2%</w:t>
            </w:r>
          </w:p>
        </w:tc>
        <w:tc>
          <w:tcPr>
            <w:tcW w:w="10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86"/>
        </w:trPr>
        <w:tc>
          <w:tcPr>
            <w:tcW w:w="3920" w:type="dxa"/>
            <w:vAlign w:val="bottom"/>
            <w:tcBorders>
              <w:left w:val="single" w:sz="8" w:color="auto"/>
            </w:tcBorders>
          </w:tcPr>
          <w:p>
            <w:pPr>
              <w:ind w:left="2260"/>
              <w:spacing w:after="0"/>
              <w:rPr>
                <w:sz w:val="20"/>
                <w:szCs w:val="20"/>
                <w:color w:val="auto"/>
              </w:rPr>
            </w:pPr>
            <w:r>
              <w:rPr>
                <w:rFonts w:ascii="Arial" w:cs="Arial" w:eastAsia="Arial" w:hAnsi="Arial"/>
                <w:sz w:val="13"/>
                <w:szCs w:val="13"/>
                <w:b w:val="1"/>
                <w:bCs w:val="1"/>
                <w:color w:val="auto"/>
              </w:rPr>
              <w:t>Total assets</w:t>
            </w:r>
          </w:p>
        </w:tc>
        <w:tc>
          <w:tcPr>
            <w:tcW w:w="1360" w:type="dxa"/>
            <w:vAlign w:val="bottom"/>
            <w:tcBorders>
              <w:right w:val="single" w:sz="8" w:color="auto"/>
            </w:tcBorders>
          </w:tcPr>
          <w:p>
            <w:pPr>
              <w:spacing w:after="0"/>
              <w:rPr>
                <w:sz w:val="16"/>
                <w:szCs w:val="16"/>
                <w:color w:val="auto"/>
              </w:rPr>
            </w:pPr>
          </w:p>
        </w:tc>
        <w:tc>
          <w:tcPr>
            <w:tcW w:w="1240" w:type="dxa"/>
            <w:vAlign w:val="bottom"/>
          </w:tcPr>
          <w:p>
            <w:pPr>
              <w:jc w:val="center"/>
              <w:ind w:right="93"/>
              <w:spacing w:after="0"/>
              <w:rPr>
                <w:sz w:val="20"/>
                <w:szCs w:val="20"/>
                <w:color w:val="auto"/>
              </w:rPr>
            </w:pPr>
            <w:r>
              <w:rPr>
                <w:rFonts w:ascii="Arial" w:cs="Arial" w:eastAsia="Arial" w:hAnsi="Arial"/>
                <w:sz w:val="13"/>
                <w:szCs w:val="13"/>
                <w:b w:val="1"/>
                <w:bCs w:val="1"/>
                <w:color w:val="auto"/>
              </w:rPr>
              <w:t>17,190,351</w:t>
            </w:r>
          </w:p>
        </w:tc>
        <w:tc>
          <w:tcPr>
            <w:tcW w:w="980" w:type="dxa"/>
            <w:vAlign w:val="bottom"/>
          </w:tcPr>
          <w:p>
            <w:pPr>
              <w:jc w:val="center"/>
              <w:ind w:right="113"/>
              <w:spacing w:after="0"/>
              <w:rPr>
                <w:sz w:val="20"/>
                <w:szCs w:val="20"/>
                <w:color w:val="auto"/>
              </w:rPr>
            </w:pPr>
            <w:r>
              <w:rPr>
                <w:rFonts w:ascii="Arial" w:cs="Arial" w:eastAsia="Arial" w:hAnsi="Arial"/>
                <w:sz w:val="13"/>
                <w:szCs w:val="13"/>
                <w:b w:val="1"/>
                <w:bCs w:val="1"/>
                <w:color w:val="auto"/>
              </w:rPr>
              <w:t>16,947,322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17,563,875</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3.6%</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2.2%</w:t>
            </w:r>
          </w:p>
        </w:tc>
        <w:tc>
          <w:tcPr>
            <w:tcW w:w="0" w:type="dxa"/>
            <w:vAlign w:val="bottom"/>
          </w:tcPr>
          <w:p>
            <w:pPr>
              <w:spacing w:after="0"/>
              <w:rPr>
                <w:sz w:val="1"/>
                <w:szCs w:val="1"/>
                <w:color w:val="auto"/>
              </w:rPr>
            </w:pPr>
          </w:p>
        </w:tc>
      </w:tr>
      <w:tr>
        <w:trPr>
          <w:trHeight w:val="356"/>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b w:val="1"/>
                <w:bCs w:val="1"/>
                <w:color w:val="auto"/>
              </w:rPr>
              <w:t>LIABILITIES AND NET SHAREHOLDERS’ EQUITY</w:t>
            </w:r>
          </w:p>
        </w:tc>
        <w:tc>
          <w:tcPr>
            <w:tcW w:w="136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Deposits and obligations</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color w:val="auto"/>
              </w:rPr>
              <w:t>10,118,296</w:t>
            </w:r>
          </w:p>
        </w:tc>
        <w:tc>
          <w:tcPr>
            <w:tcW w:w="980" w:type="dxa"/>
            <w:vAlign w:val="bottom"/>
          </w:tcPr>
          <w:p>
            <w:pPr>
              <w:jc w:val="center"/>
              <w:ind w:right="93"/>
              <w:spacing w:after="0"/>
              <w:rPr>
                <w:sz w:val="20"/>
                <w:szCs w:val="20"/>
                <w:color w:val="auto"/>
              </w:rPr>
            </w:pPr>
            <w:r>
              <w:rPr>
                <w:rFonts w:ascii="Arial" w:cs="Arial" w:eastAsia="Arial" w:hAnsi="Arial"/>
                <w:sz w:val="13"/>
                <w:szCs w:val="13"/>
                <w:color w:val="auto"/>
              </w:rPr>
              <w:t>11,060,598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11,330,151</w:t>
            </w:r>
          </w:p>
        </w:tc>
        <w:tc>
          <w:tcPr>
            <w:tcW w:w="980" w:type="dxa"/>
            <w:vAlign w:val="bottom"/>
          </w:tcPr>
          <w:p>
            <w:pPr>
              <w:jc w:val="center"/>
              <w:spacing w:after="0"/>
              <w:rPr>
                <w:sz w:val="20"/>
                <w:szCs w:val="20"/>
                <w:color w:val="auto"/>
              </w:rPr>
            </w:pPr>
            <w:r>
              <w:rPr>
                <w:rFonts w:ascii="Arial" w:cs="Arial" w:eastAsia="Arial" w:hAnsi="Arial"/>
                <w:sz w:val="13"/>
                <w:szCs w:val="13"/>
                <w:color w:val="auto"/>
              </w:rPr>
              <w:t>2.4%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48"/>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Due to banks and correspondents</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93"/>
              <w:spacing w:after="0"/>
              <w:rPr>
                <w:sz w:val="20"/>
                <w:szCs w:val="20"/>
                <w:color w:val="auto"/>
              </w:rPr>
            </w:pPr>
            <w:r>
              <w:rPr>
                <w:rFonts w:ascii="Arial" w:cs="Arial" w:eastAsia="Arial" w:hAnsi="Arial"/>
                <w:sz w:val="13"/>
                <w:szCs w:val="13"/>
                <w:color w:val="auto"/>
              </w:rPr>
              <w:t>2,428,683</w:t>
            </w:r>
          </w:p>
        </w:tc>
        <w:tc>
          <w:tcPr>
            <w:tcW w:w="980" w:type="dxa"/>
            <w:vAlign w:val="bottom"/>
          </w:tcPr>
          <w:p>
            <w:pPr>
              <w:jc w:val="center"/>
              <w:ind w:right="113"/>
              <w:spacing w:after="0"/>
              <w:rPr>
                <w:sz w:val="20"/>
                <w:szCs w:val="20"/>
                <w:color w:val="auto"/>
              </w:rPr>
            </w:pPr>
            <w:r>
              <w:rPr>
                <w:rFonts w:ascii="Arial" w:cs="Arial" w:eastAsia="Arial" w:hAnsi="Arial"/>
                <w:sz w:val="13"/>
                <w:szCs w:val="13"/>
                <w:color w:val="auto"/>
              </w:rPr>
              <w:t>1,985,746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1,763,462</w:t>
            </w:r>
          </w:p>
        </w:tc>
        <w:tc>
          <w:tcPr>
            <w:tcW w:w="980" w:type="dxa"/>
            <w:vAlign w:val="bottom"/>
          </w:tcPr>
          <w:p>
            <w:pPr>
              <w:jc w:val="center"/>
              <w:spacing w:after="0"/>
              <w:rPr>
                <w:sz w:val="20"/>
                <w:szCs w:val="20"/>
                <w:color w:val="auto"/>
              </w:rPr>
            </w:pPr>
            <w:r>
              <w:rPr>
                <w:rFonts w:ascii="Arial" w:cs="Arial" w:eastAsia="Arial" w:hAnsi="Arial"/>
                <w:sz w:val="13"/>
                <w:szCs w:val="13"/>
                <w:color w:val="auto"/>
              </w:rPr>
              <w:t>-11.2%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48"/>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Bonds and subordinated debt</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color w:val="auto"/>
              </w:rPr>
              <w:t>516,761</w:t>
            </w:r>
          </w:p>
        </w:tc>
        <w:tc>
          <w:tcPr>
            <w:tcW w:w="980" w:type="dxa"/>
            <w:vAlign w:val="bottom"/>
          </w:tcPr>
          <w:p>
            <w:pPr>
              <w:jc w:val="center"/>
              <w:ind w:right="93"/>
              <w:spacing w:after="0"/>
              <w:rPr>
                <w:sz w:val="20"/>
                <w:szCs w:val="20"/>
                <w:color w:val="auto"/>
              </w:rPr>
            </w:pPr>
            <w:r>
              <w:rPr>
                <w:rFonts w:ascii="Arial" w:cs="Arial" w:eastAsia="Arial" w:hAnsi="Arial"/>
                <w:sz w:val="13"/>
                <w:szCs w:val="13"/>
                <w:color w:val="auto"/>
              </w:rPr>
              <w:t>309,551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409,454</w:t>
            </w:r>
          </w:p>
        </w:tc>
        <w:tc>
          <w:tcPr>
            <w:tcW w:w="980" w:type="dxa"/>
            <w:vAlign w:val="bottom"/>
          </w:tcPr>
          <w:p>
            <w:pPr>
              <w:jc w:val="center"/>
              <w:spacing w:after="0"/>
              <w:rPr>
                <w:sz w:val="20"/>
                <w:szCs w:val="20"/>
                <w:color w:val="auto"/>
              </w:rPr>
            </w:pPr>
            <w:r>
              <w:rPr>
                <w:rFonts w:ascii="Arial" w:cs="Arial" w:eastAsia="Arial" w:hAnsi="Arial"/>
                <w:sz w:val="13"/>
                <w:szCs w:val="13"/>
                <w:color w:val="auto"/>
              </w:rPr>
              <w:t>32.3%</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46"/>
        </w:trPr>
        <w:tc>
          <w:tcPr>
            <w:tcW w:w="3920" w:type="dxa"/>
            <w:vAlign w:val="bottom"/>
            <w:tcBorders>
              <w:left w:val="single" w:sz="8" w:color="auto"/>
            </w:tcBorders>
          </w:tcPr>
          <w:p>
            <w:pPr>
              <w:spacing w:after="0" w:line="147" w:lineRule="exact"/>
              <w:rPr>
                <w:sz w:val="20"/>
                <w:szCs w:val="20"/>
                <w:color w:val="auto"/>
              </w:rPr>
            </w:pPr>
            <w:r>
              <w:rPr>
                <w:rFonts w:ascii="Arial" w:cs="Arial" w:eastAsia="Arial" w:hAnsi="Arial"/>
                <w:sz w:val="13"/>
                <w:szCs w:val="13"/>
                <w:color w:val="auto"/>
              </w:rPr>
              <w:t>Other liabilities</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93"/>
              <w:spacing w:after="0" w:line="147" w:lineRule="exact"/>
              <w:rPr>
                <w:sz w:val="20"/>
                <w:szCs w:val="20"/>
                <w:color w:val="auto"/>
              </w:rPr>
            </w:pPr>
            <w:r>
              <w:rPr>
                <w:rFonts w:ascii="Arial" w:cs="Arial" w:eastAsia="Arial" w:hAnsi="Arial"/>
                <w:sz w:val="13"/>
                <w:szCs w:val="13"/>
                <w:color w:val="auto"/>
              </w:rPr>
              <w:t>1,494,825</w:t>
            </w:r>
          </w:p>
        </w:tc>
        <w:tc>
          <w:tcPr>
            <w:tcW w:w="980" w:type="dxa"/>
            <w:vAlign w:val="bottom"/>
          </w:tcPr>
          <w:p>
            <w:pPr>
              <w:jc w:val="center"/>
              <w:ind w:right="93"/>
              <w:spacing w:after="0" w:line="147" w:lineRule="exact"/>
              <w:rPr>
                <w:sz w:val="20"/>
                <w:szCs w:val="20"/>
                <w:color w:val="auto"/>
              </w:rPr>
            </w:pPr>
            <w:r>
              <w:rPr>
                <w:rFonts w:ascii="Arial" w:cs="Arial" w:eastAsia="Arial" w:hAnsi="Arial"/>
                <w:sz w:val="13"/>
                <w:szCs w:val="13"/>
                <w:color w:val="auto"/>
              </w:rPr>
              <w:t>923,059</w:t>
            </w:r>
          </w:p>
        </w:tc>
        <w:tc>
          <w:tcPr>
            <w:tcW w:w="11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color w:val="auto"/>
              </w:rPr>
              <w:t>1,577,966</w:t>
            </w:r>
          </w:p>
        </w:tc>
        <w:tc>
          <w:tcPr>
            <w:tcW w:w="980" w:type="dxa"/>
            <w:vAlign w:val="bottom"/>
          </w:tcPr>
          <w:p>
            <w:pPr>
              <w:jc w:val="center"/>
              <w:spacing w:after="0" w:line="147" w:lineRule="exact"/>
              <w:rPr>
                <w:sz w:val="20"/>
                <w:szCs w:val="20"/>
                <w:color w:val="auto"/>
              </w:rPr>
            </w:pPr>
            <w:r>
              <w:rPr>
                <w:rFonts w:ascii="Arial" w:cs="Arial" w:eastAsia="Arial" w:hAnsi="Arial"/>
                <w:sz w:val="13"/>
                <w:szCs w:val="13"/>
                <w:color w:val="auto"/>
              </w:rPr>
              <w:t>70.9%</w:t>
            </w:r>
          </w:p>
        </w:tc>
        <w:tc>
          <w:tcPr>
            <w:tcW w:w="10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86"/>
        </w:trPr>
        <w:tc>
          <w:tcPr>
            <w:tcW w:w="3920" w:type="dxa"/>
            <w:vAlign w:val="bottom"/>
            <w:tcBorders>
              <w:left w:val="single" w:sz="8" w:color="auto"/>
            </w:tcBorders>
          </w:tcPr>
          <w:p>
            <w:pPr>
              <w:ind w:left="2180"/>
              <w:spacing w:after="0"/>
              <w:rPr>
                <w:sz w:val="20"/>
                <w:szCs w:val="20"/>
                <w:color w:val="auto"/>
              </w:rPr>
            </w:pPr>
            <w:r>
              <w:rPr>
                <w:rFonts w:ascii="Arial" w:cs="Arial" w:eastAsia="Arial" w:hAnsi="Arial"/>
                <w:sz w:val="13"/>
                <w:szCs w:val="13"/>
                <w:b w:val="1"/>
                <w:bCs w:val="1"/>
                <w:color w:val="auto"/>
              </w:rPr>
              <w:t>Total liabilities</w:t>
            </w:r>
          </w:p>
        </w:tc>
        <w:tc>
          <w:tcPr>
            <w:tcW w:w="1360" w:type="dxa"/>
            <w:vAlign w:val="bottom"/>
            <w:tcBorders>
              <w:right w:val="single" w:sz="8" w:color="auto"/>
            </w:tcBorders>
          </w:tcPr>
          <w:p>
            <w:pPr>
              <w:spacing w:after="0"/>
              <w:rPr>
                <w:sz w:val="16"/>
                <w:szCs w:val="16"/>
                <w:color w:val="auto"/>
              </w:rPr>
            </w:pPr>
          </w:p>
        </w:tc>
        <w:tc>
          <w:tcPr>
            <w:tcW w:w="1240" w:type="dxa"/>
            <w:vAlign w:val="bottom"/>
          </w:tcPr>
          <w:p>
            <w:pPr>
              <w:jc w:val="center"/>
              <w:ind w:right="93"/>
              <w:spacing w:after="0"/>
              <w:rPr>
                <w:sz w:val="20"/>
                <w:szCs w:val="20"/>
                <w:color w:val="auto"/>
              </w:rPr>
            </w:pPr>
            <w:r>
              <w:rPr>
                <w:rFonts w:ascii="Arial" w:cs="Arial" w:eastAsia="Arial" w:hAnsi="Arial"/>
                <w:sz w:val="13"/>
                <w:szCs w:val="13"/>
                <w:b w:val="1"/>
                <w:bCs w:val="1"/>
                <w:color w:val="auto"/>
              </w:rPr>
              <w:t>14,558,565</w:t>
            </w:r>
          </w:p>
        </w:tc>
        <w:tc>
          <w:tcPr>
            <w:tcW w:w="980" w:type="dxa"/>
            <w:vAlign w:val="bottom"/>
          </w:tcPr>
          <w:p>
            <w:pPr>
              <w:jc w:val="center"/>
              <w:ind w:right="113"/>
              <w:spacing w:after="0"/>
              <w:rPr>
                <w:sz w:val="20"/>
                <w:szCs w:val="20"/>
                <w:color w:val="auto"/>
              </w:rPr>
            </w:pPr>
            <w:r>
              <w:rPr>
                <w:rFonts w:ascii="Arial" w:cs="Arial" w:eastAsia="Arial" w:hAnsi="Arial"/>
                <w:sz w:val="13"/>
                <w:szCs w:val="13"/>
                <w:b w:val="1"/>
                <w:bCs w:val="1"/>
                <w:color w:val="auto"/>
              </w:rPr>
              <w:t>14,278,954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15,081,033</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5.6%</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3.6%</w:t>
            </w:r>
          </w:p>
        </w:tc>
        <w:tc>
          <w:tcPr>
            <w:tcW w:w="0" w:type="dxa"/>
            <w:vAlign w:val="bottom"/>
          </w:tcPr>
          <w:p>
            <w:pPr>
              <w:spacing w:after="0"/>
              <w:rPr>
                <w:sz w:val="1"/>
                <w:szCs w:val="1"/>
                <w:color w:val="auto"/>
              </w:rPr>
            </w:pPr>
          </w:p>
        </w:tc>
      </w:tr>
      <w:tr>
        <w:trPr>
          <w:trHeight w:val="392"/>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b w:val="1"/>
                <w:bCs w:val="1"/>
                <w:color w:val="auto"/>
              </w:rPr>
              <w:t>Net equity</w:t>
            </w:r>
          </w:p>
        </w:tc>
        <w:tc>
          <w:tcPr>
            <w:tcW w:w="1360" w:type="dxa"/>
            <w:vAlign w:val="bottom"/>
            <w:tcBorders>
              <w:right w:val="single" w:sz="8" w:color="auto"/>
            </w:tcBorders>
          </w:tcPr>
          <w:p>
            <w:pPr>
              <w:spacing w:after="0"/>
              <w:rPr>
                <w:sz w:val="24"/>
                <w:szCs w:val="24"/>
                <w:color w:val="auto"/>
              </w:rPr>
            </w:pPr>
          </w:p>
        </w:tc>
        <w:tc>
          <w:tcPr>
            <w:tcW w:w="1240" w:type="dxa"/>
            <w:vAlign w:val="bottom"/>
          </w:tcPr>
          <w:p>
            <w:pPr>
              <w:jc w:val="center"/>
              <w:ind w:right="93"/>
              <w:spacing w:after="0"/>
              <w:rPr>
                <w:sz w:val="20"/>
                <w:szCs w:val="20"/>
                <w:color w:val="auto"/>
              </w:rPr>
            </w:pPr>
            <w:r>
              <w:rPr>
                <w:rFonts w:ascii="Arial" w:cs="Arial" w:eastAsia="Arial" w:hAnsi="Arial"/>
                <w:sz w:val="13"/>
                <w:szCs w:val="13"/>
                <w:b w:val="1"/>
                <w:bCs w:val="1"/>
                <w:color w:val="auto"/>
              </w:rPr>
              <w:t>2,631,786</w:t>
            </w:r>
          </w:p>
        </w:tc>
        <w:tc>
          <w:tcPr>
            <w:tcW w:w="980" w:type="dxa"/>
            <w:vAlign w:val="bottom"/>
          </w:tcPr>
          <w:p>
            <w:pPr>
              <w:jc w:val="center"/>
              <w:ind w:right="113"/>
              <w:spacing w:after="0"/>
              <w:rPr>
                <w:sz w:val="20"/>
                <w:szCs w:val="20"/>
                <w:color w:val="auto"/>
              </w:rPr>
            </w:pPr>
            <w:r>
              <w:rPr>
                <w:rFonts w:ascii="Arial" w:cs="Arial" w:eastAsia="Arial" w:hAnsi="Arial"/>
                <w:sz w:val="13"/>
                <w:szCs w:val="13"/>
                <w:b w:val="1"/>
                <w:bCs w:val="1"/>
                <w:color w:val="auto"/>
              </w:rPr>
              <w:t>2,668,368</w:t>
            </w:r>
          </w:p>
        </w:tc>
        <w:tc>
          <w:tcPr>
            <w:tcW w:w="112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2,482,842</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-7.0%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-5.7%</w:t>
            </w:r>
          </w:p>
        </w:tc>
        <w:tc>
          <w:tcPr>
            <w:tcW w:w="0" w:type="dxa"/>
            <w:vAlign w:val="bottom"/>
          </w:tcPr>
          <w:p>
            <w:pPr>
              <w:spacing w:after="0"/>
              <w:rPr>
                <w:sz w:val="1"/>
                <w:szCs w:val="1"/>
                <w:color w:val="auto"/>
              </w:rPr>
            </w:pPr>
          </w:p>
        </w:tc>
      </w:tr>
      <w:tr>
        <w:trPr>
          <w:trHeight w:val="368"/>
        </w:trPr>
        <w:tc>
          <w:tcPr>
            <w:tcW w:w="39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TOTAL LIABILITIES AND NET SHAREHOLDERS’ EQUITY</w:t>
            </w:r>
          </w:p>
        </w:tc>
        <w:tc>
          <w:tcPr>
            <w:tcW w:w="13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rPr>
              <w:t>17,190,351</w:t>
            </w:r>
          </w:p>
        </w:tc>
        <w:tc>
          <w:tcPr>
            <w:tcW w:w="98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rPr>
              <w:t>16,947,322</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17,563,875</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2.2%</w:t>
            </w:r>
          </w:p>
        </w:tc>
        <w:tc>
          <w:tcPr>
            <w:tcW w:w="0" w:type="dxa"/>
            <w:vAlign w:val="bottom"/>
          </w:tcPr>
          <w:p>
            <w:pPr>
              <w:spacing w:after="0"/>
              <w:rPr>
                <w:sz w:val="1"/>
                <w:szCs w:val="1"/>
                <w:color w:val="auto"/>
              </w:rPr>
            </w:pPr>
          </w:p>
        </w:tc>
      </w:tr>
      <w:tr>
        <w:trPr>
          <w:trHeight w:val="357"/>
        </w:trPr>
        <w:tc>
          <w:tcPr>
            <w:tcW w:w="3920" w:type="dxa"/>
            <w:vAlign w:val="bottom"/>
          </w:tcPr>
          <w:p>
            <w:pPr>
              <w:spacing w:after="0"/>
              <w:rPr>
                <w:sz w:val="24"/>
                <w:szCs w:val="24"/>
                <w:color w:val="auto"/>
              </w:rPr>
            </w:pPr>
          </w:p>
        </w:tc>
        <w:tc>
          <w:tcPr>
            <w:tcW w:w="260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rPr>
              <w:t>Statement of Income</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260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rPr>
              <w:t>(S/ Thousands, IFRS)</w:t>
            </w: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9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20" w:type="dxa"/>
            <w:vAlign w:val="bottom"/>
            <w:tcBorders>
              <w:left w:val="single" w:sz="8" w:color="auto"/>
            </w:tcBorders>
            <w:shd w:val="clear" w:color="auto" w:fill="2AD2C8"/>
          </w:tcPr>
          <w:p>
            <w:pPr>
              <w:spacing w:after="0"/>
              <w:rPr>
                <w:sz w:val="14"/>
                <w:szCs w:val="14"/>
                <w:color w:val="auto"/>
              </w:rPr>
            </w:pPr>
          </w:p>
        </w:tc>
        <w:tc>
          <w:tcPr>
            <w:tcW w:w="1360" w:type="dxa"/>
            <w:vAlign w:val="bottom"/>
            <w:tcBorders>
              <w:right w:val="single" w:sz="8" w:color="auto"/>
            </w:tcBorders>
            <w:shd w:val="clear" w:color="auto" w:fill="2AD2C8"/>
          </w:tcPr>
          <w:p>
            <w:pPr>
              <w:spacing w:after="0"/>
              <w:rPr>
                <w:sz w:val="14"/>
                <w:szCs w:val="14"/>
                <w:color w:val="auto"/>
              </w:rPr>
            </w:pPr>
          </w:p>
        </w:tc>
        <w:tc>
          <w:tcPr>
            <w:tcW w:w="1240" w:type="dxa"/>
            <w:vAlign w:val="bottom"/>
            <w:shd w:val="clear" w:color="auto" w:fill="2AD2C8"/>
          </w:tcPr>
          <w:p>
            <w:pPr>
              <w:spacing w:after="0"/>
              <w:rPr>
                <w:sz w:val="14"/>
                <w:szCs w:val="14"/>
                <w:color w:val="auto"/>
              </w:rPr>
            </w:pPr>
          </w:p>
        </w:tc>
        <w:tc>
          <w:tcPr>
            <w:tcW w:w="980" w:type="dxa"/>
            <w:vAlign w:val="bottom"/>
            <w:shd w:val="clear" w:color="auto" w:fill="2AD2C8"/>
          </w:tcPr>
          <w:p>
            <w:pPr>
              <w:jc w:val="right"/>
              <w:ind w:right="213"/>
              <w:spacing w:after="0"/>
              <w:rPr>
                <w:sz w:val="20"/>
                <w:szCs w:val="20"/>
                <w:color w:val="auto"/>
              </w:rPr>
            </w:pPr>
            <w:r>
              <w:rPr>
                <w:rFonts w:ascii="Arial" w:cs="Arial" w:eastAsia="Arial" w:hAnsi="Arial"/>
                <w:sz w:val="13"/>
                <w:szCs w:val="13"/>
                <w:b w:val="1"/>
                <w:bCs w:val="1"/>
                <w:color w:val="FFFFFF"/>
              </w:rPr>
              <w:t>Quarter</w:t>
            </w:r>
          </w:p>
        </w:tc>
        <w:tc>
          <w:tcPr>
            <w:tcW w:w="1120" w:type="dxa"/>
            <w:vAlign w:val="bottom"/>
            <w:tcBorders>
              <w:right w:val="single" w:sz="8" w:color="auto"/>
            </w:tcBorders>
            <w:shd w:val="clear" w:color="auto" w:fill="2AD2C8"/>
          </w:tcPr>
          <w:p>
            <w:pPr>
              <w:spacing w:after="0"/>
              <w:rPr>
                <w:sz w:val="14"/>
                <w:szCs w:val="14"/>
                <w:color w:val="auto"/>
              </w:rPr>
            </w:pPr>
          </w:p>
        </w:tc>
        <w:tc>
          <w:tcPr>
            <w:tcW w:w="2040" w:type="dxa"/>
            <w:vAlign w:val="bottom"/>
            <w:tcBorders>
              <w:right w:val="single" w:sz="8" w:color="auto"/>
            </w:tcBorders>
            <w:gridSpan w:val="2"/>
            <w:shd w:val="clear" w:color="auto" w:fill="2AD2C8"/>
          </w:tcPr>
          <w:p>
            <w:pPr>
              <w:ind w:left="700"/>
              <w:spacing w:after="0"/>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63"/>
        </w:trPr>
        <w:tc>
          <w:tcPr>
            <w:tcW w:w="3920" w:type="dxa"/>
            <w:vAlign w:val="bottom"/>
            <w:tcBorders>
              <w:left w:val="single" w:sz="8" w:color="auto"/>
              <w:bottom w:val="single" w:sz="8" w:color="auto"/>
            </w:tcBorders>
            <w:shd w:val="clear" w:color="auto" w:fill="2AD2C8"/>
          </w:tcPr>
          <w:p>
            <w:pPr>
              <w:spacing w:after="0"/>
              <w:rPr>
                <w:sz w:val="14"/>
                <w:szCs w:val="14"/>
                <w:color w:val="auto"/>
              </w:rPr>
            </w:pPr>
          </w:p>
        </w:tc>
        <w:tc>
          <w:tcPr>
            <w:tcW w:w="1360" w:type="dxa"/>
            <w:vAlign w:val="bottom"/>
            <w:tcBorders>
              <w:bottom w:val="single" w:sz="8" w:color="auto"/>
              <w:right w:val="single" w:sz="8" w:color="auto"/>
            </w:tcBorders>
            <w:shd w:val="clear" w:color="auto" w:fill="2AD2C8"/>
          </w:tcPr>
          <w:p>
            <w:pPr>
              <w:spacing w:after="0"/>
              <w:rPr>
                <w:sz w:val="14"/>
                <w:szCs w:val="14"/>
                <w:color w:val="auto"/>
              </w:rPr>
            </w:pPr>
          </w:p>
        </w:tc>
        <w:tc>
          <w:tcPr>
            <w:tcW w:w="1240" w:type="dxa"/>
            <w:vAlign w:val="bottom"/>
            <w:tcBorders>
              <w:bottom w:val="single" w:sz="8" w:color="auto"/>
            </w:tcBorders>
            <w:shd w:val="clear" w:color="auto" w:fill="2AD2C8"/>
          </w:tcPr>
          <w:p>
            <w:pPr>
              <w:jc w:val="center"/>
              <w:ind w:right="73"/>
              <w:spacing w:after="0"/>
              <w:rPr>
                <w:sz w:val="20"/>
                <w:szCs w:val="20"/>
                <w:color w:val="auto"/>
              </w:rPr>
            </w:pPr>
            <w:r>
              <w:rPr>
                <w:rFonts w:ascii="Arial" w:cs="Arial" w:eastAsia="Arial" w:hAnsi="Arial"/>
                <w:sz w:val="13"/>
                <w:szCs w:val="13"/>
                <w:b w:val="1"/>
                <w:bCs w:val="1"/>
                <w:color w:val="FFFFFF"/>
              </w:rPr>
              <w:t>1Q24</w:t>
            </w:r>
          </w:p>
        </w:tc>
        <w:tc>
          <w:tcPr>
            <w:tcW w:w="980" w:type="dxa"/>
            <w:vAlign w:val="bottom"/>
            <w:tcBorders>
              <w:bottom w:val="single" w:sz="8" w:color="auto"/>
            </w:tcBorders>
            <w:shd w:val="clear" w:color="auto" w:fill="2AD2C8"/>
          </w:tcPr>
          <w:p>
            <w:pPr>
              <w:jc w:val="center"/>
              <w:ind w:right="93"/>
              <w:spacing w:after="0"/>
              <w:rPr>
                <w:sz w:val="20"/>
                <w:szCs w:val="20"/>
                <w:color w:val="auto"/>
              </w:rPr>
            </w:pPr>
            <w:r>
              <w:rPr>
                <w:rFonts w:ascii="Arial" w:cs="Arial" w:eastAsia="Arial" w:hAnsi="Arial"/>
                <w:sz w:val="13"/>
                <w:szCs w:val="13"/>
                <w:b w:val="1"/>
                <w:bCs w:val="1"/>
                <w:color w:val="FFFFFF"/>
              </w:rPr>
              <w:t>4Q24</w:t>
            </w:r>
          </w:p>
        </w:tc>
        <w:tc>
          <w:tcPr>
            <w:tcW w:w="112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rPr>
              <w:t>1Q25</w:t>
            </w:r>
          </w:p>
        </w:tc>
        <w:tc>
          <w:tcPr>
            <w:tcW w:w="98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6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rPr>
              <w:t>YoY</w:t>
            </w:r>
          </w:p>
        </w:tc>
        <w:tc>
          <w:tcPr>
            <w:tcW w:w="0" w:type="dxa"/>
            <w:vAlign w:val="bottom"/>
          </w:tcPr>
          <w:p>
            <w:pPr>
              <w:spacing w:after="0"/>
              <w:rPr>
                <w:sz w:val="1"/>
                <w:szCs w:val="1"/>
                <w:color w:val="auto"/>
              </w:rPr>
            </w:pPr>
          </w:p>
        </w:tc>
      </w:tr>
      <w:tr>
        <w:trPr>
          <w:trHeight w:val="156"/>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Net interest income</w:t>
            </w:r>
          </w:p>
        </w:tc>
        <w:tc>
          <w:tcPr>
            <w:tcW w:w="1360" w:type="dxa"/>
            <w:vAlign w:val="bottom"/>
            <w:tcBorders>
              <w:right w:val="single" w:sz="8" w:color="auto"/>
            </w:tcBorders>
          </w:tcPr>
          <w:p>
            <w:pPr>
              <w:spacing w:after="0"/>
              <w:rPr>
                <w:sz w:val="13"/>
                <w:szCs w:val="13"/>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color w:val="auto"/>
              </w:rPr>
              <w:t>546,271</w:t>
            </w:r>
          </w:p>
        </w:tc>
        <w:tc>
          <w:tcPr>
            <w:tcW w:w="980" w:type="dxa"/>
            <w:vAlign w:val="bottom"/>
          </w:tcPr>
          <w:p>
            <w:pPr>
              <w:jc w:val="center"/>
              <w:ind w:right="93"/>
              <w:spacing w:after="0"/>
              <w:rPr>
                <w:sz w:val="20"/>
                <w:szCs w:val="20"/>
                <w:color w:val="auto"/>
              </w:rPr>
            </w:pPr>
            <w:r>
              <w:rPr>
                <w:rFonts w:ascii="Arial" w:cs="Arial" w:eastAsia="Arial" w:hAnsi="Arial"/>
                <w:sz w:val="13"/>
                <w:szCs w:val="13"/>
                <w:color w:val="auto"/>
              </w:rPr>
              <w:t>574,720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579,900</w:t>
            </w:r>
          </w:p>
        </w:tc>
        <w:tc>
          <w:tcPr>
            <w:tcW w:w="980" w:type="dxa"/>
            <w:vAlign w:val="bottom"/>
          </w:tcPr>
          <w:p>
            <w:pPr>
              <w:jc w:val="center"/>
              <w:spacing w:after="0"/>
              <w:rPr>
                <w:sz w:val="20"/>
                <w:szCs w:val="20"/>
                <w:color w:val="auto"/>
              </w:rPr>
            </w:pPr>
            <w:r>
              <w:rPr>
                <w:rFonts w:ascii="Arial" w:cs="Arial" w:eastAsia="Arial" w:hAnsi="Arial"/>
                <w:sz w:val="13"/>
                <w:szCs w:val="13"/>
                <w:color w:val="auto"/>
              </w:rPr>
              <w:t>0.9%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46"/>
        </w:trPr>
        <w:tc>
          <w:tcPr>
            <w:tcW w:w="3920" w:type="dxa"/>
            <w:vAlign w:val="bottom"/>
            <w:tcBorders>
              <w:left w:val="single" w:sz="8" w:color="auto"/>
            </w:tcBorders>
          </w:tcPr>
          <w:p>
            <w:pPr>
              <w:spacing w:after="0" w:line="147" w:lineRule="exact"/>
              <w:rPr>
                <w:sz w:val="20"/>
                <w:szCs w:val="20"/>
                <w:color w:val="auto"/>
              </w:rPr>
            </w:pPr>
            <w:r>
              <w:rPr>
                <w:rFonts w:ascii="Arial" w:cs="Arial" w:eastAsia="Arial" w:hAnsi="Arial"/>
                <w:sz w:val="13"/>
                <w:szCs w:val="13"/>
                <w:color w:val="auto"/>
              </w:rPr>
              <w:t>Provision for loan losses, net of recoveries</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73"/>
              <w:spacing w:after="0" w:line="147" w:lineRule="exact"/>
              <w:rPr>
                <w:sz w:val="20"/>
                <w:szCs w:val="20"/>
                <w:color w:val="auto"/>
              </w:rPr>
            </w:pPr>
            <w:r>
              <w:rPr>
                <w:rFonts w:ascii="Arial" w:cs="Arial" w:eastAsia="Arial" w:hAnsi="Arial"/>
                <w:sz w:val="13"/>
                <w:szCs w:val="13"/>
                <w:color w:val="auto"/>
              </w:rPr>
              <w:t>(150,725)</w:t>
            </w:r>
          </w:p>
        </w:tc>
        <w:tc>
          <w:tcPr>
            <w:tcW w:w="980" w:type="dxa"/>
            <w:vAlign w:val="bottom"/>
          </w:tcPr>
          <w:p>
            <w:pPr>
              <w:jc w:val="center"/>
              <w:ind w:right="93"/>
              <w:spacing w:after="0" w:line="147" w:lineRule="exact"/>
              <w:rPr>
                <w:sz w:val="20"/>
                <w:szCs w:val="20"/>
                <w:color w:val="auto"/>
              </w:rPr>
            </w:pPr>
            <w:r>
              <w:rPr>
                <w:rFonts w:ascii="Arial" w:cs="Arial" w:eastAsia="Arial" w:hAnsi="Arial"/>
                <w:sz w:val="13"/>
                <w:szCs w:val="13"/>
                <w:color w:val="auto"/>
              </w:rPr>
              <w:t>(141,899)</w:t>
            </w:r>
          </w:p>
        </w:tc>
        <w:tc>
          <w:tcPr>
            <w:tcW w:w="11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color w:val="auto"/>
              </w:rPr>
              <w:t>(158,212)</w:t>
            </w:r>
          </w:p>
        </w:tc>
        <w:tc>
          <w:tcPr>
            <w:tcW w:w="980" w:type="dxa"/>
            <w:vAlign w:val="bottom"/>
          </w:tcPr>
          <w:p>
            <w:pPr>
              <w:jc w:val="center"/>
              <w:spacing w:after="0" w:line="147" w:lineRule="exact"/>
              <w:rPr>
                <w:sz w:val="20"/>
                <w:szCs w:val="20"/>
                <w:color w:val="auto"/>
              </w:rPr>
            </w:pPr>
            <w:r>
              <w:rPr>
                <w:rFonts w:ascii="Arial" w:cs="Arial" w:eastAsia="Arial" w:hAnsi="Arial"/>
                <w:sz w:val="13"/>
                <w:szCs w:val="13"/>
                <w:color w:val="auto"/>
                <w:w w:val="97"/>
              </w:rPr>
              <w:t>11.5%</w:t>
            </w:r>
          </w:p>
        </w:tc>
        <w:tc>
          <w:tcPr>
            <w:tcW w:w="10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1"/>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b w:val="1"/>
                <w:bCs w:val="1"/>
                <w:color w:val="auto"/>
              </w:rPr>
              <w:t>Net interest income after provisions</w:t>
            </w:r>
          </w:p>
        </w:tc>
        <w:tc>
          <w:tcPr>
            <w:tcW w:w="1360" w:type="dxa"/>
            <w:vAlign w:val="bottom"/>
            <w:tcBorders>
              <w:right w:val="single" w:sz="8" w:color="auto"/>
            </w:tcBorders>
          </w:tcPr>
          <w:p>
            <w:pPr>
              <w:spacing w:after="0"/>
              <w:rPr>
                <w:sz w:val="13"/>
                <w:szCs w:val="13"/>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b w:val="1"/>
                <w:bCs w:val="1"/>
                <w:color w:val="auto"/>
              </w:rPr>
              <w:t>395,546</w:t>
            </w:r>
          </w:p>
        </w:tc>
        <w:tc>
          <w:tcPr>
            <w:tcW w:w="980" w:type="dxa"/>
            <w:vAlign w:val="bottom"/>
          </w:tcPr>
          <w:p>
            <w:pPr>
              <w:jc w:val="center"/>
              <w:ind w:right="93"/>
              <w:spacing w:after="0"/>
              <w:rPr>
                <w:sz w:val="20"/>
                <w:szCs w:val="20"/>
                <w:color w:val="auto"/>
              </w:rPr>
            </w:pPr>
            <w:r>
              <w:rPr>
                <w:rFonts w:ascii="Arial" w:cs="Arial" w:eastAsia="Arial" w:hAnsi="Arial"/>
                <w:sz w:val="13"/>
                <w:szCs w:val="13"/>
                <w:b w:val="1"/>
                <w:bCs w:val="1"/>
                <w:color w:val="auto"/>
              </w:rPr>
              <w:t>432,821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421,688</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-2.6%</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6.6%</w:t>
            </w:r>
          </w:p>
        </w:tc>
        <w:tc>
          <w:tcPr>
            <w:tcW w:w="0" w:type="dxa"/>
            <w:vAlign w:val="bottom"/>
          </w:tcPr>
          <w:p>
            <w:pPr>
              <w:spacing w:after="0"/>
              <w:rPr>
                <w:sz w:val="1"/>
                <w:szCs w:val="1"/>
                <w:color w:val="auto"/>
              </w:rPr>
            </w:pPr>
          </w:p>
        </w:tc>
      </w:tr>
      <w:tr>
        <w:trPr>
          <w:trHeight w:val="148"/>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Non-financial income</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color w:val="auto"/>
              </w:rPr>
              <w:t>40,687</w:t>
            </w:r>
          </w:p>
        </w:tc>
        <w:tc>
          <w:tcPr>
            <w:tcW w:w="980" w:type="dxa"/>
            <w:vAlign w:val="bottom"/>
          </w:tcPr>
          <w:p>
            <w:pPr>
              <w:jc w:val="center"/>
              <w:ind w:right="93"/>
              <w:spacing w:after="0"/>
              <w:rPr>
                <w:sz w:val="20"/>
                <w:szCs w:val="20"/>
                <w:color w:val="auto"/>
              </w:rPr>
            </w:pPr>
            <w:r>
              <w:rPr>
                <w:rFonts w:ascii="Arial" w:cs="Arial" w:eastAsia="Arial" w:hAnsi="Arial"/>
                <w:sz w:val="13"/>
                <w:szCs w:val="13"/>
                <w:color w:val="auto"/>
              </w:rPr>
              <w:t>32,748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32,815</w:t>
            </w:r>
          </w:p>
        </w:tc>
        <w:tc>
          <w:tcPr>
            <w:tcW w:w="980" w:type="dxa"/>
            <w:vAlign w:val="bottom"/>
          </w:tcPr>
          <w:p>
            <w:pPr>
              <w:jc w:val="center"/>
              <w:spacing w:after="0"/>
              <w:rPr>
                <w:sz w:val="20"/>
                <w:szCs w:val="20"/>
                <w:color w:val="auto"/>
              </w:rPr>
            </w:pPr>
            <w:r>
              <w:rPr>
                <w:rFonts w:ascii="Arial" w:cs="Arial" w:eastAsia="Arial" w:hAnsi="Arial"/>
                <w:sz w:val="13"/>
                <w:szCs w:val="13"/>
                <w:color w:val="auto"/>
              </w:rPr>
              <w:t>0.2%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48"/>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Total expenses</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color w:val="auto"/>
              </w:rPr>
              <w:t>(311,728)</w:t>
            </w:r>
          </w:p>
        </w:tc>
        <w:tc>
          <w:tcPr>
            <w:tcW w:w="980" w:type="dxa"/>
            <w:vAlign w:val="bottom"/>
          </w:tcPr>
          <w:p>
            <w:pPr>
              <w:jc w:val="center"/>
              <w:ind w:right="93"/>
              <w:spacing w:after="0"/>
              <w:rPr>
                <w:sz w:val="20"/>
                <w:szCs w:val="20"/>
                <w:color w:val="auto"/>
              </w:rPr>
            </w:pPr>
            <w:r>
              <w:rPr>
                <w:rFonts w:ascii="Arial" w:cs="Arial" w:eastAsia="Arial" w:hAnsi="Arial"/>
                <w:sz w:val="13"/>
                <w:szCs w:val="13"/>
                <w:color w:val="auto"/>
              </w:rPr>
              <w:t>(312,016)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(327,944)</w:t>
            </w:r>
          </w:p>
        </w:tc>
        <w:tc>
          <w:tcPr>
            <w:tcW w:w="980" w:type="dxa"/>
            <w:vAlign w:val="bottom"/>
          </w:tcPr>
          <w:p>
            <w:pPr>
              <w:jc w:val="center"/>
              <w:spacing w:after="0"/>
              <w:rPr>
                <w:sz w:val="20"/>
                <w:szCs w:val="20"/>
                <w:color w:val="auto"/>
              </w:rPr>
            </w:pPr>
            <w:r>
              <w:rPr>
                <w:rFonts w:ascii="Arial" w:cs="Arial" w:eastAsia="Arial" w:hAnsi="Arial"/>
                <w:sz w:val="13"/>
                <w:szCs w:val="13"/>
                <w:color w:val="auto"/>
              </w:rPr>
              <w:t>5.1%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49"/>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Translation result</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93"/>
              <w:spacing w:after="0"/>
              <w:rPr>
                <w:sz w:val="20"/>
                <w:szCs w:val="20"/>
                <w:color w:val="auto"/>
              </w:rPr>
            </w:pPr>
            <w:r>
              <w:rPr>
                <w:rFonts w:ascii="Arial" w:cs="Arial" w:eastAsia="Arial" w:hAnsi="Arial"/>
                <w:sz w:val="13"/>
                <w:szCs w:val="13"/>
                <w:color w:val="auto"/>
              </w:rPr>
              <w:t>(972)</w:t>
            </w:r>
          </w:p>
        </w:tc>
        <w:tc>
          <w:tcPr>
            <w:tcW w:w="980" w:type="dxa"/>
            <w:vAlign w:val="bottom"/>
          </w:tcPr>
          <w:p>
            <w:pPr>
              <w:jc w:val="center"/>
              <w:ind w:right="113"/>
              <w:spacing w:after="0"/>
              <w:rPr>
                <w:sz w:val="20"/>
                <w:szCs w:val="20"/>
                <w:color w:val="auto"/>
              </w:rPr>
            </w:pPr>
            <w:r>
              <w:rPr>
                <w:rFonts w:ascii="Arial" w:cs="Arial" w:eastAsia="Arial" w:hAnsi="Arial"/>
                <w:sz w:val="13"/>
                <w:szCs w:val="13"/>
                <w:color w:val="auto"/>
              </w:rPr>
              <w:t>(466)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(749)</w:t>
            </w:r>
          </w:p>
        </w:tc>
        <w:tc>
          <w:tcPr>
            <w:tcW w:w="980" w:type="dxa"/>
            <w:vAlign w:val="bottom"/>
          </w:tcPr>
          <w:p>
            <w:pPr>
              <w:jc w:val="center"/>
              <w:spacing w:after="0"/>
              <w:rPr>
                <w:sz w:val="20"/>
                <w:szCs w:val="20"/>
                <w:color w:val="auto"/>
              </w:rPr>
            </w:pPr>
            <w:r>
              <w:rPr>
                <w:rFonts w:ascii="Arial" w:cs="Arial" w:eastAsia="Arial" w:hAnsi="Arial"/>
                <w:sz w:val="13"/>
                <w:szCs w:val="13"/>
                <w:color w:val="auto"/>
              </w:rPr>
              <w:t>60.7%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146"/>
        </w:trPr>
        <w:tc>
          <w:tcPr>
            <w:tcW w:w="3920" w:type="dxa"/>
            <w:vAlign w:val="bottom"/>
            <w:tcBorders>
              <w:left w:val="single" w:sz="8" w:color="auto"/>
            </w:tcBorders>
          </w:tcPr>
          <w:p>
            <w:pPr>
              <w:spacing w:after="0" w:line="147" w:lineRule="exact"/>
              <w:rPr>
                <w:sz w:val="20"/>
                <w:szCs w:val="20"/>
                <w:color w:val="auto"/>
              </w:rPr>
            </w:pPr>
            <w:r>
              <w:rPr>
                <w:rFonts w:ascii="Arial" w:cs="Arial" w:eastAsia="Arial" w:hAnsi="Arial"/>
                <w:sz w:val="13"/>
                <w:szCs w:val="13"/>
                <w:color w:val="auto"/>
              </w:rPr>
              <w:t>Income taxes</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73"/>
              <w:spacing w:after="0" w:line="147" w:lineRule="exact"/>
              <w:rPr>
                <w:sz w:val="20"/>
                <w:szCs w:val="20"/>
                <w:color w:val="auto"/>
              </w:rPr>
            </w:pPr>
            <w:r>
              <w:rPr>
                <w:rFonts w:ascii="Arial" w:cs="Arial" w:eastAsia="Arial" w:hAnsi="Arial"/>
                <w:sz w:val="13"/>
                <w:szCs w:val="13"/>
                <w:color w:val="auto"/>
              </w:rPr>
              <w:t>(30,960)</w:t>
            </w:r>
          </w:p>
        </w:tc>
        <w:tc>
          <w:tcPr>
            <w:tcW w:w="980" w:type="dxa"/>
            <w:vAlign w:val="bottom"/>
          </w:tcPr>
          <w:p>
            <w:pPr>
              <w:jc w:val="center"/>
              <w:ind w:right="93"/>
              <w:spacing w:after="0" w:line="147" w:lineRule="exact"/>
              <w:rPr>
                <w:sz w:val="20"/>
                <w:szCs w:val="20"/>
                <w:color w:val="auto"/>
              </w:rPr>
            </w:pPr>
            <w:r>
              <w:rPr>
                <w:rFonts w:ascii="Arial" w:cs="Arial" w:eastAsia="Arial" w:hAnsi="Arial"/>
                <w:sz w:val="13"/>
                <w:szCs w:val="13"/>
                <w:color w:val="auto"/>
              </w:rPr>
              <w:t>(36,098)</w:t>
            </w:r>
          </w:p>
        </w:tc>
        <w:tc>
          <w:tcPr>
            <w:tcW w:w="11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color w:val="auto"/>
              </w:rPr>
              <w:t>(31,423)</w:t>
            </w:r>
          </w:p>
        </w:tc>
        <w:tc>
          <w:tcPr>
            <w:tcW w:w="980" w:type="dxa"/>
            <w:vAlign w:val="bottom"/>
          </w:tcPr>
          <w:p>
            <w:pPr>
              <w:jc w:val="center"/>
              <w:spacing w:after="0" w:line="147" w:lineRule="exact"/>
              <w:rPr>
                <w:sz w:val="20"/>
                <w:szCs w:val="20"/>
                <w:color w:val="auto"/>
              </w:rPr>
            </w:pPr>
            <w:r>
              <w:rPr>
                <w:rFonts w:ascii="Arial" w:cs="Arial" w:eastAsia="Arial" w:hAnsi="Arial"/>
                <w:sz w:val="13"/>
                <w:szCs w:val="13"/>
                <w:color w:val="auto"/>
              </w:rPr>
              <w:t>-13.0%</w:t>
            </w:r>
          </w:p>
        </w:tc>
        <w:tc>
          <w:tcPr>
            <w:tcW w:w="10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3"/>
        </w:trPr>
        <w:tc>
          <w:tcPr>
            <w:tcW w:w="39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Net income</w:t>
            </w:r>
          </w:p>
        </w:tc>
        <w:tc>
          <w:tcPr>
            <w:tcW w:w="136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rPr>
              <w:t>92,573</w:t>
            </w:r>
          </w:p>
        </w:tc>
        <w:tc>
          <w:tcPr>
            <w:tcW w:w="98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rPr>
              <w:t>116,989</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94,387</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-19.3%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2.0%</w:t>
            </w:r>
          </w:p>
        </w:tc>
        <w:tc>
          <w:tcPr>
            <w:tcW w:w="0" w:type="dxa"/>
            <w:vAlign w:val="bottom"/>
          </w:tcPr>
          <w:p>
            <w:pPr>
              <w:spacing w:after="0"/>
              <w:rPr>
                <w:sz w:val="1"/>
                <w:szCs w:val="1"/>
                <w:color w:val="auto"/>
              </w:rPr>
            </w:pPr>
          </w:p>
        </w:tc>
      </w:tr>
      <w:tr>
        <w:trPr>
          <w:trHeight w:val="391"/>
        </w:trPr>
        <w:tc>
          <w:tcPr>
            <w:tcW w:w="3920" w:type="dxa"/>
            <w:vAlign w:val="bottom"/>
          </w:tcPr>
          <w:p>
            <w:pPr>
              <w:spacing w:after="0"/>
              <w:rPr>
                <w:sz w:val="24"/>
                <w:szCs w:val="24"/>
                <w:color w:val="auto"/>
              </w:rPr>
            </w:pPr>
          </w:p>
        </w:tc>
        <w:tc>
          <w:tcPr>
            <w:tcW w:w="260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rPr>
              <w:t>Selected Financial Indicators</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9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20" w:type="dxa"/>
            <w:vAlign w:val="bottom"/>
            <w:tcBorders>
              <w:left w:val="single" w:sz="8" w:color="auto"/>
            </w:tcBorders>
            <w:shd w:val="clear" w:color="auto" w:fill="2AD2C8"/>
          </w:tcPr>
          <w:p>
            <w:pPr>
              <w:spacing w:after="0"/>
              <w:rPr>
                <w:sz w:val="14"/>
                <w:szCs w:val="14"/>
                <w:color w:val="auto"/>
              </w:rPr>
            </w:pPr>
          </w:p>
        </w:tc>
        <w:tc>
          <w:tcPr>
            <w:tcW w:w="1360" w:type="dxa"/>
            <w:vAlign w:val="bottom"/>
            <w:tcBorders>
              <w:right w:val="single" w:sz="8" w:color="auto"/>
            </w:tcBorders>
            <w:shd w:val="clear" w:color="auto" w:fill="2AD2C8"/>
          </w:tcPr>
          <w:p>
            <w:pPr>
              <w:spacing w:after="0"/>
              <w:rPr>
                <w:sz w:val="14"/>
                <w:szCs w:val="14"/>
                <w:color w:val="auto"/>
              </w:rPr>
            </w:pPr>
          </w:p>
        </w:tc>
        <w:tc>
          <w:tcPr>
            <w:tcW w:w="1240" w:type="dxa"/>
            <w:vAlign w:val="bottom"/>
            <w:shd w:val="clear" w:color="auto" w:fill="2AD2C8"/>
          </w:tcPr>
          <w:p>
            <w:pPr>
              <w:spacing w:after="0"/>
              <w:rPr>
                <w:sz w:val="14"/>
                <w:szCs w:val="14"/>
                <w:color w:val="auto"/>
              </w:rPr>
            </w:pPr>
          </w:p>
        </w:tc>
        <w:tc>
          <w:tcPr>
            <w:tcW w:w="980" w:type="dxa"/>
            <w:vAlign w:val="bottom"/>
            <w:shd w:val="clear" w:color="auto" w:fill="2AD2C8"/>
          </w:tcPr>
          <w:p>
            <w:pPr>
              <w:jc w:val="center"/>
              <w:ind w:right="53"/>
              <w:spacing w:after="0"/>
              <w:rPr>
                <w:sz w:val="20"/>
                <w:szCs w:val="20"/>
                <w:color w:val="auto"/>
              </w:rPr>
            </w:pPr>
            <w:r>
              <w:rPr>
                <w:rFonts w:ascii="Arial" w:cs="Arial" w:eastAsia="Arial" w:hAnsi="Arial"/>
                <w:sz w:val="13"/>
                <w:szCs w:val="13"/>
                <w:b w:val="1"/>
                <w:bCs w:val="1"/>
                <w:color w:val="FFFFFF"/>
              </w:rPr>
              <w:t>Quarter</w:t>
            </w:r>
          </w:p>
        </w:tc>
        <w:tc>
          <w:tcPr>
            <w:tcW w:w="1120" w:type="dxa"/>
            <w:vAlign w:val="bottom"/>
            <w:tcBorders>
              <w:right w:val="single" w:sz="8" w:color="auto"/>
            </w:tcBorders>
            <w:shd w:val="clear" w:color="auto" w:fill="2AD2C8"/>
          </w:tcPr>
          <w:p>
            <w:pPr>
              <w:spacing w:after="0"/>
              <w:rPr>
                <w:sz w:val="14"/>
                <w:szCs w:val="14"/>
                <w:color w:val="auto"/>
              </w:rPr>
            </w:pPr>
          </w:p>
        </w:tc>
        <w:tc>
          <w:tcPr>
            <w:tcW w:w="2040" w:type="dxa"/>
            <w:vAlign w:val="bottom"/>
            <w:tcBorders>
              <w:right w:val="single" w:sz="8" w:color="auto"/>
            </w:tcBorders>
            <w:gridSpan w:val="2"/>
            <w:shd w:val="clear" w:color="auto" w:fill="2AD2C8"/>
          </w:tcPr>
          <w:p>
            <w:pPr>
              <w:ind w:left="720"/>
              <w:spacing w:after="0"/>
              <w:rPr>
                <w:sz w:val="20"/>
                <w:szCs w:val="20"/>
                <w:color w:val="auto"/>
              </w:rPr>
            </w:pPr>
            <w:r>
              <w:rPr>
                <w:rFonts w:ascii="Arial" w:cs="Arial" w:eastAsia="Arial" w:hAnsi="Arial"/>
                <w:sz w:val="13"/>
                <w:szCs w:val="13"/>
                <w:color w:val="FFFFFF"/>
              </w:rPr>
              <w:t>% change</w:t>
            </w:r>
          </w:p>
        </w:tc>
        <w:tc>
          <w:tcPr>
            <w:tcW w:w="0" w:type="dxa"/>
            <w:vAlign w:val="bottom"/>
          </w:tcPr>
          <w:p>
            <w:pPr>
              <w:spacing w:after="0"/>
              <w:rPr>
                <w:sz w:val="1"/>
                <w:szCs w:val="1"/>
                <w:color w:val="auto"/>
              </w:rPr>
            </w:pPr>
          </w:p>
        </w:tc>
      </w:tr>
      <w:tr>
        <w:trPr>
          <w:trHeight w:val="163"/>
        </w:trPr>
        <w:tc>
          <w:tcPr>
            <w:tcW w:w="3920" w:type="dxa"/>
            <w:vAlign w:val="bottom"/>
            <w:tcBorders>
              <w:left w:val="single" w:sz="8" w:color="auto"/>
              <w:bottom w:val="single" w:sz="8" w:color="auto"/>
            </w:tcBorders>
            <w:shd w:val="clear" w:color="auto" w:fill="2AD2C8"/>
          </w:tcPr>
          <w:p>
            <w:pPr>
              <w:spacing w:after="0"/>
              <w:rPr>
                <w:sz w:val="14"/>
                <w:szCs w:val="14"/>
                <w:color w:val="auto"/>
              </w:rPr>
            </w:pPr>
          </w:p>
        </w:tc>
        <w:tc>
          <w:tcPr>
            <w:tcW w:w="1360" w:type="dxa"/>
            <w:vAlign w:val="bottom"/>
            <w:tcBorders>
              <w:bottom w:val="single" w:sz="8" w:color="auto"/>
              <w:right w:val="single" w:sz="8" w:color="auto"/>
            </w:tcBorders>
            <w:shd w:val="clear" w:color="auto" w:fill="2AD2C8"/>
          </w:tcPr>
          <w:p>
            <w:pPr>
              <w:spacing w:after="0"/>
              <w:rPr>
                <w:sz w:val="14"/>
                <w:szCs w:val="14"/>
                <w:color w:val="auto"/>
              </w:rPr>
            </w:pPr>
          </w:p>
        </w:tc>
        <w:tc>
          <w:tcPr>
            <w:tcW w:w="1240" w:type="dxa"/>
            <w:vAlign w:val="bottom"/>
            <w:tcBorders>
              <w:bottom w:val="single" w:sz="8" w:color="auto"/>
            </w:tcBorders>
            <w:shd w:val="clear" w:color="auto" w:fill="2AD2C8"/>
          </w:tcPr>
          <w:p>
            <w:pPr>
              <w:jc w:val="center"/>
              <w:ind w:right="73"/>
              <w:spacing w:after="0"/>
              <w:rPr>
                <w:sz w:val="20"/>
                <w:szCs w:val="20"/>
                <w:color w:val="auto"/>
              </w:rPr>
            </w:pPr>
            <w:r>
              <w:rPr>
                <w:rFonts w:ascii="Arial" w:cs="Arial" w:eastAsia="Arial" w:hAnsi="Arial"/>
                <w:sz w:val="13"/>
                <w:szCs w:val="13"/>
                <w:b w:val="1"/>
                <w:bCs w:val="1"/>
                <w:color w:val="FFFFFF"/>
              </w:rPr>
              <w:t>1Q24</w:t>
            </w:r>
          </w:p>
        </w:tc>
        <w:tc>
          <w:tcPr>
            <w:tcW w:w="980" w:type="dxa"/>
            <w:vAlign w:val="bottom"/>
            <w:tcBorders>
              <w:bottom w:val="single" w:sz="8" w:color="auto"/>
            </w:tcBorders>
            <w:shd w:val="clear" w:color="auto" w:fill="2AD2C8"/>
          </w:tcPr>
          <w:p>
            <w:pPr>
              <w:jc w:val="center"/>
              <w:ind w:right="113"/>
              <w:spacing w:after="0"/>
              <w:rPr>
                <w:sz w:val="20"/>
                <w:szCs w:val="20"/>
                <w:color w:val="auto"/>
              </w:rPr>
            </w:pPr>
            <w:r>
              <w:rPr>
                <w:rFonts w:ascii="Arial" w:cs="Arial" w:eastAsia="Arial" w:hAnsi="Arial"/>
                <w:sz w:val="13"/>
                <w:szCs w:val="13"/>
                <w:b w:val="1"/>
                <w:bCs w:val="1"/>
                <w:color w:val="FFFFFF"/>
              </w:rPr>
              <w:t>4Q24</w:t>
            </w:r>
          </w:p>
        </w:tc>
        <w:tc>
          <w:tcPr>
            <w:tcW w:w="112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rPr>
              <w:t>1Q25</w:t>
            </w:r>
          </w:p>
        </w:tc>
        <w:tc>
          <w:tcPr>
            <w:tcW w:w="98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3"/>
                <w:szCs w:val="13"/>
                <w:color w:val="FFFFFF"/>
              </w:rPr>
              <w:t>QoQ</w:t>
            </w:r>
          </w:p>
        </w:tc>
        <w:tc>
          <w:tcPr>
            <w:tcW w:w="106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3"/>
                <w:szCs w:val="13"/>
                <w:color w:val="FFFFFF"/>
              </w:rPr>
              <w:t>YoY</w:t>
            </w:r>
          </w:p>
        </w:tc>
        <w:tc>
          <w:tcPr>
            <w:tcW w:w="0" w:type="dxa"/>
            <w:vAlign w:val="bottom"/>
          </w:tcPr>
          <w:p>
            <w:pPr>
              <w:spacing w:after="0"/>
              <w:rPr>
                <w:sz w:val="1"/>
                <w:szCs w:val="1"/>
                <w:color w:val="auto"/>
              </w:rPr>
            </w:pPr>
          </w:p>
        </w:tc>
      </w:tr>
      <w:tr>
        <w:trPr>
          <w:trHeight w:val="156"/>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Efficiency ratio</w:t>
            </w:r>
          </w:p>
        </w:tc>
        <w:tc>
          <w:tcPr>
            <w:tcW w:w="1360" w:type="dxa"/>
            <w:vAlign w:val="bottom"/>
            <w:tcBorders>
              <w:right w:val="single" w:sz="8" w:color="auto"/>
            </w:tcBorders>
          </w:tcPr>
          <w:p>
            <w:pPr>
              <w:spacing w:after="0"/>
              <w:rPr>
                <w:sz w:val="13"/>
                <w:szCs w:val="13"/>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color w:val="auto"/>
              </w:rPr>
              <w:t>53.3%</w:t>
            </w:r>
          </w:p>
        </w:tc>
        <w:tc>
          <w:tcPr>
            <w:tcW w:w="980" w:type="dxa"/>
            <w:vAlign w:val="bottom"/>
          </w:tcPr>
          <w:p>
            <w:pPr>
              <w:jc w:val="center"/>
              <w:ind w:right="133"/>
              <w:spacing w:after="0"/>
              <w:rPr>
                <w:sz w:val="20"/>
                <w:szCs w:val="20"/>
                <w:color w:val="auto"/>
              </w:rPr>
            </w:pPr>
            <w:r>
              <w:rPr>
                <w:rFonts w:ascii="Arial" w:cs="Arial" w:eastAsia="Arial" w:hAnsi="Arial"/>
                <w:sz w:val="13"/>
                <w:szCs w:val="13"/>
                <w:color w:val="auto"/>
              </w:rPr>
              <w:t>52.2%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52.9%</w:t>
            </w:r>
          </w:p>
        </w:tc>
        <w:tc>
          <w:tcPr>
            <w:tcW w:w="980" w:type="dxa"/>
            <w:vAlign w:val="bottom"/>
          </w:tcPr>
          <w:p>
            <w:pPr>
              <w:jc w:val="center"/>
              <w:spacing w:after="0"/>
              <w:rPr>
                <w:sz w:val="20"/>
                <w:szCs w:val="20"/>
                <w:color w:val="auto"/>
              </w:rPr>
            </w:pPr>
            <w:r>
              <w:rPr>
                <w:rFonts w:ascii="Arial" w:cs="Arial" w:eastAsia="Arial" w:hAnsi="Arial"/>
                <w:sz w:val="13"/>
                <w:szCs w:val="13"/>
                <w:color w:val="auto"/>
              </w:rPr>
              <w:t>65 bps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-38 bps</w:t>
            </w:r>
          </w:p>
        </w:tc>
        <w:tc>
          <w:tcPr>
            <w:tcW w:w="0" w:type="dxa"/>
            <w:vAlign w:val="bottom"/>
          </w:tcPr>
          <w:p>
            <w:pPr>
              <w:spacing w:after="0"/>
              <w:rPr>
                <w:sz w:val="1"/>
                <w:szCs w:val="1"/>
                <w:color w:val="auto"/>
              </w:rPr>
            </w:pPr>
          </w:p>
        </w:tc>
      </w:tr>
      <w:tr>
        <w:trPr>
          <w:trHeight w:val="162"/>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ROAE</w:t>
            </w:r>
          </w:p>
        </w:tc>
        <w:tc>
          <w:tcPr>
            <w:tcW w:w="1360" w:type="dxa"/>
            <w:vAlign w:val="bottom"/>
            <w:tcBorders>
              <w:right w:val="single" w:sz="8" w:color="auto"/>
            </w:tcBorders>
          </w:tcPr>
          <w:p>
            <w:pPr>
              <w:spacing w:after="0"/>
              <w:rPr>
                <w:sz w:val="14"/>
                <w:szCs w:val="14"/>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color w:val="auto"/>
              </w:rPr>
              <w:t>13.2%</w:t>
            </w:r>
          </w:p>
        </w:tc>
        <w:tc>
          <w:tcPr>
            <w:tcW w:w="980" w:type="dxa"/>
            <w:vAlign w:val="bottom"/>
          </w:tcPr>
          <w:p>
            <w:pPr>
              <w:jc w:val="center"/>
              <w:ind w:right="133"/>
              <w:spacing w:after="0"/>
              <w:rPr>
                <w:sz w:val="20"/>
                <w:szCs w:val="20"/>
                <w:color w:val="auto"/>
              </w:rPr>
            </w:pPr>
            <w:r>
              <w:rPr>
                <w:rFonts w:ascii="Arial" w:cs="Arial" w:eastAsia="Arial" w:hAnsi="Arial"/>
                <w:sz w:val="13"/>
                <w:szCs w:val="13"/>
                <w:color w:val="auto"/>
              </w:rPr>
              <w:t>17.3%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14.7%</w:t>
            </w:r>
          </w:p>
        </w:tc>
        <w:tc>
          <w:tcPr>
            <w:tcW w:w="980" w:type="dxa"/>
            <w:vAlign w:val="bottom"/>
          </w:tcPr>
          <w:p>
            <w:pPr>
              <w:jc w:val="center"/>
              <w:spacing w:after="0"/>
              <w:rPr>
                <w:sz w:val="20"/>
                <w:szCs w:val="20"/>
                <w:color w:val="auto"/>
              </w:rPr>
            </w:pPr>
            <w:r>
              <w:rPr>
                <w:rFonts w:ascii="Arial" w:cs="Arial" w:eastAsia="Arial" w:hAnsi="Arial"/>
                <w:sz w:val="13"/>
                <w:szCs w:val="13"/>
                <w:color w:val="auto"/>
              </w:rPr>
              <w:t>-264 bps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150 bps</w:t>
            </w:r>
          </w:p>
        </w:tc>
        <w:tc>
          <w:tcPr>
            <w:tcW w:w="0" w:type="dxa"/>
            <w:vAlign w:val="bottom"/>
          </w:tcPr>
          <w:p>
            <w:pPr>
              <w:spacing w:after="0"/>
              <w:rPr>
                <w:sz w:val="1"/>
                <w:szCs w:val="1"/>
                <w:color w:val="auto"/>
              </w:rPr>
            </w:pPr>
          </w:p>
        </w:tc>
      </w:tr>
      <w:tr>
        <w:trPr>
          <w:trHeight w:val="149"/>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ROAE incl. Goowdill</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color w:val="auto"/>
              </w:rPr>
              <w:t>12.5%</w:t>
            </w:r>
          </w:p>
        </w:tc>
        <w:tc>
          <w:tcPr>
            <w:tcW w:w="980" w:type="dxa"/>
            <w:vAlign w:val="bottom"/>
          </w:tcPr>
          <w:p>
            <w:pPr>
              <w:jc w:val="center"/>
              <w:ind w:right="133"/>
              <w:spacing w:after="0"/>
              <w:rPr>
                <w:sz w:val="20"/>
                <w:szCs w:val="20"/>
                <w:color w:val="auto"/>
              </w:rPr>
            </w:pPr>
            <w:r>
              <w:rPr>
                <w:rFonts w:ascii="Arial" w:cs="Arial" w:eastAsia="Arial" w:hAnsi="Arial"/>
                <w:sz w:val="13"/>
                <w:szCs w:val="13"/>
                <w:color w:val="auto"/>
              </w:rPr>
              <w:t>16.4%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13.9%</w:t>
            </w:r>
          </w:p>
        </w:tc>
        <w:tc>
          <w:tcPr>
            <w:tcW w:w="980" w:type="dxa"/>
            <w:vAlign w:val="bottom"/>
          </w:tcPr>
          <w:p>
            <w:pPr>
              <w:jc w:val="center"/>
              <w:spacing w:after="0"/>
              <w:rPr>
                <w:sz w:val="20"/>
                <w:szCs w:val="20"/>
                <w:color w:val="auto"/>
              </w:rPr>
            </w:pPr>
            <w:r>
              <w:rPr>
                <w:rFonts w:ascii="Arial" w:cs="Arial" w:eastAsia="Arial" w:hAnsi="Arial"/>
                <w:sz w:val="13"/>
                <w:szCs w:val="13"/>
                <w:color w:val="auto"/>
              </w:rPr>
              <w:t>-254 bps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137 bps</w:t>
            </w:r>
          </w:p>
        </w:tc>
        <w:tc>
          <w:tcPr>
            <w:tcW w:w="0" w:type="dxa"/>
            <w:vAlign w:val="bottom"/>
          </w:tcPr>
          <w:p>
            <w:pPr>
              <w:spacing w:after="0"/>
              <w:rPr>
                <w:sz w:val="1"/>
                <w:szCs w:val="1"/>
                <w:color w:val="auto"/>
              </w:rPr>
            </w:pPr>
          </w:p>
        </w:tc>
      </w:tr>
      <w:tr>
        <w:trPr>
          <w:trHeight w:val="148"/>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L/D ratio</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color w:val="auto"/>
              </w:rPr>
              <w:t>129.3%</w:t>
            </w:r>
          </w:p>
        </w:tc>
        <w:tc>
          <w:tcPr>
            <w:tcW w:w="980" w:type="dxa"/>
            <w:vAlign w:val="bottom"/>
          </w:tcPr>
          <w:p>
            <w:pPr>
              <w:jc w:val="center"/>
              <w:ind w:right="133"/>
              <w:spacing w:after="0"/>
              <w:rPr>
                <w:sz w:val="20"/>
                <w:szCs w:val="20"/>
                <w:color w:val="auto"/>
              </w:rPr>
            </w:pPr>
            <w:r>
              <w:rPr>
                <w:rFonts w:ascii="Arial" w:cs="Arial" w:eastAsia="Arial" w:hAnsi="Arial"/>
                <w:sz w:val="13"/>
                <w:szCs w:val="13"/>
                <w:color w:val="auto"/>
              </w:rPr>
              <w:t>110.7%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110.5%</w:t>
            </w:r>
          </w:p>
        </w:tc>
        <w:tc>
          <w:tcPr>
            <w:tcW w:w="980" w:type="dxa"/>
            <w:vAlign w:val="bottom"/>
          </w:tcPr>
          <w:p>
            <w:pPr>
              <w:jc w:val="center"/>
              <w:spacing w:after="0"/>
              <w:rPr>
                <w:sz w:val="20"/>
                <w:szCs w:val="20"/>
                <w:color w:val="auto"/>
              </w:rPr>
            </w:pPr>
            <w:r>
              <w:rPr>
                <w:rFonts w:ascii="Arial" w:cs="Arial" w:eastAsia="Arial" w:hAnsi="Arial"/>
                <w:sz w:val="13"/>
                <w:szCs w:val="13"/>
                <w:color w:val="auto"/>
              </w:rPr>
              <w:t>-11 bps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-1873 bps</w:t>
            </w:r>
          </w:p>
        </w:tc>
        <w:tc>
          <w:tcPr>
            <w:tcW w:w="0" w:type="dxa"/>
            <w:vAlign w:val="bottom"/>
          </w:tcPr>
          <w:p>
            <w:pPr>
              <w:spacing w:after="0"/>
              <w:rPr>
                <w:sz w:val="1"/>
                <w:szCs w:val="1"/>
                <w:color w:val="auto"/>
              </w:rPr>
            </w:pPr>
          </w:p>
        </w:tc>
      </w:tr>
      <w:tr>
        <w:trPr>
          <w:trHeight w:val="148"/>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IOL ratio</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color w:val="auto"/>
              </w:rPr>
              <w:t>6.7%</w:t>
            </w:r>
          </w:p>
        </w:tc>
        <w:tc>
          <w:tcPr>
            <w:tcW w:w="980" w:type="dxa"/>
            <w:vAlign w:val="bottom"/>
          </w:tcPr>
          <w:p>
            <w:pPr>
              <w:jc w:val="center"/>
              <w:ind w:right="133"/>
              <w:spacing w:after="0"/>
              <w:rPr>
                <w:sz w:val="20"/>
                <w:szCs w:val="20"/>
                <w:color w:val="auto"/>
              </w:rPr>
            </w:pPr>
            <w:r>
              <w:rPr>
                <w:rFonts w:ascii="Arial" w:cs="Arial" w:eastAsia="Arial" w:hAnsi="Arial"/>
                <w:sz w:val="13"/>
                <w:szCs w:val="13"/>
                <w:color w:val="auto"/>
              </w:rPr>
              <w:t>6.6%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5.6%</w:t>
            </w:r>
          </w:p>
        </w:tc>
        <w:tc>
          <w:tcPr>
            <w:tcW w:w="980" w:type="dxa"/>
            <w:vAlign w:val="bottom"/>
          </w:tcPr>
          <w:p>
            <w:pPr>
              <w:jc w:val="center"/>
              <w:spacing w:after="0"/>
              <w:rPr>
                <w:sz w:val="20"/>
                <w:szCs w:val="20"/>
                <w:color w:val="auto"/>
              </w:rPr>
            </w:pPr>
            <w:r>
              <w:rPr>
                <w:rFonts w:ascii="Arial" w:cs="Arial" w:eastAsia="Arial" w:hAnsi="Arial"/>
                <w:sz w:val="13"/>
                <w:szCs w:val="13"/>
                <w:color w:val="auto"/>
              </w:rPr>
              <w:t>-98 bps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-108 bps</w:t>
            </w:r>
          </w:p>
        </w:tc>
        <w:tc>
          <w:tcPr>
            <w:tcW w:w="0" w:type="dxa"/>
            <w:vAlign w:val="bottom"/>
          </w:tcPr>
          <w:p>
            <w:pPr>
              <w:spacing w:after="0"/>
              <w:rPr>
                <w:sz w:val="1"/>
                <w:szCs w:val="1"/>
                <w:color w:val="auto"/>
              </w:rPr>
            </w:pPr>
          </w:p>
        </w:tc>
      </w:tr>
      <w:tr>
        <w:trPr>
          <w:trHeight w:val="149"/>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NPL ratio</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color w:val="auto"/>
              </w:rPr>
              <w:t>7.4%</w:t>
            </w:r>
          </w:p>
        </w:tc>
        <w:tc>
          <w:tcPr>
            <w:tcW w:w="980" w:type="dxa"/>
            <w:vAlign w:val="bottom"/>
          </w:tcPr>
          <w:p>
            <w:pPr>
              <w:jc w:val="center"/>
              <w:ind w:right="133"/>
              <w:spacing w:after="0"/>
              <w:rPr>
                <w:sz w:val="20"/>
                <w:szCs w:val="20"/>
                <w:color w:val="auto"/>
              </w:rPr>
            </w:pPr>
            <w:r>
              <w:rPr>
                <w:rFonts w:ascii="Arial" w:cs="Arial" w:eastAsia="Arial" w:hAnsi="Arial"/>
                <w:sz w:val="13"/>
                <w:szCs w:val="13"/>
                <w:color w:val="auto"/>
              </w:rPr>
              <w:t>7.4%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6.4%</w:t>
            </w:r>
          </w:p>
        </w:tc>
        <w:tc>
          <w:tcPr>
            <w:tcW w:w="980" w:type="dxa"/>
            <w:vAlign w:val="bottom"/>
          </w:tcPr>
          <w:p>
            <w:pPr>
              <w:jc w:val="center"/>
              <w:spacing w:after="0"/>
              <w:rPr>
                <w:sz w:val="20"/>
                <w:szCs w:val="20"/>
                <w:color w:val="auto"/>
              </w:rPr>
            </w:pPr>
            <w:r>
              <w:rPr>
                <w:rFonts w:ascii="Arial" w:cs="Arial" w:eastAsia="Arial" w:hAnsi="Arial"/>
                <w:sz w:val="13"/>
                <w:szCs w:val="13"/>
                <w:color w:val="auto"/>
              </w:rPr>
              <w:t>-99 bps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-101 bps</w:t>
            </w:r>
          </w:p>
        </w:tc>
        <w:tc>
          <w:tcPr>
            <w:tcW w:w="0" w:type="dxa"/>
            <w:vAlign w:val="bottom"/>
          </w:tcPr>
          <w:p>
            <w:pPr>
              <w:spacing w:after="0"/>
              <w:rPr>
                <w:sz w:val="1"/>
                <w:szCs w:val="1"/>
                <w:color w:val="auto"/>
              </w:rPr>
            </w:pPr>
          </w:p>
        </w:tc>
      </w:tr>
      <w:tr>
        <w:trPr>
          <w:trHeight w:val="148"/>
        </w:trPr>
        <w:tc>
          <w:tcPr>
            <w:tcW w:w="392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Coverage of IOLs</w:t>
            </w:r>
          </w:p>
        </w:tc>
        <w:tc>
          <w:tcPr>
            <w:tcW w:w="1360" w:type="dxa"/>
            <w:vAlign w:val="bottom"/>
            <w:tcBorders>
              <w:right w:val="single" w:sz="8" w:color="auto"/>
            </w:tcBorders>
          </w:tcPr>
          <w:p>
            <w:pPr>
              <w:spacing w:after="0"/>
              <w:rPr>
                <w:sz w:val="12"/>
                <w:szCs w:val="12"/>
                <w:color w:val="auto"/>
              </w:rPr>
            </w:pPr>
          </w:p>
        </w:tc>
        <w:tc>
          <w:tcPr>
            <w:tcW w:w="1240" w:type="dxa"/>
            <w:vAlign w:val="bottom"/>
          </w:tcPr>
          <w:p>
            <w:pPr>
              <w:jc w:val="center"/>
              <w:ind w:right="93"/>
              <w:spacing w:after="0"/>
              <w:rPr>
                <w:sz w:val="20"/>
                <w:szCs w:val="20"/>
                <w:color w:val="auto"/>
              </w:rPr>
            </w:pPr>
            <w:r>
              <w:rPr>
                <w:rFonts w:ascii="Arial" w:cs="Arial" w:eastAsia="Arial" w:hAnsi="Arial"/>
                <w:sz w:val="13"/>
                <w:szCs w:val="13"/>
                <w:color w:val="auto"/>
                <w:w w:val="99"/>
              </w:rPr>
              <w:t>111.2%</w:t>
            </w:r>
          </w:p>
        </w:tc>
        <w:tc>
          <w:tcPr>
            <w:tcW w:w="980" w:type="dxa"/>
            <w:vAlign w:val="bottom"/>
          </w:tcPr>
          <w:p>
            <w:pPr>
              <w:jc w:val="center"/>
              <w:ind w:right="133"/>
              <w:spacing w:after="0"/>
              <w:rPr>
                <w:sz w:val="20"/>
                <w:szCs w:val="20"/>
                <w:color w:val="auto"/>
              </w:rPr>
            </w:pPr>
            <w:r>
              <w:rPr>
                <w:rFonts w:ascii="Arial" w:cs="Arial" w:eastAsia="Arial" w:hAnsi="Arial"/>
                <w:sz w:val="13"/>
                <w:szCs w:val="13"/>
                <w:color w:val="auto"/>
              </w:rPr>
              <w:t>115.3%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123.8%</w:t>
            </w:r>
          </w:p>
        </w:tc>
        <w:tc>
          <w:tcPr>
            <w:tcW w:w="980" w:type="dxa"/>
            <w:vAlign w:val="bottom"/>
          </w:tcPr>
          <w:p>
            <w:pPr>
              <w:jc w:val="center"/>
              <w:spacing w:after="0"/>
              <w:rPr>
                <w:sz w:val="20"/>
                <w:szCs w:val="20"/>
                <w:color w:val="auto"/>
              </w:rPr>
            </w:pPr>
            <w:r>
              <w:rPr>
                <w:rFonts w:ascii="Arial" w:cs="Arial" w:eastAsia="Arial" w:hAnsi="Arial"/>
                <w:sz w:val="13"/>
                <w:szCs w:val="13"/>
                <w:color w:val="auto"/>
              </w:rPr>
              <w:t>852 bps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1265 bps</w:t>
            </w:r>
          </w:p>
        </w:tc>
        <w:tc>
          <w:tcPr>
            <w:tcW w:w="0" w:type="dxa"/>
            <w:vAlign w:val="bottom"/>
          </w:tcPr>
          <w:p>
            <w:pPr>
              <w:spacing w:after="0"/>
              <w:rPr>
                <w:sz w:val="1"/>
                <w:szCs w:val="1"/>
                <w:color w:val="auto"/>
              </w:rPr>
            </w:pPr>
          </w:p>
        </w:tc>
      </w:tr>
      <w:tr>
        <w:trPr>
          <w:trHeight w:val="161"/>
        </w:trPr>
        <w:tc>
          <w:tcPr>
            <w:tcW w:w="39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3"/>
                <w:szCs w:val="13"/>
                <w:color w:val="auto"/>
              </w:rPr>
              <w:t>Coverage of NPLs</w:t>
            </w:r>
          </w:p>
        </w:tc>
        <w:tc>
          <w:tcPr>
            <w:tcW w:w="136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color w:val="auto"/>
              </w:rPr>
              <w:t>99.5%</w:t>
            </w:r>
          </w:p>
        </w:tc>
        <w:tc>
          <w:tcPr>
            <w:tcW w:w="98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color w:val="auto"/>
              </w:rPr>
              <w:t>101.7%</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107.3%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561 bps</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786 bps</w:t>
            </w:r>
          </w:p>
        </w:tc>
        <w:tc>
          <w:tcPr>
            <w:tcW w:w="0" w:type="dxa"/>
            <w:vAlign w:val="bottom"/>
          </w:tcPr>
          <w:p>
            <w:pPr>
              <w:spacing w:after="0"/>
              <w:rPr>
                <w:sz w:val="1"/>
                <w:szCs w:val="1"/>
                <w:color w:val="auto"/>
              </w:rPr>
            </w:pPr>
          </w:p>
        </w:tc>
      </w:tr>
      <w:tr>
        <w:trPr>
          <w:trHeight w:val="156"/>
        </w:trPr>
        <w:tc>
          <w:tcPr>
            <w:tcW w:w="3920" w:type="dxa"/>
            <w:vAlign w:val="bottom"/>
            <w:tcBorders>
              <w:left w:val="single" w:sz="8" w:color="auto"/>
            </w:tcBorders>
          </w:tcPr>
          <w:p>
            <w:pPr>
              <w:spacing w:after="0" w:line="157" w:lineRule="exact"/>
              <w:rPr>
                <w:sz w:val="20"/>
                <w:szCs w:val="20"/>
                <w:color w:val="auto"/>
              </w:rPr>
            </w:pPr>
            <w:r>
              <w:rPr>
                <w:rFonts w:ascii="Arial" w:cs="Arial" w:eastAsia="Arial" w:hAnsi="Arial"/>
                <w:sz w:val="11"/>
                <w:szCs w:val="11"/>
                <w:color w:val="auto"/>
              </w:rPr>
              <w:t xml:space="preserve">Branches </w:t>
            </w:r>
            <w:r>
              <w:rPr>
                <w:rFonts w:ascii="Arial" w:cs="Arial" w:eastAsia="Arial" w:hAnsi="Arial"/>
                <w:sz w:val="18"/>
                <w:szCs w:val="18"/>
                <w:color w:val="auto"/>
                <w:vertAlign w:val="superscript"/>
              </w:rPr>
              <w:t>(1)</w:t>
            </w:r>
          </w:p>
        </w:tc>
        <w:tc>
          <w:tcPr>
            <w:tcW w:w="1360" w:type="dxa"/>
            <w:vAlign w:val="bottom"/>
            <w:tcBorders>
              <w:right w:val="single" w:sz="8" w:color="auto"/>
            </w:tcBorders>
          </w:tcPr>
          <w:p>
            <w:pPr>
              <w:spacing w:after="0"/>
              <w:rPr>
                <w:sz w:val="13"/>
                <w:szCs w:val="13"/>
                <w:color w:val="auto"/>
              </w:rPr>
            </w:pPr>
          </w:p>
        </w:tc>
        <w:tc>
          <w:tcPr>
            <w:tcW w:w="1240" w:type="dxa"/>
            <w:vAlign w:val="bottom"/>
          </w:tcPr>
          <w:p>
            <w:pPr>
              <w:jc w:val="center"/>
              <w:ind w:right="73"/>
              <w:spacing w:after="0"/>
              <w:rPr>
                <w:sz w:val="20"/>
                <w:szCs w:val="20"/>
                <w:color w:val="auto"/>
              </w:rPr>
            </w:pPr>
            <w:r>
              <w:rPr>
                <w:rFonts w:ascii="Arial" w:cs="Arial" w:eastAsia="Arial" w:hAnsi="Arial"/>
                <w:sz w:val="13"/>
                <w:szCs w:val="13"/>
                <w:color w:val="auto"/>
              </w:rPr>
              <w:t>290</w:t>
            </w:r>
          </w:p>
        </w:tc>
        <w:tc>
          <w:tcPr>
            <w:tcW w:w="980" w:type="dxa"/>
            <w:vAlign w:val="bottom"/>
          </w:tcPr>
          <w:p>
            <w:pPr>
              <w:jc w:val="right"/>
              <w:ind w:right="413"/>
              <w:spacing w:after="0"/>
              <w:rPr>
                <w:sz w:val="20"/>
                <w:szCs w:val="20"/>
                <w:color w:val="auto"/>
              </w:rPr>
            </w:pPr>
            <w:r>
              <w:rPr>
                <w:rFonts w:ascii="Arial" w:cs="Arial" w:eastAsia="Arial" w:hAnsi="Arial"/>
                <w:sz w:val="13"/>
                <w:szCs w:val="13"/>
                <w:color w:val="auto"/>
              </w:rPr>
              <w:t>283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283</w:t>
            </w:r>
          </w:p>
        </w:tc>
        <w:tc>
          <w:tcPr>
            <w:tcW w:w="9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1"/>
        </w:trPr>
        <w:tc>
          <w:tcPr>
            <w:tcW w:w="39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3"/>
                <w:szCs w:val="13"/>
                <w:color w:val="auto"/>
              </w:rPr>
              <w:t>Employees</w:t>
            </w:r>
          </w:p>
        </w:tc>
        <w:tc>
          <w:tcPr>
            <w:tcW w:w="136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color w:val="auto"/>
              </w:rPr>
              <w:t>9,485</w:t>
            </w:r>
          </w:p>
        </w:tc>
        <w:tc>
          <w:tcPr>
            <w:tcW w:w="98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color w:val="auto"/>
              </w:rPr>
              <w:t>9,950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9,679</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(271)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980"/>
        <w:spacing w:after="0"/>
        <w:rPr>
          <w:sz w:val="20"/>
          <w:szCs w:val="20"/>
          <w:color w:val="auto"/>
        </w:rPr>
      </w:pPr>
      <w:r>
        <w:rPr>
          <w:rFonts w:ascii="Arial" w:cs="Arial" w:eastAsia="Arial" w:hAnsi="Arial"/>
          <w:sz w:val="12"/>
          <w:szCs w:val="12"/>
          <w:color w:val="auto"/>
        </w:rPr>
        <w:t>(1) Includes Banco de la Nacion branches, which in March 24 were 36, in December 24 were 36 and in March 25 were 36.</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9" w:name="page70"/>
    <w:bookmarkEnd w:id="69"/>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020" w:type="dxa"/>
            <w:vAlign w:val="bottom"/>
            <w:tcBorders>
              <w:left w:val="single" w:sz="8" w:color="E93BAC"/>
            </w:tcBorders>
            <w:gridSpan w:val="2"/>
            <w:shd w:val="clear" w:color="auto" w:fill="E93BAC"/>
          </w:tcPr>
          <w:p>
            <w:pPr>
              <w:ind w:left="180"/>
              <w:spacing w:after="0"/>
              <w:rPr>
                <w:sz w:val="20"/>
                <w:szCs w:val="20"/>
                <w:color w:val="auto"/>
              </w:rPr>
            </w:pPr>
            <w:r>
              <w:rPr>
                <w:rFonts w:ascii="Arial" w:cs="Arial" w:eastAsia="Arial" w:hAnsi="Arial"/>
                <w:sz w:val="22"/>
                <w:szCs w:val="22"/>
                <w:b w:val="1"/>
                <w:bCs w:val="1"/>
                <w:color w:val="FFFFFF"/>
              </w:rPr>
              <w:t>12. Appendix</w:t>
            </w:r>
          </w:p>
        </w:tc>
        <w:tc>
          <w:tcPr>
            <w:tcW w:w="1180" w:type="dxa"/>
            <w:vAlign w:val="bottom"/>
            <w:tcBorders>
              <w:right w:val="single" w:sz="8" w:color="E93BAC"/>
            </w:tcBorders>
            <w:shd w:val="clear" w:color="auto" w:fill="E93BAC"/>
          </w:tcPr>
          <w:p>
            <w:pPr>
              <w:spacing w:after="0"/>
              <w:rPr>
                <w:sz w:val="21"/>
                <w:szCs w:val="21"/>
                <w:color w:val="auto"/>
              </w:rPr>
            </w:pPr>
          </w:p>
        </w:tc>
        <w:tc>
          <w:tcPr>
            <w:tcW w:w="720" w:type="dxa"/>
            <w:vAlign w:val="bottom"/>
            <w:tcBorders>
              <w:right w:val="single" w:sz="8" w:color="E93BAC"/>
            </w:tcBorders>
            <w:shd w:val="clear" w:color="auto" w:fill="E93BAC"/>
          </w:tcPr>
          <w:p>
            <w:pPr>
              <w:spacing w:after="0"/>
              <w:rPr>
                <w:sz w:val="21"/>
                <w:szCs w:val="21"/>
                <w:color w:val="auto"/>
              </w:rPr>
            </w:pPr>
          </w:p>
        </w:tc>
        <w:tc>
          <w:tcPr>
            <w:tcW w:w="260" w:type="dxa"/>
            <w:vAlign w:val="bottom"/>
            <w:tcBorders>
              <w:right w:val="single" w:sz="8" w:color="E93BAC"/>
            </w:tcBorders>
            <w:shd w:val="clear" w:color="auto" w:fill="E93BAC"/>
          </w:tcPr>
          <w:p>
            <w:pPr>
              <w:spacing w:after="0"/>
              <w:rPr>
                <w:sz w:val="21"/>
                <w:szCs w:val="21"/>
                <w:color w:val="auto"/>
              </w:rPr>
            </w:pPr>
          </w:p>
        </w:tc>
        <w:tc>
          <w:tcPr>
            <w:tcW w:w="880" w:type="dxa"/>
            <w:vAlign w:val="bottom"/>
            <w:shd w:val="clear" w:color="auto" w:fill="E93BAC"/>
          </w:tcPr>
          <w:p>
            <w:pPr>
              <w:spacing w:after="0"/>
              <w:rPr>
                <w:sz w:val="21"/>
                <w:szCs w:val="21"/>
                <w:color w:val="auto"/>
              </w:rPr>
            </w:pPr>
          </w:p>
        </w:tc>
        <w:tc>
          <w:tcPr>
            <w:tcW w:w="1000" w:type="dxa"/>
            <w:vAlign w:val="bottom"/>
            <w:shd w:val="clear" w:color="auto" w:fill="E93BAC"/>
          </w:tcPr>
          <w:p>
            <w:pPr>
              <w:spacing w:after="0"/>
              <w:rPr>
                <w:sz w:val="21"/>
                <w:szCs w:val="21"/>
                <w:color w:val="auto"/>
              </w:rPr>
            </w:pPr>
          </w:p>
        </w:tc>
        <w:tc>
          <w:tcPr>
            <w:tcW w:w="220" w:type="dxa"/>
            <w:vAlign w:val="bottom"/>
            <w:tcBorders>
              <w:right w:val="single" w:sz="8" w:color="E93BAC"/>
            </w:tcBorders>
            <w:shd w:val="clear" w:color="auto" w:fill="E93BAC"/>
          </w:tcPr>
          <w:p>
            <w:pPr>
              <w:spacing w:after="0"/>
              <w:rPr>
                <w:sz w:val="21"/>
                <w:szCs w:val="21"/>
                <w:color w:val="auto"/>
              </w:rPr>
            </w:pPr>
          </w:p>
        </w:tc>
        <w:tc>
          <w:tcPr>
            <w:tcW w:w="660" w:type="dxa"/>
            <w:vAlign w:val="bottom"/>
            <w:tcBorders>
              <w:right w:val="single" w:sz="8" w:color="E93BAC"/>
            </w:tcBorders>
            <w:shd w:val="clear" w:color="auto" w:fill="E93BAC"/>
          </w:tcPr>
          <w:p>
            <w:pPr>
              <w:spacing w:after="0"/>
              <w:rPr>
                <w:sz w:val="21"/>
                <w:szCs w:val="21"/>
                <w:color w:val="auto"/>
              </w:rPr>
            </w:pPr>
          </w:p>
        </w:tc>
        <w:tc>
          <w:tcPr>
            <w:tcW w:w="280" w:type="dxa"/>
            <w:vAlign w:val="bottom"/>
            <w:tcBorders>
              <w:right w:val="single" w:sz="8" w:color="E93BAC"/>
            </w:tcBorders>
            <w:shd w:val="clear" w:color="auto" w:fill="E93BAC"/>
          </w:tcPr>
          <w:p>
            <w:pPr>
              <w:spacing w:after="0"/>
              <w:rPr>
                <w:sz w:val="21"/>
                <w:szCs w:val="21"/>
                <w:color w:val="auto"/>
              </w:rPr>
            </w:pPr>
          </w:p>
        </w:tc>
        <w:tc>
          <w:tcPr>
            <w:tcW w:w="980" w:type="dxa"/>
            <w:vAlign w:val="bottom"/>
            <w:shd w:val="clear" w:color="auto" w:fill="E93BAC"/>
          </w:tcPr>
          <w:p>
            <w:pPr>
              <w:spacing w:after="0"/>
              <w:rPr>
                <w:sz w:val="21"/>
                <w:szCs w:val="21"/>
                <w:color w:val="auto"/>
              </w:rPr>
            </w:pPr>
          </w:p>
        </w:tc>
        <w:tc>
          <w:tcPr>
            <w:tcW w:w="760" w:type="dxa"/>
            <w:vAlign w:val="bottom"/>
            <w:tcBorders>
              <w:right w:val="single" w:sz="8" w:color="E93BAC"/>
            </w:tcBorders>
            <w:shd w:val="clear" w:color="auto" w:fill="E93BAC"/>
          </w:tcPr>
          <w:p>
            <w:pPr>
              <w:spacing w:after="0"/>
              <w:rPr>
                <w:sz w:val="21"/>
                <w:szCs w:val="21"/>
                <w:color w:val="auto"/>
              </w:rPr>
            </w:pPr>
          </w:p>
        </w:tc>
        <w:tc>
          <w:tcPr>
            <w:tcW w:w="280" w:type="dxa"/>
            <w:vAlign w:val="bottom"/>
            <w:tcBorders>
              <w:right w:val="single" w:sz="8" w:color="E93BAC"/>
            </w:tcBorders>
            <w:shd w:val="clear" w:color="auto" w:fill="E93BAC"/>
          </w:tcPr>
          <w:p>
            <w:pPr>
              <w:spacing w:after="0"/>
              <w:rPr>
                <w:sz w:val="21"/>
                <w:szCs w:val="21"/>
                <w:color w:val="auto"/>
              </w:rPr>
            </w:pPr>
          </w:p>
        </w:tc>
        <w:tc>
          <w:tcPr>
            <w:tcW w:w="0" w:type="dxa"/>
            <w:vAlign w:val="bottom"/>
          </w:tcPr>
          <w:p>
            <w:pPr>
              <w:spacing w:after="0"/>
              <w:rPr>
                <w:sz w:val="1"/>
                <w:szCs w:val="1"/>
                <w:color w:val="auto"/>
              </w:rPr>
            </w:pPr>
          </w:p>
        </w:tc>
      </w:tr>
      <w:tr>
        <w:trPr>
          <w:trHeight w:val="417"/>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12.6.7. Prima AFP</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Prima AFP</w:t>
            </w: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040" w:type="dxa"/>
            <w:vAlign w:val="bottom"/>
            <w:gridSpan w:val="4"/>
          </w:tcPr>
          <w:p>
            <w:pPr>
              <w:jc w:val="center"/>
              <w:ind w:left="97"/>
              <w:spacing w:after="0"/>
              <w:rPr>
                <w:sz w:val="20"/>
                <w:szCs w:val="20"/>
                <w:color w:val="auto"/>
              </w:rPr>
            </w:pPr>
            <w:r>
              <w:rPr>
                <w:rFonts w:ascii="Arial" w:cs="Arial" w:eastAsia="Arial" w:hAnsi="Arial"/>
                <w:sz w:val="16"/>
                <w:szCs w:val="16"/>
                <w:b w:val="1"/>
                <w:bCs w:val="1"/>
                <w:color w:val="auto"/>
              </w:rPr>
              <w:t>Statement of Financial Position</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040" w:type="dxa"/>
            <w:vAlign w:val="bottom"/>
            <w:gridSpan w:val="4"/>
          </w:tcPr>
          <w:p>
            <w:pPr>
              <w:jc w:val="center"/>
              <w:ind w:left="97"/>
              <w:spacing w:after="0"/>
              <w:rPr>
                <w:sz w:val="20"/>
                <w:szCs w:val="20"/>
                <w:color w:val="auto"/>
              </w:rPr>
            </w:pPr>
            <w:r>
              <w:rPr>
                <w:rFonts w:ascii="Arial" w:cs="Arial" w:eastAsia="Arial" w:hAnsi="Arial"/>
                <w:sz w:val="16"/>
                <w:szCs w:val="16"/>
                <w:b w:val="1"/>
                <w:bCs w:val="1"/>
                <w:color w:val="auto"/>
              </w:rPr>
              <w:t>(In S/ Thousands, IFRS)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320" w:type="dxa"/>
            <w:vAlign w:val="bottom"/>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0" w:type="dxa"/>
            <w:vAlign w:val="bottom"/>
            <w:tcBorders>
              <w:right w:val="single" w:sz="8" w:color="auto"/>
            </w:tcBorders>
          </w:tcPr>
          <w:p>
            <w:pPr>
              <w:spacing w:after="0"/>
              <w:rPr>
                <w:sz w:val="13"/>
                <w:szCs w:val="13"/>
                <w:color w:val="auto"/>
              </w:rPr>
            </w:pPr>
          </w:p>
        </w:tc>
        <w:tc>
          <w:tcPr>
            <w:tcW w:w="3700" w:type="dxa"/>
            <w:vAlign w:val="bottom"/>
            <w:shd w:val="clear" w:color="auto" w:fill="2AD2C8"/>
          </w:tcPr>
          <w:p>
            <w:pPr>
              <w:spacing w:after="0"/>
              <w:rPr>
                <w:sz w:val="13"/>
                <w:szCs w:val="13"/>
                <w:color w:val="auto"/>
              </w:rPr>
            </w:pPr>
          </w:p>
        </w:tc>
        <w:tc>
          <w:tcPr>
            <w:tcW w:w="1180" w:type="dxa"/>
            <w:vAlign w:val="bottom"/>
            <w:tcBorders>
              <w:right w:val="single" w:sz="8" w:color="2AD2C8"/>
            </w:tcBorders>
            <w:shd w:val="clear" w:color="auto" w:fill="2AD2C8"/>
          </w:tcPr>
          <w:p>
            <w:pPr>
              <w:spacing w:after="0"/>
              <w:rPr>
                <w:sz w:val="13"/>
                <w:szCs w:val="13"/>
                <w:color w:val="auto"/>
              </w:rPr>
            </w:pPr>
          </w:p>
        </w:tc>
        <w:tc>
          <w:tcPr>
            <w:tcW w:w="720" w:type="dxa"/>
            <w:vAlign w:val="bottom"/>
            <w:tcBorders>
              <w:right w:val="single" w:sz="8" w:color="auto"/>
            </w:tcBorders>
            <w:shd w:val="clear" w:color="auto" w:fill="2AD2C8"/>
          </w:tcPr>
          <w:p>
            <w:pPr>
              <w:spacing w:after="0"/>
              <w:rPr>
                <w:sz w:val="13"/>
                <w:szCs w:val="13"/>
                <w:color w:val="auto"/>
              </w:rPr>
            </w:pPr>
          </w:p>
        </w:tc>
        <w:tc>
          <w:tcPr>
            <w:tcW w:w="260" w:type="dxa"/>
            <w:vAlign w:val="bottom"/>
            <w:tcBorders>
              <w:right w:val="single" w:sz="8" w:color="2AD2C8"/>
            </w:tcBorders>
            <w:shd w:val="clear" w:color="auto" w:fill="2AD2C8"/>
          </w:tcPr>
          <w:p>
            <w:pPr>
              <w:spacing w:after="0"/>
              <w:rPr>
                <w:sz w:val="13"/>
                <w:szCs w:val="13"/>
                <w:color w:val="auto"/>
              </w:rPr>
            </w:pPr>
          </w:p>
        </w:tc>
        <w:tc>
          <w:tcPr>
            <w:tcW w:w="880" w:type="dxa"/>
            <w:vAlign w:val="bottom"/>
            <w:shd w:val="clear" w:color="auto" w:fill="2AD2C8"/>
          </w:tcPr>
          <w:p>
            <w:pPr>
              <w:spacing w:after="0"/>
              <w:rPr>
                <w:sz w:val="13"/>
                <w:szCs w:val="13"/>
                <w:color w:val="auto"/>
              </w:rPr>
            </w:pPr>
          </w:p>
        </w:tc>
        <w:tc>
          <w:tcPr>
            <w:tcW w:w="1000" w:type="dxa"/>
            <w:vAlign w:val="bottom"/>
            <w:shd w:val="clear" w:color="auto" w:fill="2AD2C8"/>
          </w:tcPr>
          <w:p>
            <w:pPr>
              <w:jc w:val="center"/>
              <w:ind w:right="256"/>
              <w:spacing w:after="0"/>
              <w:rPr>
                <w:sz w:val="20"/>
                <w:szCs w:val="20"/>
                <w:color w:val="auto"/>
              </w:rPr>
            </w:pPr>
            <w:r>
              <w:rPr>
                <w:rFonts w:ascii="Arial" w:cs="Arial" w:eastAsia="Arial" w:hAnsi="Arial"/>
                <w:sz w:val="12"/>
                <w:szCs w:val="12"/>
                <w:b w:val="1"/>
                <w:bCs w:val="1"/>
                <w:color w:val="FFFFFF"/>
                <w:w w:val="93"/>
              </w:rPr>
              <w:t>As of</w:t>
            </w:r>
          </w:p>
        </w:tc>
        <w:tc>
          <w:tcPr>
            <w:tcW w:w="220" w:type="dxa"/>
            <w:vAlign w:val="bottom"/>
            <w:tcBorders>
              <w:right w:val="single" w:sz="8" w:color="2AD2C8"/>
            </w:tcBorders>
            <w:shd w:val="clear" w:color="auto" w:fill="2AD2C8"/>
          </w:tcPr>
          <w:p>
            <w:pPr>
              <w:spacing w:after="0"/>
              <w:rPr>
                <w:sz w:val="13"/>
                <w:szCs w:val="13"/>
                <w:color w:val="auto"/>
              </w:rPr>
            </w:pPr>
          </w:p>
        </w:tc>
        <w:tc>
          <w:tcPr>
            <w:tcW w:w="660" w:type="dxa"/>
            <w:vAlign w:val="bottom"/>
            <w:tcBorders>
              <w:right w:val="single" w:sz="8" w:color="auto"/>
            </w:tcBorders>
            <w:shd w:val="clear" w:color="auto" w:fill="2AD2C8"/>
          </w:tcPr>
          <w:p>
            <w:pPr>
              <w:spacing w:after="0"/>
              <w:rPr>
                <w:sz w:val="13"/>
                <w:szCs w:val="13"/>
                <w:color w:val="auto"/>
              </w:rPr>
            </w:pPr>
          </w:p>
        </w:tc>
        <w:tc>
          <w:tcPr>
            <w:tcW w:w="280" w:type="dxa"/>
            <w:vAlign w:val="bottom"/>
            <w:tcBorders>
              <w:right w:val="single" w:sz="8" w:color="2AD2C8"/>
            </w:tcBorders>
            <w:shd w:val="clear" w:color="auto" w:fill="2AD2C8"/>
          </w:tcPr>
          <w:p>
            <w:pPr>
              <w:spacing w:after="0"/>
              <w:rPr>
                <w:sz w:val="13"/>
                <w:szCs w:val="13"/>
                <w:color w:val="auto"/>
              </w:rPr>
            </w:pPr>
          </w:p>
        </w:tc>
        <w:tc>
          <w:tcPr>
            <w:tcW w:w="980" w:type="dxa"/>
            <w:vAlign w:val="bottom"/>
            <w:shd w:val="clear" w:color="auto" w:fill="2AD2C8"/>
          </w:tcPr>
          <w:p>
            <w:pPr>
              <w:jc w:val="right"/>
              <w:spacing w:after="0"/>
              <w:rPr>
                <w:sz w:val="20"/>
                <w:szCs w:val="20"/>
                <w:color w:val="auto"/>
              </w:rPr>
            </w:pPr>
            <w:r>
              <w:rPr>
                <w:rFonts w:ascii="Arial" w:cs="Arial" w:eastAsia="Arial" w:hAnsi="Arial"/>
                <w:sz w:val="12"/>
                <w:szCs w:val="12"/>
                <w:color w:val="FFFFFF"/>
              </w:rPr>
              <w:t>% change</w:t>
            </w:r>
          </w:p>
        </w:tc>
        <w:tc>
          <w:tcPr>
            <w:tcW w:w="760" w:type="dxa"/>
            <w:vAlign w:val="bottom"/>
            <w:tcBorders>
              <w:right w:val="single" w:sz="8" w:color="auto"/>
            </w:tcBorders>
            <w:shd w:val="clear" w:color="auto" w:fill="2AD2C8"/>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20" w:type="dxa"/>
            <w:vAlign w:val="bottom"/>
            <w:tcBorders>
              <w:right w:val="single" w:sz="8" w:color="auto"/>
            </w:tcBorders>
          </w:tcPr>
          <w:p>
            <w:pPr>
              <w:spacing w:after="0"/>
              <w:rPr>
                <w:sz w:val="12"/>
                <w:szCs w:val="12"/>
                <w:color w:val="auto"/>
              </w:rPr>
            </w:pPr>
          </w:p>
        </w:tc>
        <w:tc>
          <w:tcPr>
            <w:tcW w:w="3700" w:type="dxa"/>
            <w:vAlign w:val="bottom"/>
            <w:tcBorders>
              <w:bottom w:val="single" w:sz="8" w:color="auto"/>
            </w:tcBorders>
            <w:shd w:val="clear" w:color="auto" w:fill="2AD2C8"/>
          </w:tcPr>
          <w:p>
            <w:pPr>
              <w:spacing w:after="0"/>
              <w:rPr>
                <w:sz w:val="12"/>
                <w:szCs w:val="12"/>
                <w:color w:val="auto"/>
              </w:rPr>
            </w:pPr>
          </w:p>
        </w:tc>
        <w:tc>
          <w:tcPr>
            <w:tcW w:w="1180" w:type="dxa"/>
            <w:vAlign w:val="bottom"/>
            <w:tcBorders>
              <w:bottom w:val="single" w:sz="8" w:color="auto"/>
              <w:right w:val="single" w:sz="8" w:color="2AD2C8"/>
            </w:tcBorders>
            <w:shd w:val="clear" w:color="auto" w:fill="2AD2C8"/>
          </w:tcPr>
          <w:p>
            <w:pPr>
              <w:spacing w:after="0"/>
              <w:rPr>
                <w:sz w:val="12"/>
                <w:szCs w:val="12"/>
                <w:color w:val="auto"/>
              </w:rPr>
            </w:pPr>
          </w:p>
        </w:tc>
        <w:tc>
          <w:tcPr>
            <w:tcW w:w="720" w:type="dxa"/>
            <w:vAlign w:val="bottom"/>
            <w:tcBorders>
              <w:bottom w:val="single" w:sz="8" w:color="auto"/>
              <w:right w:val="single" w:sz="8" w:color="auto"/>
            </w:tcBorders>
            <w:shd w:val="clear" w:color="auto" w:fill="2AD2C8"/>
          </w:tcPr>
          <w:p>
            <w:pPr>
              <w:spacing w:after="0"/>
              <w:rPr>
                <w:sz w:val="12"/>
                <w:szCs w:val="12"/>
                <w:color w:val="auto"/>
              </w:rPr>
            </w:pPr>
          </w:p>
        </w:tc>
        <w:tc>
          <w:tcPr>
            <w:tcW w:w="260" w:type="dxa"/>
            <w:vAlign w:val="bottom"/>
            <w:tcBorders>
              <w:bottom w:val="single" w:sz="8" w:color="auto"/>
              <w:right w:val="single" w:sz="8" w:color="2AD2C8"/>
            </w:tcBorders>
            <w:shd w:val="clear" w:color="auto" w:fill="2AD2C8"/>
          </w:tcPr>
          <w:p>
            <w:pPr>
              <w:spacing w:after="0"/>
              <w:rPr>
                <w:sz w:val="12"/>
                <w:szCs w:val="12"/>
                <w:color w:val="auto"/>
              </w:rPr>
            </w:pPr>
          </w:p>
        </w:tc>
        <w:tc>
          <w:tcPr>
            <w:tcW w:w="880" w:type="dxa"/>
            <w:vAlign w:val="bottom"/>
            <w:tcBorders>
              <w:bottom w:val="single" w:sz="8" w:color="auto"/>
            </w:tcBorders>
            <w:shd w:val="clear" w:color="auto" w:fill="2AD2C8"/>
          </w:tcPr>
          <w:p>
            <w:pPr>
              <w:ind w:left="40"/>
              <w:spacing w:after="0"/>
              <w:rPr>
                <w:sz w:val="20"/>
                <w:szCs w:val="20"/>
                <w:color w:val="auto"/>
              </w:rPr>
            </w:pPr>
            <w:r>
              <w:rPr>
                <w:rFonts w:ascii="Arial" w:cs="Arial" w:eastAsia="Arial" w:hAnsi="Arial"/>
                <w:sz w:val="12"/>
                <w:szCs w:val="12"/>
                <w:b w:val="1"/>
                <w:bCs w:val="1"/>
                <w:color w:val="FFFFFF"/>
              </w:rPr>
              <w:t>Mar 24</w:t>
            </w:r>
          </w:p>
        </w:tc>
        <w:tc>
          <w:tcPr>
            <w:tcW w:w="1000" w:type="dxa"/>
            <w:vAlign w:val="bottom"/>
            <w:tcBorders>
              <w:bottom w:val="single" w:sz="8" w:color="auto"/>
            </w:tcBorders>
            <w:shd w:val="clear" w:color="auto" w:fill="2AD2C8"/>
          </w:tcPr>
          <w:p>
            <w:pPr>
              <w:jc w:val="center"/>
              <w:ind w:right="256"/>
              <w:spacing w:after="0"/>
              <w:rPr>
                <w:sz w:val="20"/>
                <w:szCs w:val="20"/>
                <w:color w:val="auto"/>
              </w:rPr>
            </w:pPr>
            <w:r>
              <w:rPr>
                <w:rFonts w:ascii="Arial" w:cs="Arial" w:eastAsia="Arial" w:hAnsi="Arial"/>
                <w:sz w:val="12"/>
                <w:szCs w:val="12"/>
                <w:b w:val="1"/>
                <w:bCs w:val="1"/>
                <w:color w:val="FFFFFF"/>
                <w:w w:val="92"/>
              </w:rPr>
              <w:t>Dec 24</w:t>
            </w:r>
          </w:p>
        </w:tc>
        <w:tc>
          <w:tcPr>
            <w:tcW w:w="880" w:type="dxa"/>
            <w:vAlign w:val="bottom"/>
            <w:tcBorders>
              <w:bottom w:val="single" w:sz="8" w:color="auto"/>
              <w:right w:val="single" w:sz="8" w:color="auto"/>
            </w:tcBorders>
            <w:gridSpan w:val="2"/>
            <w:shd w:val="clear" w:color="auto" w:fill="2AD2C8"/>
          </w:tcPr>
          <w:p>
            <w:pPr>
              <w:jc w:val="center"/>
              <w:ind w:right="75"/>
              <w:spacing w:after="0"/>
              <w:rPr>
                <w:sz w:val="20"/>
                <w:szCs w:val="20"/>
                <w:color w:val="auto"/>
              </w:rPr>
            </w:pPr>
            <w:r>
              <w:rPr>
                <w:rFonts w:ascii="Arial" w:cs="Arial" w:eastAsia="Arial" w:hAnsi="Arial"/>
                <w:sz w:val="12"/>
                <w:szCs w:val="12"/>
                <w:b w:val="1"/>
                <w:bCs w:val="1"/>
                <w:color w:val="FFFFFF"/>
                <w:w w:val="99"/>
              </w:rPr>
              <w:t>Mar 25</w:t>
            </w:r>
          </w:p>
        </w:tc>
        <w:tc>
          <w:tcPr>
            <w:tcW w:w="280" w:type="dxa"/>
            <w:vAlign w:val="bottom"/>
            <w:tcBorders>
              <w:bottom w:val="single" w:sz="8" w:color="auto"/>
              <w:right w:val="single" w:sz="8" w:color="2AD2C8"/>
            </w:tcBorders>
            <w:shd w:val="clear" w:color="auto" w:fill="2AD2C8"/>
          </w:tcPr>
          <w:p>
            <w:pPr>
              <w:spacing w:after="0"/>
              <w:rPr>
                <w:sz w:val="12"/>
                <w:szCs w:val="12"/>
                <w:color w:val="auto"/>
              </w:rPr>
            </w:pPr>
          </w:p>
        </w:tc>
        <w:tc>
          <w:tcPr>
            <w:tcW w:w="980" w:type="dxa"/>
            <w:vAlign w:val="bottom"/>
            <w:tcBorders>
              <w:bottom w:val="single" w:sz="8" w:color="auto"/>
            </w:tcBorders>
            <w:shd w:val="clear" w:color="auto" w:fill="2AD2C8"/>
          </w:tcPr>
          <w:p>
            <w:pPr>
              <w:ind w:left="80"/>
              <w:spacing w:after="0"/>
              <w:rPr>
                <w:sz w:val="20"/>
                <w:szCs w:val="20"/>
                <w:color w:val="auto"/>
              </w:rPr>
            </w:pPr>
            <w:r>
              <w:rPr>
                <w:rFonts w:ascii="Arial" w:cs="Arial" w:eastAsia="Arial" w:hAnsi="Arial"/>
                <w:sz w:val="12"/>
                <w:szCs w:val="12"/>
                <w:b w:val="1"/>
                <w:bCs w:val="1"/>
                <w:color w:val="FFFFFF"/>
              </w:rPr>
              <w:t>QoQ</w:t>
            </w:r>
          </w:p>
        </w:tc>
        <w:tc>
          <w:tcPr>
            <w:tcW w:w="760" w:type="dxa"/>
            <w:vAlign w:val="bottom"/>
            <w:tcBorders>
              <w:bottom w:val="single" w:sz="8" w:color="auto"/>
              <w:right w:val="single" w:sz="8" w:color="auto"/>
            </w:tcBorders>
            <w:shd w:val="clear" w:color="auto" w:fill="2AD2C8"/>
          </w:tcPr>
          <w:p>
            <w:pPr>
              <w:jc w:val="center"/>
              <w:ind w:right="236"/>
              <w:spacing w:after="0"/>
              <w:rPr>
                <w:sz w:val="20"/>
                <w:szCs w:val="20"/>
                <w:color w:val="auto"/>
              </w:rPr>
            </w:pPr>
            <w:r>
              <w:rPr>
                <w:rFonts w:ascii="Arial" w:cs="Arial" w:eastAsia="Arial" w:hAnsi="Arial"/>
                <w:sz w:val="12"/>
                <w:szCs w:val="12"/>
                <w:b w:val="1"/>
                <w:bCs w:val="1"/>
                <w:color w:val="FFFFFF"/>
                <w:w w:val="94"/>
              </w:rPr>
              <w:t>YoY</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0" w:type="dxa"/>
            <w:vAlign w:val="bottom"/>
            <w:tcBorders>
              <w:right w:val="single" w:sz="8" w:color="auto"/>
            </w:tcBorders>
          </w:tcPr>
          <w:p>
            <w:pPr>
              <w:spacing w:after="0"/>
              <w:rPr>
                <w:sz w:val="11"/>
                <w:szCs w:val="11"/>
                <w:color w:val="auto"/>
              </w:rPr>
            </w:pPr>
          </w:p>
        </w:tc>
        <w:tc>
          <w:tcPr>
            <w:tcW w:w="3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Cash and due from banks</w:t>
            </w:r>
          </w:p>
        </w:tc>
        <w:tc>
          <w:tcPr>
            <w:tcW w:w="11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ind w:right="356"/>
              <w:spacing w:after="0" w:line="134" w:lineRule="exact"/>
              <w:rPr>
                <w:sz w:val="20"/>
                <w:szCs w:val="20"/>
                <w:color w:val="auto"/>
              </w:rPr>
            </w:pPr>
            <w:r>
              <w:rPr>
                <w:rFonts w:ascii="Arial" w:cs="Arial" w:eastAsia="Arial" w:hAnsi="Arial"/>
                <w:sz w:val="12"/>
                <w:szCs w:val="12"/>
                <w:b w:val="1"/>
                <w:bCs w:val="1"/>
                <w:color w:val="auto"/>
                <w:w w:val="96"/>
              </w:rPr>
              <w:t>107,025</w:t>
            </w:r>
          </w:p>
        </w:tc>
        <w:tc>
          <w:tcPr>
            <w:tcW w:w="1000" w:type="dxa"/>
            <w:vAlign w:val="bottom"/>
          </w:tcPr>
          <w:p>
            <w:pPr>
              <w:jc w:val="center"/>
              <w:ind w:right="236"/>
              <w:spacing w:after="0" w:line="134" w:lineRule="exact"/>
              <w:rPr>
                <w:sz w:val="20"/>
                <w:szCs w:val="20"/>
                <w:color w:val="auto"/>
              </w:rPr>
            </w:pPr>
            <w:r>
              <w:rPr>
                <w:rFonts w:ascii="Arial" w:cs="Arial" w:eastAsia="Arial" w:hAnsi="Arial"/>
                <w:sz w:val="12"/>
                <w:szCs w:val="12"/>
                <w:b w:val="1"/>
                <w:bCs w:val="1"/>
                <w:color w:val="auto"/>
                <w:w w:val="96"/>
              </w:rPr>
              <w:t>123,278</w:t>
            </w:r>
          </w:p>
        </w:tc>
        <w:tc>
          <w:tcPr>
            <w:tcW w:w="880" w:type="dxa"/>
            <w:vAlign w:val="bottom"/>
            <w:tcBorders>
              <w:right w:val="single" w:sz="8" w:color="auto"/>
            </w:tcBorders>
            <w:gridSpan w:val="2"/>
          </w:tcPr>
          <w:p>
            <w:pPr>
              <w:jc w:val="center"/>
              <w:ind w:right="95"/>
              <w:spacing w:after="0" w:line="134" w:lineRule="exact"/>
              <w:rPr>
                <w:sz w:val="20"/>
                <w:szCs w:val="20"/>
                <w:color w:val="auto"/>
              </w:rPr>
            </w:pPr>
            <w:r>
              <w:rPr>
                <w:rFonts w:ascii="Arial" w:cs="Arial" w:eastAsia="Arial" w:hAnsi="Arial"/>
                <w:sz w:val="12"/>
                <w:szCs w:val="12"/>
                <w:b w:val="1"/>
                <w:bCs w:val="1"/>
                <w:color w:val="auto"/>
              </w:rPr>
              <w:t>132,293</w:t>
            </w:r>
          </w:p>
        </w:tc>
        <w:tc>
          <w:tcPr>
            <w:tcW w:w="280" w:type="dxa"/>
            <w:vAlign w:val="bottom"/>
          </w:tcPr>
          <w:p>
            <w:pPr>
              <w:spacing w:after="0"/>
              <w:rPr>
                <w:sz w:val="11"/>
                <w:szCs w:val="11"/>
                <w:color w:val="auto"/>
              </w:rPr>
            </w:pPr>
          </w:p>
        </w:tc>
        <w:tc>
          <w:tcPr>
            <w:tcW w:w="980" w:type="dxa"/>
            <w:vAlign w:val="bottom"/>
          </w:tcPr>
          <w:p>
            <w:pPr>
              <w:jc w:val="right"/>
              <w:ind w:right="576"/>
              <w:spacing w:after="0" w:line="134" w:lineRule="exact"/>
              <w:rPr>
                <w:sz w:val="20"/>
                <w:szCs w:val="20"/>
                <w:color w:val="auto"/>
              </w:rPr>
            </w:pPr>
            <w:r>
              <w:rPr>
                <w:rFonts w:ascii="Arial" w:cs="Arial" w:eastAsia="Arial" w:hAnsi="Arial"/>
                <w:sz w:val="12"/>
                <w:szCs w:val="12"/>
                <w:b w:val="1"/>
                <w:bCs w:val="1"/>
                <w:color w:val="auto"/>
              </w:rPr>
              <w:t>7.3%</w:t>
            </w:r>
          </w:p>
        </w:tc>
        <w:tc>
          <w:tcPr>
            <w:tcW w:w="760" w:type="dxa"/>
            <w:vAlign w:val="bottom"/>
            <w:tcBorders>
              <w:right w:val="single" w:sz="8" w:color="auto"/>
            </w:tcBorders>
          </w:tcPr>
          <w:p>
            <w:pPr>
              <w:jc w:val="right"/>
              <w:ind w:right="296"/>
              <w:spacing w:after="0" w:line="134" w:lineRule="exact"/>
              <w:rPr>
                <w:sz w:val="20"/>
                <w:szCs w:val="20"/>
                <w:color w:val="auto"/>
              </w:rPr>
            </w:pPr>
            <w:r>
              <w:rPr>
                <w:rFonts w:ascii="Arial" w:cs="Arial" w:eastAsia="Arial" w:hAnsi="Arial"/>
                <w:sz w:val="12"/>
                <w:szCs w:val="12"/>
                <w:b w:val="1"/>
                <w:bCs w:val="1"/>
                <w:color w:val="auto"/>
              </w:rPr>
              <w:t>23.6%</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Borders>
              <w:right w:val="single" w:sz="8" w:color="auto"/>
            </w:tcBorders>
          </w:tcPr>
          <w:p>
            <w:pPr>
              <w:spacing w:after="0"/>
              <w:rPr>
                <w:sz w:val="11"/>
                <w:szCs w:val="11"/>
                <w:color w:val="auto"/>
              </w:rPr>
            </w:pPr>
          </w:p>
        </w:tc>
        <w:tc>
          <w:tcPr>
            <w:tcW w:w="3700" w:type="dxa"/>
            <w:vAlign w:val="bottom"/>
          </w:tcPr>
          <w:p>
            <w:pPr>
              <w:ind w:left="300"/>
              <w:spacing w:after="0" w:line="135" w:lineRule="exact"/>
              <w:rPr>
                <w:sz w:val="20"/>
                <w:szCs w:val="20"/>
                <w:color w:val="auto"/>
              </w:rPr>
            </w:pPr>
            <w:r>
              <w:rPr>
                <w:rFonts w:ascii="Arial" w:cs="Arial" w:eastAsia="Arial" w:hAnsi="Arial"/>
                <w:sz w:val="12"/>
                <w:szCs w:val="12"/>
                <w:color w:val="auto"/>
              </w:rPr>
              <w:t>Non-interest bearing</w:t>
            </w:r>
          </w:p>
        </w:tc>
        <w:tc>
          <w:tcPr>
            <w:tcW w:w="11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ind w:right="376"/>
              <w:spacing w:after="0" w:line="135" w:lineRule="exact"/>
              <w:rPr>
                <w:sz w:val="20"/>
                <w:szCs w:val="20"/>
                <w:color w:val="auto"/>
              </w:rPr>
            </w:pPr>
            <w:r>
              <w:rPr>
                <w:rFonts w:ascii="Arial" w:cs="Arial" w:eastAsia="Arial" w:hAnsi="Arial"/>
                <w:sz w:val="12"/>
                <w:szCs w:val="12"/>
                <w:color w:val="auto"/>
                <w:w w:val="93"/>
              </w:rPr>
              <w:t>5,975</w:t>
            </w:r>
          </w:p>
        </w:tc>
        <w:tc>
          <w:tcPr>
            <w:tcW w:w="1000" w:type="dxa"/>
            <w:vAlign w:val="bottom"/>
          </w:tcPr>
          <w:p>
            <w:pPr>
              <w:jc w:val="center"/>
              <w:ind w:right="236"/>
              <w:spacing w:after="0" w:line="135" w:lineRule="exact"/>
              <w:rPr>
                <w:sz w:val="20"/>
                <w:szCs w:val="20"/>
                <w:color w:val="auto"/>
              </w:rPr>
            </w:pPr>
            <w:r>
              <w:rPr>
                <w:rFonts w:ascii="Arial" w:cs="Arial" w:eastAsia="Arial" w:hAnsi="Arial"/>
                <w:sz w:val="12"/>
                <w:szCs w:val="12"/>
                <w:color w:val="auto"/>
                <w:w w:val="99"/>
              </w:rPr>
              <w:t>3,779</w:t>
            </w:r>
          </w:p>
        </w:tc>
        <w:tc>
          <w:tcPr>
            <w:tcW w:w="880" w:type="dxa"/>
            <w:vAlign w:val="bottom"/>
            <w:tcBorders>
              <w:right w:val="single" w:sz="8" w:color="auto"/>
            </w:tcBorders>
            <w:gridSpan w:val="2"/>
          </w:tcPr>
          <w:p>
            <w:pPr>
              <w:jc w:val="center"/>
              <w:ind w:right="95"/>
              <w:spacing w:after="0" w:line="135" w:lineRule="exact"/>
              <w:rPr>
                <w:sz w:val="20"/>
                <w:szCs w:val="20"/>
                <w:color w:val="auto"/>
              </w:rPr>
            </w:pPr>
            <w:r>
              <w:rPr>
                <w:rFonts w:ascii="Arial" w:cs="Arial" w:eastAsia="Arial" w:hAnsi="Arial"/>
                <w:sz w:val="12"/>
                <w:szCs w:val="12"/>
                <w:color w:val="auto"/>
                <w:w w:val="93"/>
              </w:rPr>
              <w:t>2,244</w:t>
            </w:r>
          </w:p>
        </w:tc>
        <w:tc>
          <w:tcPr>
            <w:tcW w:w="280" w:type="dxa"/>
            <w:vAlign w:val="bottom"/>
          </w:tcPr>
          <w:p>
            <w:pPr>
              <w:spacing w:after="0"/>
              <w:rPr>
                <w:sz w:val="11"/>
                <w:szCs w:val="11"/>
                <w:color w:val="auto"/>
              </w:rPr>
            </w:pPr>
          </w:p>
        </w:tc>
        <w:tc>
          <w:tcPr>
            <w:tcW w:w="980" w:type="dxa"/>
            <w:vAlign w:val="bottom"/>
          </w:tcPr>
          <w:p>
            <w:pPr>
              <w:jc w:val="center"/>
              <w:ind w:right="476"/>
              <w:spacing w:after="0" w:line="135" w:lineRule="exact"/>
              <w:rPr>
                <w:sz w:val="20"/>
                <w:szCs w:val="20"/>
                <w:color w:val="auto"/>
              </w:rPr>
            </w:pPr>
            <w:r>
              <w:rPr>
                <w:rFonts w:ascii="Arial" w:cs="Arial" w:eastAsia="Arial" w:hAnsi="Arial"/>
                <w:sz w:val="12"/>
                <w:szCs w:val="12"/>
                <w:color w:val="auto"/>
                <w:w w:val="94"/>
              </w:rPr>
              <w:t>-40.6%</w:t>
            </w:r>
          </w:p>
        </w:tc>
        <w:tc>
          <w:tcPr>
            <w:tcW w:w="760" w:type="dxa"/>
            <w:vAlign w:val="bottom"/>
            <w:tcBorders>
              <w:right w:val="single" w:sz="8" w:color="auto"/>
            </w:tcBorders>
          </w:tcPr>
          <w:p>
            <w:pPr>
              <w:jc w:val="right"/>
              <w:ind w:right="256"/>
              <w:spacing w:after="0" w:line="135" w:lineRule="exact"/>
              <w:rPr>
                <w:sz w:val="20"/>
                <w:szCs w:val="20"/>
                <w:color w:val="auto"/>
              </w:rPr>
            </w:pPr>
            <w:r>
              <w:rPr>
                <w:rFonts w:ascii="Arial" w:cs="Arial" w:eastAsia="Arial" w:hAnsi="Arial"/>
                <w:sz w:val="12"/>
                <w:szCs w:val="12"/>
                <w:color w:val="auto"/>
              </w:rPr>
              <w:t>-62.4%</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Borders>
              <w:right w:val="single" w:sz="8" w:color="auto"/>
            </w:tcBorders>
          </w:tcPr>
          <w:p>
            <w:pPr>
              <w:spacing w:after="0"/>
              <w:rPr>
                <w:sz w:val="11"/>
                <w:szCs w:val="11"/>
                <w:color w:val="auto"/>
              </w:rPr>
            </w:pPr>
          </w:p>
        </w:tc>
        <w:tc>
          <w:tcPr>
            <w:tcW w:w="3700" w:type="dxa"/>
            <w:vAlign w:val="bottom"/>
          </w:tcPr>
          <w:p>
            <w:pPr>
              <w:ind w:left="300"/>
              <w:spacing w:after="0" w:line="135" w:lineRule="exact"/>
              <w:rPr>
                <w:sz w:val="20"/>
                <w:szCs w:val="20"/>
                <w:color w:val="auto"/>
              </w:rPr>
            </w:pPr>
            <w:r>
              <w:rPr>
                <w:rFonts w:ascii="Arial" w:cs="Arial" w:eastAsia="Arial" w:hAnsi="Arial"/>
                <w:sz w:val="12"/>
                <w:szCs w:val="12"/>
                <w:color w:val="auto"/>
              </w:rPr>
              <w:t>Interest bearing</w:t>
            </w:r>
          </w:p>
        </w:tc>
        <w:tc>
          <w:tcPr>
            <w:tcW w:w="11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ind w:right="356"/>
              <w:spacing w:after="0" w:line="135" w:lineRule="exact"/>
              <w:rPr>
                <w:sz w:val="20"/>
                <w:szCs w:val="20"/>
                <w:color w:val="auto"/>
              </w:rPr>
            </w:pPr>
            <w:r>
              <w:rPr>
                <w:rFonts w:ascii="Arial" w:cs="Arial" w:eastAsia="Arial" w:hAnsi="Arial"/>
                <w:sz w:val="12"/>
                <w:szCs w:val="12"/>
                <w:color w:val="auto"/>
                <w:w w:val="96"/>
              </w:rPr>
              <w:t>101,050</w:t>
            </w:r>
          </w:p>
        </w:tc>
        <w:tc>
          <w:tcPr>
            <w:tcW w:w="1000" w:type="dxa"/>
            <w:vAlign w:val="bottom"/>
          </w:tcPr>
          <w:p>
            <w:pPr>
              <w:jc w:val="center"/>
              <w:ind w:right="236"/>
              <w:spacing w:after="0" w:line="135" w:lineRule="exact"/>
              <w:rPr>
                <w:sz w:val="20"/>
                <w:szCs w:val="20"/>
                <w:color w:val="auto"/>
              </w:rPr>
            </w:pPr>
            <w:r>
              <w:rPr>
                <w:rFonts w:ascii="Arial" w:cs="Arial" w:eastAsia="Arial" w:hAnsi="Arial"/>
                <w:sz w:val="12"/>
                <w:szCs w:val="12"/>
                <w:color w:val="auto"/>
                <w:w w:val="96"/>
              </w:rPr>
              <w:t>119,499</w:t>
            </w:r>
          </w:p>
        </w:tc>
        <w:tc>
          <w:tcPr>
            <w:tcW w:w="880" w:type="dxa"/>
            <w:vAlign w:val="bottom"/>
            <w:tcBorders>
              <w:right w:val="single" w:sz="8" w:color="auto"/>
            </w:tcBorders>
            <w:gridSpan w:val="2"/>
          </w:tcPr>
          <w:p>
            <w:pPr>
              <w:jc w:val="center"/>
              <w:ind w:right="95"/>
              <w:spacing w:after="0" w:line="135" w:lineRule="exact"/>
              <w:rPr>
                <w:sz w:val="20"/>
                <w:szCs w:val="20"/>
                <w:color w:val="auto"/>
              </w:rPr>
            </w:pPr>
            <w:r>
              <w:rPr>
                <w:rFonts w:ascii="Arial" w:cs="Arial" w:eastAsia="Arial" w:hAnsi="Arial"/>
                <w:sz w:val="12"/>
                <w:szCs w:val="12"/>
                <w:color w:val="auto"/>
              </w:rPr>
              <w:t>130,049</w:t>
            </w:r>
          </w:p>
        </w:tc>
        <w:tc>
          <w:tcPr>
            <w:tcW w:w="280" w:type="dxa"/>
            <w:vAlign w:val="bottom"/>
          </w:tcPr>
          <w:p>
            <w:pPr>
              <w:spacing w:after="0"/>
              <w:rPr>
                <w:sz w:val="11"/>
                <w:szCs w:val="11"/>
                <w:color w:val="auto"/>
              </w:rPr>
            </w:pPr>
          </w:p>
        </w:tc>
        <w:tc>
          <w:tcPr>
            <w:tcW w:w="980" w:type="dxa"/>
            <w:vAlign w:val="bottom"/>
          </w:tcPr>
          <w:p>
            <w:pPr>
              <w:jc w:val="right"/>
              <w:ind w:right="576"/>
              <w:spacing w:after="0" w:line="135" w:lineRule="exact"/>
              <w:rPr>
                <w:sz w:val="20"/>
                <w:szCs w:val="20"/>
                <w:color w:val="auto"/>
              </w:rPr>
            </w:pPr>
            <w:r>
              <w:rPr>
                <w:rFonts w:ascii="Arial" w:cs="Arial" w:eastAsia="Arial" w:hAnsi="Arial"/>
                <w:sz w:val="12"/>
                <w:szCs w:val="12"/>
                <w:color w:val="auto"/>
              </w:rPr>
              <w:t>8.8%</w:t>
            </w:r>
          </w:p>
        </w:tc>
        <w:tc>
          <w:tcPr>
            <w:tcW w:w="760" w:type="dxa"/>
            <w:vAlign w:val="bottom"/>
            <w:tcBorders>
              <w:right w:val="single" w:sz="8" w:color="auto"/>
            </w:tcBorders>
          </w:tcPr>
          <w:p>
            <w:pPr>
              <w:jc w:val="right"/>
              <w:ind w:right="276"/>
              <w:spacing w:after="0" w:line="135" w:lineRule="exact"/>
              <w:rPr>
                <w:sz w:val="20"/>
                <w:szCs w:val="20"/>
                <w:color w:val="auto"/>
              </w:rPr>
            </w:pPr>
            <w:r>
              <w:rPr>
                <w:rFonts w:ascii="Arial" w:cs="Arial" w:eastAsia="Arial" w:hAnsi="Arial"/>
                <w:sz w:val="12"/>
                <w:szCs w:val="12"/>
                <w:color w:val="auto"/>
              </w:rPr>
              <w:t>28.7%</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Borders>
              <w:right w:val="single" w:sz="8" w:color="auto"/>
            </w:tcBorders>
          </w:tcPr>
          <w:p>
            <w:pPr>
              <w:spacing w:after="0"/>
              <w:rPr>
                <w:sz w:val="11"/>
                <w:szCs w:val="11"/>
                <w:color w:val="auto"/>
              </w:rPr>
            </w:pPr>
          </w:p>
        </w:tc>
        <w:tc>
          <w:tcPr>
            <w:tcW w:w="3700" w:type="dxa"/>
            <w:vAlign w:val="bottom"/>
          </w:tcPr>
          <w:p>
            <w:pPr>
              <w:ind w:left="300"/>
              <w:spacing w:after="0" w:line="135" w:lineRule="exact"/>
              <w:rPr>
                <w:sz w:val="20"/>
                <w:szCs w:val="20"/>
                <w:color w:val="auto"/>
              </w:rPr>
            </w:pPr>
            <w:r>
              <w:rPr>
                <w:rFonts w:ascii="Arial" w:cs="Arial" w:eastAsia="Arial" w:hAnsi="Arial"/>
                <w:sz w:val="12"/>
                <w:szCs w:val="12"/>
                <w:color w:val="auto"/>
              </w:rPr>
              <w:t>Fair value through profit or loss investments</w:t>
            </w:r>
          </w:p>
        </w:tc>
        <w:tc>
          <w:tcPr>
            <w:tcW w:w="11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ind w:right="356"/>
              <w:spacing w:after="0" w:line="135" w:lineRule="exact"/>
              <w:rPr>
                <w:sz w:val="20"/>
                <w:szCs w:val="20"/>
                <w:color w:val="auto"/>
              </w:rPr>
            </w:pPr>
            <w:r>
              <w:rPr>
                <w:rFonts w:ascii="Arial" w:cs="Arial" w:eastAsia="Arial" w:hAnsi="Arial"/>
                <w:sz w:val="12"/>
                <w:szCs w:val="12"/>
                <w:color w:val="auto"/>
                <w:w w:val="96"/>
              </w:rPr>
              <w:t>366,671</w:t>
            </w:r>
          </w:p>
        </w:tc>
        <w:tc>
          <w:tcPr>
            <w:tcW w:w="1000" w:type="dxa"/>
            <w:vAlign w:val="bottom"/>
          </w:tcPr>
          <w:p>
            <w:pPr>
              <w:jc w:val="center"/>
              <w:ind w:right="236"/>
              <w:spacing w:after="0" w:line="135" w:lineRule="exact"/>
              <w:rPr>
                <w:sz w:val="20"/>
                <w:szCs w:val="20"/>
                <w:color w:val="auto"/>
              </w:rPr>
            </w:pPr>
            <w:r>
              <w:rPr>
                <w:rFonts w:ascii="Arial" w:cs="Arial" w:eastAsia="Arial" w:hAnsi="Arial"/>
                <w:sz w:val="12"/>
                <w:szCs w:val="12"/>
                <w:color w:val="auto"/>
                <w:w w:val="96"/>
              </w:rPr>
              <w:t>306,759</w:t>
            </w:r>
          </w:p>
        </w:tc>
        <w:tc>
          <w:tcPr>
            <w:tcW w:w="880" w:type="dxa"/>
            <w:vAlign w:val="bottom"/>
            <w:tcBorders>
              <w:right w:val="single" w:sz="8" w:color="auto"/>
            </w:tcBorders>
            <w:gridSpan w:val="2"/>
          </w:tcPr>
          <w:p>
            <w:pPr>
              <w:jc w:val="center"/>
              <w:ind w:right="95"/>
              <w:spacing w:after="0" w:line="135" w:lineRule="exact"/>
              <w:rPr>
                <w:sz w:val="20"/>
                <w:szCs w:val="20"/>
                <w:color w:val="auto"/>
              </w:rPr>
            </w:pPr>
            <w:r>
              <w:rPr>
                <w:rFonts w:ascii="Arial" w:cs="Arial" w:eastAsia="Arial" w:hAnsi="Arial"/>
                <w:sz w:val="12"/>
                <w:szCs w:val="12"/>
                <w:color w:val="auto"/>
              </w:rPr>
              <w:t>302,482</w:t>
            </w:r>
          </w:p>
        </w:tc>
        <w:tc>
          <w:tcPr>
            <w:tcW w:w="280" w:type="dxa"/>
            <w:vAlign w:val="bottom"/>
          </w:tcPr>
          <w:p>
            <w:pPr>
              <w:spacing w:after="0"/>
              <w:rPr>
                <w:sz w:val="11"/>
                <w:szCs w:val="11"/>
                <w:color w:val="auto"/>
              </w:rPr>
            </w:pPr>
          </w:p>
        </w:tc>
        <w:tc>
          <w:tcPr>
            <w:tcW w:w="980" w:type="dxa"/>
            <w:vAlign w:val="bottom"/>
          </w:tcPr>
          <w:p>
            <w:pPr>
              <w:jc w:val="center"/>
              <w:ind w:right="496"/>
              <w:spacing w:after="0" w:line="135" w:lineRule="exact"/>
              <w:rPr>
                <w:sz w:val="20"/>
                <w:szCs w:val="20"/>
                <w:color w:val="auto"/>
              </w:rPr>
            </w:pPr>
            <w:r>
              <w:rPr>
                <w:rFonts w:ascii="Arial" w:cs="Arial" w:eastAsia="Arial" w:hAnsi="Arial"/>
                <w:sz w:val="12"/>
                <w:szCs w:val="12"/>
                <w:color w:val="auto"/>
                <w:w w:val="95"/>
              </w:rPr>
              <w:t>-1.4%</w:t>
            </w:r>
          </w:p>
        </w:tc>
        <w:tc>
          <w:tcPr>
            <w:tcW w:w="760" w:type="dxa"/>
            <w:vAlign w:val="bottom"/>
            <w:tcBorders>
              <w:right w:val="single" w:sz="8" w:color="auto"/>
            </w:tcBorders>
          </w:tcPr>
          <w:p>
            <w:pPr>
              <w:jc w:val="right"/>
              <w:ind w:right="256"/>
              <w:spacing w:after="0" w:line="135" w:lineRule="exact"/>
              <w:rPr>
                <w:sz w:val="20"/>
                <w:szCs w:val="20"/>
                <w:color w:val="auto"/>
              </w:rPr>
            </w:pPr>
            <w:r>
              <w:rPr>
                <w:rFonts w:ascii="Arial" w:cs="Arial" w:eastAsia="Arial" w:hAnsi="Arial"/>
                <w:sz w:val="12"/>
                <w:szCs w:val="12"/>
                <w:color w:val="auto"/>
              </w:rPr>
              <w:t>-17.5%</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Borders>
              <w:right w:val="single" w:sz="8" w:color="auto"/>
            </w:tcBorders>
          </w:tcPr>
          <w:p>
            <w:pPr>
              <w:spacing w:after="0"/>
              <w:rPr>
                <w:sz w:val="11"/>
                <w:szCs w:val="11"/>
                <w:color w:val="auto"/>
              </w:rPr>
            </w:pPr>
          </w:p>
        </w:tc>
        <w:tc>
          <w:tcPr>
            <w:tcW w:w="3700" w:type="dxa"/>
            <w:vAlign w:val="bottom"/>
          </w:tcPr>
          <w:p>
            <w:pPr>
              <w:ind w:left="300"/>
              <w:spacing w:after="0" w:line="135" w:lineRule="exact"/>
              <w:rPr>
                <w:sz w:val="20"/>
                <w:szCs w:val="20"/>
                <w:color w:val="auto"/>
              </w:rPr>
            </w:pPr>
            <w:r>
              <w:rPr>
                <w:rFonts w:ascii="Arial" w:cs="Arial" w:eastAsia="Arial" w:hAnsi="Arial"/>
                <w:sz w:val="12"/>
                <w:szCs w:val="12"/>
                <w:color w:val="auto"/>
              </w:rPr>
              <w:t>Fair value through other comprehensive income investments</w:t>
            </w:r>
          </w:p>
        </w:tc>
        <w:tc>
          <w:tcPr>
            <w:tcW w:w="11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ind w:right="376"/>
              <w:spacing w:after="0" w:line="135" w:lineRule="exact"/>
              <w:rPr>
                <w:sz w:val="20"/>
                <w:szCs w:val="20"/>
                <w:color w:val="auto"/>
              </w:rPr>
            </w:pPr>
            <w:r>
              <w:rPr>
                <w:rFonts w:ascii="Arial" w:cs="Arial" w:eastAsia="Arial" w:hAnsi="Arial"/>
                <w:sz w:val="12"/>
                <w:szCs w:val="12"/>
                <w:color w:val="auto"/>
                <w:w w:val="93"/>
              </w:rPr>
              <w:t>1,703</w:t>
            </w:r>
          </w:p>
        </w:tc>
        <w:tc>
          <w:tcPr>
            <w:tcW w:w="1000" w:type="dxa"/>
            <w:vAlign w:val="bottom"/>
          </w:tcPr>
          <w:p>
            <w:pPr>
              <w:jc w:val="center"/>
              <w:ind w:right="236"/>
              <w:spacing w:after="0" w:line="135" w:lineRule="exact"/>
              <w:rPr>
                <w:sz w:val="20"/>
                <w:szCs w:val="20"/>
                <w:color w:val="auto"/>
              </w:rPr>
            </w:pPr>
            <w:r>
              <w:rPr>
                <w:rFonts w:ascii="Arial" w:cs="Arial" w:eastAsia="Arial" w:hAnsi="Arial"/>
                <w:sz w:val="12"/>
                <w:szCs w:val="12"/>
                <w:color w:val="auto"/>
                <w:w w:val="99"/>
              </w:rPr>
              <w:t>1,218</w:t>
            </w:r>
          </w:p>
        </w:tc>
        <w:tc>
          <w:tcPr>
            <w:tcW w:w="880" w:type="dxa"/>
            <w:vAlign w:val="bottom"/>
            <w:tcBorders>
              <w:right w:val="single" w:sz="8" w:color="auto"/>
            </w:tcBorders>
            <w:gridSpan w:val="2"/>
          </w:tcPr>
          <w:p>
            <w:pPr>
              <w:jc w:val="center"/>
              <w:ind w:right="95"/>
              <w:spacing w:after="0" w:line="135" w:lineRule="exact"/>
              <w:rPr>
                <w:sz w:val="20"/>
                <w:szCs w:val="20"/>
                <w:color w:val="auto"/>
              </w:rPr>
            </w:pPr>
            <w:r>
              <w:rPr>
                <w:rFonts w:ascii="Arial" w:cs="Arial" w:eastAsia="Arial" w:hAnsi="Arial"/>
                <w:sz w:val="12"/>
                <w:szCs w:val="12"/>
                <w:color w:val="auto"/>
                <w:w w:val="93"/>
              </w:rPr>
              <w:t>1,968</w:t>
            </w:r>
          </w:p>
        </w:tc>
        <w:tc>
          <w:tcPr>
            <w:tcW w:w="280" w:type="dxa"/>
            <w:vAlign w:val="bottom"/>
          </w:tcPr>
          <w:p>
            <w:pPr>
              <w:spacing w:after="0"/>
              <w:rPr>
                <w:sz w:val="11"/>
                <w:szCs w:val="11"/>
                <w:color w:val="auto"/>
              </w:rPr>
            </w:pPr>
          </w:p>
        </w:tc>
        <w:tc>
          <w:tcPr>
            <w:tcW w:w="980" w:type="dxa"/>
            <w:vAlign w:val="bottom"/>
          </w:tcPr>
          <w:p>
            <w:pPr>
              <w:jc w:val="center"/>
              <w:ind w:right="476"/>
              <w:spacing w:after="0" w:line="135" w:lineRule="exact"/>
              <w:rPr>
                <w:sz w:val="20"/>
                <w:szCs w:val="20"/>
                <w:color w:val="auto"/>
              </w:rPr>
            </w:pPr>
            <w:r>
              <w:rPr>
                <w:rFonts w:ascii="Arial" w:cs="Arial" w:eastAsia="Arial" w:hAnsi="Arial"/>
                <w:sz w:val="12"/>
                <w:szCs w:val="12"/>
                <w:color w:val="auto"/>
                <w:w w:val="93"/>
              </w:rPr>
              <w:t>61.6%</w:t>
            </w:r>
          </w:p>
        </w:tc>
        <w:tc>
          <w:tcPr>
            <w:tcW w:w="760" w:type="dxa"/>
            <w:vAlign w:val="bottom"/>
            <w:tcBorders>
              <w:right w:val="single" w:sz="8" w:color="auto"/>
            </w:tcBorders>
          </w:tcPr>
          <w:p>
            <w:pPr>
              <w:jc w:val="right"/>
              <w:ind w:right="276"/>
              <w:spacing w:after="0" w:line="135" w:lineRule="exact"/>
              <w:rPr>
                <w:sz w:val="20"/>
                <w:szCs w:val="20"/>
                <w:color w:val="auto"/>
              </w:rPr>
            </w:pPr>
            <w:r>
              <w:rPr>
                <w:rFonts w:ascii="Arial" w:cs="Arial" w:eastAsia="Arial" w:hAnsi="Arial"/>
                <w:sz w:val="12"/>
                <w:szCs w:val="12"/>
                <w:color w:val="auto"/>
              </w:rPr>
              <w:t>15.6%</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Borders>
              <w:right w:val="single" w:sz="8" w:color="auto"/>
            </w:tcBorders>
          </w:tcPr>
          <w:p>
            <w:pPr>
              <w:spacing w:after="0"/>
              <w:rPr>
                <w:sz w:val="11"/>
                <w:szCs w:val="11"/>
                <w:color w:val="auto"/>
              </w:rPr>
            </w:pPr>
          </w:p>
        </w:tc>
        <w:tc>
          <w:tcPr>
            <w:tcW w:w="3700" w:type="dxa"/>
            <w:vAlign w:val="bottom"/>
          </w:tcPr>
          <w:p>
            <w:pPr>
              <w:ind w:left="140"/>
              <w:spacing w:after="0" w:line="135" w:lineRule="exact"/>
              <w:rPr>
                <w:sz w:val="20"/>
                <w:szCs w:val="20"/>
                <w:color w:val="auto"/>
              </w:rPr>
            </w:pPr>
            <w:r>
              <w:rPr>
                <w:rFonts w:ascii="Arial" w:cs="Arial" w:eastAsia="Arial" w:hAnsi="Arial"/>
                <w:sz w:val="12"/>
                <w:szCs w:val="12"/>
                <w:color w:val="auto"/>
              </w:rPr>
              <w:t>Property, plant and equipment, net</w:t>
            </w:r>
          </w:p>
        </w:tc>
        <w:tc>
          <w:tcPr>
            <w:tcW w:w="11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ind w:right="376"/>
              <w:spacing w:after="0" w:line="135" w:lineRule="exact"/>
              <w:rPr>
                <w:sz w:val="20"/>
                <w:szCs w:val="20"/>
                <w:color w:val="auto"/>
              </w:rPr>
            </w:pPr>
            <w:r>
              <w:rPr>
                <w:rFonts w:ascii="Arial" w:cs="Arial" w:eastAsia="Arial" w:hAnsi="Arial"/>
                <w:sz w:val="12"/>
                <w:szCs w:val="12"/>
                <w:color w:val="auto"/>
                <w:w w:val="93"/>
              </w:rPr>
              <w:t>9,255</w:t>
            </w:r>
          </w:p>
        </w:tc>
        <w:tc>
          <w:tcPr>
            <w:tcW w:w="1000" w:type="dxa"/>
            <w:vAlign w:val="bottom"/>
          </w:tcPr>
          <w:p>
            <w:pPr>
              <w:jc w:val="center"/>
              <w:ind w:right="236"/>
              <w:spacing w:after="0" w:line="135" w:lineRule="exact"/>
              <w:rPr>
                <w:sz w:val="20"/>
                <w:szCs w:val="20"/>
                <w:color w:val="auto"/>
              </w:rPr>
            </w:pPr>
            <w:r>
              <w:rPr>
                <w:rFonts w:ascii="Arial" w:cs="Arial" w:eastAsia="Arial" w:hAnsi="Arial"/>
                <w:sz w:val="12"/>
                <w:szCs w:val="12"/>
                <w:color w:val="auto"/>
                <w:w w:val="99"/>
              </w:rPr>
              <w:t>7,347</w:t>
            </w:r>
          </w:p>
        </w:tc>
        <w:tc>
          <w:tcPr>
            <w:tcW w:w="880" w:type="dxa"/>
            <w:vAlign w:val="bottom"/>
            <w:tcBorders>
              <w:right w:val="single" w:sz="8" w:color="auto"/>
            </w:tcBorders>
            <w:gridSpan w:val="2"/>
          </w:tcPr>
          <w:p>
            <w:pPr>
              <w:jc w:val="center"/>
              <w:ind w:right="95"/>
              <w:spacing w:after="0" w:line="135" w:lineRule="exact"/>
              <w:rPr>
                <w:sz w:val="20"/>
                <w:szCs w:val="20"/>
                <w:color w:val="auto"/>
              </w:rPr>
            </w:pPr>
            <w:r>
              <w:rPr>
                <w:rFonts w:ascii="Arial" w:cs="Arial" w:eastAsia="Arial" w:hAnsi="Arial"/>
                <w:sz w:val="12"/>
                <w:szCs w:val="12"/>
                <w:color w:val="auto"/>
                <w:w w:val="93"/>
              </w:rPr>
              <w:t>6,233</w:t>
            </w:r>
          </w:p>
        </w:tc>
        <w:tc>
          <w:tcPr>
            <w:tcW w:w="280" w:type="dxa"/>
            <w:vAlign w:val="bottom"/>
          </w:tcPr>
          <w:p>
            <w:pPr>
              <w:spacing w:after="0"/>
              <w:rPr>
                <w:sz w:val="11"/>
                <w:szCs w:val="11"/>
                <w:color w:val="auto"/>
              </w:rPr>
            </w:pPr>
          </w:p>
        </w:tc>
        <w:tc>
          <w:tcPr>
            <w:tcW w:w="980" w:type="dxa"/>
            <w:vAlign w:val="bottom"/>
          </w:tcPr>
          <w:p>
            <w:pPr>
              <w:jc w:val="center"/>
              <w:ind w:right="476"/>
              <w:spacing w:after="0" w:line="135" w:lineRule="exact"/>
              <w:rPr>
                <w:sz w:val="20"/>
                <w:szCs w:val="20"/>
                <w:color w:val="auto"/>
              </w:rPr>
            </w:pPr>
            <w:r>
              <w:rPr>
                <w:rFonts w:ascii="Arial" w:cs="Arial" w:eastAsia="Arial" w:hAnsi="Arial"/>
                <w:sz w:val="12"/>
                <w:szCs w:val="12"/>
                <w:color w:val="auto"/>
                <w:w w:val="94"/>
              </w:rPr>
              <w:t>-15.2%</w:t>
            </w:r>
          </w:p>
        </w:tc>
        <w:tc>
          <w:tcPr>
            <w:tcW w:w="760" w:type="dxa"/>
            <w:vAlign w:val="bottom"/>
            <w:tcBorders>
              <w:right w:val="single" w:sz="8" w:color="auto"/>
            </w:tcBorders>
          </w:tcPr>
          <w:p>
            <w:pPr>
              <w:jc w:val="right"/>
              <w:ind w:right="256"/>
              <w:spacing w:after="0" w:line="135" w:lineRule="exact"/>
              <w:rPr>
                <w:sz w:val="20"/>
                <w:szCs w:val="20"/>
                <w:color w:val="auto"/>
              </w:rPr>
            </w:pPr>
            <w:r>
              <w:rPr>
                <w:rFonts w:ascii="Arial" w:cs="Arial" w:eastAsia="Arial" w:hAnsi="Arial"/>
                <w:sz w:val="12"/>
                <w:szCs w:val="12"/>
                <w:color w:val="auto"/>
              </w:rPr>
              <w:t>-32.7%</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0" w:type="dxa"/>
            <w:vAlign w:val="bottom"/>
            <w:tcBorders>
              <w:right w:val="single" w:sz="8" w:color="auto"/>
            </w:tcBorders>
          </w:tcPr>
          <w:p>
            <w:pPr>
              <w:spacing w:after="0"/>
              <w:rPr>
                <w:sz w:val="11"/>
                <w:szCs w:val="11"/>
                <w:color w:val="auto"/>
              </w:rPr>
            </w:pPr>
          </w:p>
        </w:tc>
        <w:tc>
          <w:tcPr>
            <w:tcW w:w="3700" w:type="dxa"/>
            <w:vAlign w:val="bottom"/>
          </w:tcPr>
          <w:p>
            <w:pPr>
              <w:ind w:left="140"/>
              <w:spacing w:after="0" w:line="133" w:lineRule="exact"/>
              <w:rPr>
                <w:sz w:val="20"/>
                <w:szCs w:val="20"/>
                <w:color w:val="auto"/>
              </w:rPr>
            </w:pPr>
            <w:r>
              <w:rPr>
                <w:rFonts w:ascii="Arial" w:cs="Arial" w:eastAsia="Arial" w:hAnsi="Arial"/>
                <w:sz w:val="12"/>
                <w:szCs w:val="12"/>
                <w:color w:val="auto"/>
              </w:rPr>
              <w:t>Other Assets</w:t>
            </w:r>
          </w:p>
        </w:tc>
        <w:tc>
          <w:tcPr>
            <w:tcW w:w="11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ind w:right="356"/>
              <w:spacing w:after="0" w:line="133" w:lineRule="exact"/>
              <w:rPr>
                <w:sz w:val="20"/>
                <w:szCs w:val="20"/>
                <w:color w:val="auto"/>
              </w:rPr>
            </w:pPr>
            <w:r>
              <w:rPr>
                <w:rFonts w:ascii="Arial" w:cs="Arial" w:eastAsia="Arial" w:hAnsi="Arial"/>
                <w:sz w:val="12"/>
                <w:szCs w:val="12"/>
                <w:color w:val="auto"/>
                <w:w w:val="96"/>
              </w:rPr>
              <w:t>297,719</w:t>
            </w:r>
          </w:p>
        </w:tc>
        <w:tc>
          <w:tcPr>
            <w:tcW w:w="1000" w:type="dxa"/>
            <w:vAlign w:val="bottom"/>
          </w:tcPr>
          <w:p>
            <w:pPr>
              <w:jc w:val="center"/>
              <w:ind w:right="236"/>
              <w:spacing w:after="0" w:line="133" w:lineRule="exact"/>
              <w:rPr>
                <w:sz w:val="20"/>
                <w:szCs w:val="20"/>
                <w:color w:val="auto"/>
              </w:rPr>
            </w:pPr>
            <w:r>
              <w:rPr>
                <w:rFonts w:ascii="Arial" w:cs="Arial" w:eastAsia="Arial" w:hAnsi="Arial"/>
                <w:sz w:val="12"/>
                <w:szCs w:val="12"/>
                <w:color w:val="auto"/>
                <w:w w:val="96"/>
              </w:rPr>
              <w:t>219,369</w:t>
            </w:r>
          </w:p>
        </w:tc>
        <w:tc>
          <w:tcPr>
            <w:tcW w:w="880" w:type="dxa"/>
            <w:vAlign w:val="bottom"/>
            <w:tcBorders>
              <w:right w:val="single" w:sz="8" w:color="auto"/>
            </w:tcBorders>
            <w:gridSpan w:val="2"/>
          </w:tcPr>
          <w:p>
            <w:pPr>
              <w:jc w:val="center"/>
              <w:ind w:right="95"/>
              <w:spacing w:after="0" w:line="133" w:lineRule="exact"/>
              <w:rPr>
                <w:sz w:val="20"/>
                <w:szCs w:val="20"/>
                <w:color w:val="auto"/>
              </w:rPr>
            </w:pPr>
            <w:r>
              <w:rPr>
                <w:rFonts w:ascii="Arial" w:cs="Arial" w:eastAsia="Arial" w:hAnsi="Arial"/>
                <w:sz w:val="12"/>
                <w:szCs w:val="12"/>
                <w:color w:val="auto"/>
              </w:rPr>
              <w:t>214,822</w:t>
            </w:r>
          </w:p>
        </w:tc>
        <w:tc>
          <w:tcPr>
            <w:tcW w:w="280" w:type="dxa"/>
            <w:vAlign w:val="bottom"/>
          </w:tcPr>
          <w:p>
            <w:pPr>
              <w:spacing w:after="0"/>
              <w:rPr>
                <w:sz w:val="11"/>
                <w:szCs w:val="11"/>
                <w:color w:val="auto"/>
              </w:rPr>
            </w:pPr>
          </w:p>
        </w:tc>
        <w:tc>
          <w:tcPr>
            <w:tcW w:w="980" w:type="dxa"/>
            <w:vAlign w:val="bottom"/>
          </w:tcPr>
          <w:p>
            <w:pPr>
              <w:jc w:val="center"/>
              <w:ind w:right="496"/>
              <w:spacing w:after="0" w:line="133" w:lineRule="exact"/>
              <w:rPr>
                <w:sz w:val="20"/>
                <w:szCs w:val="20"/>
                <w:color w:val="auto"/>
              </w:rPr>
            </w:pPr>
            <w:r>
              <w:rPr>
                <w:rFonts w:ascii="Arial" w:cs="Arial" w:eastAsia="Arial" w:hAnsi="Arial"/>
                <w:sz w:val="12"/>
                <w:szCs w:val="12"/>
                <w:color w:val="auto"/>
                <w:w w:val="95"/>
              </w:rPr>
              <w:t>-2.1%</w:t>
            </w:r>
          </w:p>
        </w:tc>
        <w:tc>
          <w:tcPr>
            <w:tcW w:w="760" w:type="dxa"/>
            <w:vAlign w:val="bottom"/>
            <w:tcBorders>
              <w:right w:val="single" w:sz="8" w:color="auto"/>
            </w:tcBorders>
          </w:tcPr>
          <w:p>
            <w:pPr>
              <w:jc w:val="right"/>
              <w:ind w:right="256"/>
              <w:spacing w:after="0" w:line="133" w:lineRule="exact"/>
              <w:rPr>
                <w:sz w:val="20"/>
                <w:szCs w:val="20"/>
                <w:color w:val="auto"/>
              </w:rPr>
            </w:pPr>
            <w:r>
              <w:rPr>
                <w:rFonts w:ascii="Arial" w:cs="Arial" w:eastAsia="Arial" w:hAnsi="Arial"/>
                <w:sz w:val="12"/>
                <w:szCs w:val="12"/>
                <w:color w:val="auto"/>
              </w:rPr>
              <w:t>-27.8%</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0" w:type="dxa"/>
            <w:vAlign w:val="bottom"/>
            <w:tcBorders>
              <w:right w:val="single" w:sz="8" w:color="auto"/>
            </w:tcBorders>
          </w:tcPr>
          <w:p>
            <w:pPr>
              <w:spacing w:after="0"/>
              <w:rPr>
                <w:sz w:val="11"/>
                <w:szCs w:val="11"/>
                <w:color w:val="auto"/>
              </w:rPr>
            </w:pPr>
          </w:p>
        </w:tc>
        <w:tc>
          <w:tcPr>
            <w:tcW w:w="3700" w:type="dxa"/>
            <w:vAlign w:val="bottom"/>
          </w:tcPr>
          <w:p>
            <w:pPr>
              <w:spacing w:after="0"/>
              <w:rPr>
                <w:sz w:val="20"/>
                <w:szCs w:val="20"/>
                <w:color w:val="auto"/>
              </w:rPr>
            </w:pPr>
            <w:r>
              <w:rPr>
                <w:rFonts w:ascii="Arial" w:cs="Arial" w:eastAsia="Arial" w:hAnsi="Arial"/>
                <w:sz w:val="12"/>
                <w:szCs w:val="12"/>
                <w:b w:val="1"/>
                <w:bCs w:val="1"/>
                <w:color w:val="auto"/>
              </w:rPr>
              <w:t>Total Assets</w:t>
            </w:r>
          </w:p>
        </w:tc>
        <w:tc>
          <w:tcPr>
            <w:tcW w:w="11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ind w:right="356"/>
              <w:spacing w:after="0"/>
              <w:rPr>
                <w:sz w:val="20"/>
                <w:szCs w:val="20"/>
                <w:color w:val="auto"/>
              </w:rPr>
            </w:pPr>
            <w:r>
              <w:rPr>
                <w:rFonts w:ascii="Arial" w:cs="Arial" w:eastAsia="Arial" w:hAnsi="Arial"/>
                <w:sz w:val="12"/>
                <w:szCs w:val="12"/>
                <w:b w:val="1"/>
                <w:bCs w:val="1"/>
                <w:color w:val="auto"/>
                <w:w w:val="96"/>
              </w:rPr>
              <w:t>782,373</w:t>
            </w:r>
          </w:p>
        </w:tc>
        <w:tc>
          <w:tcPr>
            <w:tcW w:w="1000" w:type="dxa"/>
            <w:vAlign w:val="bottom"/>
          </w:tcPr>
          <w:p>
            <w:pPr>
              <w:jc w:val="center"/>
              <w:ind w:right="236"/>
              <w:spacing w:after="0"/>
              <w:rPr>
                <w:sz w:val="20"/>
                <w:szCs w:val="20"/>
                <w:color w:val="auto"/>
              </w:rPr>
            </w:pPr>
            <w:r>
              <w:rPr>
                <w:rFonts w:ascii="Arial" w:cs="Arial" w:eastAsia="Arial" w:hAnsi="Arial"/>
                <w:sz w:val="12"/>
                <w:szCs w:val="12"/>
                <w:b w:val="1"/>
                <w:bCs w:val="1"/>
                <w:color w:val="auto"/>
                <w:w w:val="96"/>
              </w:rPr>
              <w:t>657,971</w:t>
            </w:r>
          </w:p>
        </w:tc>
        <w:tc>
          <w:tcPr>
            <w:tcW w:w="880" w:type="dxa"/>
            <w:vAlign w:val="bottom"/>
            <w:tcBorders>
              <w:right w:val="single" w:sz="8" w:color="auto"/>
            </w:tcBorders>
            <w:gridSpan w:val="2"/>
          </w:tcPr>
          <w:p>
            <w:pPr>
              <w:jc w:val="center"/>
              <w:ind w:right="95"/>
              <w:spacing w:after="0"/>
              <w:rPr>
                <w:sz w:val="20"/>
                <w:szCs w:val="20"/>
                <w:color w:val="auto"/>
              </w:rPr>
            </w:pPr>
            <w:r>
              <w:rPr>
                <w:rFonts w:ascii="Arial" w:cs="Arial" w:eastAsia="Arial" w:hAnsi="Arial"/>
                <w:sz w:val="12"/>
                <w:szCs w:val="12"/>
                <w:b w:val="1"/>
                <w:bCs w:val="1"/>
                <w:color w:val="auto"/>
              </w:rPr>
              <w:t>657,798</w:t>
            </w:r>
          </w:p>
        </w:tc>
        <w:tc>
          <w:tcPr>
            <w:tcW w:w="280" w:type="dxa"/>
            <w:vAlign w:val="bottom"/>
          </w:tcPr>
          <w:p>
            <w:pPr>
              <w:spacing w:after="0"/>
              <w:rPr>
                <w:sz w:val="11"/>
                <w:szCs w:val="11"/>
                <w:color w:val="auto"/>
              </w:rPr>
            </w:pPr>
          </w:p>
        </w:tc>
        <w:tc>
          <w:tcPr>
            <w:tcW w:w="980" w:type="dxa"/>
            <w:vAlign w:val="bottom"/>
          </w:tcPr>
          <w:p>
            <w:pPr>
              <w:jc w:val="right"/>
              <w:ind w:right="576"/>
              <w:spacing w:after="0"/>
              <w:rPr>
                <w:sz w:val="20"/>
                <w:szCs w:val="20"/>
                <w:color w:val="auto"/>
              </w:rPr>
            </w:pPr>
            <w:r>
              <w:rPr>
                <w:rFonts w:ascii="Arial" w:cs="Arial" w:eastAsia="Arial" w:hAnsi="Arial"/>
                <w:sz w:val="12"/>
                <w:szCs w:val="12"/>
                <w:b w:val="1"/>
                <w:bCs w:val="1"/>
                <w:color w:val="auto"/>
              </w:rPr>
              <w:t>0.0%</w:t>
            </w:r>
          </w:p>
        </w:tc>
        <w:tc>
          <w:tcPr>
            <w:tcW w:w="760" w:type="dxa"/>
            <w:vAlign w:val="bottom"/>
            <w:tcBorders>
              <w:right w:val="single" w:sz="8" w:color="auto"/>
            </w:tcBorders>
          </w:tcPr>
          <w:p>
            <w:pPr>
              <w:jc w:val="right"/>
              <w:ind w:right="276"/>
              <w:spacing w:after="0"/>
              <w:rPr>
                <w:sz w:val="20"/>
                <w:szCs w:val="20"/>
                <w:color w:val="auto"/>
              </w:rPr>
            </w:pPr>
            <w:r>
              <w:rPr>
                <w:rFonts w:ascii="Arial" w:cs="Arial" w:eastAsia="Arial" w:hAnsi="Arial"/>
                <w:sz w:val="12"/>
                <w:szCs w:val="12"/>
                <w:b w:val="1"/>
                <w:bCs w:val="1"/>
                <w:color w:val="auto"/>
              </w:rPr>
              <w:t>-15.9%</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Borders>
              <w:right w:val="single" w:sz="8" w:color="auto"/>
            </w:tcBorders>
          </w:tcPr>
          <w:p>
            <w:pPr>
              <w:spacing w:after="0"/>
              <w:rPr>
                <w:sz w:val="11"/>
                <w:szCs w:val="11"/>
                <w:color w:val="auto"/>
              </w:rPr>
            </w:pPr>
          </w:p>
        </w:tc>
        <w:tc>
          <w:tcPr>
            <w:tcW w:w="3700" w:type="dxa"/>
            <w:vAlign w:val="bottom"/>
          </w:tcPr>
          <w:p>
            <w:pPr>
              <w:ind w:left="300"/>
              <w:spacing w:after="0" w:line="135" w:lineRule="exact"/>
              <w:rPr>
                <w:sz w:val="20"/>
                <w:szCs w:val="20"/>
                <w:color w:val="auto"/>
              </w:rPr>
            </w:pPr>
            <w:r>
              <w:rPr>
                <w:rFonts w:ascii="Arial" w:cs="Arial" w:eastAsia="Arial" w:hAnsi="Arial"/>
                <w:sz w:val="12"/>
                <w:szCs w:val="12"/>
                <w:color w:val="auto"/>
              </w:rPr>
              <w:t>Due to banks and correspondents</w:t>
            </w:r>
          </w:p>
        </w:tc>
        <w:tc>
          <w:tcPr>
            <w:tcW w:w="11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ind w:right="356"/>
              <w:spacing w:after="0" w:line="135" w:lineRule="exact"/>
              <w:rPr>
                <w:sz w:val="20"/>
                <w:szCs w:val="20"/>
                <w:color w:val="auto"/>
              </w:rPr>
            </w:pPr>
            <w:r>
              <w:rPr>
                <w:rFonts w:ascii="Arial" w:cs="Arial" w:eastAsia="Arial" w:hAnsi="Arial"/>
                <w:sz w:val="12"/>
                <w:szCs w:val="12"/>
                <w:color w:val="auto"/>
                <w:w w:val="89"/>
              </w:rPr>
              <w:t>2</w:t>
            </w:r>
          </w:p>
        </w:tc>
        <w:tc>
          <w:tcPr>
            <w:tcW w:w="1000" w:type="dxa"/>
            <w:vAlign w:val="bottom"/>
          </w:tcPr>
          <w:p>
            <w:pPr>
              <w:jc w:val="center"/>
              <w:ind w:right="236"/>
              <w:spacing w:after="0" w:line="135" w:lineRule="exact"/>
              <w:rPr>
                <w:sz w:val="20"/>
                <w:szCs w:val="20"/>
                <w:color w:val="auto"/>
              </w:rPr>
            </w:pPr>
            <w:r>
              <w:rPr>
                <w:rFonts w:ascii="Arial" w:cs="Arial" w:eastAsia="Arial" w:hAnsi="Arial"/>
                <w:sz w:val="12"/>
                <w:szCs w:val="12"/>
                <w:color w:val="auto"/>
              </w:rPr>
              <w:t>22</w:t>
            </w:r>
          </w:p>
        </w:tc>
        <w:tc>
          <w:tcPr>
            <w:tcW w:w="880" w:type="dxa"/>
            <w:vAlign w:val="bottom"/>
            <w:tcBorders>
              <w:right w:val="single" w:sz="8" w:color="auto"/>
            </w:tcBorders>
            <w:gridSpan w:val="2"/>
          </w:tcPr>
          <w:p>
            <w:pPr>
              <w:jc w:val="center"/>
              <w:ind w:right="95"/>
              <w:spacing w:after="0" w:line="135" w:lineRule="exact"/>
              <w:rPr>
                <w:sz w:val="20"/>
                <w:szCs w:val="20"/>
                <w:color w:val="auto"/>
              </w:rPr>
            </w:pPr>
            <w:r>
              <w:rPr>
                <w:rFonts w:ascii="Arial" w:cs="Arial" w:eastAsia="Arial" w:hAnsi="Arial"/>
                <w:sz w:val="12"/>
                <w:szCs w:val="12"/>
                <w:color w:val="auto"/>
                <w:w w:val="89"/>
              </w:rPr>
              <w:t>29</w:t>
            </w:r>
          </w:p>
        </w:tc>
        <w:tc>
          <w:tcPr>
            <w:tcW w:w="280" w:type="dxa"/>
            <w:vAlign w:val="bottom"/>
          </w:tcPr>
          <w:p>
            <w:pPr>
              <w:spacing w:after="0"/>
              <w:rPr>
                <w:sz w:val="11"/>
                <w:szCs w:val="11"/>
                <w:color w:val="auto"/>
              </w:rPr>
            </w:pPr>
          </w:p>
        </w:tc>
        <w:tc>
          <w:tcPr>
            <w:tcW w:w="980" w:type="dxa"/>
            <w:vAlign w:val="bottom"/>
          </w:tcPr>
          <w:p>
            <w:pPr>
              <w:jc w:val="center"/>
              <w:ind w:right="476"/>
              <w:spacing w:after="0" w:line="135" w:lineRule="exact"/>
              <w:rPr>
                <w:sz w:val="20"/>
                <w:szCs w:val="20"/>
                <w:color w:val="auto"/>
              </w:rPr>
            </w:pPr>
            <w:r>
              <w:rPr>
                <w:rFonts w:ascii="Arial" w:cs="Arial" w:eastAsia="Arial" w:hAnsi="Arial"/>
                <w:sz w:val="12"/>
                <w:szCs w:val="12"/>
                <w:color w:val="auto"/>
                <w:w w:val="93"/>
              </w:rPr>
              <w:t>31.8%</w:t>
            </w:r>
          </w:p>
        </w:tc>
        <w:tc>
          <w:tcPr>
            <w:tcW w:w="760" w:type="dxa"/>
            <w:vAlign w:val="bottom"/>
            <w:tcBorders>
              <w:right w:val="single" w:sz="8" w:color="auto"/>
            </w:tcBorders>
          </w:tcPr>
          <w:p>
            <w:pPr>
              <w:jc w:val="center"/>
              <w:ind w:right="196"/>
              <w:spacing w:after="0" w:line="135" w:lineRule="exact"/>
              <w:rPr>
                <w:sz w:val="20"/>
                <w:szCs w:val="20"/>
                <w:color w:val="auto"/>
              </w:rPr>
            </w:pPr>
            <w:r>
              <w:rPr>
                <w:rFonts w:ascii="Arial" w:cs="Arial" w:eastAsia="Arial" w:hAnsi="Arial"/>
                <w:sz w:val="12"/>
                <w:szCs w:val="12"/>
                <w:color w:val="auto"/>
                <w:w w:val="89"/>
              </w:rPr>
              <w:t>n.a.</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Borders>
              <w:right w:val="single" w:sz="8" w:color="auto"/>
            </w:tcBorders>
          </w:tcPr>
          <w:p>
            <w:pPr>
              <w:spacing w:after="0"/>
              <w:rPr>
                <w:sz w:val="11"/>
                <w:szCs w:val="11"/>
                <w:color w:val="auto"/>
              </w:rPr>
            </w:pPr>
          </w:p>
        </w:tc>
        <w:tc>
          <w:tcPr>
            <w:tcW w:w="3700" w:type="dxa"/>
            <w:vAlign w:val="bottom"/>
          </w:tcPr>
          <w:p>
            <w:pPr>
              <w:ind w:left="300"/>
              <w:spacing w:after="0" w:line="135" w:lineRule="exact"/>
              <w:rPr>
                <w:sz w:val="20"/>
                <w:szCs w:val="20"/>
                <w:color w:val="auto"/>
              </w:rPr>
            </w:pPr>
            <w:r>
              <w:rPr>
                <w:rFonts w:ascii="Arial" w:cs="Arial" w:eastAsia="Arial" w:hAnsi="Arial"/>
                <w:sz w:val="12"/>
                <w:szCs w:val="12"/>
                <w:color w:val="auto"/>
              </w:rPr>
              <w:t>Lease payable</w:t>
            </w:r>
          </w:p>
        </w:tc>
        <w:tc>
          <w:tcPr>
            <w:tcW w:w="11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ind w:right="376"/>
              <w:spacing w:after="0" w:line="135" w:lineRule="exact"/>
              <w:rPr>
                <w:sz w:val="20"/>
                <w:szCs w:val="20"/>
                <w:color w:val="auto"/>
              </w:rPr>
            </w:pPr>
            <w:r>
              <w:rPr>
                <w:rFonts w:ascii="Arial" w:cs="Arial" w:eastAsia="Arial" w:hAnsi="Arial"/>
                <w:sz w:val="12"/>
                <w:szCs w:val="12"/>
                <w:color w:val="auto"/>
                <w:w w:val="93"/>
              </w:rPr>
              <w:t>5,958</w:t>
            </w:r>
          </w:p>
        </w:tc>
        <w:tc>
          <w:tcPr>
            <w:tcW w:w="1000" w:type="dxa"/>
            <w:vAlign w:val="bottom"/>
          </w:tcPr>
          <w:p>
            <w:pPr>
              <w:jc w:val="center"/>
              <w:ind w:right="236"/>
              <w:spacing w:after="0" w:line="135" w:lineRule="exact"/>
              <w:rPr>
                <w:sz w:val="20"/>
                <w:szCs w:val="20"/>
                <w:color w:val="auto"/>
              </w:rPr>
            </w:pPr>
            <w:r>
              <w:rPr>
                <w:rFonts w:ascii="Arial" w:cs="Arial" w:eastAsia="Arial" w:hAnsi="Arial"/>
                <w:sz w:val="12"/>
                <w:szCs w:val="12"/>
                <w:color w:val="auto"/>
                <w:w w:val="99"/>
              </w:rPr>
              <w:t>3,723</w:t>
            </w:r>
          </w:p>
        </w:tc>
        <w:tc>
          <w:tcPr>
            <w:tcW w:w="880" w:type="dxa"/>
            <w:vAlign w:val="bottom"/>
            <w:tcBorders>
              <w:right w:val="single" w:sz="8" w:color="auto"/>
            </w:tcBorders>
            <w:gridSpan w:val="2"/>
          </w:tcPr>
          <w:p>
            <w:pPr>
              <w:jc w:val="center"/>
              <w:ind w:right="95"/>
              <w:spacing w:after="0" w:line="135" w:lineRule="exact"/>
              <w:rPr>
                <w:sz w:val="20"/>
                <w:szCs w:val="20"/>
                <w:color w:val="auto"/>
              </w:rPr>
            </w:pPr>
            <w:r>
              <w:rPr>
                <w:rFonts w:ascii="Arial" w:cs="Arial" w:eastAsia="Arial" w:hAnsi="Arial"/>
                <w:sz w:val="12"/>
                <w:szCs w:val="12"/>
                <w:color w:val="auto"/>
                <w:w w:val="93"/>
              </w:rPr>
              <w:t>2,745</w:t>
            </w:r>
          </w:p>
        </w:tc>
        <w:tc>
          <w:tcPr>
            <w:tcW w:w="280" w:type="dxa"/>
            <w:vAlign w:val="bottom"/>
          </w:tcPr>
          <w:p>
            <w:pPr>
              <w:spacing w:after="0"/>
              <w:rPr>
                <w:sz w:val="11"/>
                <w:szCs w:val="11"/>
                <w:color w:val="auto"/>
              </w:rPr>
            </w:pPr>
          </w:p>
        </w:tc>
        <w:tc>
          <w:tcPr>
            <w:tcW w:w="980" w:type="dxa"/>
            <w:vAlign w:val="bottom"/>
          </w:tcPr>
          <w:p>
            <w:pPr>
              <w:jc w:val="center"/>
              <w:ind w:right="476"/>
              <w:spacing w:after="0" w:line="135" w:lineRule="exact"/>
              <w:rPr>
                <w:sz w:val="20"/>
                <w:szCs w:val="20"/>
                <w:color w:val="auto"/>
              </w:rPr>
            </w:pPr>
            <w:r>
              <w:rPr>
                <w:rFonts w:ascii="Arial" w:cs="Arial" w:eastAsia="Arial" w:hAnsi="Arial"/>
                <w:sz w:val="12"/>
                <w:szCs w:val="12"/>
                <w:color w:val="auto"/>
                <w:w w:val="94"/>
              </w:rPr>
              <w:t>-26.3%</w:t>
            </w:r>
          </w:p>
        </w:tc>
        <w:tc>
          <w:tcPr>
            <w:tcW w:w="760" w:type="dxa"/>
            <w:vAlign w:val="bottom"/>
            <w:tcBorders>
              <w:right w:val="single" w:sz="8" w:color="auto"/>
            </w:tcBorders>
          </w:tcPr>
          <w:p>
            <w:pPr>
              <w:jc w:val="right"/>
              <w:ind w:right="256"/>
              <w:spacing w:after="0" w:line="135" w:lineRule="exact"/>
              <w:rPr>
                <w:sz w:val="20"/>
                <w:szCs w:val="20"/>
                <w:color w:val="auto"/>
              </w:rPr>
            </w:pPr>
            <w:r>
              <w:rPr>
                <w:rFonts w:ascii="Arial" w:cs="Arial" w:eastAsia="Arial" w:hAnsi="Arial"/>
                <w:sz w:val="12"/>
                <w:szCs w:val="12"/>
                <w:color w:val="auto"/>
              </w:rPr>
              <w:t>-53.9%</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0" w:type="dxa"/>
            <w:vAlign w:val="bottom"/>
            <w:tcBorders>
              <w:right w:val="single" w:sz="8" w:color="auto"/>
            </w:tcBorders>
          </w:tcPr>
          <w:p>
            <w:pPr>
              <w:spacing w:after="0"/>
              <w:rPr>
                <w:sz w:val="11"/>
                <w:szCs w:val="11"/>
                <w:color w:val="auto"/>
              </w:rPr>
            </w:pPr>
          </w:p>
        </w:tc>
        <w:tc>
          <w:tcPr>
            <w:tcW w:w="3700" w:type="dxa"/>
            <w:vAlign w:val="bottom"/>
          </w:tcPr>
          <w:p>
            <w:pPr>
              <w:ind w:left="300"/>
              <w:spacing w:after="0" w:line="133" w:lineRule="exact"/>
              <w:rPr>
                <w:sz w:val="20"/>
                <w:szCs w:val="20"/>
                <w:color w:val="auto"/>
              </w:rPr>
            </w:pPr>
            <w:r>
              <w:rPr>
                <w:rFonts w:ascii="Arial" w:cs="Arial" w:eastAsia="Arial" w:hAnsi="Arial"/>
                <w:sz w:val="12"/>
                <w:szCs w:val="12"/>
                <w:color w:val="auto"/>
              </w:rPr>
              <w:t>Other liabilities</w:t>
            </w:r>
          </w:p>
        </w:tc>
        <w:tc>
          <w:tcPr>
            <w:tcW w:w="11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ind w:right="356"/>
              <w:spacing w:after="0" w:line="133" w:lineRule="exact"/>
              <w:rPr>
                <w:sz w:val="20"/>
                <w:szCs w:val="20"/>
                <w:color w:val="auto"/>
              </w:rPr>
            </w:pPr>
            <w:r>
              <w:rPr>
                <w:rFonts w:ascii="Arial" w:cs="Arial" w:eastAsia="Arial" w:hAnsi="Arial"/>
                <w:sz w:val="12"/>
                <w:szCs w:val="12"/>
                <w:color w:val="auto"/>
                <w:w w:val="96"/>
              </w:rPr>
              <w:t>333,846</w:t>
            </w:r>
          </w:p>
        </w:tc>
        <w:tc>
          <w:tcPr>
            <w:tcW w:w="1000" w:type="dxa"/>
            <w:vAlign w:val="bottom"/>
          </w:tcPr>
          <w:p>
            <w:pPr>
              <w:jc w:val="center"/>
              <w:ind w:right="236"/>
              <w:spacing w:after="0" w:line="133" w:lineRule="exact"/>
              <w:rPr>
                <w:sz w:val="20"/>
                <w:szCs w:val="20"/>
                <w:color w:val="auto"/>
              </w:rPr>
            </w:pPr>
            <w:r>
              <w:rPr>
                <w:rFonts w:ascii="Arial" w:cs="Arial" w:eastAsia="Arial" w:hAnsi="Arial"/>
                <w:sz w:val="12"/>
                <w:szCs w:val="12"/>
                <w:color w:val="auto"/>
                <w:w w:val="96"/>
              </w:rPr>
              <w:t>178,674</w:t>
            </w:r>
          </w:p>
        </w:tc>
        <w:tc>
          <w:tcPr>
            <w:tcW w:w="880" w:type="dxa"/>
            <w:vAlign w:val="bottom"/>
            <w:tcBorders>
              <w:right w:val="single" w:sz="8" w:color="auto"/>
            </w:tcBorders>
            <w:gridSpan w:val="2"/>
          </w:tcPr>
          <w:p>
            <w:pPr>
              <w:jc w:val="center"/>
              <w:ind w:right="95"/>
              <w:spacing w:after="0" w:line="133" w:lineRule="exact"/>
              <w:rPr>
                <w:sz w:val="20"/>
                <w:szCs w:val="20"/>
                <w:color w:val="auto"/>
              </w:rPr>
            </w:pPr>
            <w:r>
              <w:rPr>
                <w:rFonts w:ascii="Arial" w:cs="Arial" w:eastAsia="Arial" w:hAnsi="Arial"/>
                <w:sz w:val="12"/>
                <w:szCs w:val="12"/>
                <w:color w:val="auto"/>
              </w:rPr>
              <w:t>265,049</w:t>
            </w:r>
          </w:p>
        </w:tc>
        <w:tc>
          <w:tcPr>
            <w:tcW w:w="280" w:type="dxa"/>
            <w:vAlign w:val="bottom"/>
          </w:tcPr>
          <w:p>
            <w:pPr>
              <w:spacing w:after="0"/>
              <w:rPr>
                <w:sz w:val="11"/>
                <w:szCs w:val="11"/>
                <w:color w:val="auto"/>
              </w:rPr>
            </w:pPr>
          </w:p>
        </w:tc>
        <w:tc>
          <w:tcPr>
            <w:tcW w:w="980" w:type="dxa"/>
            <w:vAlign w:val="bottom"/>
          </w:tcPr>
          <w:p>
            <w:pPr>
              <w:jc w:val="center"/>
              <w:ind w:right="476"/>
              <w:spacing w:after="0" w:line="133" w:lineRule="exact"/>
              <w:rPr>
                <w:sz w:val="20"/>
                <w:szCs w:val="20"/>
                <w:color w:val="auto"/>
              </w:rPr>
            </w:pPr>
            <w:r>
              <w:rPr>
                <w:rFonts w:ascii="Arial" w:cs="Arial" w:eastAsia="Arial" w:hAnsi="Arial"/>
                <w:sz w:val="12"/>
                <w:szCs w:val="12"/>
                <w:color w:val="auto"/>
                <w:w w:val="93"/>
              </w:rPr>
              <w:t>48.3%</w:t>
            </w:r>
          </w:p>
        </w:tc>
        <w:tc>
          <w:tcPr>
            <w:tcW w:w="760" w:type="dxa"/>
            <w:vAlign w:val="bottom"/>
            <w:tcBorders>
              <w:right w:val="single" w:sz="8" w:color="auto"/>
            </w:tcBorders>
          </w:tcPr>
          <w:p>
            <w:pPr>
              <w:jc w:val="right"/>
              <w:ind w:right="256"/>
              <w:spacing w:after="0" w:line="133" w:lineRule="exact"/>
              <w:rPr>
                <w:sz w:val="20"/>
                <w:szCs w:val="20"/>
                <w:color w:val="auto"/>
              </w:rPr>
            </w:pPr>
            <w:r>
              <w:rPr>
                <w:rFonts w:ascii="Arial" w:cs="Arial" w:eastAsia="Arial" w:hAnsi="Arial"/>
                <w:sz w:val="12"/>
                <w:szCs w:val="12"/>
                <w:color w:val="auto"/>
              </w:rPr>
              <w:t>-20.6%</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20" w:type="dxa"/>
            <w:vAlign w:val="bottom"/>
            <w:tcBorders>
              <w:right w:val="single" w:sz="8" w:color="auto"/>
            </w:tcBorders>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2"/>
                <w:szCs w:val="12"/>
                <w:b w:val="1"/>
                <w:bCs w:val="1"/>
                <w:color w:val="auto"/>
              </w:rPr>
              <w:t>Total Liabilities</w:t>
            </w:r>
          </w:p>
        </w:tc>
        <w:tc>
          <w:tcPr>
            <w:tcW w:w="118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center"/>
              <w:ind w:right="356"/>
              <w:spacing w:after="0"/>
              <w:rPr>
                <w:sz w:val="20"/>
                <w:szCs w:val="20"/>
                <w:color w:val="auto"/>
              </w:rPr>
            </w:pPr>
            <w:r>
              <w:rPr>
                <w:rFonts w:ascii="Arial" w:cs="Arial" w:eastAsia="Arial" w:hAnsi="Arial"/>
                <w:sz w:val="12"/>
                <w:szCs w:val="12"/>
                <w:b w:val="1"/>
                <w:bCs w:val="1"/>
                <w:color w:val="auto"/>
                <w:w w:val="96"/>
              </w:rPr>
              <w:t>339,806</w:t>
            </w:r>
          </w:p>
        </w:tc>
        <w:tc>
          <w:tcPr>
            <w:tcW w:w="1000" w:type="dxa"/>
            <w:vAlign w:val="bottom"/>
          </w:tcPr>
          <w:p>
            <w:pPr>
              <w:jc w:val="center"/>
              <w:ind w:right="236"/>
              <w:spacing w:after="0"/>
              <w:rPr>
                <w:sz w:val="20"/>
                <w:szCs w:val="20"/>
                <w:color w:val="auto"/>
              </w:rPr>
            </w:pPr>
            <w:r>
              <w:rPr>
                <w:rFonts w:ascii="Arial" w:cs="Arial" w:eastAsia="Arial" w:hAnsi="Arial"/>
                <w:sz w:val="12"/>
                <w:szCs w:val="12"/>
                <w:b w:val="1"/>
                <w:bCs w:val="1"/>
                <w:color w:val="auto"/>
                <w:w w:val="96"/>
              </w:rPr>
              <w:t>182,419</w:t>
            </w:r>
          </w:p>
        </w:tc>
        <w:tc>
          <w:tcPr>
            <w:tcW w:w="880" w:type="dxa"/>
            <w:vAlign w:val="bottom"/>
            <w:tcBorders>
              <w:right w:val="single" w:sz="8" w:color="auto"/>
            </w:tcBorders>
            <w:gridSpan w:val="2"/>
          </w:tcPr>
          <w:p>
            <w:pPr>
              <w:jc w:val="center"/>
              <w:ind w:right="95"/>
              <w:spacing w:after="0"/>
              <w:rPr>
                <w:sz w:val="20"/>
                <w:szCs w:val="20"/>
                <w:color w:val="auto"/>
              </w:rPr>
            </w:pPr>
            <w:r>
              <w:rPr>
                <w:rFonts w:ascii="Arial" w:cs="Arial" w:eastAsia="Arial" w:hAnsi="Arial"/>
                <w:sz w:val="12"/>
                <w:szCs w:val="12"/>
                <w:b w:val="1"/>
                <w:bCs w:val="1"/>
                <w:color w:val="auto"/>
              </w:rPr>
              <w:t>267,823</w:t>
            </w:r>
          </w:p>
        </w:tc>
        <w:tc>
          <w:tcPr>
            <w:tcW w:w="280" w:type="dxa"/>
            <w:vAlign w:val="bottom"/>
          </w:tcPr>
          <w:p>
            <w:pPr>
              <w:spacing w:after="0"/>
              <w:rPr>
                <w:sz w:val="13"/>
                <w:szCs w:val="13"/>
                <w:color w:val="auto"/>
              </w:rPr>
            </w:pPr>
          </w:p>
        </w:tc>
        <w:tc>
          <w:tcPr>
            <w:tcW w:w="980" w:type="dxa"/>
            <w:vAlign w:val="bottom"/>
          </w:tcPr>
          <w:p>
            <w:pPr>
              <w:jc w:val="center"/>
              <w:ind w:right="496"/>
              <w:spacing w:after="0"/>
              <w:rPr>
                <w:sz w:val="20"/>
                <w:szCs w:val="20"/>
                <w:color w:val="auto"/>
              </w:rPr>
            </w:pPr>
            <w:r>
              <w:rPr>
                <w:rFonts w:ascii="Arial" w:cs="Arial" w:eastAsia="Arial" w:hAnsi="Arial"/>
                <w:sz w:val="12"/>
                <w:szCs w:val="12"/>
                <w:b w:val="1"/>
                <w:bCs w:val="1"/>
                <w:color w:val="auto"/>
                <w:w w:val="99"/>
              </w:rPr>
              <w:t>46.8%</w:t>
            </w:r>
          </w:p>
        </w:tc>
        <w:tc>
          <w:tcPr>
            <w:tcW w:w="760" w:type="dxa"/>
            <w:vAlign w:val="bottom"/>
            <w:tcBorders>
              <w:right w:val="single" w:sz="8" w:color="auto"/>
            </w:tcBorders>
          </w:tcPr>
          <w:p>
            <w:pPr>
              <w:jc w:val="right"/>
              <w:ind w:right="276"/>
              <w:spacing w:after="0"/>
              <w:rPr>
                <w:sz w:val="20"/>
                <w:szCs w:val="20"/>
                <w:color w:val="auto"/>
              </w:rPr>
            </w:pPr>
            <w:r>
              <w:rPr>
                <w:rFonts w:ascii="Arial" w:cs="Arial" w:eastAsia="Arial" w:hAnsi="Arial"/>
                <w:sz w:val="12"/>
                <w:szCs w:val="12"/>
                <w:b w:val="1"/>
                <w:bCs w:val="1"/>
                <w:color w:val="auto"/>
              </w:rPr>
              <w:t>-21.2%</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20" w:type="dxa"/>
            <w:vAlign w:val="bottom"/>
            <w:tcBorders>
              <w:right w:val="single" w:sz="8" w:color="auto"/>
            </w:tcBorders>
          </w:tcPr>
          <w:p>
            <w:pPr>
              <w:spacing w:after="0"/>
              <w:rPr>
                <w:sz w:val="16"/>
                <w:szCs w:val="16"/>
                <w:color w:val="auto"/>
              </w:rPr>
            </w:pPr>
          </w:p>
        </w:tc>
        <w:tc>
          <w:tcPr>
            <w:tcW w:w="3700" w:type="dxa"/>
            <w:vAlign w:val="bottom"/>
          </w:tcPr>
          <w:p>
            <w:pPr>
              <w:ind w:left="300"/>
              <w:spacing w:after="0"/>
              <w:rPr>
                <w:sz w:val="20"/>
                <w:szCs w:val="20"/>
                <w:color w:val="auto"/>
              </w:rPr>
            </w:pPr>
            <w:r>
              <w:rPr>
                <w:rFonts w:ascii="Arial" w:cs="Arial" w:eastAsia="Arial" w:hAnsi="Arial"/>
                <w:sz w:val="12"/>
                <w:szCs w:val="12"/>
                <w:color w:val="auto"/>
              </w:rPr>
              <w:t>Capital stock</w:t>
            </w:r>
          </w:p>
        </w:tc>
        <w:tc>
          <w:tcPr>
            <w:tcW w:w="118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ind w:right="376"/>
              <w:spacing w:after="0"/>
              <w:rPr>
                <w:sz w:val="20"/>
                <w:szCs w:val="20"/>
                <w:color w:val="auto"/>
              </w:rPr>
            </w:pPr>
            <w:r>
              <w:rPr>
                <w:rFonts w:ascii="Arial" w:cs="Arial" w:eastAsia="Arial" w:hAnsi="Arial"/>
                <w:sz w:val="12"/>
                <w:szCs w:val="12"/>
                <w:color w:val="auto"/>
                <w:w w:val="97"/>
              </w:rPr>
              <w:t>40,505</w:t>
            </w:r>
          </w:p>
        </w:tc>
        <w:tc>
          <w:tcPr>
            <w:tcW w:w="1000" w:type="dxa"/>
            <w:vAlign w:val="bottom"/>
          </w:tcPr>
          <w:p>
            <w:pPr>
              <w:jc w:val="center"/>
              <w:ind w:right="256"/>
              <w:spacing w:after="0"/>
              <w:rPr>
                <w:sz w:val="20"/>
                <w:szCs w:val="20"/>
                <w:color w:val="auto"/>
              </w:rPr>
            </w:pPr>
            <w:r>
              <w:rPr>
                <w:rFonts w:ascii="Arial" w:cs="Arial" w:eastAsia="Arial" w:hAnsi="Arial"/>
                <w:sz w:val="12"/>
                <w:szCs w:val="12"/>
                <w:color w:val="auto"/>
                <w:w w:val="97"/>
              </w:rPr>
              <w:t>40,505</w:t>
            </w:r>
          </w:p>
        </w:tc>
        <w:tc>
          <w:tcPr>
            <w:tcW w:w="880" w:type="dxa"/>
            <w:vAlign w:val="bottom"/>
            <w:tcBorders>
              <w:right w:val="single" w:sz="8" w:color="auto"/>
            </w:tcBorders>
            <w:gridSpan w:val="2"/>
          </w:tcPr>
          <w:p>
            <w:pPr>
              <w:jc w:val="center"/>
              <w:ind w:right="95"/>
              <w:spacing w:after="0"/>
              <w:rPr>
                <w:sz w:val="20"/>
                <w:szCs w:val="20"/>
                <w:color w:val="auto"/>
              </w:rPr>
            </w:pPr>
            <w:r>
              <w:rPr>
                <w:rFonts w:ascii="Arial" w:cs="Arial" w:eastAsia="Arial" w:hAnsi="Arial"/>
                <w:sz w:val="12"/>
                <w:szCs w:val="12"/>
                <w:color w:val="auto"/>
                <w:w w:val="97"/>
              </w:rPr>
              <w:t>40,505</w:t>
            </w:r>
          </w:p>
        </w:tc>
        <w:tc>
          <w:tcPr>
            <w:tcW w:w="280" w:type="dxa"/>
            <w:vAlign w:val="bottom"/>
          </w:tcPr>
          <w:p>
            <w:pPr>
              <w:spacing w:after="0"/>
              <w:rPr>
                <w:sz w:val="16"/>
                <w:szCs w:val="16"/>
                <w:color w:val="auto"/>
              </w:rPr>
            </w:pPr>
          </w:p>
        </w:tc>
        <w:tc>
          <w:tcPr>
            <w:tcW w:w="980" w:type="dxa"/>
            <w:vAlign w:val="bottom"/>
          </w:tcPr>
          <w:p>
            <w:pPr>
              <w:jc w:val="right"/>
              <w:ind w:right="576"/>
              <w:spacing w:after="0"/>
              <w:rPr>
                <w:sz w:val="20"/>
                <w:szCs w:val="20"/>
                <w:color w:val="auto"/>
              </w:rPr>
            </w:pPr>
            <w:r>
              <w:rPr>
                <w:rFonts w:ascii="Arial" w:cs="Arial" w:eastAsia="Arial" w:hAnsi="Arial"/>
                <w:sz w:val="12"/>
                <w:szCs w:val="12"/>
                <w:color w:val="auto"/>
              </w:rPr>
              <w:t>0.0%</w:t>
            </w:r>
          </w:p>
        </w:tc>
        <w:tc>
          <w:tcPr>
            <w:tcW w:w="760" w:type="dxa"/>
            <w:vAlign w:val="bottom"/>
            <w:tcBorders>
              <w:right w:val="single" w:sz="8" w:color="auto"/>
            </w:tcBorders>
          </w:tcPr>
          <w:p>
            <w:pPr>
              <w:jc w:val="center"/>
              <w:ind w:right="196"/>
              <w:spacing w:after="0"/>
              <w:rPr>
                <w:sz w:val="20"/>
                <w:szCs w:val="20"/>
                <w:color w:val="auto"/>
              </w:rPr>
            </w:pPr>
            <w:r>
              <w:rPr>
                <w:rFonts w:ascii="Arial" w:cs="Arial" w:eastAsia="Arial" w:hAnsi="Arial"/>
                <w:sz w:val="12"/>
                <w:szCs w:val="12"/>
                <w:color w:val="auto"/>
                <w:w w:val="94"/>
              </w:rPr>
              <w:t>0.0%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0" w:type="dxa"/>
            <w:vAlign w:val="bottom"/>
            <w:tcBorders>
              <w:right w:val="single" w:sz="8" w:color="auto"/>
            </w:tcBorders>
          </w:tcPr>
          <w:p>
            <w:pPr>
              <w:spacing w:after="0"/>
              <w:rPr>
                <w:sz w:val="11"/>
                <w:szCs w:val="11"/>
                <w:color w:val="auto"/>
              </w:rPr>
            </w:pPr>
          </w:p>
        </w:tc>
        <w:tc>
          <w:tcPr>
            <w:tcW w:w="3700" w:type="dxa"/>
            <w:vAlign w:val="bottom"/>
          </w:tcPr>
          <w:p>
            <w:pPr>
              <w:ind w:left="300"/>
              <w:spacing w:after="0" w:line="135" w:lineRule="exact"/>
              <w:rPr>
                <w:sz w:val="20"/>
                <w:szCs w:val="20"/>
                <w:color w:val="auto"/>
              </w:rPr>
            </w:pPr>
            <w:r>
              <w:rPr>
                <w:rFonts w:ascii="Arial" w:cs="Arial" w:eastAsia="Arial" w:hAnsi="Arial"/>
                <w:sz w:val="12"/>
                <w:szCs w:val="12"/>
                <w:color w:val="auto"/>
              </w:rPr>
              <w:t>Reserves</w:t>
            </w:r>
          </w:p>
        </w:tc>
        <w:tc>
          <w:tcPr>
            <w:tcW w:w="11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ind w:right="376"/>
              <w:spacing w:after="0" w:line="135" w:lineRule="exact"/>
              <w:rPr>
                <w:sz w:val="20"/>
                <w:szCs w:val="20"/>
                <w:color w:val="auto"/>
              </w:rPr>
            </w:pPr>
            <w:r>
              <w:rPr>
                <w:rFonts w:ascii="Arial" w:cs="Arial" w:eastAsia="Arial" w:hAnsi="Arial"/>
                <w:sz w:val="12"/>
                <w:szCs w:val="12"/>
                <w:color w:val="auto"/>
                <w:w w:val="97"/>
              </w:rPr>
              <w:t>20,243</w:t>
            </w:r>
          </w:p>
        </w:tc>
        <w:tc>
          <w:tcPr>
            <w:tcW w:w="1000" w:type="dxa"/>
            <w:vAlign w:val="bottom"/>
          </w:tcPr>
          <w:p>
            <w:pPr>
              <w:jc w:val="center"/>
              <w:ind w:right="256"/>
              <w:spacing w:after="0" w:line="135" w:lineRule="exact"/>
              <w:rPr>
                <w:sz w:val="20"/>
                <w:szCs w:val="20"/>
                <w:color w:val="auto"/>
              </w:rPr>
            </w:pPr>
            <w:r>
              <w:rPr>
                <w:rFonts w:ascii="Arial" w:cs="Arial" w:eastAsia="Arial" w:hAnsi="Arial"/>
                <w:sz w:val="12"/>
                <w:szCs w:val="12"/>
                <w:color w:val="auto"/>
                <w:w w:val="97"/>
              </w:rPr>
              <w:t>20,243</w:t>
            </w:r>
          </w:p>
        </w:tc>
        <w:tc>
          <w:tcPr>
            <w:tcW w:w="880" w:type="dxa"/>
            <w:vAlign w:val="bottom"/>
            <w:tcBorders>
              <w:right w:val="single" w:sz="8" w:color="auto"/>
            </w:tcBorders>
            <w:gridSpan w:val="2"/>
          </w:tcPr>
          <w:p>
            <w:pPr>
              <w:jc w:val="center"/>
              <w:ind w:right="95"/>
              <w:spacing w:after="0" w:line="135" w:lineRule="exact"/>
              <w:rPr>
                <w:sz w:val="20"/>
                <w:szCs w:val="20"/>
                <w:color w:val="auto"/>
              </w:rPr>
            </w:pPr>
            <w:r>
              <w:rPr>
                <w:rFonts w:ascii="Arial" w:cs="Arial" w:eastAsia="Arial" w:hAnsi="Arial"/>
                <w:sz w:val="12"/>
                <w:szCs w:val="12"/>
                <w:color w:val="auto"/>
                <w:w w:val="97"/>
              </w:rPr>
              <w:t>20,243</w:t>
            </w:r>
          </w:p>
        </w:tc>
        <w:tc>
          <w:tcPr>
            <w:tcW w:w="280" w:type="dxa"/>
            <w:vAlign w:val="bottom"/>
          </w:tcPr>
          <w:p>
            <w:pPr>
              <w:spacing w:after="0"/>
              <w:rPr>
                <w:sz w:val="11"/>
                <w:szCs w:val="11"/>
                <w:color w:val="auto"/>
              </w:rPr>
            </w:pPr>
          </w:p>
        </w:tc>
        <w:tc>
          <w:tcPr>
            <w:tcW w:w="980" w:type="dxa"/>
            <w:vAlign w:val="bottom"/>
          </w:tcPr>
          <w:p>
            <w:pPr>
              <w:jc w:val="right"/>
              <w:ind w:right="576"/>
              <w:spacing w:after="0" w:line="135" w:lineRule="exact"/>
              <w:rPr>
                <w:sz w:val="20"/>
                <w:szCs w:val="20"/>
                <w:color w:val="auto"/>
              </w:rPr>
            </w:pPr>
            <w:r>
              <w:rPr>
                <w:rFonts w:ascii="Arial" w:cs="Arial" w:eastAsia="Arial" w:hAnsi="Arial"/>
                <w:sz w:val="12"/>
                <w:szCs w:val="12"/>
                <w:color w:val="auto"/>
              </w:rPr>
              <w:t>0.0%</w:t>
            </w:r>
          </w:p>
        </w:tc>
        <w:tc>
          <w:tcPr>
            <w:tcW w:w="760" w:type="dxa"/>
            <w:vAlign w:val="bottom"/>
            <w:tcBorders>
              <w:right w:val="single" w:sz="8" w:color="auto"/>
            </w:tcBorders>
          </w:tcPr>
          <w:p>
            <w:pPr>
              <w:jc w:val="center"/>
              <w:ind w:right="196"/>
              <w:spacing w:after="0" w:line="135" w:lineRule="exact"/>
              <w:rPr>
                <w:sz w:val="20"/>
                <w:szCs w:val="20"/>
                <w:color w:val="auto"/>
              </w:rPr>
            </w:pPr>
            <w:r>
              <w:rPr>
                <w:rFonts w:ascii="Arial" w:cs="Arial" w:eastAsia="Arial" w:hAnsi="Arial"/>
                <w:sz w:val="12"/>
                <w:szCs w:val="12"/>
                <w:color w:val="auto"/>
                <w:w w:val="94"/>
              </w:rPr>
              <w:t>0.0%</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20" w:type="dxa"/>
            <w:vAlign w:val="bottom"/>
            <w:tcBorders>
              <w:right w:val="single" w:sz="8" w:color="auto"/>
            </w:tcBorders>
          </w:tcPr>
          <w:p>
            <w:pPr>
              <w:spacing w:after="0"/>
              <w:rPr>
                <w:sz w:val="13"/>
                <w:szCs w:val="13"/>
                <w:color w:val="auto"/>
              </w:rPr>
            </w:pPr>
          </w:p>
        </w:tc>
        <w:tc>
          <w:tcPr>
            <w:tcW w:w="3700" w:type="dxa"/>
            <w:vAlign w:val="bottom"/>
          </w:tcPr>
          <w:p>
            <w:pPr>
              <w:ind w:left="300"/>
              <w:spacing w:after="0"/>
              <w:rPr>
                <w:sz w:val="20"/>
                <w:szCs w:val="20"/>
                <w:color w:val="auto"/>
              </w:rPr>
            </w:pPr>
            <w:r>
              <w:rPr>
                <w:rFonts w:ascii="Arial" w:cs="Arial" w:eastAsia="Arial" w:hAnsi="Arial"/>
                <w:sz w:val="12"/>
                <w:szCs w:val="12"/>
                <w:color w:val="auto"/>
              </w:rPr>
              <w:t>Other reserves</w:t>
            </w:r>
          </w:p>
        </w:tc>
        <w:tc>
          <w:tcPr>
            <w:tcW w:w="118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center"/>
              <w:ind w:right="376"/>
              <w:spacing w:after="0"/>
              <w:rPr>
                <w:sz w:val="20"/>
                <w:szCs w:val="20"/>
                <w:color w:val="auto"/>
              </w:rPr>
            </w:pPr>
            <w:r>
              <w:rPr>
                <w:rFonts w:ascii="Arial" w:cs="Arial" w:eastAsia="Arial" w:hAnsi="Arial"/>
                <w:sz w:val="12"/>
                <w:szCs w:val="12"/>
                <w:color w:val="auto"/>
                <w:w w:val="99"/>
              </w:rPr>
              <w:t>297</w:t>
            </w:r>
          </w:p>
        </w:tc>
        <w:tc>
          <w:tcPr>
            <w:tcW w:w="1000" w:type="dxa"/>
            <w:vAlign w:val="bottom"/>
          </w:tcPr>
          <w:p>
            <w:pPr>
              <w:jc w:val="center"/>
              <w:ind w:right="256"/>
              <w:spacing w:after="0"/>
              <w:rPr>
                <w:sz w:val="20"/>
                <w:szCs w:val="20"/>
                <w:color w:val="auto"/>
              </w:rPr>
            </w:pPr>
            <w:r>
              <w:rPr>
                <w:rFonts w:ascii="Arial" w:cs="Arial" w:eastAsia="Arial" w:hAnsi="Arial"/>
                <w:sz w:val="12"/>
                <w:szCs w:val="12"/>
                <w:color w:val="auto"/>
                <w:w w:val="99"/>
              </w:rPr>
              <w:t>459</w:t>
            </w:r>
          </w:p>
        </w:tc>
        <w:tc>
          <w:tcPr>
            <w:tcW w:w="880" w:type="dxa"/>
            <w:vAlign w:val="bottom"/>
            <w:tcBorders>
              <w:right w:val="single" w:sz="8" w:color="auto"/>
            </w:tcBorders>
            <w:gridSpan w:val="2"/>
          </w:tcPr>
          <w:p>
            <w:pPr>
              <w:jc w:val="center"/>
              <w:ind w:right="95"/>
              <w:spacing w:after="0"/>
              <w:rPr>
                <w:sz w:val="20"/>
                <w:szCs w:val="20"/>
                <w:color w:val="auto"/>
              </w:rPr>
            </w:pPr>
            <w:r>
              <w:rPr>
                <w:rFonts w:ascii="Arial" w:cs="Arial" w:eastAsia="Arial" w:hAnsi="Arial"/>
                <w:sz w:val="12"/>
                <w:szCs w:val="12"/>
                <w:color w:val="auto"/>
                <w:w w:val="99"/>
              </w:rPr>
              <w:t>445</w:t>
            </w:r>
          </w:p>
        </w:tc>
        <w:tc>
          <w:tcPr>
            <w:tcW w:w="280" w:type="dxa"/>
            <w:vAlign w:val="bottom"/>
          </w:tcPr>
          <w:p>
            <w:pPr>
              <w:spacing w:after="0"/>
              <w:rPr>
                <w:sz w:val="13"/>
                <w:szCs w:val="13"/>
                <w:color w:val="auto"/>
              </w:rPr>
            </w:pPr>
          </w:p>
        </w:tc>
        <w:tc>
          <w:tcPr>
            <w:tcW w:w="980" w:type="dxa"/>
            <w:vAlign w:val="bottom"/>
          </w:tcPr>
          <w:p>
            <w:pPr>
              <w:jc w:val="center"/>
              <w:ind w:right="496"/>
              <w:spacing w:after="0"/>
              <w:rPr>
                <w:sz w:val="20"/>
                <w:szCs w:val="20"/>
                <w:color w:val="auto"/>
              </w:rPr>
            </w:pPr>
            <w:r>
              <w:rPr>
                <w:rFonts w:ascii="Arial" w:cs="Arial" w:eastAsia="Arial" w:hAnsi="Arial"/>
                <w:sz w:val="12"/>
                <w:szCs w:val="12"/>
                <w:color w:val="auto"/>
                <w:w w:val="95"/>
              </w:rPr>
              <w:t>-3.1%</w:t>
            </w:r>
          </w:p>
        </w:tc>
        <w:tc>
          <w:tcPr>
            <w:tcW w:w="760" w:type="dxa"/>
            <w:vAlign w:val="bottom"/>
            <w:tcBorders>
              <w:right w:val="single" w:sz="8" w:color="auto"/>
            </w:tcBorders>
          </w:tcPr>
          <w:p>
            <w:pPr>
              <w:jc w:val="right"/>
              <w:ind w:right="276"/>
              <w:spacing w:after="0"/>
              <w:rPr>
                <w:sz w:val="20"/>
                <w:szCs w:val="20"/>
                <w:color w:val="auto"/>
              </w:rPr>
            </w:pPr>
            <w:r>
              <w:rPr>
                <w:rFonts w:ascii="Arial" w:cs="Arial" w:eastAsia="Arial" w:hAnsi="Arial"/>
                <w:sz w:val="12"/>
                <w:szCs w:val="12"/>
                <w:color w:val="auto"/>
              </w:rPr>
              <w:t>49.8%</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20" w:type="dxa"/>
            <w:vAlign w:val="bottom"/>
            <w:tcBorders>
              <w:right w:val="single" w:sz="8" w:color="auto"/>
            </w:tcBorders>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2"/>
                <w:szCs w:val="12"/>
                <w:color w:val="auto"/>
              </w:rPr>
              <w:t>Retained earnings</w:t>
            </w:r>
          </w:p>
        </w:tc>
        <w:tc>
          <w:tcPr>
            <w:tcW w:w="118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ind w:right="376"/>
              <w:spacing w:after="0"/>
              <w:rPr>
                <w:sz w:val="20"/>
                <w:szCs w:val="20"/>
                <w:color w:val="auto"/>
              </w:rPr>
            </w:pPr>
            <w:r>
              <w:rPr>
                <w:rFonts w:ascii="Arial" w:cs="Arial" w:eastAsia="Arial" w:hAnsi="Arial"/>
                <w:sz w:val="12"/>
                <w:szCs w:val="12"/>
                <w:color w:val="auto"/>
              </w:rPr>
              <w:t>344,509</w:t>
            </w:r>
          </w:p>
        </w:tc>
        <w:tc>
          <w:tcPr>
            <w:tcW w:w="1000" w:type="dxa"/>
            <w:vAlign w:val="bottom"/>
          </w:tcPr>
          <w:p>
            <w:pPr>
              <w:jc w:val="center"/>
              <w:ind w:right="256"/>
              <w:spacing w:after="0"/>
              <w:rPr>
                <w:sz w:val="20"/>
                <w:szCs w:val="20"/>
                <w:color w:val="auto"/>
              </w:rPr>
            </w:pPr>
            <w:r>
              <w:rPr>
                <w:rFonts w:ascii="Arial" w:cs="Arial" w:eastAsia="Arial" w:hAnsi="Arial"/>
                <w:sz w:val="12"/>
                <w:szCs w:val="12"/>
                <w:color w:val="auto"/>
              </w:rPr>
              <w:t>281,419</w:t>
            </w:r>
          </w:p>
        </w:tc>
        <w:tc>
          <w:tcPr>
            <w:tcW w:w="880" w:type="dxa"/>
            <w:vAlign w:val="bottom"/>
            <w:tcBorders>
              <w:right w:val="single" w:sz="8" w:color="auto"/>
            </w:tcBorders>
            <w:gridSpan w:val="2"/>
          </w:tcPr>
          <w:p>
            <w:pPr>
              <w:jc w:val="center"/>
              <w:ind w:right="115"/>
              <w:spacing w:after="0"/>
              <w:rPr>
                <w:sz w:val="20"/>
                <w:szCs w:val="20"/>
                <w:color w:val="auto"/>
              </w:rPr>
            </w:pPr>
            <w:r>
              <w:rPr>
                <w:rFonts w:ascii="Arial" w:cs="Arial" w:eastAsia="Arial" w:hAnsi="Arial"/>
                <w:sz w:val="12"/>
                <w:szCs w:val="12"/>
                <w:color w:val="auto"/>
                <w:w w:val="96"/>
              </w:rPr>
              <w:t>304,310</w:t>
            </w:r>
          </w:p>
        </w:tc>
        <w:tc>
          <w:tcPr>
            <w:tcW w:w="280" w:type="dxa"/>
            <w:vAlign w:val="bottom"/>
          </w:tcPr>
          <w:p>
            <w:pPr>
              <w:spacing w:after="0"/>
              <w:rPr>
                <w:sz w:val="17"/>
                <w:szCs w:val="17"/>
                <w:color w:val="auto"/>
              </w:rPr>
            </w:pPr>
          </w:p>
        </w:tc>
        <w:tc>
          <w:tcPr>
            <w:tcW w:w="980" w:type="dxa"/>
            <w:vAlign w:val="bottom"/>
          </w:tcPr>
          <w:p>
            <w:pPr>
              <w:jc w:val="right"/>
              <w:ind w:right="576"/>
              <w:spacing w:after="0"/>
              <w:rPr>
                <w:sz w:val="20"/>
                <w:szCs w:val="20"/>
                <w:color w:val="auto"/>
              </w:rPr>
            </w:pPr>
            <w:r>
              <w:rPr>
                <w:rFonts w:ascii="Arial" w:cs="Arial" w:eastAsia="Arial" w:hAnsi="Arial"/>
                <w:sz w:val="12"/>
                <w:szCs w:val="12"/>
                <w:color w:val="auto"/>
              </w:rPr>
              <w:t>8.1%</w:t>
            </w:r>
          </w:p>
        </w:tc>
        <w:tc>
          <w:tcPr>
            <w:tcW w:w="760" w:type="dxa"/>
            <w:vAlign w:val="bottom"/>
            <w:tcBorders>
              <w:right w:val="single" w:sz="8" w:color="auto"/>
            </w:tcBorders>
          </w:tcPr>
          <w:p>
            <w:pPr>
              <w:jc w:val="right"/>
              <w:ind w:right="276"/>
              <w:spacing w:after="0"/>
              <w:rPr>
                <w:sz w:val="20"/>
                <w:szCs w:val="20"/>
                <w:color w:val="auto"/>
              </w:rPr>
            </w:pPr>
            <w:r>
              <w:rPr>
                <w:rFonts w:ascii="Arial" w:cs="Arial" w:eastAsia="Arial" w:hAnsi="Arial"/>
                <w:sz w:val="12"/>
                <w:szCs w:val="12"/>
                <w:color w:val="auto"/>
              </w:rPr>
              <w:t>-11.7%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20" w:type="dxa"/>
            <w:vAlign w:val="bottom"/>
            <w:tcBorders>
              <w:right w:val="single" w:sz="8" w:color="auto"/>
            </w:tcBorders>
          </w:tcPr>
          <w:p>
            <w:pPr>
              <w:spacing w:after="0"/>
              <w:rPr>
                <w:sz w:val="11"/>
                <w:szCs w:val="11"/>
                <w:color w:val="auto"/>
              </w:rPr>
            </w:pPr>
          </w:p>
        </w:tc>
        <w:tc>
          <w:tcPr>
            <w:tcW w:w="3700" w:type="dxa"/>
            <w:vAlign w:val="bottom"/>
          </w:tcPr>
          <w:p>
            <w:pPr>
              <w:spacing w:after="0" w:line="133" w:lineRule="exact"/>
              <w:rPr>
                <w:sz w:val="20"/>
                <w:szCs w:val="20"/>
                <w:color w:val="auto"/>
              </w:rPr>
            </w:pPr>
            <w:r>
              <w:rPr>
                <w:rFonts w:ascii="Arial" w:cs="Arial" w:eastAsia="Arial" w:hAnsi="Arial"/>
                <w:sz w:val="12"/>
                <w:szCs w:val="12"/>
                <w:color w:val="auto"/>
              </w:rPr>
              <w:t>Net Income for the Period</w:t>
            </w:r>
          </w:p>
        </w:tc>
        <w:tc>
          <w:tcPr>
            <w:tcW w:w="11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ind w:right="376"/>
              <w:spacing w:after="0" w:line="133" w:lineRule="exact"/>
              <w:rPr>
                <w:sz w:val="20"/>
                <w:szCs w:val="20"/>
                <w:color w:val="auto"/>
              </w:rPr>
            </w:pPr>
            <w:r>
              <w:rPr>
                <w:rFonts w:ascii="Arial" w:cs="Arial" w:eastAsia="Arial" w:hAnsi="Arial"/>
                <w:sz w:val="12"/>
                <w:szCs w:val="12"/>
                <w:color w:val="auto"/>
                <w:w w:val="97"/>
              </w:rPr>
              <w:t>37,013</w:t>
            </w:r>
          </w:p>
        </w:tc>
        <w:tc>
          <w:tcPr>
            <w:tcW w:w="1000" w:type="dxa"/>
            <w:vAlign w:val="bottom"/>
          </w:tcPr>
          <w:p>
            <w:pPr>
              <w:jc w:val="center"/>
              <w:ind w:right="236"/>
              <w:spacing w:after="0" w:line="133" w:lineRule="exact"/>
              <w:rPr>
                <w:sz w:val="20"/>
                <w:szCs w:val="20"/>
                <w:color w:val="auto"/>
              </w:rPr>
            </w:pPr>
            <w:r>
              <w:rPr>
                <w:rFonts w:ascii="Arial" w:cs="Arial" w:eastAsia="Arial" w:hAnsi="Arial"/>
                <w:sz w:val="12"/>
                <w:szCs w:val="12"/>
                <w:color w:val="auto"/>
                <w:w w:val="96"/>
              </w:rPr>
              <w:t>132,926</w:t>
            </w:r>
          </w:p>
        </w:tc>
        <w:tc>
          <w:tcPr>
            <w:tcW w:w="880" w:type="dxa"/>
            <w:vAlign w:val="bottom"/>
            <w:tcBorders>
              <w:right w:val="single" w:sz="8" w:color="auto"/>
            </w:tcBorders>
            <w:gridSpan w:val="2"/>
          </w:tcPr>
          <w:p>
            <w:pPr>
              <w:jc w:val="center"/>
              <w:ind w:right="95"/>
              <w:spacing w:after="0" w:line="133" w:lineRule="exact"/>
              <w:rPr>
                <w:sz w:val="20"/>
                <w:szCs w:val="20"/>
                <w:color w:val="auto"/>
              </w:rPr>
            </w:pPr>
            <w:r>
              <w:rPr>
                <w:rFonts w:ascii="Arial" w:cs="Arial" w:eastAsia="Arial" w:hAnsi="Arial"/>
                <w:sz w:val="12"/>
                <w:szCs w:val="12"/>
                <w:color w:val="auto"/>
                <w:w w:val="97"/>
              </w:rPr>
              <w:t>24,472</w:t>
            </w:r>
          </w:p>
        </w:tc>
        <w:tc>
          <w:tcPr>
            <w:tcW w:w="280" w:type="dxa"/>
            <w:vAlign w:val="bottom"/>
          </w:tcPr>
          <w:p>
            <w:pPr>
              <w:spacing w:after="0"/>
              <w:rPr>
                <w:sz w:val="11"/>
                <w:szCs w:val="11"/>
                <w:color w:val="auto"/>
              </w:rPr>
            </w:pPr>
          </w:p>
        </w:tc>
        <w:tc>
          <w:tcPr>
            <w:tcW w:w="980" w:type="dxa"/>
            <w:vAlign w:val="bottom"/>
          </w:tcPr>
          <w:p>
            <w:pPr>
              <w:jc w:val="center"/>
              <w:ind w:right="476"/>
              <w:spacing w:after="0" w:line="133" w:lineRule="exact"/>
              <w:rPr>
                <w:sz w:val="20"/>
                <w:szCs w:val="20"/>
                <w:color w:val="auto"/>
              </w:rPr>
            </w:pPr>
            <w:r>
              <w:rPr>
                <w:rFonts w:ascii="Arial" w:cs="Arial" w:eastAsia="Arial" w:hAnsi="Arial"/>
                <w:sz w:val="12"/>
                <w:szCs w:val="12"/>
                <w:color w:val="auto"/>
                <w:w w:val="94"/>
              </w:rPr>
              <w:t>-81.6%</w:t>
            </w:r>
          </w:p>
        </w:tc>
        <w:tc>
          <w:tcPr>
            <w:tcW w:w="760" w:type="dxa"/>
            <w:vAlign w:val="bottom"/>
            <w:tcBorders>
              <w:right w:val="single" w:sz="8" w:color="auto"/>
            </w:tcBorders>
          </w:tcPr>
          <w:p>
            <w:pPr>
              <w:jc w:val="right"/>
              <w:ind w:right="256"/>
              <w:spacing w:after="0" w:line="133" w:lineRule="exact"/>
              <w:rPr>
                <w:sz w:val="20"/>
                <w:szCs w:val="20"/>
                <w:color w:val="auto"/>
              </w:rPr>
            </w:pPr>
            <w:r>
              <w:rPr>
                <w:rFonts w:ascii="Arial" w:cs="Arial" w:eastAsia="Arial" w:hAnsi="Arial"/>
                <w:sz w:val="12"/>
                <w:szCs w:val="12"/>
                <w:color w:val="auto"/>
              </w:rPr>
              <w:t>-33.9%</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20" w:type="dxa"/>
            <w:vAlign w:val="bottom"/>
            <w:tcBorders>
              <w:right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Liabilities and Equity</w:t>
            </w:r>
          </w:p>
        </w:tc>
        <w:tc>
          <w:tcPr>
            <w:tcW w:w="118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2"/>
                <w:szCs w:val="12"/>
                <w:b w:val="1"/>
                <w:bCs w:val="1"/>
                <w:color w:val="auto"/>
                <w:w w:val="96"/>
              </w:rPr>
              <w:t>782,373</w:t>
            </w:r>
          </w:p>
        </w:tc>
        <w:tc>
          <w:tcPr>
            <w:tcW w:w="1000" w:type="dxa"/>
            <w:vAlign w:val="bottom"/>
            <w:tcBorders>
              <w:bottom w:val="single" w:sz="8" w:color="auto"/>
            </w:tcBorders>
          </w:tcPr>
          <w:p>
            <w:pPr>
              <w:jc w:val="center"/>
              <w:ind w:right="236"/>
              <w:spacing w:after="0"/>
              <w:rPr>
                <w:sz w:val="20"/>
                <w:szCs w:val="20"/>
                <w:color w:val="auto"/>
              </w:rPr>
            </w:pPr>
            <w:r>
              <w:rPr>
                <w:rFonts w:ascii="Arial" w:cs="Arial" w:eastAsia="Arial" w:hAnsi="Arial"/>
                <w:sz w:val="12"/>
                <w:szCs w:val="12"/>
                <w:b w:val="1"/>
                <w:bCs w:val="1"/>
                <w:color w:val="auto"/>
                <w:w w:val="96"/>
              </w:rPr>
              <w:t>657,971</w:t>
            </w:r>
          </w:p>
        </w:tc>
        <w:tc>
          <w:tcPr>
            <w:tcW w:w="880" w:type="dxa"/>
            <w:vAlign w:val="bottom"/>
            <w:tcBorders>
              <w:bottom w:val="single" w:sz="8" w:color="auto"/>
              <w:right w:val="single" w:sz="8" w:color="auto"/>
            </w:tcBorders>
            <w:gridSpan w:val="2"/>
          </w:tcPr>
          <w:p>
            <w:pPr>
              <w:jc w:val="center"/>
              <w:ind w:right="95"/>
              <w:spacing w:after="0"/>
              <w:rPr>
                <w:sz w:val="20"/>
                <w:szCs w:val="20"/>
                <w:color w:val="auto"/>
              </w:rPr>
            </w:pPr>
            <w:r>
              <w:rPr>
                <w:rFonts w:ascii="Arial" w:cs="Arial" w:eastAsia="Arial" w:hAnsi="Arial"/>
                <w:sz w:val="12"/>
                <w:szCs w:val="12"/>
                <w:b w:val="1"/>
                <w:bCs w:val="1"/>
                <w:color w:val="auto"/>
              </w:rPr>
              <w:t>657,798</w:t>
            </w: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2"/>
                <w:szCs w:val="12"/>
                <w:b w:val="1"/>
                <w:bCs w:val="1"/>
                <w:color w:val="auto"/>
              </w:rPr>
              <w:t>0.0%</w:t>
            </w:r>
          </w:p>
        </w:tc>
        <w:tc>
          <w:tcPr>
            <w:tcW w:w="760" w:type="dxa"/>
            <w:vAlign w:val="bottom"/>
            <w:tcBorders>
              <w:bottom w:val="single" w:sz="8" w:color="auto"/>
              <w:right w:val="single" w:sz="8" w:color="auto"/>
            </w:tcBorders>
          </w:tcPr>
          <w:p>
            <w:pPr>
              <w:jc w:val="right"/>
              <w:ind w:right="276"/>
              <w:spacing w:after="0"/>
              <w:rPr>
                <w:sz w:val="20"/>
                <w:szCs w:val="20"/>
                <w:color w:val="auto"/>
              </w:rPr>
            </w:pPr>
            <w:r>
              <w:rPr>
                <w:rFonts w:ascii="Arial" w:cs="Arial" w:eastAsia="Arial" w:hAnsi="Arial"/>
                <w:sz w:val="12"/>
                <w:szCs w:val="12"/>
                <w:b w:val="1"/>
                <w:bCs w:val="1"/>
                <w:color w:val="auto"/>
              </w:rPr>
              <w:t>-15.9%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7"/>
        </w:trPr>
        <w:tc>
          <w:tcPr>
            <w:tcW w:w="3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40" w:type="dxa"/>
            <w:vAlign w:val="bottom"/>
            <w:gridSpan w:val="4"/>
          </w:tcPr>
          <w:p>
            <w:pPr>
              <w:jc w:val="center"/>
              <w:ind w:left="77"/>
              <w:spacing w:after="0"/>
              <w:rPr>
                <w:sz w:val="20"/>
                <w:szCs w:val="20"/>
                <w:color w:val="auto"/>
              </w:rPr>
            </w:pPr>
            <w:r>
              <w:rPr>
                <w:rFonts w:ascii="Arial" w:cs="Arial" w:eastAsia="Arial" w:hAnsi="Arial"/>
                <w:sz w:val="17"/>
                <w:szCs w:val="17"/>
                <w:b w:val="1"/>
                <w:bCs w:val="1"/>
                <w:color w:val="auto"/>
              </w:rPr>
              <w:t>Statement in Income</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040" w:type="dxa"/>
            <w:vAlign w:val="bottom"/>
            <w:gridSpan w:val="4"/>
          </w:tcPr>
          <w:p>
            <w:pPr>
              <w:jc w:val="center"/>
              <w:ind w:left="97"/>
              <w:spacing w:after="0"/>
              <w:rPr>
                <w:sz w:val="20"/>
                <w:szCs w:val="20"/>
                <w:color w:val="auto"/>
              </w:rPr>
            </w:pPr>
            <w:r>
              <w:rPr>
                <w:rFonts w:ascii="Arial" w:cs="Arial" w:eastAsia="Arial" w:hAnsi="Arial"/>
                <w:sz w:val="16"/>
                <w:szCs w:val="16"/>
                <w:b w:val="1"/>
                <w:bCs w:val="1"/>
                <w:color w:val="auto"/>
              </w:rPr>
              <w:t>(In S/ Thousands, IFRS)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 w:type="dxa"/>
            <w:vAlign w:val="bottom"/>
            <w:tcBorders>
              <w:right w:val="single" w:sz="8" w:color="auto"/>
            </w:tcBorders>
          </w:tcPr>
          <w:p>
            <w:pPr>
              <w:spacing w:after="0"/>
              <w:rPr>
                <w:sz w:val="14"/>
                <w:szCs w:val="14"/>
                <w:color w:val="auto"/>
              </w:rPr>
            </w:pPr>
          </w:p>
        </w:tc>
        <w:tc>
          <w:tcPr>
            <w:tcW w:w="3700" w:type="dxa"/>
            <w:vAlign w:val="bottom"/>
            <w:tcBorders>
              <w:top w:val="single" w:sz="8" w:color="auto"/>
            </w:tcBorders>
            <w:shd w:val="clear" w:color="auto" w:fill="2AD2C8"/>
          </w:tcPr>
          <w:p>
            <w:pPr>
              <w:spacing w:after="0"/>
              <w:rPr>
                <w:sz w:val="14"/>
                <w:szCs w:val="14"/>
                <w:color w:val="auto"/>
              </w:rPr>
            </w:pPr>
          </w:p>
        </w:tc>
        <w:tc>
          <w:tcPr>
            <w:tcW w:w="1180" w:type="dxa"/>
            <w:vAlign w:val="bottom"/>
            <w:tcBorders>
              <w:top w:val="single" w:sz="8" w:color="auto"/>
              <w:right w:val="single" w:sz="8" w:color="2AD2C8"/>
            </w:tcBorders>
            <w:shd w:val="clear" w:color="auto" w:fill="2AD2C8"/>
          </w:tcPr>
          <w:p>
            <w:pPr>
              <w:spacing w:after="0"/>
              <w:rPr>
                <w:sz w:val="14"/>
                <w:szCs w:val="14"/>
                <w:color w:val="auto"/>
              </w:rPr>
            </w:pPr>
          </w:p>
        </w:tc>
        <w:tc>
          <w:tcPr>
            <w:tcW w:w="720" w:type="dxa"/>
            <w:vAlign w:val="bottom"/>
            <w:tcBorders>
              <w:top w:val="single" w:sz="8" w:color="auto"/>
              <w:right w:val="single" w:sz="8" w:color="auto"/>
            </w:tcBorders>
            <w:shd w:val="clear" w:color="auto" w:fill="2AD2C8"/>
          </w:tcPr>
          <w:p>
            <w:pPr>
              <w:spacing w:after="0"/>
              <w:rPr>
                <w:sz w:val="14"/>
                <w:szCs w:val="14"/>
                <w:color w:val="auto"/>
              </w:rPr>
            </w:pPr>
          </w:p>
        </w:tc>
        <w:tc>
          <w:tcPr>
            <w:tcW w:w="260" w:type="dxa"/>
            <w:vAlign w:val="bottom"/>
            <w:tcBorders>
              <w:top w:val="single" w:sz="8" w:color="auto"/>
              <w:right w:val="single" w:sz="8" w:color="2AD2C8"/>
            </w:tcBorders>
            <w:shd w:val="clear" w:color="auto" w:fill="2AD2C8"/>
          </w:tcPr>
          <w:p>
            <w:pPr>
              <w:spacing w:after="0"/>
              <w:rPr>
                <w:sz w:val="14"/>
                <w:szCs w:val="14"/>
                <w:color w:val="auto"/>
              </w:rPr>
            </w:pPr>
          </w:p>
        </w:tc>
        <w:tc>
          <w:tcPr>
            <w:tcW w:w="880" w:type="dxa"/>
            <w:vAlign w:val="bottom"/>
            <w:tcBorders>
              <w:top w:val="single" w:sz="8" w:color="auto"/>
            </w:tcBorders>
            <w:vMerge w:val="restart"/>
            <w:shd w:val="clear" w:color="auto" w:fill="2AD2C8"/>
          </w:tcPr>
          <w:p>
            <w:pPr>
              <w:jc w:val="center"/>
              <w:ind w:right="376"/>
              <w:spacing w:after="0"/>
              <w:rPr>
                <w:sz w:val="20"/>
                <w:szCs w:val="20"/>
                <w:color w:val="auto"/>
              </w:rPr>
            </w:pPr>
            <w:r>
              <w:rPr>
                <w:rFonts w:ascii="Arial" w:cs="Arial" w:eastAsia="Arial" w:hAnsi="Arial"/>
                <w:sz w:val="13"/>
                <w:szCs w:val="13"/>
                <w:b w:val="1"/>
                <w:bCs w:val="1"/>
                <w:color w:val="FFFFFF"/>
              </w:rPr>
              <w:t>1Q24</w:t>
            </w:r>
          </w:p>
        </w:tc>
        <w:tc>
          <w:tcPr>
            <w:tcW w:w="1000" w:type="dxa"/>
            <w:vAlign w:val="bottom"/>
            <w:tcBorders>
              <w:top w:val="single" w:sz="8" w:color="auto"/>
            </w:tcBorders>
            <w:shd w:val="clear" w:color="auto" w:fill="2AD2C8"/>
          </w:tcPr>
          <w:p>
            <w:pPr>
              <w:jc w:val="center"/>
              <w:ind w:right="256"/>
              <w:spacing w:after="0"/>
              <w:rPr>
                <w:sz w:val="20"/>
                <w:szCs w:val="20"/>
                <w:color w:val="auto"/>
              </w:rPr>
            </w:pPr>
            <w:r>
              <w:rPr>
                <w:rFonts w:ascii="Arial" w:cs="Arial" w:eastAsia="Arial" w:hAnsi="Arial"/>
                <w:sz w:val="13"/>
                <w:szCs w:val="13"/>
                <w:b w:val="1"/>
                <w:bCs w:val="1"/>
                <w:color w:val="FFFFFF"/>
              </w:rPr>
              <w:t>Quarter</w:t>
            </w:r>
          </w:p>
        </w:tc>
        <w:tc>
          <w:tcPr>
            <w:tcW w:w="220" w:type="dxa"/>
            <w:vAlign w:val="bottom"/>
            <w:tcBorders>
              <w:top w:val="single" w:sz="8" w:color="auto"/>
              <w:right w:val="single" w:sz="8" w:color="2AD2C8"/>
            </w:tcBorders>
            <w:shd w:val="clear" w:color="auto" w:fill="2AD2C8"/>
          </w:tcPr>
          <w:p>
            <w:pPr>
              <w:spacing w:after="0"/>
              <w:rPr>
                <w:sz w:val="14"/>
                <w:szCs w:val="14"/>
                <w:color w:val="auto"/>
              </w:rPr>
            </w:pPr>
          </w:p>
        </w:tc>
        <w:tc>
          <w:tcPr>
            <w:tcW w:w="660" w:type="dxa"/>
            <w:vAlign w:val="bottom"/>
            <w:tcBorders>
              <w:top w:val="single" w:sz="8" w:color="auto"/>
              <w:right w:val="single" w:sz="8" w:color="auto"/>
            </w:tcBorders>
            <w:vMerge w:val="restart"/>
            <w:shd w:val="clear" w:color="auto" w:fill="2AD2C8"/>
          </w:tcPr>
          <w:p>
            <w:pPr>
              <w:jc w:val="center"/>
              <w:ind w:right="275"/>
              <w:spacing w:after="0"/>
              <w:rPr>
                <w:sz w:val="20"/>
                <w:szCs w:val="20"/>
                <w:color w:val="auto"/>
              </w:rPr>
            </w:pPr>
            <w:r>
              <w:rPr>
                <w:rFonts w:ascii="Arial" w:cs="Arial" w:eastAsia="Arial" w:hAnsi="Arial"/>
                <w:sz w:val="13"/>
                <w:szCs w:val="13"/>
                <w:b w:val="1"/>
                <w:bCs w:val="1"/>
                <w:color w:val="FFFFFF"/>
              </w:rPr>
              <w:t>1Q25</w:t>
            </w:r>
          </w:p>
        </w:tc>
        <w:tc>
          <w:tcPr>
            <w:tcW w:w="280" w:type="dxa"/>
            <w:vAlign w:val="bottom"/>
            <w:tcBorders>
              <w:top w:val="single" w:sz="8" w:color="auto"/>
              <w:right w:val="single" w:sz="8" w:color="2AD2C8"/>
            </w:tcBorders>
            <w:shd w:val="clear" w:color="auto" w:fill="2AD2C8"/>
          </w:tcPr>
          <w:p>
            <w:pPr>
              <w:spacing w:after="0"/>
              <w:rPr>
                <w:sz w:val="14"/>
                <w:szCs w:val="14"/>
                <w:color w:val="auto"/>
              </w:rPr>
            </w:pPr>
          </w:p>
        </w:tc>
        <w:tc>
          <w:tcPr>
            <w:tcW w:w="1740" w:type="dxa"/>
            <w:vAlign w:val="bottom"/>
            <w:tcBorders>
              <w:top w:val="single" w:sz="8" w:color="auto"/>
              <w:right w:val="single" w:sz="8" w:color="auto"/>
            </w:tcBorders>
            <w:gridSpan w:val="2"/>
            <w:shd w:val="clear" w:color="auto" w:fill="2AD2C8"/>
          </w:tcPr>
          <w:p>
            <w:pPr>
              <w:jc w:val="right"/>
              <w:ind w:right="656"/>
              <w:spacing w:after="0"/>
              <w:rPr>
                <w:sz w:val="20"/>
                <w:szCs w:val="20"/>
                <w:color w:val="auto"/>
              </w:rPr>
            </w:pPr>
            <w:r>
              <w:rPr>
                <w:rFonts w:ascii="Arial" w:cs="Arial" w:eastAsia="Arial" w:hAnsi="Arial"/>
                <w:sz w:val="13"/>
                <w:szCs w:val="13"/>
                <w:color w:val="FFFFFF"/>
              </w:rPr>
              <w:t>% change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 w:type="dxa"/>
            <w:vAlign w:val="bottom"/>
            <w:tcBorders>
              <w:right w:val="single" w:sz="8" w:color="auto"/>
            </w:tcBorders>
          </w:tcPr>
          <w:p>
            <w:pPr>
              <w:spacing w:after="0"/>
              <w:rPr>
                <w:sz w:val="14"/>
                <w:szCs w:val="14"/>
                <w:color w:val="auto"/>
              </w:rPr>
            </w:pPr>
          </w:p>
        </w:tc>
        <w:tc>
          <w:tcPr>
            <w:tcW w:w="3700" w:type="dxa"/>
            <w:vAlign w:val="bottom"/>
            <w:tcBorders>
              <w:bottom w:val="single" w:sz="8" w:color="auto"/>
            </w:tcBorders>
            <w:shd w:val="clear" w:color="auto" w:fill="2AD2C8"/>
          </w:tcPr>
          <w:p>
            <w:pPr>
              <w:spacing w:after="0"/>
              <w:rPr>
                <w:sz w:val="14"/>
                <w:szCs w:val="14"/>
                <w:color w:val="auto"/>
              </w:rPr>
            </w:pPr>
          </w:p>
        </w:tc>
        <w:tc>
          <w:tcPr>
            <w:tcW w:w="1180" w:type="dxa"/>
            <w:vAlign w:val="bottom"/>
            <w:tcBorders>
              <w:bottom w:val="single" w:sz="8" w:color="auto"/>
              <w:right w:val="single" w:sz="8" w:color="2AD2C8"/>
            </w:tcBorders>
            <w:shd w:val="clear" w:color="auto" w:fill="2AD2C8"/>
          </w:tcPr>
          <w:p>
            <w:pPr>
              <w:spacing w:after="0"/>
              <w:rPr>
                <w:sz w:val="14"/>
                <w:szCs w:val="14"/>
                <w:color w:val="auto"/>
              </w:rPr>
            </w:pPr>
          </w:p>
        </w:tc>
        <w:tc>
          <w:tcPr>
            <w:tcW w:w="720" w:type="dxa"/>
            <w:vAlign w:val="bottom"/>
            <w:tcBorders>
              <w:bottom w:val="single" w:sz="8" w:color="auto"/>
              <w:right w:val="single" w:sz="8" w:color="auto"/>
            </w:tcBorders>
            <w:shd w:val="clear" w:color="auto" w:fill="2AD2C8"/>
          </w:tcPr>
          <w:p>
            <w:pPr>
              <w:spacing w:after="0"/>
              <w:rPr>
                <w:sz w:val="14"/>
                <w:szCs w:val="14"/>
                <w:color w:val="auto"/>
              </w:rPr>
            </w:pPr>
          </w:p>
        </w:tc>
        <w:tc>
          <w:tcPr>
            <w:tcW w:w="260" w:type="dxa"/>
            <w:vAlign w:val="bottom"/>
            <w:tcBorders>
              <w:bottom w:val="single" w:sz="8" w:color="auto"/>
              <w:right w:val="single" w:sz="8" w:color="2AD2C8"/>
            </w:tcBorders>
            <w:shd w:val="clear" w:color="auto" w:fill="2AD2C8"/>
          </w:tcPr>
          <w:p>
            <w:pPr>
              <w:spacing w:after="0"/>
              <w:rPr>
                <w:sz w:val="14"/>
                <w:szCs w:val="14"/>
                <w:color w:val="auto"/>
              </w:rPr>
            </w:pPr>
          </w:p>
        </w:tc>
        <w:tc>
          <w:tcPr>
            <w:tcW w:w="880" w:type="dxa"/>
            <w:vAlign w:val="bottom"/>
            <w:tcBorders>
              <w:bottom w:val="single" w:sz="8" w:color="auto"/>
            </w:tcBorders>
            <w:vMerge w:val="continue"/>
            <w:shd w:val="clear" w:color="auto" w:fill="2AD2C8"/>
          </w:tcPr>
          <w:p>
            <w:pPr>
              <w:spacing w:after="0"/>
              <w:rPr>
                <w:sz w:val="14"/>
                <w:szCs w:val="14"/>
                <w:color w:val="auto"/>
              </w:rPr>
            </w:pPr>
          </w:p>
        </w:tc>
        <w:tc>
          <w:tcPr>
            <w:tcW w:w="1000" w:type="dxa"/>
            <w:vAlign w:val="bottom"/>
            <w:tcBorders>
              <w:bottom w:val="single" w:sz="8" w:color="auto"/>
            </w:tcBorders>
            <w:shd w:val="clear" w:color="auto" w:fill="2AD2C8"/>
          </w:tcPr>
          <w:p>
            <w:pPr>
              <w:jc w:val="center"/>
              <w:ind w:right="256"/>
              <w:spacing w:after="0"/>
              <w:rPr>
                <w:sz w:val="20"/>
                <w:szCs w:val="20"/>
                <w:color w:val="auto"/>
              </w:rPr>
            </w:pPr>
            <w:r>
              <w:rPr>
                <w:rFonts w:ascii="Arial" w:cs="Arial" w:eastAsia="Arial" w:hAnsi="Arial"/>
                <w:sz w:val="13"/>
                <w:szCs w:val="13"/>
                <w:b w:val="1"/>
                <w:bCs w:val="1"/>
                <w:color w:val="FFFFFF"/>
              </w:rPr>
              <w:t>4Q24</w:t>
            </w:r>
          </w:p>
        </w:tc>
        <w:tc>
          <w:tcPr>
            <w:tcW w:w="220" w:type="dxa"/>
            <w:vAlign w:val="bottom"/>
            <w:tcBorders>
              <w:bottom w:val="single" w:sz="8" w:color="auto"/>
              <w:right w:val="single" w:sz="8" w:color="2AD2C8"/>
            </w:tcBorders>
            <w:shd w:val="clear" w:color="auto" w:fill="2AD2C8"/>
          </w:tcPr>
          <w:p>
            <w:pPr>
              <w:spacing w:after="0"/>
              <w:rPr>
                <w:sz w:val="14"/>
                <w:szCs w:val="14"/>
                <w:color w:val="auto"/>
              </w:rPr>
            </w:pPr>
          </w:p>
        </w:tc>
        <w:tc>
          <w:tcPr>
            <w:tcW w:w="660" w:type="dxa"/>
            <w:vAlign w:val="bottom"/>
            <w:tcBorders>
              <w:bottom w:val="single" w:sz="8" w:color="auto"/>
              <w:right w:val="single" w:sz="8" w:color="auto"/>
            </w:tcBorders>
            <w:vMerge w:val="continue"/>
            <w:shd w:val="clear" w:color="auto" w:fill="2AD2C8"/>
          </w:tcPr>
          <w:p>
            <w:pPr>
              <w:spacing w:after="0"/>
              <w:rPr>
                <w:sz w:val="14"/>
                <w:szCs w:val="14"/>
                <w:color w:val="auto"/>
              </w:rPr>
            </w:pPr>
          </w:p>
        </w:tc>
        <w:tc>
          <w:tcPr>
            <w:tcW w:w="280" w:type="dxa"/>
            <w:vAlign w:val="bottom"/>
            <w:tcBorders>
              <w:bottom w:val="single" w:sz="8" w:color="auto"/>
              <w:right w:val="single" w:sz="8" w:color="2AD2C8"/>
            </w:tcBorders>
            <w:shd w:val="clear" w:color="auto" w:fill="2AD2C8"/>
          </w:tcPr>
          <w:p>
            <w:pPr>
              <w:spacing w:after="0"/>
              <w:rPr>
                <w:sz w:val="14"/>
                <w:szCs w:val="14"/>
                <w:color w:val="auto"/>
              </w:rPr>
            </w:pPr>
          </w:p>
        </w:tc>
        <w:tc>
          <w:tcPr>
            <w:tcW w:w="980" w:type="dxa"/>
            <w:vAlign w:val="bottom"/>
            <w:tcBorders>
              <w:bottom w:val="single" w:sz="8" w:color="auto"/>
            </w:tcBorders>
            <w:shd w:val="clear" w:color="auto" w:fill="2AD2C8"/>
          </w:tcPr>
          <w:p>
            <w:pPr>
              <w:ind w:left="60"/>
              <w:spacing w:after="0"/>
              <w:rPr>
                <w:sz w:val="20"/>
                <w:szCs w:val="20"/>
                <w:color w:val="auto"/>
              </w:rPr>
            </w:pPr>
            <w:r>
              <w:rPr>
                <w:rFonts w:ascii="Arial" w:cs="Arial" w:eastAsia="Arial" w:hAnsi="Arial"/>
                <w:sz w:val="13"/>
                <w:szCs w:val="13"/>
                <w:b w:val="1"/>
                <w:bCs w:val="1"/>
                <w:color w:val="FFFFFF"/>
              </w:rPr>
              <w:t>QoQ</w:t>
            </w:r>
          </w:p>
        </w:tc>
        <w:tc>
          <w:tcPr>
            <w:tcW w:w="760" w:type="dxa"/>
            <w:vAlign w:val="bottom"/>
            <w:tcBorders>
              <w:bottom w:val="single" w:sz="8" w:color="auto"/>
              <w:right w:val="single" w:sz="8" w:color="auto"/>
            </w:tcBorders>
            <w:shd w:val="clear" w:color="auto" w:fill="2AD2C8"/>
          </w:tcPr>
          <w:p>
            <w:pPr>
              <w:jc w:val="center"/>
              <w:ind w:right="216"/>
              <w:spacing w:after="0"/>
              <w:rPr>
                <w:sz w:val="20"/>
                <w:szCs w:val="20"/>
                <w:color w:val="auto"/>
              </w:rPr>
            </w:pPr>
            <w:r>
              <w:rPr>
                <w:rFonts w:ascii="Arial" w:cs="Arial" w:eastAsia="Arial" w:hAnsi="Arial"/>
                <w:sz w:val="13"/>
                <w:szCs w:val="13"/>
                <w:b w:val="1"/>
                <w:bCs w:val="1"/>
                <w:color w:val="FFFFFF"/>
                <w:w w:val="94"/>
              </w:rPr>
              <w:t>YoY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Financial income</w:t>
            </w:r>
          </w:p>
        </w:tc>
        <w:tc>
          <w:tcPr>
            <w:tcW w:w="11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center"/>
              <w:ind w:right="376"/>
              <w:spacing w:after="0"/>
              <w:rPr>
                <w:sz w:val="20"/>
                <w:szCs w:val="20"/>
                <w:color w:val="auto"/>
              </w:rPr>
            </w:pPr>
            <w:r>
              <w:rPr>
                <w:rFonts w:ascii="Arial" w:cs="Arial" w:eastAsia="Arial" w:hAnsi="Arial"/>
                <w:sz w:val="13"/>
                <w:szCs w:val="13"/>
                <w:color w:val="auto"/>
                <w:w w:val="98"/>
              </w:rPr>
              <w:t>1,647</w:t>
            </w:r>
          </w:p>
        </w:tc>
        <w:tc>
          <w:tcPr>
            <w:tcW w:w="1000" w:type="dxa"/>
            <w:vAlign w:val="bottom"/>
          </w:tcPr>
          <w:p>
            <w:pPr>
              <w:jc w:val="center"/>
              <w:ind w:right="256"/>
              <w:spacing w:after="0"/>
              <w:rPr>
                <w:sz w:val="20"/>
                <w:szCs w:val="20"/>
                <w:color w:val="auto"/>
              </w:rPr>
            </w:pPr>
            <w:r>
              <w:rPr>
                <w:rFonts w:ascii="Arial" w:cs="Arial" w:eastAsia="Arial" w:hAnsi="Arial"/>
                <w:sz w:val="13"/>
                <w:szCs w:val="13"/>
                <w:color w:val="auto"/>
                <w:w w:val="98"/>
              </w:rPr>
              <w:t>1,786</w:t>
            </w:r>
          </w:p>
        </w:tc>
        <w:tc>
          <w:tcPr>
            <w:tcW w:w="880" w:type="dxa"/>
            <w:vAlign w:val="bottom"/>
            <w:tcBorders>
              <w:right w:val="single" w:sz="8" w:color="auto"/>
            </w:tcBorders>
            <w:gridSpan w:val="2"/>
          </w:tcPr>
          <w:p>
            <w:pPr>
              <w:jc w:val="center"/>
              <w:ind w:right="115"/>
              <w:spacing w:after="0"/>
              <w:rPr>
                <w:sz w:val="20"/>
                <w:szCs w:val="20"/>
                <w:color w:val="auto"/>
              </w:rPr>
            </w:pPr>
            <w:r>
              <w:rPr>
                <w:rFonts w:ascii="Arial" w:cs="Arial" w:eastAsia="Arial" w:hAnsi="Arial"/>
                <w:sz w:val="13"/>
                <w:szCs w:val="13"/>
                <w:color w:val="auto"/>
              </w:rPr>
              <w:t>1,481</w:t>
            </w:r>
          </w:p>
        </w:tc>
        <w:tc>
          <w:tcPr>
            <w:tcW w:w="280" w:type="dxa"/>
            <w:vAlign w:val="bottom"/>
          </w:tcPr>
          <w:p>
            <w:pPr>
              <w:spacing w:after="0"/>
              <w:rPr>
                <w:sz w:val="18"/>
                <w:szCs w:val="18"/>
                <w:color w:val="auto"/>
              </w:rPr>
            </w:pPr>
          </w:p>
        </w:tc>
        <w:tc>
          <w:tcPr>
            <w:tcW w:w="980" w:type="dxa"/>
            <w:vAlign w:val="bottom"/>
          </w:tcPr>
          <w:p>
            <w:pPr>
              <w:jc w:val="center"/>
              <w:ind w:right="496"/>
              <w:spacing w:after="0"/>
              <w:rPr>
                <w:sz w:val="20"/>
                <w:szCs w:val="20"/>
                <w:color w:val="auto"/>
              </w:rPr>
            </w:pPr>
            <w:r>
              <w:rPr>
                <w:rFonts w:ascii="Arial" w:cs="Arial" w:eastAsia="Arial" w:hAnsi="Arial"/>
                <w:sz w:val="13"/>
                <w:szCs w:val="13"/>
                <w:color w:val="auto"/>
              </w:rPr>
              <w:t>-17.1%</w:t>
            </w:r>
          </w:p>
        </w:tc>
        <w:tc>
          <w:tcPr>
            <w:tcW w:w="760" w:type="dxa"/>
            <w:vAlign w:val="bottom"/>
            <w:tcBorders>
              <w:right w:val="single" w:sz="8" w:color="auto"/>
            </w:tcBorders>
          </w:tcPr>
          <w:p>
            <w:pPr>
              <w:jc w:val="right"/>
              <w:ind w:right="236"/>
              <w:spacing w:after="0"/>
              <w:rPr>
                <w:sz w:val="20"/>
                <w:szCs w:val="20"/>
                <w:color w:val="auto"/>
              </w:rPr>
            </w:pPr>
            <w:r>
              <w:rPr>
                <w:rFonts w:ascii="Arial" w:cs="Arial" w:eastAsia="Arial" w:hAnsi="Arial"/>
                <w:sz w:val="13"/>
                <w:szCs w:val="13"/>
                <w:color w:val="auto"/>
              </w:rPr>
              <w:t>-10.1%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20" w:type="dxa"/>
            <w:vAlign w:val="bottom"/>
            <w:tcBorders>
              <w:right w:val="single" w:sz="8" w:color="auto"/>
            </w:tcBorders>
          </w:tcPr>
          <w:p>
            <w:pPr>
              <w:spacing w:after="0"/>
              <w:rPr>
                <w:sz w:val="12"/>
                <w:szCs w:val="12"/>
                <w:color w:val="auto"/>
              </w:rPr>
            </w:pPr>
          </w:p>
        </w:tc>
        <w:tc>
          <w:tcPr>
            <w:tcW w:w="3700" w:type="dxa"/>
            <w:vAlign w:val="bottom"/>
          </w:tcPr>
          <w:p>
            <w:pPr>
              <w:spacing w:after="0" w:line="147" w:lineRule="exact"/>
              <w:rPr>
                <w:sz w:val="20"/>
                <w:szCs w:val="20"/>
                <w:color w:val="auto"/>
              </w:rPr>
            </w:pPr>
            <w:r>
              <w:rPr>
                <w:rFonts w:ascii="Arial" w:cs="Arial" w:eastAsia="Arial" w:hAnsi="Arial"/>
                <w:sz w:val="13"/>
                <w:szCs w:val="13"/>
                <w:color w:val="auto"/>
              </w:rPr>
              <w:t>Financial expenses</w:t>
            </w:r>
          </w:p>
        </w:tc>
        <w:tc>
          <w:tcPr>
            <w:tcW w:w="11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376"/>
              <w:spacing w:after="0" w:line="147" w:lineRule="exact"/>
              <w:rPr>
                <w:sz w:val="20"/>
                <w:szCs w:val="20"/>
                <w:color w:val="auto"/>
              </w:rPr>
            </w:pPr>
            <w:r>
              <w:rPr>
                <w:rFonts w:ascii="Arial" w:cs="Arial" w:eastAsia="Arial" w:hAnsi="Arial"/>
                <w:sz w:val="13"/>
                <w:szCs w:val="13"/>
                <w:color w:val="auto"/>
              </w:rPr>
              <w:t>(467)</w:t>
            </w:r>
          </w:p>
        </w:tc>
        <w:tc>
          <w:tcPr>
            <w:tcW w:w="1000" w:type="dxa"/>
            <w:vAlign w:val="bottom"/>
          </w:tcPr>
          <w:p>
            <w:pPr>
              <w:jc w:val="center"/>
              <w:ind w:right="256"/>
              <w:spacing w:after="0" w:line="147" w:lineRule="exact"/>
              <w:rPr>
                <w:sz w:val="20"/>
                <w:szCs w:val="20"/>
                <w:color w:val="auto"/>
              </w:rPr>
            </w:pPr>
            <w:r>
              <w:rPr>
                <w:rFonts w:ascii="Arial" w:cs="Arial" w:eastAsia="Arial" w:hAnsi="Arial"/>
                <w:sz w:val="13"/>
                <w:szCs w:val="13"/>
                <w:color w:val="auto"/>
              </w:rPr>
              <w:t>(1,782)</w:t>
            </w:r>
          </w:p>
        </w:tc>
        <w:tc>
          <w:tcPr>
            <w:tcW w:w="880" w:type="dxa"/>
            <w:vAlign w:val="bottom"/>
            <w:tcBorders>
              <w:right w:val="single" w:sz="8" w:color="auto"/>
            </w:tcBorders>
            <w:gridSpan w:val="2"/>
          </w:tcPr>
          <w:p>
            <w:pPr>
              <w:jc w:val="center"/>
              <w:ind w:right="115"/>
              <w:spacing w:after="0" w:line="147" w:lineRule="exact"/>
              <w:rPr>
                <w:sz w:val="20"/>
                <w:szCs w:val="20"/>
                <w:color w:val="auto"/>
              </w:rPr>
            </w:pPr>
            <w:r>
              <w:rPr>
                <w:rFonts w:ascii="Arial" w:cs="Arial" w:eastAsia="Arial" w:hAnsi="Arial"/>
                <w:sz w:val="13"/>
                <w:szCs w:val="13"/>
                <w:color w:val="auto"/>
                <w:w w:val="98"/>
              </w:rPr>
              <w:t>(453)</w:t>
            </w:r>
          </w:p>
        </w:tc>
        <w:tc>
          <w:tcPr>
            <w:tcW w:w="280" w:type="dxa"/>
            <w:vAlign w:val="bottom"/>
          </w:tcPr>
          <w:p>
            <w:pPr>
              <w:spacing w:after="0"/>
              <w:rPr>
                <w:sz w:val="12"/>
                <w:szCs w:val="12"/>
                <w:color w:val="auto"/>
              </w:rPr>
            </w:pPr>
          </w:p>
        </w:tc>
        <w:tc>
          <w:tcPr>
            <w:tcW w:w="980" w:type="dxa"/>
            <w:vAlign w:val="bottom"/>
          </w:tcPr>
          <w:p>
            <w:pPr>
              <w:jc w:val="center"/>
              <w:ind w:right="496"/>
              <w:spacing w:after="0" w:line="147" w:lineRule="exact"/>
              <w:rPr>
                <w:sz w:val="20"/>
                <w:szCs w:val="20"/>
                <w:color w:val="auto"/>
              </w:rPr>
            </w:pPr>
            <w:r>
              <w:rPr>
                <w:rFonts w:ascii="Arial" w:cs="Arial" w:eastAsia="Arial" w:hAnsi="Arial"/>
                <w:sz w:val="13"/>
                <w:szCs w:val="13"/>
                <w:color w:val="auto"/>
              </w:rPr>
              <w:t>-74.6%</w:t>
            </w:r>
          </w:p>
        </w:tc>
        <w:tc>
          <w:tcPr>
            <w:tcW w:w="760" w:type="dxa"/>
            <w:vAlign w:val="bottom"/>
            <w:tcBorders>
              <w:right w:val="single" w:sz="8" w:color="auto"/>
            </w:tcBorders>
          </w:tcPr>
          <w:p>
            <w:pPr>
              <w:jc w:val="right"/>
              <w:ind w:right="276"/>
              <w:spacing w:after="0" w:line="147" w:lineRule="exact"/>
              <w:rPr>
                <w:sz w:val="20"/>
                <w:szCs w:val="20"/>
                <w:color w:val="auto"/>
              </w:rPr>
            </w:pPr>
            <w:r>
              <w:rPr>
                <w:rFonts w:ascii="Arial" w:cs="Arial" w:eastAsia="Arial" w:hAnsi="Arial"/>
                <w:sz w:val="13"/>
                <w:szCs w:val="13"/>
                <w:color w:val="auto"/>
              </w:rPr>
              <w:t>-3.0%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20" w:type="dxa"/>
            <w:vAlign w:val="bottom"/>
            <w:tcBorders>
              <w:right w:val="single" w:sz="8" w:color="auto"/>
            </w:tcBorders>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b w:val="1"/>
                <w:bCs w:val="1"/>
                <w:color w:val="auto"/>
              </w:rPr>
              <w:t>Interest income, net</w:t>
            </w:r>
          </w:p>
        </w:tc>
        <w:tc>
          <w:tcPr>
            <w:tcW w:w="118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center"/>
              <w:ind w:right="376"/>
              <w:spacing w:after="0"/>
              <w:rPr>
                <w:sz w:val="20"/>
                <w:szCs w:val="20"/>
                <w:color w:val="auto"/>
              </w:rPr>
            </w:pPr>
            <w:r>
              <w:rPr>
                <w:rFonts w:ascii="Arial" w:cs="Arial" w:eastAsia="Arial" w:hAnsi="Arial"/>
                <w:sz w:val="13"/>
                <w:szCs w:val="13"/>
                <w:b w:val="1"/>
                <w:bCs w:val="1"/>
                <w:color w:val="auto"/>
                <w:w w:val="98"/>
              </w:rPr>
              <w:t>1,180</w:t>
            </w:r>
          </w:p>
        </w:tc>
        <w:tc>
          <w:tcPr>
            <w:tcW w:w="1000" w:type="dxa"/>
            <w:vAlign w:val="bottom"/>
          </w:tcPr>
          <w:p>
            <w:pPr>
              <w:jc w:val="center"/>
              <w:ind w:right="256"/>
              <w:spacing w:after="0"/>
              <w:rPr>
                <w:sz w:val="20"/>
                <w:szCs w:val="20"/>
                <w:color w:val="auto"/>
              </w:rPr>
            </w:pPr>
            <w:r>
              <w:rPr>
                <w:rFonts w:ascii="Arial" w:cs="Arial" w:eastAsia="Arial" w:hAnsi="Arial"/>
                <w:sz w:val="13"/>
                <w:szCs w:val="13"/>
                <w:b w:val="1"/>
                <w:bCs w:val="1"/>
                <w:color w:val="auto"/>
              </w:rPr>
              <w:t>4</w:t>
            </w:r>
          </w:p>
        </w:tc>
        <w:tc>
          <w:tcPr>
            <w:tcW w:w="880" w:type="dxa"/>
            <w:vAlign w:val="bottom"/>
            <w:tcBorders>
              <w:right w:val="single" w:sz="8" w:color="auto"/>
            </w:tcBorders>
            <w:gridSpan w:val="2"/>
          </w:tcPr>
          <w:p>
            <w:pPr>
              <w:jc w:val="center"/>
              <w:ind w:right="115"/>
              <w:spacing w:after="0"/>
              <w:rPr>
                <w:sz w:val="20"/>
                <w:szCs w:val="20"/>
                <w:color w:val="auto"/>
              </w:rPr>
            </w:pPr>
            <w:r>
              <w:rPr>
                <w:rFonts w:ascii="Arial" w:cs="Arial" w:eastAsia="Arial" w:hAnsi="Arial"/>
                <w:sz w:val="13"/>
                <w:szCs w:val="13"/>
                <w:b w:val="1"/>
                <w:bCs w:val="1"/>
                <w:color w:val="auto"/>
              </w:rPr>
              <w:t>1,028</w:t>
            </w:r>
          </w:p>
        </w:tc>
        <w:tc>
          <w:tcPr>
            <w:tcW w:w="280" w:type="dxa"/>
            <w:vAlign w:val="bottom"/>
          </w:tcPr>
          <w:p>
            <w:pPr>
              <w:spacing w:after="0"/>
              <w:rPr>
                <w:sz w:val="13"/>
                <w:szCs w:val="13"/>
                <w:color w:val="auto"/>
              </w:rPr>
            </w:pPr>
          </w:p>
        </w:tc>
        <w:tc>
          <w:tcPr>
            <w:tcW w:w="980" w:type="dxa"/>
            <w:vAlign w:val="bottom"/>
          </w:tcPr>
          <w:p>
            <w:pPr>
              <w:ind w:left="100"/>
              <w:spacing w:after="0"/>
              <w:rPr>
                <w:sz w:val="20"/>
                <w:szCs w:val="20"/>
                <w:color w:val="auto"/>
              </w:rPr>
            </w:pPr>
            <w:r>
              <w:rPr>
                <w:rFonts w:ascii="Arial" w:cs="Arial" w:eastAsia="Arial" w:hAnsi="Arial"/>
                <w:sz w:val="13"/>
                <w:szCs w:val="13"/>
                <w:b w:val="1"/>
                <w:bCs w:val="1"/>
                <w:color w:val="auto"/>
              </w:rPr>
              <w:t>n.a.</w:t>
            </w:r>
          </w:p>
        </w:tc>
        <w:tc>
          <w:tcPr>
            <w:tcW w:w="760" w:type="dxa"/>
            <w:vAlign w:val="bottom"/>
            <w:tcBorders>
              <w:right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-12.9%</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 w:type="dxa"/>
            <w:vAlign w:val="bottom"/>
            <w:tcBorders>
              <w:right w:val="single" w:sz="8" w:color="auto"/>
            </w:tcBorders>
          </w:tcPr>
          <w:p>
            <w:pPr>
              <w:spacing w:after="0"/>
              <w:rPr>
                <w:sz w:val="12"/>
                <w:szCs w:val="12"/>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Fee income</w:t>
            </w:r>
          </w:p>
        </w:tc>
        <w:tc>
          <w:tcPr>
            <w:tcW w:w="11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376"/>
              <w:spacing w:after="0"/>
              <w:rPr>
                <w:sz w:val="20"/>
                <w:szCs w:val="20"/>
                <w:color w:val="auto"/>
              </w:rPr>
            </w:pPr>
            <w:r>
              <w:rPr>
                <w:rFonts w:ascii="Arial" w:cs="Arial" w:eastAsia="Arial" w:hAnsi="Arial"/>
                <w:sz w:val="13"/>
                <w:szCs w:val="13"/>
                <w:color w:val="auto"/>
              </w:rPr>
              <w:t>94,527</w:t>
            </w:r>
          </w:p>
        </w:tc>
        <w:tc>
          <w:tcPr>
            <w:tcW w:w="1000" w:type="dxa"/>
            <w:vAlign w:val="bottom"/>
          </w:tcPr>
          <w:p>
            <w:pPr>
              <w:jc w:val="center"/>
              <w:ind w:right="256"/>
              <w:spacing w:after="0"/>
              <w:rPr>
                <w:sz w:val="20"/>
                <w:szCs w:val="20"/>
                <w:color w:val="auto"/>
              </w:rPr>
            </w:pPr>
            <w:r>
              <w:rPr>
                <w:rFonts w:ascii="Arial" w:cs="Arial" w:eastAsia="Arial" w:hAnsi="Arial"/>
                <w:sz w:val="13"/>
                <w:szCs w:val="13"/>
                <w:color w:val="auto"/>
              </w:rPr>
              <w:t>88,102</w:t>
            </w:r>
          </w:p>
        </w:tc>
        <w:tc>
          <w:tcPr>
            <w:tcW w:w="880" w:type="dxa"/>
            <w:vAlign w:val="bottom"/>
            <w:tcBorders>
              <w:right w:val="single" w:sz="8" w:color="auto"/>
            </w:tcBorders>
            <w:gridSpan w:val="2"/>
          </w:tcPr>
          <w:p>
            <w:pPr>
              <w:jc w:val="center"/>
              <w:ind w:right="115"/>
              <w:spacing w:after="0"/>
              <w:rPr>
                <w:sz w:val="20"/>
                <w:szCs w:val="20"/>
                <w:color w:val="auto"/>
              </w:rPr>
            </w:pPr>
            <w:r>
              <w:rPr>
                <w:rFonts w:ascii="Arial" w:cs="Arial" w:eastAsia="Arial" w:hAnsi="Arial"/>
                <w:sz w:val="13"/>
                <w:szCs w:val="13"/>
                <w:color w:val="auto"/>
              </w:rPr>
              <w:t>94,072</w:t>
            </w:r>
          </w:p>
        </w:tc>
        <w:tc>
          <w:tcPr>
            <w:tcW w:w="280" w:type="dxa"/>
            <w:vAlign w:val="bottom"/>
          </w:tcPr>
          <w:p>
            <w:pPr>
              <w:spacing w:after="0"/>
              <w:rPr>
                <w:sz w:val="12"/>
                <w:szCs w:val="12"/>
                <w:color w:val="auto"/>
              </w:rPr>
            </w:pPr>
          </w:p>
        </w:tc>
        <w:tc>
          <w:tcPr>
            <w:tcW w:w="980" w:type="dxa"/>
            <w:vAlign w:val="bottom"/>
          </w:tcPr>
          <w:p>
            <w:pPr>
              <w:jc w:val="right"/>
              <w:ind w:right="556"/>
              <w:spacing w:after="0"/>
              <w:rPr>
                <w:sz w:val="20"/>
                <w:szCs w:val="20"/>
                <w:color w:val="auto"/>
              </w:rPr>
            </w:pPr>
            <w:r>
              <w:rPr>
                <w:rFonts w:ascii="Arial" w:cs="Arial" w:eastAsia="Arial" w:hAnsi="Arial"/>
                <w:sz w:val="13"/>
                <w:szCs w:val="13"/>
                <w:color w:val="auto"/>
              </w:rPr>
              <w:t>6.8%</w:t>
            </w:r>
          </w:p>
        </w:tc>
        <w:tc>
          <w:tcPr>
            <w:tcW w:w="760" w:type="dxa"/>
            <w:vAlign w:val="bottom"/>
            <w:tcBorders>
              <w:right w:val="single" w:sz="8" w:color="auto"/>
            </w:tcBorders>
          </w:tcPr>
          <w:p>
            <w:pPr>
              <w:jc w:val="right"/>
              <w:ind w:right="276"/>
              <w:spacing w:after="0"/>
              <w:rPr>
                <w:sz w:val="20"/>
                <w:szCs w:val="20"/>
                <w:color w:val="auto"/>
              </w:rPr>
            </w:pPr>
            <w:r>
              <w:rPr>
                <w:rFonts w:ascii="Arial" w:cs="Arial" w:eastAsia="Arial" w:hAnsi="Arial"/>
                <w:sz w:val="13"/>
                <w:szCs w:val="13"/>
                <w:color w:val="auto"/>
              </w:rPr>
              <w:t>-0.5%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Borders>
              <w:right w:val="single" w:sz="8" w:color="auto"/>
            </w:tcBorders>
          </w:tcPr>
          <w:p>
            <w:pPr>
              <w:spacing w:after="0"/>
              <w:rPr>
                <w:sz w:val="12"/>
                <w:szCs w:val="12"/>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Net gain (loss) on securities</w:t>
            </w:r>
          </w:p>
        </w:tc>
        <w:tc>
          <w:tcPr>
            <w:tcW w:w="11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376"/>
              <w:spacing w:after="0"/>
              <w:rPr>
                <w:sz w:val="20"/>
                <w:szCs w:val="20"/>
                <w:color w:val="auto"/>
              </w:rPr>
            </w:pPr>
            <w:r>
              <w:rPr>
                <w:rFonts w:ascii="Arial" w:cs="Arial" w:eastAsia="Arial" w:hAnsi="Arial"/>
                <w:sz w:val="13"/>
                <w:szCs w:val="13"/>
                <w:color w:val="auto"/>
                <w:w w:val="98"/>
              </w:rPr>
              <w:t>6,548</w:t>
            </w:r>
          </w:p>
        </w:tc>
        <w:tc>
          <w:tcPr>
            <w:tcW w:w="1000" w:type="dxa"/>
            <w:vAlign w:val="bottom"/>
          </w:tcPr>
          <w:p>
            <w:pPr>
              <w:jc w:val="center"/>
              <w:ind w:right="256"/>
              <w:spacing w:after="0"/>
              <w:rPr>
                <w:sz w:val="20"/>
                <w:szCs w:val="20"/>
                <w:color w:val="auto"/>
              </w:rPr>
            </w:pPr>
            <w:r>
              <w:rPr>
                <w:rFonts w:ascii="Arial" w:cs="Arial" w:eastAsia="Arial" w:hAnsi="Arial"/>
                <w:sz w:val="13"/>
                <w:szCs w:val="13"/>
                <w:color w:val="auto"/>
                <w:w w:val="97"/>
              </w:rPr>
              <w:t>(2,115)</w:t>
            </w:r>
          </w:p>
        </w:tc>
        <w:tc>
          <w:tcPr>
            <w:tcW w:w="880" w:type="dxa"/>
            <w:vAlign w:val="bottom"/>
            <w:tcBorders>
              <w:right w:val="single" w:sz="8" w:color="auto"/>
            </w:tcBorders>
            <w:gridSpan w:val="2"/>
          </w:tcPr>
          <w:p>
            <w:pPr>
              <w:jc w:val="center"/>
              <w:ind w:right="115"/>
              <w:spacing w:after="0"/>
              <w:rPr>
                <w:sz w:val="20"/>
                <w:szCs w:val="20"/>
                <w:color w:val="auto"/>
              </w:rPr>
            </w:pPr>
            <w:r>
              <w:rPr>
                <w:rFonts w:ascii="Arial" w:cs="Arial" w:eastAsia="Arial" w:hAnsi="Arial"/>
                <w:sz w:val="13"/>
                <w:szCs w:val="13"/>
                <w:color w:val="auto"/>
              </w:rPr>
              <w:t>(7,380)</w:t>
            </w:r>
          </w:p>
        </w:tc>
        <w:tc>
          <w:tcPr>
            <w:tcW w:w="28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3"/>
                <w:szCs w:val="13"/>
                <w:color w:val="auto"/>
              </w:rPr>
              <w:t>n.a.</w:t>
            </w:r>
          </w:p>
        </w:tc>
        <w:tc>
          <w:tcPr>
            <w:tcW w:w="760" w:type="dxa"/>
            <w:vAlign w:val="bottom"/>
            <w:tcBorders>
              <w:right w:val="single" w:sz="8" w:color="auto"/>
            </w:tcBorders>
          </w:tcPr>
          <w:p>
            <w:pPr>
              <w:jc w:val="center"/>
              <w:ind w:right="236"/>
              <w:spacing w:after="0"/>
              <w:rPr>
                <w:sz w:val="20"/>
                <w:szCs w:val="20"/>
                <w:color w:val="auto"/>
              </w:rPr>
            </w:pPr>
            <w:r>
              <w:rPr>
                <w:rFonts w:ascii="Arial" w:cs="Arial" w:eastAsia="Arial" w:hAnsi="Arial"/>
                <w:sz w:val="13"/>
                <w:szCs w:val="13"/>
                <w:color w:val="auto"/>
              </w:rPr>
              <w:t>n.a.</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Borders>
              <w:right w:val="single" w:sz="8" w:color="auto"/>
            </w:tcBorders>
          </w:tcPr>
          <w:p>
            <w:pPr>
              <w:spacing w:after="0"/>
              <w:rPr>
                <w:sz w:val="12"/>
                <w:szCs w:val="12"/>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Net gain (loss) from exchange differences</w:t>
            </w:r>
          </w:p>
        </w:tc>
        <w:tc>
          <w:tcPr>
            <w:tcW w:w="11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376"/>
              <w:spacing w:after="0"/>
              <w:rPr>
                <w:sz w:val="20"/>
                <w:szCs w:val="20"/>
                <w:color w:val="auto"/>
              </w:rPr>
            </w:pPr>
            <w:r>
              <w:rPr>
                <w:rFonts w:ascii="Arial" w:cs="Arial" w:eastAsia="Arial" w:hAnsi="Arial"/>
                <w:sz w:val="13"/>
                <w:szCs w:val="13"/>
                <w:color w:val="auto"/>
              </w:rPr>
              <w:t>(257)</w:t>
            </w:r>
          </w:p>
        </w:tc>
        <w:tc>
          <w:tcPr>
            <w:tcW w:w="1000" w:type="dxa"/>
            <w:vAlign w:val="bottom"/>
          </w:tcPr>
          <w:p>
            <w:pPr>
              <w:jc w:val="center"/>
              <w:ind w:right="256"/>
              <w:spacing w:after="0"/>
              <w:rPr>
                <w:sz w:val="20"/>
                <w:szCs w:val="20"/>
                <w:color w:val="auto"/>
              </w:rPr>
            </w:pPr>
            <w:r>
              <w:rPr>
                <w:rFonts w:ascii="Arial" w:cs="Arial" w:eastAsia="Arial" w:hAnsi="Arial"/>
                <w:sz w:val="13"/>
                <w:szCs w:val="13"/>
                <w:color w:val="auto"/>
              </w:rPr>
              <w:t>(32)</w:t>
            </w:r>
          </w:p>
        </w:tc>
        <w:tc>
          <w:tcPr>
            <w:tcW w:w="880" w:type="dxa"/>
            <w:vAlign w:val="bottom"/>
            <w:tcBorders>
              <w:right w:val="single" w:sz="8" w:color="auto"/>
            </w:tcBorders>
            <w:gridSpan w:val="2"/>
          </w:tcPr>
          <w:p>
            <w:pPr>
              <w:jc w:val="center"/>
              <w:ind w:right="115"/>
              <w:spacing w:after="0"/>
              <w:rPr>
                <w:sz w:val="20"/>
                <w:szCs w:val="20"/>
                <w:color w:val="auto"/>
              </w:rPr>
            </w:pPr>
            <w:r>
              <w:rPr>
                <w:rFonts w:ascii="Arial" w:cs="Arial" w:eastAsia="Arial" w:hAnsi="Arial"/>
                <w:sz w:val="13"/>
                <w:szCs w:val="13"/>
                <w:color w:val="auto"/>
              </w:rPr>
              <w:t>250</w:t>
            </w:r>
          </w:p>
        </w:tc>
        <w:tc>
          <w:tcPr>
            <w:tcW w:w="28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3"/>
                <w:szCs w:val="13"/>
                <w:color w:val="auto"/>
              </w:rPr>
              <w:t>n.a.</w:t>
            </w:r>
          </w:p>
        </w:tc>
        <w:tc>
          <w:tcPr>
            <w:tcW w:w="760" w:type="dxa"/>
            <w:vAlign w:val="bottom"/>
            <w:tcBorders>
              <w:right w:val="single" w:sz="8" w:color="auto"/>
            </w:tcBorders>
          </w:tcPr>
          <w:p>
            <w:pPr>
              <w:jc w:val="center"/>
              <w:ind w:right="236"/>
              <w:spacing w:after="0"/>
              <w:rPr>
                <w:sz w:val="20"/>
                <w:szCs w:val="20"/>
                <w:color w:val="auto"/>
              </w:rPr>
            </w:pPr>
            <w:r>
              <w:rPr>
                <w:rFonts w:ascii="Arial" w:cs="Arial" w:eastAsia="Arial" w:hAnsi="Arial"/>
                <w:sz w:val="13"/>
                <w:szCs w:val="13"/>
                <w:color w:val="auto"/>
              </w:rPr>
              <w:t>n.a.</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Borders>
              <w:right w:val="single" w:sz="8" w:color="auto"/>
            </w:tcBorders>
          </w:tcPr>
          <w:p>
            <w:pPr>
              <w:spacing w:after="0"/>
              <w:rPr>
                <w:sz w:val="12"/>
                <w:szCs w:val="12"/>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Other income</w:t>
            </w:r>
          </w:p>
        </w:tc>
        <w:tc>
          <w:tcPr>
            <w:tcW w:w="11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376"/>
              <w:spacing w:after="0"/>
              <w:rPr>
                <w:sz w:val="20"/>
                <w:szCs w:val="20"/>
                <w:color w:val="auto"/>
              </w:rPr>
            </w:pPr>
            <w:r>
              <w:rPr>
                <w:rFonts w:ascii="Arial" w:cs="Arial" w:eastAsia="Arial" w:hAnsi="Arial"/>
                <w:sz w:val="13"/>
                <w:szCs w:val="13"/>
                <w:color w:val="auto"/>
              </w:rPr>
              <w:t>175</w:t>
            </w:r>
          </w:p>
        </w:tc>
        <w:tc>
          <w:tcPr>
            <w:tcW w:w="1000" w:type="dxa"/>
            <w:vAlign w:val="bottom"/>
          </w:tcPr>
          <w:p>
            <w:pPr>
              <w:jc w:val="center"/>
              <w:ind w:right="256"/>
              <w:spacing w:after="0"/>
              <w:rPr>
                <w:sz w:val="20"/>
                <w:szCs w:val="20"/>
                <w:color w:val="auto"/>
              </w:rPr>
            </w:pPr>
            <w:r>
              <w:rPr>
                <w:rFonts w:ascii="Arial" w:cs="Arial" w:eastAsia="Arial" w:hAnsi="Arial"/>
                <w:sz w:val="13"/>
                <w:szCs w:val="13"/>
                <w:color w:val="auto"/>
                <w:w w:val="98"/>
              </w:rPr>
              <w:t>5,628</w:t>
            </w:r>
          </w:p>
        </w:tc>
        <w:tc>
          <w:tcPr>
            <w:tcW w:w="880" w:type="dxa"/>
            <w:vAlign w:val="bottom"/>
            <w:tcBorders>
              <w:right w:val="single" w:sz="8" w:color="auto"/>
            </w:tcBorders>
            <w:gridSpan w:val="2"/>
          </w:tcPr>
          <w:p>
            <w:pPr>
              <w:jc w:val="center"/>
              <w:ind w:right="115"/>
              <w:spacing w:after="0"/>
              <w:rPr>
                <w:sz w:val="20"/>
                <w:szCs w:val="20"/>
                <w:color w:val="auto"/>
              </w:rPr>
            </w:pPr>
            <w:r>
              <w:rPr>
                <w:rFonts w:ascii="Arial" w:cs="Arial" w:eastAsia="Arial" w:hAnsi="Arial"/>
                <w:sz w:val="13"/>
                <w:szCs w:val="13"/>
                <w:color w:val="auto"/>
              </w:rPr>
              <w:t>206</w:t>
            </w:r>
          </w:p>
        </w:tc>
        <w:tc>
          <w:tcPr>
            <w:tcW w:w="280" w:type="dxa"/>
            <w:vAlign w:val="bottom"/>
          </w:tcPr>
          <w:p>
            <w:pPr>
              <w:spacing w:after="0"/>
              <w:rPr>
                <w:sz w:val="12"/>
                <w:szCs w:val="12"/>
                <w:color w:val="auto"/>
              </w:rPr>
            </w:pPr>
          </w:p>
        </w:tc>
        <w:tc>
          <w:tcPr>
            <w:tcW w:w="980" w:type="dxa"/>
            <w:vAlign w:val="bottom"/>
          </w:tcPr>
          <w:p>
            <w:pPr>
              <w:jc w:val="right"/>
              <w:ind w:right="476"/>
              <w:spacing w:after="0"/>
              <w:rPr>
                <w:sz w:val="20"/>
                <w:szCs w:val="20"/>
                <w:color w:val="auto"/>
              </w:rPr>
            </w:pPr>
            <w:r>
              <w:rPr>
                <w:rFonts w:ascii="Arial" w:cs="Arial" w:eastAsia="Arial" w:hAnsi="Arial"/>
                <w:sz w:val="13"/>
                <w:szCs w:val="13"/>
                <w:color w:val="auto"/>
              </w:rPr>
              <w:t>-96.3%</w:t>
            </w:r>
          </w:p>
        </w:tc>
        <w:tc>
          <w:tcPr>
            <w:tcW w:w="760" w:type="dxa"/>
            <w:vAlign w:val="bottom"/>
            <w:tcBorders>
              <w:right w:val="single" w:sz="8" w:color="auto"/>
            </w:tcBorders>
          </w:tcPr>
          <w:p>
            <w:pPr>
              <w:jc w:val="right"/>
              <w:ind w:right="276"/>
              <w:spacing w:after="0"/>
              <w:rPr>
                <w:sz w:val="20"/>
                <w:szCs w:val="20"/>
                <w:color w:val="auto"/>
              </w:rPr>
            </w:pPr>
            <w:r>
              <w:rPr>
                <w:rFonts w:ascii="Arial" w:cs="Arial" w:eastAsia="Arial" w:hAnsi="Arial"/>
                <w:sz w:val="13"/>
                <w:szCs w:val="13"/>
                <w:color w:val="auto"/>
              </w:rPr>
              <w:t>17.7%</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 w:type="dxa"/>
            <w:vAlign w:val="bottom"/>
            <w:tcBorders>
              <w:right w:val="single" w:sz="8" w:color="auto"/>
            </w:tcBorders>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Salaries and employee benefits</w:t>
            </w:r>
          </w:p>
        </w:tc>
        <w:tc>
          <w:tcPr>
            <w:tcW w:w="118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16"/>
              <w:spacing w:after="0"/>
              <w:rPr>
                <w:sz w:val="20"/>
                <w:szCs w:val="20"/>
                <w:color w:val="auto"/>
              </w:rPr>
            </w:pPr>
            <w:r>
              <w:rPr>
                <w:rFonts w:ascii="Arial" w:cs="Arial" w:eastAsia="Arial" w:hAnsi="Arial"/>
                <w:sz w:val="13"/>
                <w:szCs w:val="13"/>
                <w:color w:val="auto"/>
                <w:w w:val="99"/>
              </w:rPr>
              <w:t>(22,962)</w:t>
            </w:r>
          </w:p>
        </w:tc>
        <w:tc>
          <w:tcPr>
            <w:tcW w:w="1000" w:type="dxa"/>
            <w:vAlign w:val="bottom"/>
          </w:tcPr>
          <w:p>
            <w:pPr>
              <w:jc w:val="center"/>
              <w:ind w:right="236"/>
              <w:spacing w:after="0"/>
              <w:rPr>
                <w:sz w:val="20"/>
                <w:szCs w:val="20"/>
                <w:color w:val="auto"/>
              </w:rPr>
            </w:pPr>
            <w:r>
              <w:rPr>
                <w:rFonts w:ascii="Arial" w:cs="Arial" w:eastAsia="Arial" w:hAnsi="Arial"/>
                <w:sz w:val="13"/>
                <w:szCs w:val="13"/>
                <w:color w:val="auto"/>
              </w:rPr>
              <w:t>(29,371)</w:t>
            </w:r>
          </w:p>
        </w:tc>
        <w:tc>
          <w:tcPr>
            <w:tcW w:w="880" w:type="dxa"/>
            <w:vAlign w:val="bottom"/>
            <w:tcBorders>
              <w:right w:val="single" w:sz="8" w:color="auto"/>
            </w:tcBorders>
            <w:gridSpan w:val="2"/>
          </w:tcPr>
          <w:p>
            <w:pPr>
              <w:jc w:val="center"/>
              <w:ind w:right="115"/>
              <w:spacing w:after="0"/>
              <w:rPr>
                <w:sz w:val="20"/>
                <w:szCs w:val="20"/>
                <w:color w:val="auto"/>
              </w:rPr>
            </w:pPr>
            <w:r>
              <w:rPr>
                <w:rFonts w:ascii="Arial" w:cs="Arial" w:eastAsia="Arial" w:hAnsi="Arial"/>
                <w:sz w:val="13"/>
                <w:szCs w:val="13"/>
                <w:color w:val="auto"/>
              </w:rPr>
              <w:t>(23,431)</w:t>
            </w:r>
          </w:p>
        </w:tc>
        <w:tc>
          <w:tcPr>
            <w:tcW w:w="280" w:type="dxa"/>
            <w:vAlign w:val="bottom"/>
          </w:tcPr>
          <w:p>
            <w:pPr>
              <w:spacing w:after="0"/>
              <w:rPr>
                <w:sz w:val="14"/>
                <w:szCs w:val="14"/>
                <w:color w:val="auto"/>
              </w:rPr>
            </w:pPr>
          </w:p>
        </w:tc>
        <w:tc>
          <w:tcPr>
            <w:tcW w:w="980" w:type="dxa"/>
            <w:vAlign w:val="bottom"/>
          </w:tcPr>
          <w:p>
            <w:pPr>
              <w:jc w:val="right"/>
              <w:ind w:right="476"/>
              <w:spacing w:after="0"/>
              <w:rPr>
                <w:sz w:val="20"/>
                <w:szCs w:val="20"/>
                <w:color w:val="auto"/>
              </w:rPr>
            </w:pPr>
            <w:r>
              <w:rPr>
                <w:rFonts w:ascii="Arial" w:cs="Arial" w:eastAsia="Arial" w:hAnsi="Arial"/>
                <w:sz w:val="13"/>
                <w:szCs w:val="13"/>
                <w:color w:val="auto"/>
              </w:rPr>
              <w:t>-20.2%</w:t>
            </w:r>
          </w:p>
        </w:tc>
        <w:tc>
          <w:tcPr>
            <w:tcW w:w="760" w:type="dxa"/>
            <w:vAlign w:val="bottom"/>
            <w:tcBorders>
              <w:right w:val="single" w:sz="8" w:color="auto"/>
            </w:tcBorders>
          </w:tcPr>
          <w:p>
            <w:pPr>
              <w:jc w:val="center"/>
              <w:ind w:right="216"/>
              <w:spacing w:after="0"/>
              <w:rPr>
                <w:sz w:val="20"/>
                <w:szCs w:val="20"/>
                <w:color w:val="auto"/>
              </w:rPr>
            </w:pPr>
            <w:r>
              <w:rPr>
                <w:rFonts w:ascii="Arial" w:cs="Arial" w:eastAsia="Arial" w:hAnsi="Arial"/>
                <w:sz w:val="13"/>
                <w:szCs w:val="13"/>
                <w:color w:val="auto"/>
              </w:rPr>
              <w:t>2.0%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 w:type="dxa"/>
            <w:vAlign w:val="bottom"/>
            <w:tcBorders>
              <w:right w:val="single" w:sz="8" w:color="auto"/>
            </w:tcBorders>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Administrative expenses</w:t>
            </w:r>
          </w:p>
        </w:tc>
        <w:tc>
          <w:tcPr>
            <w:tcW w:w="118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336"/>
              <w:spacing w:after="0"/>
              <w:rPr>
                <w:sz w:val="20"/>
                <w:szCs w:val="20"/>
                <w:color w:val="auto"/>
              </w:rPr>
            </w:pPr>
            <w:r>
              <w:rPr>
                <w:rFonts w:ascii="Arial" w:cs="Arial" w:eastAsia="Arial" w:hAnsi="Arial"/>
                <w:sz w:val="13"/>
                <w:szCs w:val="13"/>
                <w:color w:val="auto"/>
                <w:w w:val="99"/>
              </w:rPr>
              <w:t>(18,535)</w:t>
            </w:r>
          </w:p>
        </w:tc>
        <w:tc>
          <w:tcPr>
            <w:tcW w:w="1000" w:type="dxa"/>
            <w:vAlign w:val="bottom"/>
          </w:tcPr>
          <w:p>
            <w:pPr>
              <w:jc w:val="center"/>
              <w:ind w:right="256"/>
              <w:spacing w:after="0"/>
              <w:rPr>
                <w:sz w:val="20"/>
                <w:szCs w:val="20"/>
                <w:color w:val="auto"/>
              </w:rPr>
            </w:pPr>
            <w:r>
              <w:rPr>
                <w:rFonts w:ascii="Arial" w:cs="Arial" w:eastAsia="Arial" w:hAnsi="Arial"/>
                <w:sz w:val="13"/>
                <w:szCs w:val="13"/>
                <w:color w:val="auto"/>
              </w:rPr>
              <w:t>(20,545)</w:t>
            </w:r>
          </w:p>
        </w:tc>
        <w:tc>
          <w:tcPr>
            <w:tcW w:w="880" w:type="dxa"/>
            <w:vAlign w:val="bottom"/>
            <w:tcBorders>
              <w:right w:val="single" w:sz="8" w:color="auto"/>
            </w:tcBorders>
            <w:gridSpan w:val="2"/>
          </w:tcPr>
          <w:p>
            <w:pPr>
              <w:jc w:val="center"/>
              <w:ind w:right="115"/>
              <w:spacing w:after="0"/>
              <w:rPr>
                <w:sz w:val="20"/>
                <w:szCs w:val="20"/>
                <w:color w:val="auto"/>
              </w:rPr>
            </w:pPr>
            <w:r>
              <w:rPr>
                <w:rFonts w:ascii="Arial" w:cs="Arial" w:eastAsia="Arial" w:hAnsi="Arial"/>
                <w:sz w:val="13"/>
                <w:szCs w:val="13"/>
                <w:color w:val="auto"/>
              </w:rPr>
              <w:t>(21,577)</w:t>
            </w:r>
          </w:p>
        </w:tc>
        <w:tc>
          <w:tcPr>
            <w:tcW w:w="280" w:type="dxa"/>
            <w:vAlign w:val="bottom"/>
          </w:tcPr>
          <w:p>
            <w:pPr>
              <w:spacing w:after="0"/>
              <w:rPr>
                <w:sz w:val="14"/>
                <w:szCs w:val="14"/>
                <w:color w:val="auto"/>
              </w:rPr>
            </w:pPr>
          </w:p>
        </w:tc>
        <w:tc>
          <w:tcPr>
            <w:tcW w:w="980" w:type="dxa"/>
            <w:vAlign w:val="bottom"/>
          </w:tcPr>
          <w:p>
            <w:pPr>
              <w:jc w:val="right"/>
              <w:ind w:right="556"/>
              <w:spacing w:after="0"/>
              <w:rPr>
                <w:sz w:val="20"/>
                <w:szCs w:val="20"/>
                <w:color w:val="auto"/>
              </w:rPr>
            </w:pPr>
            <w:r>
              <w:rPr>
                <w:rFonts w:ascii="Arial" w:cs="Arial" w:eastAsia="Arial" w:hAnsi="Arial"/>
                <w:sz w:val="13"/>
                <w:szCs w:val="13"/>
                <w:color w:val="auto"/>
              </w:rPr>
              <w:t>5.0%</w:t>
            </w:r>
          </w:p>
        </w:tc>
        <w:tc>
          <w:tcPr>
            <w:tcW w:w="760" w:type="dxa"/>
            <w:vAlign w:val="bottom"/>
            <w:tcBorders>
              <w:right w:val="single" w:sz="8" w:color="auto"/>
            </w:tcBorders>
          </w:tcPr>
          <w:p>
            <w:pPr>
              <w:jc w:val="right"/>
              <w:ind w:right="256"/>
              <w:spacing w:after="0"/>
              <w:rPr>
                <w:sz w:val="20"/>
                <w:szCs w:val="20"/>
                <w:color w:val="auto"/>
              </w:rPr>
            </w:pPr>
            <w:r>
              <w:rPr>
                <w:rFonts w:ascii="Arial" w:cs="Arial" w:eastAsia="Arial" w:hAnsi="Arial"/>
                <w:sz w:val="13"/>
                <w:szCs w:val="13"/>
                <w:color w:val="auto"/>
              </w:rPr>
              <w:t>16.4%</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Borders>
              <w:right w:val="single" w:sz="8" w:color="auto"/>
            </w:tcBorders>
          </w:tcPr>
          <w:p>
            <w:pPr>
              <w:spacing w:after="0"/>
              <w:rPr>
                <w:sz w:val="12"/>
                <w:szCs w:val="12"/>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1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56"/>
              <w:spacing w:after="0"/>
              <w:rPr>
                <w:sz w:val="20"/>
                <w:szCs w:val="20"/>
                <w:color w:val="auto"/>
              </w:rPr>
            </w:pPr>
            <w:r>
              <w:rPr>
                <w:rFonts w:ascii="Arial" w:cs="Arial" w:eastAsia="Arial" w:hAnsi="Arial"/>
                <w:sz w:val="13"/>
                <w:szCs w:val="13"/>
                <w:color w:val="auto"/>
              </w:rPr>
              <w:t>(6,606)</w:t>
            </w:r>
          </w:p>
        </w:tc>
        <w:tc>
          <w:tcPr>
            <w:tcW w:w="1000" w:type="dxa"/>
            <w:vAlign w:val="bottom"/>
          </w:tcPr>
          <w:p>
            <w:pPr>
              <w:jc w:val="center"/>
              <w:ind w:right="256"/>
              <w:spacing w:after="0"/>
              <w:rPr>
                <w:sz w:val="20"/>
                <w:szCs w:val="20"/>
                <w:color w:val="auto"/>
              </w:rPr>
            </w:pPr>
            <w:r>
              <w:rPr>
                <w:rFonts w:ascii="Arial" w:cs="Arial" w:eastAsia="Arial" w:hAnsi="Arial"/>
                <w:sz w:val="13"/>
                <w:szCs w:val="13"/>
                <w:color w:val="auto"/>
              </w:rPr>
              <w:t>(6,612)</w:t>
            </w:r>
          </w:p>
        </w:tc>
        <w:tc>
          <w:tcPr>
            <w:tcW w:w="880" w:type="dxa"/>
            <w:vAlign w:val="bottom"/>
            <w:tcBorders>
              <w:right w:val="single" w:sz="8" w:color="auto"/>
            </w:tcBorders>
            <w:gridSpan w:val="2"/>
          </w:tcPr>
          <w:p>
            <w:pPr>
              <w:jc w:val="center"/>
              <w:ind w:right="115"/>
              <w:spacing w:after="0"/>
              <w:rPr>
                <w:sz w:val="20"/>
                <w:szCs w:val="20"/>
                <w:color w:val="auto"/>
              </w:rPr>
            </w:pPr>
            <w:r>
              <w:rPr>
                <w:rFonts w:ascii="Arial" w:cs="Arial" w:eastAsia="Arial" w:hAnsi="Arial"/>
                <w:sz w:val="13"/>
                <w:szCs w:val="13"/>
                <w:color w:val="auto"/>
              </w:rPr>
              <w:t>(6,870)</w:t>
            </w:r>
          </w:p>
        </w:tc>
        <w:tc>
          <w:tcPr>
            <w:tcW w:w="280" w:type="dxa"/>
            <w:vAlign w:val="bottom"/>
          </w:tcPr>
          <w:p>
            <w:pPr>
              <w:spacing w:after="0"/>
              <w:rPr>
                <w:sz w:val="12"/>
                <w:szCs w:val="12"/>
                <w:color w:val="auto"/>
              </w:rPr>
            </w:pPr>
          </w:p>
        </w:tc>
        <w:tc>
          <w:tcPr>
            <w:tcW w:w="980" w:type="dxa"/>
            <w:vAlign w:val="bottom"/>
          </w:tcPr>
          <w:p>
            <w:pPr>
              <w:jc w:val="right"/>
              <w:ind w:right="556"/>
              <w:spacing w:after="0"/>
              <w:rPr>
                <w:sz w:val="20"/>
                <w:szCs w:val="20"/>
                <w:color w:val="auto"/>
              </w:rPr>
            </w:pPr>
            <w:r>
              <w:rPr>
                <w:rFonts w:ascii="Arial" w:cs="Arial" w:eastAsia="Arial" w:hAnsi="Arial"/>
                <w:sz w:val="13"/>
                <w:szCs w:val="13"/>
                <w:color w:val="auto"/>
              </w:rPr>
              <w:t>3.9%</w:t>
            </w:r>
          </w:p>
        </w:tc>
        <w:tc>
          <w:tcPr>
            <w:tcW w:w="760" w:type="dxa"/>
            <w:vAlign w:val="bottom"/>
            <w:tcBorders>
              <w:right w:val="single" w:sz="8" w:color="auto"/>
            </w:tcBorders>
          </w:tcPr>
          <w:p>
            <w:pPr>
              <w:jc w:val="center"/>
              <w:ind w:right="216"/>
              <w:spacing w:after="0"/>
              <w:rPr>
                <w:sz w:val="20"/>
                <w:szCs w:val="20"/>
                <w:color w:val="auto"/>
              </w:rPr>
            </w:pPr>
            <w:r>
              <w:rPr>
                <w:rFonts w:ascii="Arial" w:cs="Arial" w:eastAsia="Arial" w:hAnsi="Arial"/>
                <w:sz w:val="13"/>
                <w:szCs w:val="13"/>
                <w:color w:val="auto"/>
              </w:rPr>
              <w:t>4.0%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0" w:type="dxa"/>
            <w:vAlign w:val="bottom"/>
            <w:tcBorders>
              <w:right w:val="single" w:sz="8" w:color="auto"/>
            </w:tcBorders>
          </w:tcPr>
          <w:p>
            <w:pPr>
              <w:spacing w:after="0"/>
              <w:rPr>
                <w:sz w:val="12"/>
                <w:szCs w:val="12"/>
                <w:color w:val="auto"/>
              </w:rPr>
            </w:pPr>
          </w:p>
        </w:tc>
        <w:tc>
          <w:tcPr>
            <w:tcW w:w="3700" w:type="dxa"/>
            <w:vAlign w:val="bottom"/>
          </w:tcPr>
          <w:p>
            <w:pPr>
              <w:spacing w:after="0" w:line="147" w:lineRule="exact"/>
              <w:rPr>
                <w:sz w:val="20"/>
                <w:szCs w:val="20"/>
                <w:color w:val="auto"/>
              </w:rPr>
            </w:pPr>
            <w:r>
              <w:rPr>
                <w:rFonts w:ascii="Arial" w:cs="Arial" w:eastAsia="Arial" w:hAnsi="Arial"/>
                <w:sz w:val="13"/>
                <w:szCs w:val="13"/>
                <w:color w:val="auto"/>
              </w:rPr>
              <w:t>Other expenses</w:t>
            </w:r>
          </w:p>
        </w:tc>
        <w:tc>
          <w:tcPr>
            <w:tcW w:w="11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376"/>
              <w:spacing w:after="0" w:line="147" w:lineRule="exact"/>
              <w:rPr>
                <w:sz w:val="20"/>
                <w:szCs w:val="20"/>
                <w:color w:val="auto"/>
              </w:rPr>
            </w:pPr>
            <w:r>
              <w:rPr>
                <w:rFonts w:ascii="Arial" w:cs="Arial" w:eastAsia="Arial" w:hAnsi="Arial"/>
                <w:sz w:val="13"/>
                <w:szCs w:val="13"/>
                <w:color w:val="auto"/>
              </w:rPr>
              <w:t>(329)</w:t>
            </w:r>
          </w:p>
        </w:tc>
        <w:tc>
          <w:tcPr>
            <w:tcW w:w="1000" w:type="dxa"/>
            <w:vAlign w:val="bottom"/>
          </w:tcPr>
          <w:p>
            <w:pPr>
              <w:jc w:val="center"/>
              <w:ind w:right="256"/>
              <w:spacing w:after="0" w:line="147" w:lineRule="exact"/>
              <w:rPr>
                <w:sz w:val="20"/>
                <w:szCs w:val="20"/>
                <w:color w:val="auto"/>
              </w:rPr>
            </w:pPr>
            <w:r>
              <w:rPr>
                <w:rFonts w:ascii="Arial" w:cs="Arial" w:eastAsia="Arial" w:hAnsi="Arial"/>
                <w:sz w:val="13"/>
                <w:szCs w:val="13"/>
                <w:color w:val="auto"/>
              </w:rPr>
              <w:t>(71)</w:t>
            </w:r>
          </w:p>
        </w:tc>
        <w:tc>
          <w:tcPr>
            <w:tcW w:w="880" w:type="dxa"/>
            <w:vAlign w:val="bottom"/>
            <w:tcBorders>
              <w:right w:val="single" w:sz="8" w:color="auto"/>
            </w:tcBorders>
            <w:gridSpan w:val="2"/>
          </w:tcPr>
          <w:p>
            <w:pPr>
              <w:jc w:val="center"/>
              <w:ind w:right="115"/>
              <w:spacing w:after="0" w:line="147" w:lineRule="exact"/>
              <w:rPr>
                <w:sz w:val="20"/>
                <w:szCs w:val="20"/>
                <w:color w:val="auto"/>
              </w:rPr>
            </w:pPr>
            <w:r>
              <w:rPr>
                <w:rFonts w:ascii="Arial" w:cs="Arial" w:eastAsia="Arial" w:hAnsi="Arial"/>
                <w:sz w:val="13"/>
                <w:szCs w:val="13"/>
                <w:color w:val="auto"/>
                <w:w w:val="98"/>
              </w:rPr>
              <w:t>(165)</w:t>
            </w:r>
          </w:p>
        </w:tc>
        <w:tc>
          <w:tcPr>
            <w:tcW w:w="280" w:type="dxa"/>
            <w:vAlign w:val="bottom"/>
          </w:tcPr>
          <w:p>
            <w:pPr>
              <w:spacing w:after="0"/>
              <w:rPr>
                <w:sz w:val="12"/>
                <w:szCs w:val="12"/>
                <w:color w:val="auto"/>
              </w:rPr>
            </w:pPr>
          </w:p>
        </w:tc>
        <w:tc>
          <w:tcPr>
            <w:tcW w:w="980" w:type="dxa"/>
            <w:vAlign w:val="bottom"/>
          </w:tcPr>
          <w:p>
            <w:pPr>
              <w:ind w:left="80"/>
              <w:spacing w:after="0" w:line="147" w:lineRule="exact"/>
              <w:rPr>
                <w:sz w:val="20"/>
                <w:szCs w:val="20"/>
                <w:color w:val="auto"/>
              </w:rPr>
            </w:pPr>
            <w:r>
              <w:rPr>
                <w:rFonts w:ascii="Arial" w:cs="Arial" w:eastAsia="Arial" w:hAnsi="Arial"/>
                <w:sz w:val="13"/>
                <w:szCs w:val="13"/>
                <w:color w:val="auto"/>
              </w:rPr>
              <w:t>n.a.</w:t>
            </w:r>
          </w:p>
        </w:tc>
        <w:tc>
          <w:tcPr>
            <w:tcW w:w="760" w:type="dxa"/>
            <w:vAlign w:val="bottom"/>
            <w:tcBorders>
              <w:right w:val="single" w:sz="8" w:color="auto"/>
            </w:tcBorders>
          </w:tcPr>
          <w:p>
            <w:pPr>
              <w:jc w:val="center"/>
              <w:ind w:right="196"/>
              <w:spacing w:after="0" w:line="147" w:lineRule="exact"/>
              <w:rPr>
                <w:sz w:val="20"/>
                <w:szCs w:val="20"/>
                <w:color w:val="auto"/>
              </w:rPr>
            </w:pPr>
            <w:r>
              <w:rPr>
                <w:rFonts w:ascii="Arial" w:cs="Arial" w:eastAsia="Arial" w:hAnsi="Arial"/>
                <w:sz w:val="13"/>
                <w:szCs w:val="13"/>
                <w:color w:val="auto"/>
              </w:rPr>
              <w:t>-49.8%</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20" w:type="dxa"/>
            <w:vAlign w:val="bottom"/>
            <w:tcBorders>
              <w:right w:val="single" w:sz="8" w:color="auto"/>
            </w:tcBorders>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b w:val="1"/>
                <w:bCs w:val="1"/>
                <w:color w:val="auto"/>
              </w:rPr>
              <w:t>Profit before income tax</w:t>
            </w:r>
          </w:p>
        </w:tc>
        <w:tc>
          <w:tcPr>
            <w:tcW w:w="118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center"/>
              <w:ind w:right="376"/>
              <w:spacing w:after="0"/>
              <w:rPr>
                <w:sz w:val="20"/>
                <w:szCs w:val="20"/>
                <w:color w:val="auto"/>
              </w:rPr>
            </w:pPr>
            <w:r>
              <w:rPr>
                <w:rFonts w:ascii="Arial" w:cs="Arial" w:eastAsia="Arial" w:hAnsi="Arial"/>
                <w:sz w:val="13"/>
                <w:szCs w:val="13"/>
                <w:b w:val="1"/>
                <w:bCs w:val="1"/>
                <w:color w:val="auto"/>
              </w:rPr>
              <w:t>53,741</w:t>
            </w:r>
          </w:p>
        </w:tc>
        <w:tc>
          <w:tcPr>
            <w:tcW w:w="1000" w:type="dxa"/>
            <w:vAlign w:val="bottom"/>
          </w:tcPr>
          <w:p>
            <w:pPr>
              <w:jc w:val="center"/>
              <w:ind w:right="256"/>
              <w:spacing w:after="0"/>
              <w:rPr>
                <w:sz w:val="20"/>
                <w:szCs w:val="20"/>
                <w:color w:val="auto"/>
              </w:rPr>
            </w:pPr>
            <w:r>
              <w:rPr>
                <w:rFonts w:ascii="Arial" w:cs="Arial" w:eastAsia="Arial" w:hAnsi="Arial"/>
                <w:sz w:val="13"/>
                <w:szCs w:val="13"/>
                <w:b w:val="1"/>
                <w:bCs w:val="1"/>
                <w:color w:val="auto"/>
              </w:rPr>
              <w:t>34,988</w:t>
            </w:r>
          </w:p>
        </w:tc>
        <w:tc>
          <w:tcPr>
            <w:tcW w:w="880" w:type="dxa"/>
            <w:vAlign w:val="bottom"/>
            <w:tcBorders>
              <w:right w:val="single" w:sz="8" w:color="auto"/>
            </w:tcBorders>
            <w:gridSpan w:val="2"/>
          </w:tcPr>
          <w:p>
            <w:pPr>
              <w:jc w:val="center"/>
              <w:ind w:right="115"/>
              <w:spacing w:after="0"/>
              <w:rPr>
                <w:sz w:val="20"/>
                <w:szCs w:val="20"/>
                <w:color w:val="auto"/>
              </w:rPr>
            </w:pPr>
            <w:r>
              <w:rPr>
                <w:rFonts w:ascii="Arial" w:cs="Arial" w:eastAsia="Arial" w:hAnsi="Arial"/>
                <w:sz w:val="13"/>
                <w:szCs w:val="13"/>
                <w:b w:val="1"/>
                <w:bCs w:val="1"/>
                <w:color w:val="auto"/>
              </w:rPr>
              <w:t>36,133</w:t>
            </w:r>
          </w:p>
        </w:tc>
        <w:tc>
          <w:tcPr>
            <w:tcW w:w="280" w:type="dxa"/>
            <w:vAlign w:val="bottom"/>
          </w:tcPr>
          <w:p>
            <w:pPr>
              <w:spacing w:after="0"/>
              <w:rPr>
                <w:sz w:val="13"/>
                <w:szCs w:val="13"/>
                <w:color w:val="auto"/>
              </w:rPr>
            </w:pPr>
          </w:p>
        </w:tc>
        <w:tc>
          <w:tcPr>
            <w:tcW w:w="980" w:type="dxa"/>
            <w:vAlign w:val="bottom"/>
          </w:tcPr>
          <w:p>
            <w:pPr>
              <w:jc w:val="right"/>
              <w:ind w:right="556"/>
              <w:spacing w:after="0"/>
              <w:rPr>
                <w:sz w:val="20"/>
                <w:szCs w:val="20"/>
                <w:color w:val="auto"/>
              </w:rPr>
            </w:pPr>
            <w:r>
              <w:rPr>
                <w:rFonts w:ascii="Arial" w:cs="Arial" w:eastAsia="Arial" w:hAnsi="Arial"/>
                <w:sz w:val="13"/>
                <w:szCs w:val="13"/>
                <w:b w:val="1"/>
                <w:bCs w:val="1"/>
                <w:color w:val="auto"/>
              </w:rPr>
              <w:t>3.3%</w:t>
            </w:r>
          </w:p>
        </w:tc>
        <w:tc>
          <w:tcPr>
            <w:tcW w:w="760" w:type="dxa"/>
            <w:vAlign w:val="bottom"/>
            <w:tcBorders>
              <w:right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-32.8%</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0" w:type="dxa"/>
            <w:vAlign w:val="bottom"/>
            <w:tcBorders>
              <w:right w:val="single" w:sz="8" w:color="auto"/>
            </w:tcBorders>
          </w:tcPr>
          <w:p>
            <w:pPr>
              <w:spacing w:after="0"/>
              <w:rPr>
                <w:sz w:val="12"/>
                <w:szCs w:val="12"/>
                <w:color w:val="auto"/>
              </w:rPr>
            </w:pPr>
          </w:p>
        </w:tc>
        <w:tc>
          <w:tcPr>
            <w:tcW w:w="3700" w:type="dxa"/>
            <w:vAlign w:val="bottom"/>
          </w:tcPr>
          <w:p>
            <w:pPr>
              <w:spacing w:after="0" w:line="147" w:lineRule="exact"/>
              <w:rPr>
                <w:sz w:val="20"/>
                <w:szCs w:val="20"/>
                <w:color w:val="auto"/>
              </w:rPr>
            </w:pPr>
            <w:r>
              <w:rPr>
                <w:rFonts w:ascii="Arial" w:cs="Arial" w:eastAsia="Arial" w:hAnsi="Arial"/>
                <w:sz w:val="13"/>
                <w:szCs w:val="13"/>
                <w:color w:val="auto"/>
              </w:rPr>
              <w:t>Income tax</w:t>
            </w:r>
          </w:p>
        </w:tc>
        <w:tc>
          <w:tcPr>
            <w:tcW w:w="11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336"/>
              <w:spacing w:after="0" w:line="147" w:lineRule="exact"/>
              <w:rPr>
                <w:sz w:val="20"/>
                <w:szCs w:val="20"/>
                <w:color w:val="auto"/>
              </w:rPr>
            </w:pPr>
            <w:r>
              <w:rPr>
                <w:rFonts w:ascii="Arial" w:cs="Arial" w:eastAsia="Arial" w:hAnsi="Arial"/>
                <w:sz w:val="13"/>
                <w:szCs w:val="13"/>
                <w:color w:val="auto"/>
                <w:w w:val="99"/>
              </w:rPr>
              <w:t>(16,728)</w:t>
            </w:r>
          </w:p>
        </w:tc>
        <w:tc>
          <w:tcPr>
            <w:tcW w:w="1000" w:type="dxa"/>
            <w:vAlign w:val="bottom"/>
          </w:tcPr>
          <w:p>
            <w:pPr>
              <w:jc w:val="center"/>
              <w:ind w:right="256"/>
              <w:spacing w:after="0" w:line="147" w:lineRule="exact"/>
              <w:rPr>
                <w:sz w:val="20"/>
                <w:szCs w:val="20"/>
                <w:color w:val="auto"/>
              </w:rPr>
            </w:pPr>
            <w:r>
              <w:rPr>
                <w:rFonts w:ascii="Arial" w:cs="Arial" w:eastAsia="Arial" w:hAnsi="Arial"/>
                <w:sz w:val="13"/>
                <w:szCs w:val="13"/>
                <w:color w:val="auto"/>
              </w:rPr>
              <w:t>(10,666)</w:t>
            </w:r>
          </w:p>
        </w:tc>
        <w:tc>
          <w:tcPr>
            <w:tcW w:w="880" w:type="dxa"/>
            <w:vAlign w:val="bottom"/>
            <w:tcBorders>
              <w:right w:val="single" w:sz="8" w:color="auto"/>
            </w:tcBorders>
            <w:gridSpan w:val="2"/>
          </w:tcPr>
          <w:p>
            <w:pPr>
              <w:jc w:val="center"/>
              <w:ind w:right="115"/>
              <w:spacing w:after="0" w:line="147" w:lineRule="exact"/>
              <w:rPr>
                <w:sz w:val="20"/>
                <w:szCs w:val="20"/>
                <w:color w:val="auto"/>
              </w:rPr>
            </w:pPr>
            <w:r>
              <w:rPr>
                <w:rFonts w:ascii="Arial" w:cs="Arial" w:eastAsia="Arial" w:hAnsi="Arial"/>
                <w:sz w:val="13"/>
                <w:szCs w:val="13"/>
                <w:color w:val="auto"/>
              </w:rPr>
              <w:t>(11,661)</w:t>
            </w:r>
          </w:p>
        </w:tc>
        <w:tc>
          <w:tcPr>
            <w:tcW w:w="280" w:type="dxa"/>
            <w:vAlign w:val="bottom"/>
          </w:tcPr>
          <w:p>
            <w:pPr>
              <w:spacing w:after="0"/>
              <w:rPr>
                <w:sz w:val="12"/>
                <w:szCs w:val="12"/>
                <w:color w:val="auto"/>
              </w:rPr>
            </w:pPr>
          </w:p>
        </w:tc>
        <w:tc>
          <w:tcPr>
            <w:tcW w:w="980" w:type="dxa"/>
            <w:vAlign w:val="bottom"/>
          </w:tcPr>
          <w:p>
            <w:pPr>
              <w:jc w:val="right"/>
              <w:ind w:right="556"/>
              <w:spacing w:after="0" w:line="147" w:lineRule="exact"/>
              <w:rPr>
                <w:sz w:val="20"/>
                <w:szCs w:val="20"/>
                <w:color w:val="auto"/>
              </w:rPr>
            </w:pPr>
            <w:r>
              <w:rPr>
                <w:rFonts w:ascii="Arial" w:cs="Arial" w:eastAsia="Arial" w:hAnsi="Arial"/>
                <w:sz w:val="13"/>
                <w:szCs w:val="13"/>
                <w:color w:val="auto"/>
              </w:rPr>
              <w:t>9.3%</w:t>
            </w:r>
          </w:p>
        </w:tc>
        <w:tc>
          <w:tcPr>
            <w:tcW w:w="760" w:type="dxa"/>
            <w:vAlign w:val="bottom"/>
            <w:tcBorders>
              <w:right w:val="single" w:sz="8" w:color="auto"/>
            </w:tcBorders>
          </w:tcPr>
          <w:p>
            <w:pPr>
              <w:jc w:val="right"/>
              <w:ind w:right="236"/>
              <w:spacing w:after="0" w:line="147" w:lineRule="exact"/>
              <w:rPr>
                <w:sz w:val="20"/>
                <w:szCs w:val="20"/>
                <w:color w:val="auto"/>
              </w:rPr>
            </w:pPr>
            <w:r>
              <w:rPr>
                <w:rFonts w:ascii="Arial" w:cs="Arial" w:eastAsia="Arial" w:hAnsi="Arial"/>
                <w:sz w:val="13"/>
                <w:szCs w:val="13"/>
                <w:color w:val="auto"/>
              </w:rPr>
              <w:t>-30.3%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0" w:type="dxa"/>
            <w:vAlign w:val="bottom"/>
            <w:tcBorders>
              <w:right w:val="single" w:sz="8" w:color="auto"/>
            </w:tcBorders>
          </w:tcPr>
          <w:p>
            <w:pPr>
              <w:spacing w:after="0"/>
              <w:rPr>
                <w:sz w:val="14"/>
                <w:szCs w:val="1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Net profit</w:t>
            </w:r>
          </w:p>
        </w:tc>
        <w:tc>
          <w:tcPr>
            <w:tcW w:w="11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6"/>
              <w:spacing w:after="0"/>
              <w:rPr>
                <w:sz w:val="20"/>
                <w:szCs w:val="20"/>
                <w:color w:val="auto"/>
              </w:rPr>
            </w:pPr>
            <w:r>
              <w:rPr>
                <w:rFonts w:ascii="Arial" w:cs="Arial" w:eastAsia="Arial" w:hAnsi="Arial"/>
                <w:sz w:val="13"/>
                <w:szCs w:val="13"/>
                <w:b w:val="1"/>
                <w:bCs w:val="1"/>
                <w:color w:val="auto"/>
              </w:rPr>
              <w:t>37,013</w:t>
            </w:r>
          </w:p>
        </w:tc>
        <w:tc>
          <w:tcPr>
            <w:tcW w:w="1000" w:type="dxa"/>
            <w:vAlign w:val="bottom"/>
            <w:tcBorders>
              <w:bottom w:val="single" w:sz="8" w:color="auto"/>
            </w:tcBorders>
          </w:tcPr>
          <w:p>
            <w:pPr>
              <w:jc w:val="center"/>
              <w:ind w:right="256"/>
              <w:spacing w:after="0"/>
              <w:rPr>
                <w:sz w:val="20"/>
                <w:szCs w:val="20"/>
                <w:color w:val="auto"/>
              </w:rPr>
            </w:pPr>
            <w:r>
              <w:rPr>
                <w:rFonts w:ascii="Arial" w:cs="Arial" w:eastAsia="Arial" w:hAnsi="Arial"/>
                <w:sz w:val="13"/>
                <w:szCs w:val="13"/>
                <w:b w:val="1"/>
                <w:bCs w:val="1"/>
                <w:color w:val="auto"/>
              </w:rPr>
              <w:t>24,322</w:t>
            </w:r>
          </w:p>
        </w:tc>
        <w:tc>
          <w:tcPr>
            <w:tcW w:w="880" w:type="dxa"/>
            <w:vAlign w:val="bottom"/>
            <w:tcBorders>
              <w:bottom w:val="single" w:sz="8" w:color="auto"/>
              <w:right w:val="single" w:sz="8" w:color="auto"/>
            </w:tcBorders>
            <w:gridSpan w:val="2"/>
          </w:tcPr>
          <w:p>
            <w:pPr>
              <w:jc w:val="center"/>
              <w:ind w:right="115"/>
              <w:spacing w:after="0"/>
              <w:rPr>
                <w:sz w:val="20"/>
                <w:szCs w:val="20"/>
                <w:color w:val="auto"/>
              </w:rPr>
            </w:pPr>
            <w:r>
              <w:rPr>
                <w:rFonts w:ascii="Arial" w:cs="Arial" w:eastAsia="Arial" w:hAnsi="Arial"/>
                <w:sz w:val="13"/>
                <w:szCs w:val="13"/>
                <w:b w:val="1"/>
                <w:bCs w:val="1"/>
                <w:color w:val="auto"/>
              </w:rPr>
              <w:t>24,472</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0.6%</w:t>
            </w:r>
          </w:p>
        </w:tc>
        <w:tc>
          <w:tcPr>
            <w:tcW w:w="760" w:type="dxa"/>
            <w:vAlign w:val="bottom"/>
            <w:tcBorders>
              <w:bottom w:val="single" w:sz="8" w:color="auto"/>
              <w:right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-33.9%</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5"/>
        </w:trPr>
        <w:tc>
          <w:tcPr>
            <w:tcW w:w="3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40" w:type="dxa"/>
            <w:vAlign w:val="bottom"/>
            <w:gridSpan w:val="4"/>
          </w:tcPr>
          <w:p>
            <w:pPr>
              <w:jc w:val="center"/>
              <w:ind w:left="77"/>
              <w:spacing w:after="0"/>
              <w:rPr>
                <w:sz w:val="20"/>
                <w:szCs w:val="20"/>
                <w:color w:val="auto"/>
              </w:rPr>
            </w:pPr>
            <w:r>
              <w:rPr>
                <w:rFonts w:ascii="Arial" w:cs="Arial" w:eastAsia="Arial" w:hAnsi="Arial"/>
                <w:sz w:val="17"/>
                <w:szCs w:val="17"/>
                <w:b w:val="1"/>
                <w:bCs w:val="1"/>
                <w:color w:val="auto"/>
              </w:rPr>
              <w:t>Selected Financial Indicators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2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20" w:type="dxa"/>
            <w:vAlign w:val="bottom"/>
            <w:tcBorders>
              <w:left w:val="single" w:sz="8" w:color="auto"/>
              <w:right w:val="single" w:sz="8" w:color="2AD2C9"/>
            </w:tcBorders>
            <w:shd w:val="clear" w:color="auto" w:fill="2AD2C9"/>
          </w:tcPr>
          <w:p>
            <w:pPr>
              <w:spacing w:after="0"/>
              <w:rPr>
                <w:sz w:val="16"/>
                <w:szCs w:val="16"/>
                <w:color w:val="auto"/>
              </w:rPr>
            </w:pPr>
          </w:p>
        </w:tc>
        <w:tc>
          <w:tcPr>
            <w:tcW w:w="3700" w:type="dxa"/>
            <w:vAlign w:val="bottom"/>
            <w:shd w:val="clear" w:color="auto" w:fill="2AD2C9"/>
          </w:tcPr>
          <w:p>
            <w:pPr>
              <w:spacing w:after="0"/>
              <w:rPr>
                <w:sz w:val="16"/>
                <w:szCs w:val="16"/>
                <w:color w:val="auto"/>
              </w:rPr>
            </w:pPr>
          </w:p>
        </w:tc>
        <w:tc>
          <w:tcPr>
            <w:tcW w:w="1180" w:type="dxa"/>
            <w:vAlign w:val="bottom"/>
            <w:tcBorders>
              <w:right w:val="single" w:sz="8" w:color="2AD2C9"/>
            </w:tcBorders>
            <w:shd w:val="clear" w:color="auto" w:fill="2AD2C9"/>
          </w:tcPr>
          <w:p>
            <w:pPr>
              <w:spacing w:after="0"/>
              <w:rPr>
                <w:sz w:val="16"/>
                <w:szCs w:val="16"/>
                <w:color w:val="auto"/>
              </w:rPr>
            </w:pPr>
          </w:p>
        </w:tc>
        <w:tc>
          <w:tcPr>
            <w:tcW w:w="720" w:type="dxa"/>
            <w:vAlign w:val="bottom"/>
            <w:tcBorders>
              <w:right w:val="single" w:sz="8" w:color="2AD2C9"/>
            </w:tcBorders>
            <w:shd w:val="clear" w:color="auto" w:fill="2AD2C9"/>
          </w:tcPr>
          <w:p>
            <w:pPr>
              <w:spacing w:after="0"/>
              <w:rPr>
                <w:sz w:val="16"/>
                <w:szCs w:val="16"/>
                <w:color w:val="auto"/>
              </w:rPr>
            </w:pPr>
          </w:p>
        </w:tc>
        <w:tc>
          <w:tcPr>
            <w:tcW w:w="260" w:type="dxa"/>
            <w:vAlign w:val="bottom"/>
            <w:tcBorders>
              <w:right w:val="single" w:sz="8" w:color="auto"/>
            </w:tcBorders>
            <w:shd w:val="clear" w:color="auto" w:fill="2AD2C9"/>
          </w:tcPr>
          <w:p>
            <w:pPr>
              <w:spacing w:after="0"/>
              <w:rPr>
                <w:sz w:val="16"/>
                <w:szCs w:val="16"/>
                <w:color w:val="auto"/>
              </w:rPr>
            </w:pPr>
          </w:p>
        </w:tc>
        <w:tc>
          <w:tcPr>
            <w:tcW w:w="880" w:type="dxa"/>
            <w:vAlign w:val="bottom"/>
            <w:shd w:val="clear" w:color="auto" w:fill="2AD2C9"/>
          </w:tcPr>
          <w:p>
            <w:pPr>
              <w:spacing w:after="0"/>
              <w:rPr>
                <w:sz w:val="16"/>
                <w:szCs w:val="16"/>
                <w:color w:val="auto"/>
              </w:rPr>
            </w:pPr>
          </w:p>
        </w:tc>
        <w:tc>
          <w:tcPr>
            <w:tcW w:w="1000" w:type="dxa"/>
            <w:vAlign w:val="bottom"/>
            <w:shd w:val="clear" w:color="auto" w:fill="2AD2C9"/>
          </w:tcPr>
          <w:p>
            <w:pPr>
              <w:ind w:left="360"/>
              <w:spacing w:after="0"/>
              <w:rPr>
                <w:sz w:val="20"/>
                <w:szCs w:val="20"/>
                <w:color w:val="auto"/>
              </w:rPr>
            </w:pPr>
            <w:r>
              <w:rPr>
                <w:rFonts w:ascii="Arial" w:cs="Arial" w:eastAsia="Arial" w:hAnsi="Arial"/>
                <w:sz w:val="14"/>
                <w:szCs w:val="14"/>
                <w:b w:val="1"/>
                <w:bCs w:val="1"/>
                <w:color w:val="FFFFFF"/>
              </w:rPr>
              <w:t>Quarter</w:t>
            </w:r>
          </w:p>
        </w:tc>
        <w:tc>
          <w:tcPr>
            <w:tcW w:w="220" w:type="dxa"/>
            <w:vAlign w:val="bottom"/>
            <w:tcBorders>
              <w:right w:val="single" w:sz="8" w:color="2AD2C9"/>
            </w:tcBorders>
            <w:shd w:val="clear" w:color="auto" w:fill="2AD2C9"/>
          </w:tcPr>
          <w:p>
            <w:pPr>
              <w:spacing w:after="0"/>
              <w:rPr>
                <w:sz w:val="16"/>
                <w:szCs w:val="16"/>
                <w:color w:val="auto"/>
              </w:rPr>
            </w:pPr>
          </w:p>
        </w:tc>
        <w:tc>
          <w:tcPr>
            <w:tcW w:w="660" w:type="dxa"/>
            <w:vAlign w:val="bottom"/>
            <w:tcBorders>
              <w:right w:val="single" w:sz="8" w:color="2AD2C9"/>
            </w:tcBorders>
            <w:shd w:val="clear" w:color="auto" w:fill="2AD2C9"/>
          </w:tcPr>
          <w:p>
            <w:pPr>
              <w:spacing w:after="0"/>
              <w:rPr>
                <w:sz w:val="16"/>
                <w:szCs w:val="16"/>
                <w:color w:val="auto"/>
              </w:rPr>
            </w:pPr>
          </w:p>
        </w:tc>
        <w:tc>
          <w:tcPr>
            <w:tcW w:w="280" w:type="dxa"/>
            <w:vAlign w:val="bottom"/>
            <w:tcBorders>
              <w:right w:val="single" w:sz="8" w:color="auto"/>
            </w:tcBorders>
            <w:shd w:val="clear" w:color="auto" w:fill="2AD2C9"/>
          </w:tcPr>
          <w:p>
            <w:pPr>
              <w:spacing w:after="0"/>
              <w:rPr>
                <w:sz w:val="16"/>
                <w:szCs w:val="16"/>
                <w:color w:val="auto"/>
              </w:rPr>
            </w:pPr>
          </w:p>
        </w:tc>
        <w:tc>
          <w:tcPr>
            <w:tcW w:w="2020" w:type="dxa"/>
            <w:vAlign w:val="bottom"/>
            <w:tcBorders>
              <w:right w:val="single" w:sz="8" w:color="auto"/>
            </w:tcBorders>
            <w:gridSpan w:val="3"/>
            <w:shd w:val="clear" w:color="auto" w:fill="2AD2C9"/>
          </w:tcPr>
          <w:p>
            <w:pPr>
              <w:ind w:left="740"/>
              <w:spacing w:after="0"/>
              <w:rPr>
                <w:sz w:val="20"/>
                <w:szCs w:val="20"/>
                <w:color w:val="auto"/>
              </w:rPr>
            </w:pPr>
            <w:r>
              <w:rPr>
                <w:rFonts w:ascii="Arial" w:cs="Arial" w:eastAsia="Arial" w:hAnsi="Arial"/>
                <w:sz w:val="14"/>
                <w:szCs w:val="14"/>
                <w:b w:val="1"/>
                <w:bCs w:val="1"/>
                <w:color w:val="FFFFFF"/>
              </w:rPr>
              <w:t>Change</w:t>
            </w:r>
          </w:p>
        </w:tc>
        <w:tc>
          <w:tcPr>
            <w:tcW w:w="0" w:type="dxa"/>
            <w:vAlign w:val="bottom"/>
          </w:tcPr>
          <w:p>
            <w:pPr>
              <w:spacing w:after="0"/>
              <w:rPr>
                <w:sz w:val="1"/>
                <w:szCs w:val="1"/>
                <w:color w:val="auto"/>
              </w:rPr>
            </w:pPr>
          </w:p>
        </w:tc>
      </w:tr>
      <w:tr>
        <w:trPr>
          <w:trHeight w:val="203"/>
        </w:trPr>
        <w:tc>
          <w:tcPr>
            <w:tcW w:w="320" w:type="dxa"/>
            <w:vAlign w:val="bottom"/>
            <w:tcBorders>
              <w:left w:val="single" w:sz="8" w:color="auto"/>
              <w:bottom w:val="single" w:sz="8" w:color="auto"/>
              <w:right w:val="single" w:sz="8" w:color="2AD2C9"/>
            </w:tcBorders>
            <w:shd w:val="clear" w:color="auto" w:fill="2AD2C9"/>
          </w:tcPr>
          <w:p>
            <w:pPr>
              <w:spacing w:after="0"/>
              <w:rPr>
                <w:sz w:val="17"/>
                <w:szCs w:val="17"/>
                <w:color w:val="auto"/>
              </w:rPr>
            </w:pPr>
          </w:p>
        </w:tc>
        <w:tc>
          <w:tcPr>
            <w:tcW w:w="3700" w:type="dxa"/>
            <w:vAlign w:val="bottom"/>
            <w:tcBorders>
              <w:bottom w:val="single" w:sz="8" w:color="auto"/>
            </w:tcBorders>
            <w:shd w:val="clear" w:color="auto" w:fill="2AD2C9"/>
          </w:tcPr>
          <w:p>
            <w:pPr>
              <w:spacing w:after="0"/>
              <w:rPr>
                <w:sz w:val="17"/>
                <w:szCs w:val="17"/>
                <w:color w:val="auto"/>
              </w:rPr>
            </w:pPr>
          </w:p>
        </w:tc>
        <w:tc>
          <w:tcPr>
            <w:tcW w:w="1180" w:type="dxa"/>
            <w:vAlign w:val="bottom"/>
            <w:tcBorders>
              <w:bottom w:val="single" w:sz="8" w:color="auto"/>
              <w:right w:val="single" w:sz="8" w:color="2AD2C9"/>
            </w:tcBorders>
            <w:shd w:val="clear" w:color="auto" w:fill="2AD2C9"/>
          </w:tcPr>
          <w:p>
            <w:pPr>
              <w:spacing w:after="0"/>
              <w:rPr>
                <w:sz w:val="17"/>
                <w:szCs w:val="17"/>
                <w:color w:val="auto"/>
              </w:rPr>
            </w:pPr>
          </w:p>
        </w:tc>
        <w:tc>
          <w:tcPr>
            <w:tcW w:w="720" w:type="dxa"/>
            <w:vAlign w:val="bottom"/>
            <w:tcBorders>
              <w:bottom w:val="single" w:sz="8" w:color="auto"/>
              <w:right w:val="single" w:sz="8" w:color="2AD2C9"/>
            </w:tcBorders>
            <w:shd w:val="clear" w:color="auto" w:fill="2AD2C9"/>
          </w:tcPr>
          <w:p>
            <w:pPr>
              <w:spacing w:after="0"/>
              <w:rPr>
                <w:sz w:val="17"/>
                <w:szCs w:val="17"/>
                <w:color w:val="auto"/>
              </w:rPr>
            </w:pPr>
          </w:p>
        </w:tc>
        <w:tc>
          <w:tcPr>
            <w:tcW w:w="260" w:type="dxa"/>
            <w:vAlign w:val="bottom"/>
            <w:tcBorders>
              <w:bottom w:val="single" w:sz="8" w:color="auto"/>
              <w:right w:val="single" w:sz="8" w:color="auto"/>
            </w:tcBorders>
            <w:shd w:val="clear" w:color="auto" w:fill="2AD2C9"/>
          </w:tcPr>
          <w:p>
            <w:pPr>
              <w:spacing w:after="0"/>
              <w:rPr>
                <w:sz w:val="17"/>
                <w:szCs w:val="17"/>
                <w:color w:val="auto"/>
              </w:rPr>
            </w:pPr>
          </w:p>
        </w:tc>
        <w:tc>
          <w:tcPr>
            <w:tcW w:w="880" w:type="dxa"/>
            <w:vAlign w:val="bottom"/>
            <w:tcBorders>
              <w:bottom w:val="single" w:sz="8" w:color="auto"/>
            </w:tcBorders>
            <w:shd w:val="clear" w:color="auto" w:fill="2AD2C9"/>
          </w:tcPr>
          <w:p>
            <w:pPr>
              <w:jc w:val="center"/>
              <w:ind w:left="56"/>
              <w:spacing w:after="0"/>
              <w:rPr>
                <w:sz w:val="20"/>
                <w:szCs w:val="20"/>
                <w:color w:val="auto"/>
              </w:rPr>
            </w:pPr>
            <w:r>
              <w:rPr>
                <w:rFonts w:ascii="Arial" w:cs="Arial" w:eastAsia="Arial" w:hAnsi="Arial"/>
                <w:sz w:val="14"/>
                <w:szCs w:val="14"/>
                <w:b w:val="1"/>
                <w:bCs w:val="1"/>
                <w:color w:val="FFFFFF"/>
              </w:rPr>
              <w:t>1Q24</w:t>
            </w:r>
          </w:p>
        </w:tc>
        <w:tc>
          <w:tcPr>
            <w:tcW w:w="1000" w:type="dxa"/>
            <w:vAlign w:val="bottom"/>
            <w:tcBorders>
              <w:bottom w:val="single" w:sz="8" w:color="auto"/>
            </w:tcBorders>
            <w:shd w:val="clear" w:color="auto" w:fill="2AD2C9"/>
          </w:tcPr>
          <w:p>
            <w:pPr>
              <w:jc w:val="center"/>
              <w:ind w:left="176"/>
              <w:spacing w:after="0"/>
              <w:rPr>
                <w:sz w:val="20"/>
                <w:szCs w:val="20"/>
                <w:color w:val="auto"/>
              </w:rPr>
            </w:pPr>
            <w:r>
              <w:rPr>
                <w:rFonts w:ascii="Arial" w:cs="Arial" w:eastAsia="Arial" w:hAnsi="Arial"/>
                <w:sz w:val="14"/>
                <w:szCs w:val="14"/>
                <w:b w:val="1"/>
                <w:bCs w:val="1"/>
                <w:color w:val="FFFFFF"/>
              </w:rPr>
              <w:t>4Q24</w:t>
            </w:r>
          </w:p>
        </w:tc>
        <w:tc>
          <w:tcPr>
            <w:tcW w:w="220" w:type="dxa"/>
            <w:vAlign w:val="bottom"/>
            <w:tcBorders>
              <w:bottom w:val="single" w:sz="8" w:color="auto"/>
              <w:right w:val="single" w:sz="8" w:color="2AD2C9"/>
            </w:tcBorders>
            <w:shd w:val="clear" w:color="auto" w:fill="2AD2C9"/>
          </w:tcPr>
          <w:p>
            <w:pPr>
              <w:spacing w:after="0"/>
              <w:rPr>
                <w:sz w:val="17"/>
                <w:szCs w:val="17"/>
                <w:color w:val="auto"/>
              </w:rPr>
            </w:pPr>
          </w:p>
        </w:tc>
        <w:tc>
          <w:tcPr>
            <w:tcW w:w="940" w:type="dxa"/>
            <w:vAlign w:val="bottom"/>
            <w:tcBorders>
              <w:bottom w:val="single" w:sz="8" w:color="auto"/>
              <w:right w:val="single" w:sz="8" w:color="auto"/>
            </w:tcBorders>
            <w:gridSpan w:val="2"/>
            <w:shd w:val="clear" w:color="auto" w:fill="2AD2C9"/>
          </w:tcPr>
          <w:p>
            <w:pPr>
              <w:jc w:val="center"/>
              <w:ind w:right="100"/>
              <w:spacing w:after="0"/>
              <w:rPr>
                <w:sz w:val="20"/>
                <w:szCs w:val="20"/>
                <w:color w:val="auto"/>
              </w:rPr>
            </w:pPr>
            <w:r>
              <w:rPr>
                <w:rFonts w:ascii="Arial" w:cs="Arial" w:eastAsia="Arial" w:hAnsi="Arial"/>
                <w:sz w:val="14"/>
                <w:szCs w:val="14"/>
                <w:b w:val="1"/>
                <w:bCs w:val="1"/>
                <w:color w:val="FFFFFF"/>
              </w:rPr>
              <w:t>1Q25</w:t>
            </w:r>
          </w:p>
        </w:tc>
        <w:tc>
          <w:tcPr>
            <w:tcW w:w="9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QoQ</w:t>
            </w:r>
          </w:p>
        </w:tc>
        <w:tc>
          <w:tcPr>
            <w:tcW w:w="1040" w:type="dxa"/>
            <w:vAlign w:val="bottom"/>
            <w:tcBorders>
              <w:bottom w:val="single" w:sz="8" w:color="auto"/>
              <w:right w:val="single" w:sz="8" w:color="auto"/>
            </w:tcBorders>
            <w:gridSpan w:val="2"/>
            <w:shd w:val="clear" w:color="auto" w:fill="2AD2C9"/>
          </w:tcPr>
          <w:p>
            <w:pPr>
              <w:jc w:val="center"/>
              <w:spacing w:after="0"/>
              <w:rPr>
                <w:sz w:val="20"/>
                <w:szCs w:val="20"/>
                <w:color w:val="auto"/>
              </w:rPr>
            </w:pPr>
            <w:r>
              <w:rPr>
                <w:rFonts w:ascii="Arial" w:cs="Arial" w:eastAsia="Arial" w:hAnsi="Arial"/>
                <w:sz w:val="14"/>
                <w:szCs w:val="14"/>
                <w:b w:val="1"/>
                <w:bCs w:val="1"/>
                <w:color w:val="FFFFFF"/>
              </w:rPr>
              <w:t>YoY</w:t>
            </w:r>
          </w:p>
        </w:tc>
        <w:tc>
          <w:tcPr>
            <w:tcW w:w="0" w:type="dxa"/>
            <w:vAlign w:val="bottom"/>
          </w:tcPr>
          <w:p>
            <w:pPr>
              <w:spacing w:after="0"/>
              <w:rPr>
                <w:sz w:val="1"/>
                <w:szCs w:val="1"/>
                <w:color w:val="auto"/>
              </w:rPr>
            </w:pPr>
          </w:p>
        </w:tc>
      </w:tr>
      <w:tr>
        <w:trPr>
          <w:trHeight w:val="147"/>
        </w:trPr>
        <w:tc>
          <w:tcPr>
            <w:tcW w:w="4020" w:type="dxa"/>
            <w:vAlign w:val="bottom"/>
            <w:tcBorders>
              <w:left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ROE</w:t>
            </w: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80" w:type="dxa"/>
            <w:vAlign w:val="bottom"/>
          </w:tcPr>
          <w:p>
            <w:pPr>
              <w:jc w:val="center"/>
              <w:ind w:left="56"/>
              <w:spacing w:after="0" w:line="147" w:lineRule="exact"/>
              <w:rPr>
                <w:sz w:val="20"/>
                <w:szCs w:val="20"/>
                <w:color w:val="auto"/>
              </w:rPr>
            </w:pPr>
            <w:r>
              <w:rPr>
                <w:rFonts w:ascii="Arial" w:cs="Arial" w:eastAsia="Arial" w:hAnsi="Arial"/>
                <w:sz w:val="14"/>
                <w:szCs w:val="14"/>
                <w:color w:val="auto"/>
              </w:rPr>
              <w:t>31.4%</w:t>
            </w:r>
          </w:p>
        </w:tc>
        <w:tc>
          <w:tcPr>
            <w:tcW w:w="1000" w:type="dxa"/>
            <w:vAlign w:val="bottom"/>
          </w:tcPr>
          <w:p>
            <w:pPr>
              <w:jc w:val="center"/>
              <w:ind w:left="176"/>
              <w:spacing w:after="0" w:line="147" w:lineRule="exact"/>
              <w:rPr>
                <w:sz w:val="20"/>
                <w:szCs w:val="20"/>
                <w:color w:val="auto"/>
              </w:rPr>
            </w:pPr>
            <w:r>
              <w:rPr>
                <w:rFonts w:ascii="Arial" w:cs="Arial" w:eastAsia="Arial" w:hAnsi="Arial"/>
                <w:sz w:val="14"/>
                <w:szCs w:val="14"/>
                <w:color w:val="auto"/>
              </w:rPr>
              <w:t>19.7%</w:t>
            </w:r>
          </w:p>
        </w:tc>
        <w:tc>
          <w:tcPr>
            <w:tcW w:w="880" w:type="dxa"/>
            <w:vAlign w:val="bottom"/>
            <w:gridSpan w:val="2"/>
          </w:tcPr>
          <w:p>
            <w:pPr>
              <w:jc w:val="center"/>
              <w:ind w:left="337"/>
              <w:spacing w:after="0" w:line="147" w:lineRule="exact"/>
              <w:rPr>
                <w:sz w:val="20"/>
                <w:szCs w:val="20"/>
                <w:color w:val="auto"/>
              </w:rPr>
            </w:pPr>
            <w:r>
              <w:rPr>
                <w:rFonts w:ascii="Arial" w:cs="Arial" w:eastAsia="Arial" w:hAnsi="Arial"/>
                <w:sz w:val="14"/>
                <w:szCs w:val="14"/>
                <w:color w:val="auto"/>
              </w:rPr>
              <w:t>22.6%</w:t>
            </w:r>
          </w:p>
        </w:tc>
        <w:tc>
          <w:tcPr>
            <w:tcW w:w="280" w:type="dxa"/>
            <w:vAlign w:val="bottom"/>
            <w:tcBorders>
              <w:right w:val="single" w:sz="8" w:color="auto"/>
            </w:tcBorders>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Arial" w:cs="Arial" w:eastAsia="Arial" w:hAnsi="Arial"/>
                <w:sz w:val="14"/>
                <w:szCs w:val="14"/>
                <w:color w:val="auto"/>
              </w:rPr>
              <w:t>296 bps</w:t>
            </w:r>
          </w:p>
        </w:tc>
        <w:tc>
          <w:tcPr>
            <w:tcW w:w="1040" w:type="dxa"/>
            <w:vAlign w:val="bottom"/>
            <w:tcBorders>
              <w:right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-879 bps</w:t>
            </w:r>
          </w:p>
        </w:tc>
        <w:tc>
          <w:tcPr>
            <w:tcW w:w="0" w:type="dxa"/>
            <w:vAlign w:val="bottom"/>
          </w:tcPr>
          <w:p>
            <w:pPr>
              <w:spacing w:after="0"/>
              <w:rPr>
                <w:sz w:val="1"/>
                <w:szCs w:val="1"/>
                <w:color w:val="auto"/>
              </w:rPr>
            </w:pPr>
          </w:p>
        </w:tc>
      </w:tr>
      <w:tr>
        <w:trPr>
          <w:trHeight w:val="162"/>
        </w:trPr>
        <w:tc>
          <w:tcPr>
            <w:tcW w:w="4020" w:type="dxa"/>
            <w:vAlign w:val="bottom"/>
            <w:tcBorders>
              <w:left w:val="single" w:sz="8" w:color="auto"/>
            </w:tcBorders>
            <w:gridSpan w:val="2"/>
          </w:tcPr>
          <w:p>
            <w:pPr>
              <w:ind w:left="20"/>
              <w:spacing w:after="0"/>
              <w:rPr>
                <w:sz w:val="20"/>
                <w:szCs w:val="20"/>
                <w:color w:val="auto"/>
              </w:rPr>
            </w:pPr>
            <w:r>
              <w:rPr>
                <w:rFonts w:ascii="Arial" w:cs="Arial" w:eastAsia="Arial" w:hAnsi="Arial"/>
                <w:sz w:val="14"/>
                <w:szCs w:val="14"/>
                <w:color w:val="auto"/>
              </w:rPr>
              <w:t>Net Interest Margin</w:t>
            </w: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880" w:type="dxa"/>
            <w:vAlign w:val="bottom"/>
          </w:tcPr>
          <w:p>
            <w:pPr>
              <w:jc w:val="center"/>
              <w:ind w:left="56"/>
              <w:spacing w:after="0"/>
              <w:rPr>
                <w:sz w:val="20"/>
                <w:szCs w:val="20"/>
                <w:color w:val="auto"/>
              </w:rPr>
            </w:pPr>
            <w:r>
              <w:rPr>
                <w:rFonts w:ascii="Arial" w:cs="Arial" w:eastAsia="Arial" w:hAnsi="Arial"/>
                <w:sz w:val="14"/>
                <w:szCs w:val="14"/>
                <w:color w:val="auto"/>
              </w:rPr>
              <w:t>1.0%</w:t>
            </w:r>
          </w:p>
        </w:tc>
        <w:tc>
          <w:tcPr>
            <w:tcW w:w="1000" w:type="dxa"/>
            <w:vAlign w:val="bottom"/>
          </w:tcPr>
          <w:p>
            <w:pPr>
              <w:jc w:val="center"/>
              <w:ind w:left="176"/>
              <w:spacing w:after="0"/>
              <w:rPr>
                <w:sz w:val="20"/>
                <w:szCs w:val="20"/>
                <w:color w:val="auto"/>
              </w:rPr>
            </w:pPr>
            <w:r>
              <w:rPr>
                <w:rFonts w:ascii="Arial" w:cs="Arial" w:eastAsia="Arial" w:hAnsi="Arial"/>
                <w:sz w:val="14"/>
                <w:szCs w:val="14"/>
                <w:color w:val="auto"/>
              </w:rPr>
              <w:t>0.0%</w:t>
            </w:r>
          </w:p>
        </w:tc>
        <w:tc>
          <w:tcPr>
            <w:tcW w:w="880" w:type="dxa"/>
            <w:vAlign w:val="bottom"/>
            <w:gridSpan w:val="2"/>
          </w:tcPr>
          <w:p>
            <w:pPr>
              <w:jc w:val="center"/>
              <w:ind w:left="337"/>
              <w:spacing w:after="0"/>
              <w:rPr>
                <w:sz w:val="20"/>
                <w:szCs w:val="20"/>
                <w:color w:val="auto"/>
              </w:rPr>
            </w:pPr>
            <w:r>
              <w:rPr>
                <w:rFonts w:ascii="Arial" w:cs="Arial" w:eastAsia="Arial" w:hAnsi="Arial"/>
                <w:sz w:val="14"/>
                <w:szCs w:val="14"/>
                <w:color w:val="auto"/>
              </w:rPr>
              <w:t>1.0%</w:t>
            </w:r>
          </w:p>
        </w:tc>
        <w:tc>
          <w:tcPr>
            <w:tcW w:w="280" w:type="dxa"/>
            <w:vAlign w:val="bottom"/>
            <w:tcBorders>
              <w:right w:val="single" w:sz="8" w:color="auto"/>
            </w:tcBorders>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95 bps</w:t>
            </w:r>
          </w:p>
        </w:tc>
        <w:tc>
          <w:tcPr>
            <w:tcW w:w="10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-9 bps</w:t>
            </w:r>
          </w:p>
        </w:tc>
        <w:tc>
          <w:tcPr>
            <w:tcW w:w="0" w:type="dxa"/>
            <w:vAlign w:val="bottom"/>
          </w:tcPr>
          <w:p>
            <w:pPr>
              <w:spacing w:after="0"/>
              <w:rPr>
                <w:sz w:val="1"/>
                <w:szCs w:val="1"/>
                <w:color w:val="auto"/>
              </w:rPr>
            </w:pPr>
          </w:p>
        </w:tc>
      </w:tr>
      <w:tr>
        <w:trPr>
          <w:trHeight w:val="162"/>
        </w:trPr>
        <w:tc>
          <w:tcPr>
            <w:tcW w:w="4020" w:type="dxa"/>
            <w:vAlign w:val="bottom"/>
            <w:tcBorders>
              <w:left w:val="single" w:sz="8" w:color="auto"/>
            </w:tcBorders>
            <w:gridSpan w:val="2"/>
          </w:tcPr>
          <w:p>
            <w:pPr>
              <w:ind w:left="20"/>
              <w:spacing w:after="0"/>
              <w:rPr>
                <w:sz w:val="20"/>
                <w:szCs w:val="20"/>
                <w:color w:val="auto"/>
              </w:rPr>
            </w:pPr>
            <w:r>
              <w:rPr>
                <w:rFonts w:ascii="Arial" w:cs="Arial" w:eastAsia="Arial" w:hAnsi="Arial"/>
                <w:sz w:val="14"/>
                <w:szCs w:val="14"/>
                <w:color w:val="auto"/>
              </w:rPr>
              <w:t>Efficiency Ratio</w:t>
            </w: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880" w:type="dxa"/>
            <w:vAlign w:val="bottom"/>
          </w:tcPr>
          <w:p>
            <w:pPr>
              <w:jc w:val="center"/>
              <w:ind w:left="56"/>
              <w:spacing w:after="0"/>
              <w:rPr>
                <w:sz w:val="20"/>
                <w:szCs w:val="20"/>
                <w:color w:val="auto"/>
              </w:rPr>
            </w:pPr>
            <w:r>
              <w:rPr>
                <w:rFonts w:ascii="Arial" w:cs="Arial" w:eastAsia="Arial" w:hAnsi="Arial"/>
                <w:sz w:val="14"/>
                <w:szCs w:val="14"/>
                <w:color w:val="auto"/>
              </w:rPr>
              <w:t>50.4%</w:t>
            </w:r>
          </w:p>
        </w:tc>
        <w:tc>
          <w:tcPr>
            <w:tcW w:w="1000" w:type="dxa"/>
            <w:vAlign w:val="bottom"/>
          </w:tcPr>
          <w:p>
            <w:pPr>
              <w:jc w:val="center"/>
              <w:ind w:left="176"/>
              <w:spacing w:after="0"/>
              <w:rPr>
                <w:sz w:val="20"/>
                <w:szCs w:val="20"/>
                <w:color w:val="auto"/>
              </w:rPr>
            </w:pPr>
            <w:r>
              <w:rPr>
                <w:rFonts w:ascii="Arial" w:cs="Arial" w:eastAsia="Arial" w:hAnsi="Arial"/>
                <w:sz w:val="14"/>
                <w:szCs w:val="14"/>
                <w:color w:val="auto"/>
              </w:rPr>
              <w:t>64.2%</w:t>
            </w:r>
          </w:p>
        </w:tc>
        <w:tc>
          <w:tcPr>
            <w:tcW w:w="880" w:type="dxa"/>
            <w:vAlign w:val="bottom"/>
            <w:gridSpan w:val="2"/>
          </w:tcPr>
          <w:p>
            <w:pPr>
              <w:jc w:val="center"/>
              <w:ind w:left="337"/>
              <w:spacing w:after="0"/>
              <w:rPr>
                <w:sz w:val="20"/>
                <w:szCs w:val="20"/>
                <w:color w:val="auto"/>
              </w:rPr>
            </w:pPr>
            <w:r>
              <w:rPr>
                <w:rFonts w:ascii="Arial" w:cs="Arial" w:eastAsia="Arial" w:hAnsi="Arial"/>
                <w:sz w:val="14"/>
                <w:szCs w:val="14"/>
                <w:color w:val="auto"/>
              </w:rPr>
              <w:t>54.4%</w:t>
            </w:r>
          </w:p>
        </w:tc>
        <w:tc>
          <w:tcPr>
            <w:tcW w:w="280" w:type="dxa"/>
            <w:vAlign w:val="bottom"/>
            <w:tcBorders>
              <w:right w:val="single" w:sz="8" w:color="auto"/>
            </w:tcBorders>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-977 bps</w:t>
            </w:r>
          </w:p>
        </w:tc>
        <w:tc>
          <w:tcPr>
            <w:tcW w:w="10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401 bps</w:t>
            </w:r>
          </w:p>
        </w:tc>
        <w:tc>
          <w:tcPr>
            <w:tcW w:w="0" w:type="dxa"/>
            <w:vAlign w:val="bottom"/>
          </w:tcPr>
          <w:p>
            <w:pPr>
              <w:spacing w:after="0"/>
              <w:rPr>
                <w:sz w:val="1"/>
                <w:szCs w:val="1"/>
                <w:color w:val="auto"/>
              </w:rPr>
            </w:pPr>
          </w:p>
        </w:tc>
      </w:tr>
      <w:tr>
        <w:trPr>
          <w:trHeight w:val="171"/>
        </w:trPr>
        <w:tc>
          <w:tcPr>
            <w:tcW w:w="402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Operating Expenses / Total Average Assets</w:t>
            </w:r>
          </w:p>
        </w:tc>
        <w:tc>
          <w:tcPr>
            <w:tcW w:w="1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jc w:val="center"/>
              <w:ind w:left="56"/>
              <w:spacing w:after="0"/>
              <w:rPr>
                <w:sz w:val="20"/>
                <w:szCs w:val="20"/>
                <w:color w:val="auto"/>
              </w:rPr>
            </w:pPr>
            <w:r>
              <w:rPr>
                <w:rFonts w:ascii="Arial" w:cs="Arial" w:eastAsia="Arial" w:hAnsi="Arial"/>
                <w:sz w:val="14"/>
                <w:szCs w:val="14"/>
                <w:color w:val="auto"/>
              </w:rPr>
              <w:t>25.3%</w:t>
            </w:r>
          </w:p>
        </w:tc>
        <w:tc>
          <w:tcPr>
            <w:tcW w:w="1000" w:type="dxa"/>
            <w:vAlign w:val="bottom"/>
            <w:tcBorders>
              <w:bottom w:val="single" w:sz="8" w:color="auto"/>
            </w:tcBorders>
          </w:tcPr>
          <w:p>
            <w:pPr>
              <w:jc w:val="center"/>
              <w:ind w:left="176"/>
              <w:spacing w:after="0"/>
              <w:rPr>
                <w:sz w:val="20"/>
                <w:szCs w:val="20"/>
                <w:color w:val="auto"/>
              </w:rPr>
            </w:pPr>
            <w:r>
              <w:rPr>
                <w:rFonts w:ascii="Arial" w:cs="Arial" w:eastAsia="Arial" w:hAnsi="Arial"/>
                <w:sz w:val="14"/>
                <w:szCs w:val="14"/>
                <w:color w:val="auto"/>
              </w:rPr>
              <w:t>32.6%</w:t>
            </w:r>
          </w:p>
        </w:tc>
        <w:tc>
          <w:tcPr>
            <w:tcW w:w="880" w:type="dxa"/>
            <w:vAlign w:val="bottom"/>
            <w:tcBorders>
              <w:bottom w:val="single" w:sz="8" w:color="auto"/>
            </w:tcBorders>
            <w:gridSpan w:val="2"/>
          </w:tcPr>
          <w:p>
            <w:pPr>
              <w:jc w:val="center"/>
              <w:ind w:left="337"/>
              <w:spacing w:after="0"/>
              <w:rPr>
                <w:sz w:val="20"/>
                <w:szCs w:val="20"/>
                <w:color w:val="auto"/>
              </w:rPr>
            </w:pPr>
            <w:r>
              <w:rPr>
                <w:rFonts w:ascii="Arial" w:cs="Arial" w:eastAsia="Arial" w:hAnsi="Arial"/>
                <w:sz w:val="14"/>
                <w:szCs w:val="14"/>
                <w:color w:val="auto"/>
              </w:rPr>
              <w:t>31.5%</w:t>
            </w:r>
          </w:p>
        </w:tc>
        <w:tc>
          <w:tcPr>
            <w:tcW w:w="2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-102 bps</w:t>
            </w:r>
          </w:p>
        </w:tc>
        <w:tc>
          <w:tcPr>
            <w:tcW w:w="10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628 bps</w:t>
            </w:r>
          </w:p>
        </w:tc>
        <w:tc>
          <w:tcPr>
            <w:tcW w:w="0" w:type="dxa"/>
            <w:vAlign w:val="bottom"/>
          </w:tcPr>
          <w:p>
            <w:pPr>
              <w:spacing w:after="0"/>
              <w:rPr>
                <w:sz w:val="1"/>
                <w:szCs w:val="1"/>
                <w:color w:val="auto"/>
              </w:rPr>
            </w:pPr>
          </w:p>
        </w:tc>
      </w:tr>
      <w:tr>
        <w:trPr>
          <w:trHeight w:val="368"/>
        </w:trPr>
        <w:tc>
          <w:tcPr>
            <w:tcW w:w="3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40" w:type="dxa"/>
            <w:vAlign w:val="bottom"/>
            <w:gridSpan w:val="4"/>
          </w:tcPr>
          <w:p>
            <w:pPr>
              <w:jc w:val="center"/>
              <w:ind w:left="77"/>
              <w:spacing w:after="0"/>
              <w:rPr>
                <w:sz w:val="20"/>
                <w:szCs w:val="20"/>
                <w:color w:val="auto"/>
              </w:rPr>
            </w:pPr>
            <w:r>
              <w:rPr>
                <w:rFonts w:ascii="Arial" w:cs="Arial" w:eastAsia="Arial" w:hAnsi="Arial"/>
                <w:sz w:val="17"/>
                <w:szCs w:val="17"/>
                <w:b w:val="1"/>
                <w:bCs w:val="1"/>
                <w:color w:val="auto"/>
              </w:rPr>
              <w:t>Main Indicators and Market Share</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0" w:type="dxa"/>
            <w:vAlign w:val="bottom"/>
            <w:tcBorders>
              <w:left w:val="single" w:sz="8" w:color="auto"/>
              <w:right w:val="single" w:sz="8" w:color="2AD2C8"/>
            </w:tcBorders>
            <w:shd w:val="clear" w:color="auto" w:fill="2AD2C8"/>
          </w:tcPr>
          <w:p>
            <w:pPr>
              <w:spacing w:after="0"/>
              <w:rPr>
                <w:sz w:val="14"/>
                <w:szCs w:val="14"/>
                <w:color w:val="auto"/>
              </w:rPr>
            </w:pPr>
          </w:p>
        </w:tc>
        <w:tc>
          <w:tcPr>
            <w:tcW w:w="3700" w:type="dxa"/>
            <w:vAlign w:val="bottom"/>
            <w:shd w:val="clear" w:color="auto" w:fill="2AD2C8"/>
          </w:tcPr>
          <w:p>
            <w:pPr>
              <w:spacing w:after="0"/>
              <w:rPr>
                <w:sz w:val="14"/>
                <w:szCs w:val="14"/>
                <w:color w:val="auto"/>
              </w:rPr>
            </w:pPr>
          </w:p>
        </w:tc>
        <w:tc>
          <w:tcPr>
            <w:tcW w:w="1180" w:type="dxa"/>
            <w:vAlign w:val="bottom"/>
            <w:tcBorders>
              <w:right w:val="single" w:sz="8" w:color="auto"/>
            </w:tcBorders>
            <w:shd w:val="clear" w:color="auto" w:fill="2AD2C8"/>
          </w:tcPr>
          <w:p>
            <w:pPr>
              <w:spacing w:after="0"/>
              <w:rPr>
                <w:sz w:val="14"/>
                <w:szCs w:val="14"/>
                <w:color w:val="auto"/>
              </w:rPr>
            </w:pPr>
          </w:p>
        </w:tc>
        <w:tc>
          <w:tcPr>
            <w:tcW w:w="980" w:type="dxa"/>
            <w:vAlign w:val="bottom"/>
            <w:tcBorders>
              <w:right w:val="single" w:sz="8" w:color="2AD2C8"/>
            </w:tcBorders>
            <w:gridSpan w:val="2"/>
            <w:shd w:val="clear" w:color="auto" w:fill="2AD2C8"/>
          </w:tcPr>
          <w:p>
            <w:pPr>
              <w:ind w:left="320"/>
              <w:spacing w:after="0"/>
              <w:rPr>
                <w:sz w:val="20"/>
                <w:szCs w:val="20"/>
                <w:color w:val="auto"/>
              </w:rPr>
            </w:pPr>
            <w:r>
              <w:rPr>
                <w:rFonts w:ascii="Arial" w:cs="Arial" w:eastAsia="Arial" w:hAnsi="Arial"/>
                <w:sz w:val="13"/>
                <w:szCs w:val="13"/>
                <w:b w:val="1"/>
                <w:bCs w:val="1"/>
                <w:color w:val="FFFFFF"/>
              </w:rPr>
              <w:t>Prima</w:t>
            </w:r>
          </w:p>
        </w:tc>
        <w:tc>
          <w:tcPr>
            <w:tcW w:w="880" w:type="dxa"/>
            <w:vAlign w:val="bottom"/>
            <w:shd w:val="clear" w:color="auto" w:fill="2AD2C8"/>
          </w:tcPr>
          <w:p>
            <w:pPr>
              <w:ind w:left="300"/>
              <w:spacing w:after="0"/>
              <w:rPr>
                <w:sz w:val="20"/>
                <w:szCs w:val="20"/>
                <w:color w:val="auto"/>
              </w:rPr>
            </w:pPr>
            <w:r>
              <w:rPr>
                <w:rFonts w:ascii="Arial" w:cs="Arial" w:eastAsia="Arial" w:hAnsi="Arial"/>
                <w:sz w:val="13"/>
                <w:szCs w:val="13"/>
                <w:b w:val="1"/>
                <w:bCs w:val="1"/>
                <w:color w:val="FFFFFF"/>
              </w:rPr>
              <w:t>System</w:t>
            </w:r>
          </w:p>
        </w:tc>
        <w:tc>
          <w:tcPr>
            <w:tcW w:w="1000" w:type="dxa"/>
            <w:vAlign w:val="bottom"/>
            <w:shd w:val="clear" w:color="auto" w:fill="2AD2C8"/>
          </w:tcPr>
          <w:p>
            <w:pPr>
              <w:jc w:val="center"/>
              <w:ind w:left="276"/>
              <w:spacing w:after="0"/>
              <w:rPr>
                <w:sz w:val="20"/>
                <w:szCs w:val="20"/>
                <w:color w:val="auto"/>
              </w:rPr>
            </w:pPr>
            <w:r>
              <w:rPr>
                <w:rFonts w:ascii="Arial" w:cs="Arial" w:eastAsia="Arial" w:hAnsi="Arial"/>
                <w:sz w:val="13"/>
                <w:szCs w:val="13"/>
                <w:b w:val="1"/>
                <w:bCs w:val="1"/>
                <w:color w:val="FFFFFF"/>
                <w:w w:val="97"/>
              </w:rPr>
              <w:t>Share %</w:t>
            </w:r>
          </w:p>
        </w:tc>
        <w:tc>
          <w:tcPr>
            <w:tcW w:w="220" w:type="dxa"/>
            <w:vAlign w:val="bottom"/>
            <w:tcBorders>
              <w:right w:val="single" w:sz="8" w:color="auto"/>
            </w:tcBorders>
            <w:shd w:val="clear" w:color="auto" w:fill="2AD2C8"/>
          </w:tcPr>
          <w:p>
            <w:pPr>
              <w:spacing w:after="0"/>
              <w:rPr>
                <w:sz w:val="14"/>
                <w:szCs w:val="14"/>
                <w:color w:val="auto"/>
              </w:rPr>
            </w:pPr>
          </w:p>
        </w:tc>
        <w:tc>
          <w:tcPr>
            <w:tcW w:w="940" w:type="dxa"/>
            <w:vAlign w:val="bottom"/>
            <w:tcBorders>
              <w:right w:val="single" w:sz="8" w:color="2AD2C8"/>
            </w:tcBorders>
            <w:gridSpan w:val="2"/>
            <w:shd w:val="clear" w:color="auto" w:fill="2AD2C8"/>
          </w:tcPr>
          <w:p>
            <w:pPr>
              <w:ind w:left="300"/>
              <w:spacing w:after="0"/>
              <w:rPr>
                <w:sz w:val="20"/>
                <w:szCs w:val="20"/>
                <w:color w:val="auto"/>
              </w:rPr>
            </w:pPr>
            <w:r>
              <w:rPr>
                <w:rFonts w:ascii="Arial" w:cs="Arial" w:eastAsia="Arial" w:hAnsi="Arial"/>
                <w:sz w:val="13"/>
                <w:szCs w:val="13"/>
                <w:b w:val="1"/>
                <w:bCs w:val="1"/>
                <w:color w:val="FFFFFF"/>
              </w:rPr>
              <w:t>Prima</w:t>
            </w:r>
          </w:p>
        </w:tc>
        <w:tc>
          <w:tcPr>
            <w:tcW w:w="980" w:type="dxa"/>
            <w:vAlign w:val="bottom"/>
            <w:shd w:val="clear" w:color="auto" w:fill="2AD2C8"/>
          </w:tcPr>
          <w:p>
            <w:pPr>
              <w:jc w:val="right"/>
              <w:ind w:right="156"/>
              <w:spacing w:after="0"/>
              <w:rPr>
                <w:sz w:val="20"/>
                <w:szCs w:val="20"/>
                <w:color w:val="auto"/>
              </w:rPr>
            </w:pPr>
            <w:r>
              <w:rPr>
                <w:rFonts w:ascii="Arial" w:cs="Arial" w:eastAsia="Arial" w:hAnsi="Arial"/>
                <w:sz w:val="13"/>
                <w:szCs w:val="13"/>
                <w:b w:val="1"/>
                <w:bCs w:val="1"/>
                <w:color w:val="FFFFFF"/>
              </w:rPr>
              <w:t>System</w:t>
            </w:r>
          </w:p>
        </w:tc>
        <w:tc>
          <w:tcPr>
            <w:tcW w:w="1040" w:type="dxa"/>
            <w:vAlign w:val="bottom"/>
            <w:tcBorders>
              <w:right w:val="single" w:sz="8" w:color="auto"/>
            </w:tcBorders>
            <w:gridSpan w:val="2"/>
            <w:shd w:val="clear" w:color="auto" w:fill="2AD2C8"/>
          </w:tcPr>
          <w:p>
            <w:pPr>
              <w:jc w:val="center"/>
              <w:spacing w:after="0"/>
              <w:rPr>
                <w:sz w:val="20"/>
                <w:szCs w:val="20"/>
                <w:color w:val="auto"/>
              </w:rPr>
            </w:pPr>
            <w:r>
              <w:rPr>
                <w:rFonts w:ascii="Arial" w:cs="Arial" w:eastAsia="Arial" w:hAnsi="Arial"/>
                <w:sz w:val="13"/>
                <w:szCs w:val="13"/>
                <w:b w:val="1"/>
                <w:bCs w:val="1"/>
                <w:color w:val="FFFFFF"/>
                <w:w w:val="93"/>
              </w:rPr>
              <w:t>Share %</w:t>
            </w:r>
          </w:p>
        </w:tc>
        <w:tc>
          <w:tcPr>
            <w:tcW w:w="0" w:type="dxa"/>
            <w:vAlign w:val="bottom"/>
          </w:tcPr>
          <w:p>
            <w:pPr>
              <w:spacing w:after="0"/>
              <w:rPr>
                <w:sz w:val="1"/>
                <w:szCs w:val="1"/>
                <w:color w:val="auto"/>
              </w:rPr>
            </w:pPr>
          </w:p>
        </w:tc>
      </w:tr>
      <w:tr>
        <w:trPr>
          <w:trHeight w:val="153"/>
        </w:trPr>
        <w:tc>
          <w:tcPr>
            <w:tcW w:w="320" w:type="dxa"/>
            <w:vAlign w:val="bottom"/>
            <w:tcBorders>
              <w:left w:val="single" w:sz="8" w:color="auto"/>
              <w:bottom w:val="single" w:sz="8" w:color="auto"/>
              <w:right w:val="single" w:sz="8" w:color="2AD2C8"/>
            </w:tcBorders>
            <w:shd w:val="clear" w:color="auto" w:fill="2AD2C8"/>
          </w:tcPr>
          <w:p>
            <w:pPr>
              <w:spacing w:after="0"/>
              <w:rPr>
                <w:sz w:val="13"/>
                <w:szCs w:val="13"/>
                <w:color w:val="auto"/>
              </w:rPr>
            </w:pPr>
          </w:p>
        </w:tc>
        <w:tc>
          <w:tcPr>
            <w:tcW w:w="3700" w:type="dxa"/>
            <w:vAlign w:val="bottom"/>
            <w:tcBorders>
              <w:bottom w:val="single" w:sz="8" w:color="auto"/>
            </w:tcBorders>
            <w:shd w:val="clear" w:color="auto" w:fill="2AD2C8"/>
          </w:tcPr>
          <w:p>
            <w:pPr>
              <w:spacing w:after="0"/>
              <w:rPr>
                <w:sz w:val="13"/>
                <w:szCs w:val="13"/>
                <w:color w:val="auto"/>
              </w:rPr>
            </w:pPr>
          </w:p>
        </w:tc>
        <w:tc>
          <w:tcPr>
            <w:tcW w:w="1180" w:type="dxa"/>
            <w:vAlign w:val="bottom"/>
            <w:tcBorders>
              <w:bottom w:val="single" w:sz="8" w:color="auto"/>
              <w:right w:val="single" w:sz="8" w:color="auto"/>
            </w:tcBorders>
            <w:shd w:val="clear" w:color="auto" w:fill="2AD2C8"/>
          </w:tcPr>
          <w:p>
            <w:pPr>
              <w:spacing w:after="0"/>
              <w:rPr>
                <w:sz w:val="13"/>
                <w:szCs w:val="13"/>
                <w:color w:val="auto"/>
              </w:rPr>
            </w:pPr>
          </w:p>
        </w:tc>
        <w:tc>
          <w:tcPr>
            <w:tcW w:w="980" w:type="dxa"/>
            <w:vAlign w:val="bottom"/>
            <w:tcBorders>
              <w:bottom w:val="single" w:sz="8" w:color="auto"/>
              <w:right w:val="single" w:sz="8" w:color="2AD2C8"/>
            </w:tcBorders>
            <w:gridSpan w:val="2"/>
            <w:shd w:val="clear" w:color="auto" w:fill="2AD2C8"/>
          </w:tcPr>
          <w:p>
            <w:pPr>
              <w:jc w:val="center"/>
              <w:spacing w:after="0"/>
              <w:rPr>
                <w:sz w:val="20"/>
                <w:szCs w:val="20"/>
                <w:color w:val="auto"/>
              </w:rPr>
            </w:pPr>
            <w:r>
              <w:rPr>
                <w:rFonts w:ascii="Arial" w:cs="Arial" w:eastAsia="Arial" w:hAnsi="Arial"/>
                <w:sz w:val="13"/>
                <w:szCs w:val="13"/>
                <w:b w:val="1"/>
                <w:bCs w:val="1"/>
                <w:color w:val="FFFFFF"/>
                <w:w w:val="94"/>
              </w:rPr>
              <w:t>4Q24</w:t>
            </w:r>
          </w:p>
        </w:tc>
        <w:tc>
          <w:tcPr>
            <w:tcW w:w="880" w:type="dxa"/>
            <w:vAlign w:val="bottom"/>
            <w:tcBorders>
              <w:bottom w:val="single" w:sz="8" w:color="auto"/>
            </w:tcBorders>
            <w:shd w:val="clear" w:color="auto" w:fill="2AD2C8"/>
          </w:tcPr>
          <w:p>
            <w:pPr>
              <w:jc w:val="center"/>
              <w:ind w:left="96"/>
              <w:spacing w:after="0"/>
              <w:rPr>
                <w:sz w:val="20"/>
                <w:szCs w:val="20"/>
                <w:color w:val="auto"/>
              </w:rPr>
            </w:pPr>
            <w:r>
              <w:rPr>
                <w:rFonts w:ascii="Arial" w:cs="Arial" w:eastAsia="Arial" w:hAnsi="Arial"/>
                <w:sz w:val="13"/>
                <w:szCs w:val="13"/>
                <w:b w:val="1"/>
                <w:bCs w:val="1"/>
                <w:color w:val="FFFFFF"/>
              </w:rPr>
              <w:t>4Q24</w:t>
            </w:r>
          </w:p>
        </w:tc>
        <w:tc>
          <w:tcPr>
            <w:tcW w:w="1000" w:type="dxa"/>
            <w:vAlign w:val="bottom"/>
            <w:tcBorders>
              <w:bottom w:val="single" w:sz="8" w:color="auto"/>
            </w:tcBorders>
            <w:shd w:val="clear" w:color="auto" w:fill="2AD2C8"/>
          </w:tcPr>
          <w:p>
            <w:pPr>
              <w:jc w:val="center"/>
              <w:ind w:left="276"/>
              <w:spacing w:after="0"/>
              <w:rPr>
                <w:sz w:val="20"/>
                <w:szCs w:val="20"/>
                <w:color w:val="auto"/>
              </w:rPr>
            </w:pPr>
            <w:r>
              <w:rPr>
                <w:rFonts w:ascii="Arial" w:cs="Arial" w:eastAsia="Arial" w:hAnsi="Arial"/>
                <w:sz w:val="13"/>
                <w:szCs w:val="13"/>
                <w:b w:val="1"/>
                <w:bCs w:val="1"/>
                <w:color w:val="FFFFFF"/>
                <w:w w:val="94"/>
              </w:rPr>
              <w:t>4Q24</w:t>
            </w:r>
          </w:p>
        </w:tc>
        <w:tc>
          <w:tcPr>
            <w:tcW w:w="220" w:type="dxa"/>
            <w:vAlign w:val="bottom"/>
            <w:tcBorders>
              <w:bottom w:val="single" w:sz="8" w:color="auto"/>
              <w:right w:val="single" w:sz="8" w:color="auto"/>
            </w:tcBorders>
            <w:shd w:val="clear" w:color="auto" w:fill="2AD2C8"/>
          </w:tcPr>
          <w:p>
            <w:pPr>
              <w:spacing w:after="0"/>
              <w:rPr>
                <w:sz w:val="13"/>
                <w:szCs w:val="13"/>
                <w:color w:val="auto"/>
              </w:rPr>
            </w:pPr>
          </w:p>
        </w:tc>
        <w:tc>
          <w:tcPr>
            <w:tcW w:w="940" w:type="dxa"/>
            <w:vAlign w:val="bottom"/>
            <w:tcBorders>
              <w:bottom w:val="single" w:sz="8" w:color="auto"/>
              <w:right w:val="single" w:sz="8" w:color="2AD2C8"/>
            </w:tcBorders>
            <w:gridSpan w:val="2"/>
            <w:shd w:val="clear" w:color="auto" w:fill="2AD2C8"/>
          </w:tcPr>
          <w:p>
            <w:pPr>
              <w:jc w:val="center"/>
              <w:spacing w:after="0"/>
              <w:rPr>
                <w:sz w:val="20"/>
                <w:szCs w:val="20"/>
                <w:color w:val="auto"/>
              </w:rPr>
            </w:pPr>
            <w:r>
              <w:rPr>
                <w:rFonts w:ascii="Arial" w:cs="Arial" w:eastAsia="Arial" w:hAnsi="Arial"/>
                <w:sz w:val="13"/>
                <w:szCs w:val="13"/>
                <w:b w:val="1"/>
                <w:bCs w:val="1"/>
                <w:color w:val="FFFFFF"/>
              </w:rPr>
              <w:t>1Q25</w:t>
            </w:r>
          </w:p>
        </w:tc>
        <w:tc>
          <w:tcPr>
            <w:tcW w:w="980" w:type="dxa"/>
            <w:vAlign w:val="bottom"/>
            <w:tcBorders>
              <w:bottom w:val="single" w:sz="8" w:color="auto"/>
            </w:tcBorders>
            <w:shd w:val="clear" w:color="auto" w:fill="2AD2C8"/>
          </w:tcPr>
          <w:p>
            <w:pPr>
              <w:jc w:val="right"/>
              <w:ind w:right="236"/>
              <w:spacing w:after="0"/>
              <w:rPr>
                <w:sz w:val="20"/>
                <w:szCs w:val="20"/>
                <w:color w:val="auto"/>
              </w:rPr>
            </w:pPr>
            <w:r>
              <w:rPr>
                <w:rFonts w:ascii="Arial" w:cs="Arial" w:eastAsia="Arial" w:hAnsi="Arial"/>
                <w:sz w:val="13"/>
                <w:szCs w:val="13"/>
                <w:b w:val="1"/>
                <w:bCs w:val="1"/>
                <w:color w:val="FFFFFF"/>
              </w:rPr>
              <w:t>1Q25</w:t>
            </w:r>
          </w:p>
        </w:tc>
        <w:tc>
          <w:tcPr>
            <w:tcW w:w="1040" w:type="dxa"/>
            <w:vAlign w:val="bottom"/>
            <w:tcBorders>
              <w:bottom w:val="single" w:sz="8" w:color="auto"/>
              <w:right w:val="single" w:sz="8" w:color="auto"/>
            </w:tcBorders>
            <w:gridSpan w:val="2"/>
            <w:shd w:val="clear" w:color="auto" w:fill="2AD2C8"/>
          </w:tcPr>
          <w:p>
            <w:pPr>
              <w:jc w:val="center"/>
              <w:spacing w:after="0"/>
              <w:rPr>
                <w:sz w:val="20"/>
                <w:szCs w:val="20"/>
                <w:color w:val="auto"/>
              </w:rPr>
            </w:pPr>
            <w:r>
              <w:rPr>
                <w:rFonts w:ascii="Arial" w:cs="Arial" w:eastAsia="Arial" w:hAnsi="Arial"/>
                <w:sz w:val="13"/>
                <w:szCs w:val="13"/>
                <w:b w:val="1"/>
                <w:bCs w:val="1"/>
                <w:color w:val="FFFFFF"/>
              </w:rPr>
              <w:t>1Q25</w:t>
            </w:r>
          </w:p>
        </w:tc>
        <w:tc>
          <w:tcPr>
            <w:tcW w:w="0" w:type="dxa"/>
            <w:vAlign w:val="bottom"/>
          </w:tcPr>
          <w:p>
            <w:pPr>
              <w:spacing w:after="0"/>
              <w:rPr>
                <w:sz w:val="1"/>
                <w:szCs w:val="1"/>
                <w:color w:val="auto"/>
              </w:rPr>
            </w:pPr>
          </w:p>
        </w:tc>
      </w:tr>
      <w:tr>
        <w:trPr>
          <w:trHeight w:val="138"/>
        </w:trPr>
        <w:tc>
          <w:tcPr>
            <w:tcW w:w="4020" w:type="dxa"/>
            <w:vAlign w:val="bottom"/>
            <w:tcBorders>
              <w:left w:val="single" w:sz="8" w:color="auto"/>
            </w:tcBorders>
            <w:gridSpan w:val="2"/>
          </w:tcPr>
          <w:p>
            <w:pPr>
              <w:ind w:left="20"/>
              <w:spacing w:after="0" w:line="138" w:lineRule="exact"/>
              <w:rPr>
                <w:sz w:val="20"/>
                <w:szCs w:val="20"/>
                <w:color w:val="auto"/>
              </w:rPr>
            </w:pPr>
            <w:r>
              <w:rPr>
                <w:rFonts w:ascii="Arial" w:cs="Arial" w:eastAsia="Arial" w:hAnsi="Arial"/>
                <w:sz w:val="13"/>
                <w:szCs w:val="13"/>
                <w:color w:val="auto"/>
              </w:rPr>
              <w:t>AUMs (S/ Millions)</w:t>
            </w:r>
          </w:p>
        </w:tc>
        <w:tc>
          <w:tcPr>
            <w:tcW w:w="1180" w:type="dxa"/>
            <w:vAlign w:val="bottom"/>
            <w:tcBorders>
              <w:right w:val="single" w:sz="8" w:color="auto"/>
            </w:tcBorders>
          </w:tcPr>
          <w:p>
            <w:pPr>
              <w:spacing w:after="0"/>
              <w:rPr>
                <w:sz w:val="11"/>
                <w:szCs w:val="11"/>
                <w:color w:val="auto"/>
              </w:rPr>
            </w:pPr>
          </w:p>
        </w:tc>
        <w:tc>
          <w:tcPr>
            <w:tcW w:w="720" w:type="dxa"/>
            <w:vAlign w:val="bottom"/>
          </w:tcPr>
          <w:p>
            <w:pPr>
              <w:jc w:val="center"/>
              <w:ind w:left="194"/>
              <w:spacing w:after="0" w:line="138" w:lineRule="exact"/>
              <w:rPr>
                <w:sz w:val="20"/>
                <w:szCs w:val="20"/>
                <w:color w:val="auto"/>
              </w:rPr>
            </w:pPr>
            <w:r>
              <w:rPr>
                <w:rFonts w:ascii="Arial" w:cs="Arial" w:eastAsia="Arial" w:hAnsi="Arial"/>
                <w:sz w:val="13"/>
                <w:szCs w:val="13"/>
                <w:color w:val="auto"/>
                <w:w w:val="95"/>
              </w:rPr>
              <w:t>32,118</w:t>
            </w:r>
          </w:p>
        </w:tc>
        <w:tc>
          <w:tcPr>
            <w:tcW w:w="260" w:type="dxa"/>
            <w:vAlign w:val="bottom"/>
          </w:tcPr>
          <w:p>
            <w:pPr>
              <w:spacing w:after="0"/>
              <w:rPr>
                <w:sz w:val="11"/>
                <w:szCs w:val="11"/>
                <w:color w:val="auto"/>
              </w:rPr>
            </w:pPr>
          </w:p>
        </w:tc>
        <w:tc>
          <w:tcPr>
            <w:tcW w:w="880" w:type="dxa"/>
            <w:vAlign w:val="bottom"/>
          </w:tcPr>
          <w:p>
            <w:pPr>
              <w:ind w:left="300"/>
              <w:spacing w:after="0" w:line="138" w:lineRule="exact"/>
              <w:rPr>
                <w:sz w:val="20"/>
                <w:szCs w:val="20"/>
                <w:color w:val="auto"/>
              </w:rPr>
            </w:pPr>
            <w:r>
              <w:rPr>
                <w:rFonts w:ascii="Arial" w:cs="Arial" w:eastAsia="Arial" w:hAnsi="Arial"/>
                <w:sz w:val="13"/>
                <w:szCs w:val="13"/>
                <w:color w:val="auto"/>
              </w:rPr>
              <w:t>106,976</w:t>
            </w:r>
          </w:p>
        </w:tc>
        <w:tc>
          <w:tcPr>
            <w:tcW w:w="1000" w:type="dxa"/>
            <w:vAlign w:val="bottom"/>
          </w:tcPr>
          <w:p>
            <w:pPr>
              <w:jc w:val="center"/>
              <w:ind w:left="276"/>
              <w:spacing w:after="0" w:line="138" w:lineRule="exact"/>
              <w:rPr>
                <w:sz w:val="20"/>
                <w:szCs w:val="20"/>
                <w:color w:val="auto"/>
              </w:rPr>
            </w:pPr>
            <w:r>
              <w:rPr>
                <w:rFonts w:ascii="Arial" w:cs="Arial" w:eastAsia="Arial" w:hAnsi="Arial"/>
                <w:sz w:val="13"/>
                <w:szCs w:val="13"/>
                <w:color w:val="auto"/>
                <w:w w:val="99"/>
              </w:rPr>
              <w:t>30%</w:t>
            </w:r>
          </w:p>
        </w:tc>
        <w:tc>
          <w:tcPr>
            <w:tcW w:w="220" w:type="dxa"/>
            <w:vAlign w:val="bottom"/>
            <w:tcBorders>
              <w:right w:val="single" w:sz="8" w:color="auto"/>
            </w:tcBorders>
          </w:tcPr>
          <w:p>
            <w:pPr>
              <w:spacing w:after="0"/>
              <w:rPr>
                <w:sz w:val="11"/>
                <w:szCs w:val="11"/>
                <w:color w:val="auto"/>
              </w:rPr>
            </w:pPr>
          </w:p>
        </w:tc>
        <w:tc>
          <w:tcPr>
            <w:tcW w:w="940" w:type="dxa"/>
            <w:vAlign w:val="bottom"/>
            <w:gridSpan w:val="2"/>
          </w:tcPr>
          <w:p>
            <w:pPr>
              <w:jc w:val="center"/>
              <w:spacing w:after="0" w:line="138" w:lineRule="exact"/>
              <w:rPr>
                <w:sz w:val="20"/>
                <w:szCs w:val="20"/>
                <w:color w:val="auto"/>
              </w:rPr>
            </w:pPr>
            <w:r>
              <w:rPr>
                <w:rFonts w:ascii="Arial" w:cs="Arial" w:eastAsia="Arial" w:hAnsi="Arial"/>
                <w:sz w:val="13"/>
                <w:szCs w:val="13"/>
                <w:color w:val="auto"/>
                <w:w w:val="95"/>
              </w:rPr>
              <w:t>31,702</w:t>
            </w:r>
          </w:p>
        </w:tc>
        <w:tc>
          <w:tcPr>
            <w:tcW w:w="9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107,622</w:t>
            </w:r>
          </w:p>
        </w:tc>
        <w:tc>
          <w:tcPr>
            <w:tcW w:w="760" w:type="dxa"/>
            <w:vAlign w:val="bottom"/>
          </w:tcPr>
          <w:p>
            <w:pPr>
              <w:jc w:val="center"/>
              <w:ind w:left="256"/>
              <w:spacing w:after="0" w:line="138" w:lineRule="exact"/>
              <w:rPr>
                <w:sz w:val="20"/>
                <w:szCs w:val="20"/>
                <w:color w:val="auto"/>
              </w:rPr>
            </w:pPr>
            <w:r>
              <w:rPr>
                <w:rFonts w:ascii="Arial" w:cs="Arial" w:eastAsia="Arial" w:hAnsi="Arial"/>
                <w:sz w:val="13"/>
                <w:szCs w:val="13"/>
                <w:color w:val="auto"/>
                <w:w w:val="92"/>
              </w:rPr>
              <w:t>29%</w:t>
            </w:r>
          </w:p>
        </w:tc>
        <w:tc>
          <w:tcPr>
            <w:tcW w:w="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tcBorders>
              <w:left w:val="single" w:sz="8" w:color="auto"/>
            </w:tcBorders>
            <w:gridSpan w:val="2"/>
          </w:tcPr>
          <w:p>
            <w:pPr>
              <w:ind w:left="20"/>
              <w:spacing w:after="0"/>
              <w:rPr>
                <w:sz w:val="20"/>
                <w:szCs w:val="20"/>
                <w:color w:val="auto"/>
              </w:rPr>
            </w:pPr>
            <w:r>
              <w:rPr>
                <w:rFonts w:ascii="Arial" w:cs="Arial" w:eastAsia="Arial" w:hAnsi="Arial"/>
                <w:sz w:val="13"/>
                <w:szCs w:val="13"/>
                <w:color w:val="auto"/>
              </w:rPr>
              <w:t>Affiliates (S/ Millions)</w:t>
            </w:r>
          </w:p>
        </w:tc>
        <w:tc>
          <w:tcPr>
            <w:tcW w:w="1180" w:type="dxa"/>
            <w:vAlign w:val="bottom"/>
            <w:tcBorders>
              <w:right w:val="single" w:sz="8" w:color="auto"/>
            </w:tcBorders>
          </w:tcPr>
          <w:p>
            <w:pPr>
              <w:spacing w:after="0"/>
              <w:rPr>
                <w:sz w:val="12"/>
                <w:szCs w:val="12"/>
                <w:color w:val="auto"/>
              </w:rPr>
            </w:pPr>
          </w:p>
        </w:tc>
        <w:tc>
          <w:tcPr>
            <w:tcW w:w="980" w:type="dxa"/>
            <w:vAlign w:val="bottom"/>
            <w:gridSpan w:val="2"/>
          </w:tcPr>
          <w:p>
            <w:pPr>
              <w:jc w:val="center"/>
              <w:spacing w:after="0"/>
              <w:rPr>
                <w:sz w:val="20"/>
                <w:szCs w:val="20"/>
                <w:color w:val="auto"/>
              </w:rPr>
            </w:pPr>
            <w:r>
              <w:rPr>
                <w:rFonts w:ascii="Arial" w:cs="Arial" w:eastAsia="Arial" w:hAnsi="Arial"/>
                <w:sz w:val="13"/>
                <w:szCs w:val="13"/>
                <w:color w:val="auto"/>
                <w:w w:val="96"/>
              </w:rPr>
              <w:t>2,340,087</w:t>
            </w:r>
          </w:p>
        </w:tc>
        <w:tc>
          <w:tcPr>
            <w:tcW w:w="880" w:type="dxa"/>
            <w:vAlign w:val="bottom"/>
          </w:tcPr>
          <w:p>
            <w:pPr>
              <w:jc w:val="center"/>
              <w:ind w:left="96"/>
              <w:spacing w:after="0"/>
              <w:rPr>
                <w:sz w:val="20"/>
                <w:szCs w:val="20"/>
                <w:color w:val="auto"/>
              </w:rPr>
            </w:pPr>
            <w:r>
              <w:rPr>
                <w:rFonts w:ascii="Arial" w:cs="Arial" w:eastAsia="Arial" w:hAnsi="Arial"/>
                <w:sz w:val="13"/>
                <w:szCs w:val="13"/>
                <w:color w:val="auto"/>
                <w:w w:val="96"/>
              </w:rPr>
              <w:t>9,795,699</w:t>
            </w:r>
          </w:p>
        </w:tc>
        <w:tc>
          <w:tcPr>
            <w:tcW w:w="1000" w:type="dxa"/>
            <w:vAlign w:val="bottom"/>
          </w:tcPr>
          <w:p>
            <w:pPr>
              <w:jc w:val="center"/>
              <w:ind w:left="276"/>
              <w:spacing w:after="0"/>
              <w:rPr>
                <w:sz w:val="20"/>
                <w:szCs w:val="20"/>
                <w:color w:val="auto"/>
              </w:rPr>
            </w:pPr>
            <w:r>
              <w:rPr>
                <w:rFonts w:ascii="Arial" w:cs="Arial" w:eastAsia="Arial" w:hAnsi="Arial"/>
                <w:sz w:val="13"/>
                <w:szCs w:val="13"/>
                <w:color w:val="auto"/>
                <w:w w:val="99"/>
              </w:rPr>
              <w:t>24%</w:t>
            </w:r>
          </w:p>
        </w:tc>
        <w:tc>
          <w:tcPr>
            <w:tcW w:w="220" w:type="dxa"/>
            <w:vAlign w:val="bottom"/>
            <w:tcBorders>
              <w:right w:val="single" w:sz="8" w:color="auto"/>
            </w:tcBorders>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color w:val="auto"/>
                <w:w w:val="96"/>
              </w:rPr>
              <w:t>2,338,126</w:t>
            </w:r>
          </w:p>
        </w:tc>
        <w:tc>
          <w:tcPr>
            <w:tcW w:w="980" w:type="dxa"/>
            <w:vAlign w:val="bottom"/>
          </w:tcPr>
          <w:p>
            <w:pPr>
              <w:jc w:val="right"/>
              <w:ind w:right="76"/>
              <w:spacing w:after="0"/>
              <w:rPr>
                <w:sz w:val="20"/>
                <w:szCs w:val="20"/>
                <w:color w:val="auto"/>
              </w:rPr>
            </w:pPr>
            <w:r>
              <w:rPr>
                <w:rFonts w:ascii="Arial" w:cs="Arial" w:eastAsia="Arial" w:hAnsi="Arial"/>
                <w:sz w:val="13"/>
                <w:szCs w:val="13"/>
                <w:color w:val="auto"/>
              </w:rPr>
              <w:t>9,928,899</w:t>
            </w:r>
          </w:p>
        </w:tc>
        <w:tc>
          <w:tcPr>
            <w:tcW w:w="760" w:type="dxa"/>
            <w:vAlign w:val="bottom"/>
          </w:tcPr>
          <w:p>
            <w:pPr>
              <w:jc w:val="center"/>
              <w:ind w:left="256"/>
              <w:spacing w:after="0"/>
              <w:rPr>
                <w:sz w:val="20"/>
                <w:szCs w:val="20"/>
                <w:color w:val="auto"/>
              </w:rPr>
            </w:pPr>
            <w:r>
              <w:rPr>
                <w:rFonts w:ascii="Arial" w:cs="Arial" w:eastAsia="Arial" w:hAnsi="Arial"/>
                <w:sz w:val="13"/>
                <w:szCs w:val="13"/>
                <w:color w:val="auto"/>
                <w:w w:val="92"/>
              </w:rPr>
              <w:t>24%</w:t>
            </w: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02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3"/>
                <w:szCs w:val="13"/>
                <w:color w:val="auto"/>
              </w:rPr>
              <w:t>Collections (S/ Millions)</w:t>
            </w:r>
          </w:p>
        </w:tc>
        <w:tc>
          <w:tcPr>
            <w:tcW w:w="118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tcBorders>
          </w:tcPr>
          <w:p>
            <w:pPr>
              <w:jc w:val="center"/>
              <w:ind w:left="214"/>
              <w:spacing w:after="0"/>
              <w:rPr>
                <w:sz w:val="20"/>
                <w:szCs w:val="20"/>
                <w:color w:val="auto"/>
              </w:rPr>
            </w:pPr>
            <w:r>
              <w:rPr>
                <w:rFonts w:ascii="Arial" w:cs="Arial" w:eastAsia="Arial" w:hAnsi="Arial"/>
                <w:sz w:val="13"/>
                <w:szCs w:val="13"/>
                <w:color w:val="auto"/>
                <w:w w:val="92"/>
              </w:rPr>
              <w:t>711</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left="96"/>
              <w:spacing w:after="0"/>
              <w:rPr>
                <w:sz w:val="20"/>
                <w:szCs w:val="20"/>
                <w:color w:val="auto"/>
              </w:rPr>
            </w:pPr>
            <w:r>
              <w:rPr>
                <w:rFonts w:ascii="Arial" w:cs="Arial" w:eastAsia="Arial" w:hAnsi="Arial"/>
                <w:sz w:val="13"/>
                <w:szCs w:val="13"/>
                <w:color w:val="auto"/>
                <w:w w:val="98"/>
              </w:rPr>
              <w:t>2,704</w:t>
            </w:r>
          </w:p>
        </w:tc>
        <w:tc>
          <w:tcPr>
            <w:tcW w:w="10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26%</w:t>
            </w:r>
          </w:p>
        </w:tc>
        <w:tc>
          <w:tcPr>
            <w:tcW w:w="2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jc w:val="center"/>
              <w:ind w:left="235"/>
              <w:spacing w:after="0"/>
              <w:rPr>
                <w:sz w:val="20"/>
                <w:szCs w:val="20"/>
                <w:color w:val="auto"/>
              </w:rPr>
            </w:pPr>
            <w:r>
              <w:rPr>
                <w:rFonts w:ascii="Arial" w:cs="Arial" w:eastAsia="Arial" w:hAnsi="Arial"/>
                <w:sz w:val="13"/>
                <w:szCs w:val="13"/>
                <w:color w:val="auto"/>
                <w:w w:val="92"/>
              </w:rPr>
              <w:t>724</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2,787</w:t>
            </w:r>
          </w:p>
        </w:tc>
        <w:tc>
          <w:tcPr>
            <w:tcW w:w="760" w:type="dxa"/>
            <w:vAlign w:val="bottom"/>
            <w:tcBorders>
              <w:bottom w:val="single" w:sz="8" w:color="auto"/>
            </w:tcBorders>
          </w:tcPr>
          <w:p>
            <w:pPr>
              <w:jc w:val="center"/>
              <w:ind w:left="256"/>
              <w:spacing w:after="0"/>
              <w:rPr>
                <w:sz w:val="20"/>
                <w:szCs w:val="20"/>
                <w:color w:val="auto"/>
              </w:rPr>
            </w:pPr>
            <w:r>
              <w:rPr>
                <w:rFonts w:ascii="Arial" w:cs="Arial" w:eastAsia="Arial" w:hAnsi="Arial"/>
                <w:sz w:val="13"/>
                <w:szCs w:val="13"/>
                <w:color w:val="auto"/>
                <w:w w:val="92"/>
              </w:rPr>
              <w:t>26%</w:t>
            </w: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Source: Superintendencia de Banca, Seguros y AFPs.</w:t>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0" w:name="page71"/>
    <w:bookmarkEnd w:id="70"/>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12.6.8. Grupo Pacifico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Grupo Pacifico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S/ Thousands, IFRS)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6220" w:type="dxa"/>
            <w:vAlign w:val="bottom"/>
            <w:tcBorders>
              <w:top w:val="single" w:sz="8" w:color="auto"/>
              <w:left w:val="single" w:sz="8" w:color="auto"/>
              <w:right w:val="single" w:sz="8" w:color="auto"/>
            </w:tcBorders>
            <w:shd w:val="clear" w:color="auto" w:fill="2AD2C8"/>
          </w:tcPr>
          <w:p>
            <w:pPr>
              <w:spacing w:after="0"/>
              <w:rPr>
                <w:sz w:val="18"/>
                <w:szCs w:val="18"/>
                <w:color w:val="auto"/>
              </w:rPr>
            </w:pPr>
          </w:p>
        </w:tc>
        <w:tc>
          <w:tcPr>
            <w:tcW w:w="980" w:type="dxa"/>
            <w:vAlign w:val="bottom"/>
            <w:tcBorders>
              <w:top w:val="single" w:sz="8" w:color="auto"/>
            </w:tcBorders>
            <w:shd w:val="clear" w:color="auto" w:fill="2AD2C8"/>
          </w:tcPr>
          <w:p>
            <w:pPr>
              <w:spacing w:after="0"/>
              <w:rPr>
                <w:sz w:val="18"/>
                <w:szCs w:val="18"/>
                <w:color w:val="auto"/>
              </w:rPr>
            </w:pPr>
          </w:p>
        </w:tc>
        <w:tc>
          <w:tcPr>
            <w:tcW w:w="1020" w:type="dxa"/>
            <w:vAlign w:val="bottom"/>
            <w:tcBorders>
              <w:top w:val="single" w:sz="8" w:color="auto"/>
            </w:tcBorders>
            <w:shd w:val="clear" w:color="auto" w:fill="2AD2C8"/>
          </w:tcPr>
          <w:p>
            <w:pPr>
              <w:jc w:val="center"/>
              <w:spacing w:after="0"/>
              <w:rPr>
                <w:sz w:val="20"/>
                <w:szCs w:val="20"/>
                <w:color w:val="auto"/>
              </w:rPr>
            </w:pPr>
            <w:r>
              <w:rPr>
                <w:rFonts w:ascii="Arial" w:cs="Arial" w:eastAsia="Arial" w:hAnsi="Arial"/>
                <w:sz w:val="15"/>
                <w:szCs w:val="15"/>
                <w:b w:val="1"/>
                <w:bCs w:val="1"/>
                <w:color w:val="FFFFFF"/>
              </w:rPr>
              <w:t>As of</w:t>
            </w:r>
          </w:p>
        </w:tc>
        <w:tc>
          <w:tcPr>
            <w:tcW w:w="1020" w:type="dxa"/>
            <w:vAlign w:val="bottom"/>
            <w:tcBorders>
              <w:top w:val="single" w:sz="8" w:color="auto"/>
              <w:right w:val="single" w:sz="8" w:color="auto"/>
            </w:tcBorders>
            <w:shd w:val="clear" w:color="auto" w:fill="2AD2C8"/>
          </w:tcPr>
          <w:p>
            <w:pPr>
              <w:spacing w:after="0"/>
              <w:rPr>
                <w:sz w:val="18"/>
                <w:szCs w:val="18"/>
                <w:color w:val="auto"/>
              </w:rPr>
            </w:pPr>
          </w:p>
        </w:tc>
        <w:tc>
          <w:tcPr>
            <w:tcW w:w="2000" w:type="dxa"/>
            <w:vAlign w:val="bottom"/>
            <w:tcBorders>
              <w:top w:val="single" w:sz="8" w:color="auto"/>
              <w:right w:val="single" w:sz="8" w:color="auto"/>
            </w:tcBorders>
            <w:gridSpan w:val="2"/>
            <w:shd w:val="clear" w:color="auto" w:fill="2AD2C8"/>
          </w:tcPr>
          <w:p>
            <w:pPr>
              <w:ind w:left="640"/>
              <w:spacing w:after="0"/>
              <w:rPr>
                <w:sz w:val="20"/>
                <w:szCs w:val="20"/>
                <w:color w:val="auto"/>
              </w:rPr>
            </w:pPr>
            <w:r>
              <w:rPr>
                <w:rFonts w:ascii="Arial" w:cs="Arial" w:eastAsia="Arial" w:hAnsi="Arial"/>
                <w:sz w:val="15"/>
                <w:szCs w:val="15"/>
                <w:b w:val="1"/>
                <w:bCs w:val="1"/>
                <w:color w:val="FFFFFF"/>
              </w:rPr>
              <w:t>% change</w:t>
            </w:r>
          </w:p>
        </w:tc>
      </w:tr>
      <w:tr>
        <w:trPr>
          <w:trHeight w:val="181"/>
        </w:trPr>
        <w:tc>
          <w:tcPr>
            <w:tcW w:w="6220" w:type="dxa"/>
            <w:vAlign w:val="bottom"/>
            <w:tcBorders>
              <w:left w:val="single" w:sz="8" w:color="auto"/>
              <w:bottom w:val="single" w:sz="8" w:color="auto"/>
              <w:right w:val="single" w:sz="8" w:color="auto"/>
            </w:tcBorders>
            <w:shd w:val="clear" w:color="auto" w:fill="2AD2C8"/>
          </w:tcPr>
          <w:p>
            <w:pPr>
              <w:spacing w:after="0"/>
              <w:rPr>
                <w:sz w:val="15"/>
                <w:szCs w:val="15"/>
                <w:color w:val="auto"/>
              </w:rPr>
            </w:pPr>
          </w:p>
        </w:tc>
        <w:tc>
          <w:tcPr>
            <w:tcW w:w="980" w:type="dxa"/>
            <w:vAlign w:val="bottom"/>
            <w:tcBorders>
              <w:bottom w:val="single" w:sz="8" w:color="auto"/>
            </w:tcBorders>
            <w:shd w:val="clear" w:color="auto" w:fill="2AD2C8"/>
          </w:tcPr>
          <w:p>
            <w:pPr>
              <w:ind w:left="240"/>
              <w:spacing w:after="0"/>
              <w:rPr>
                <w:sz w:val="20"/>
                <w:szCs w:val="20"/>
                <w:color w:val="auto"/>
              </w:rPr>
            </w:pPr>
            <w:r>
              <w:rPr>
                <w:rFonts w:ascii="Arial" w:cs="Arial" w:eastAsia="Arial" w:hAnsi="Arial"/>
                <w:sz w:val="15"/>
                <w:szCs w:val="15"/>
                <w:b w:val="1"/>
                <w:bCs w:val="1"/>
                <w:color w:val="FFFFFF"/>
              </w:rPr>
              <w:t>Mar 24</w:t>
            </w:r>
          </w:p>
        </w:tc>
        <w:tc>
          <w:tcPr>
            <w:tcW w:w="102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5"/>
                <w:szCs w:val="15"/>
                <w:b w:val="1"/>
                <w:bCs w:val="1"/>
                <w:color w:val="FFFFFF"/>
              </w:rPr>
              <w:t>Dec 24</w:t>
            </w:r>
          </w:p>
        </w:tc>
        <w:tc>
          <w:tcPr>
            <w:tcW w:w="1020" w:type="dxa"/>
            <w:vAlign w:val="bottom"/>
            <w:tcBorders>
              <w:bottom w:val="single" w:sz="8" w:color="auto"/>
              <w:right w:val="single" w:sz="8" w:color="auto"/>
            </w:tcBorders>
            <w:shd w:val="clear" w:color="auto" w:fill="2AD2C8"/>
          </w:tcPr>
          <w:p>
            <w:pPr>
              <w:ind w:left="260"/>
              <w:spacing w:after="0"/>
              <w:rPr>
                <w:sz w:val="20"/>
                <w:szCs w:val="20"/>
                <w:color w:val="auto"/>
              </w:rPr>
            </w:pPr>
            <w:r>
              <w:rPr>
                <w:rFonts w:ascii="Arial" w:cs="Arial" w:eastAsia="Arial" w:hAnsi="Arial"/>
                <w:sz w:val="15"/>
                <w:szCs w:val="15"/>
                <w:b w:val="1"/>
                <w:bCs w:val="1"/>
                <w:color w:val="FFFFFF"/>
              </w:rPr>
              <w:t>Mar 25</w:t>
            </w:r>
          </w:p>
        </w:tc>
        <w:tc>
          <w:tcPr>
            <w:tcW w:w="1000" w:type="dxa"/>
            <w:vAlign w:val="bottom"/>
            <w:tcBorders>
              <w:bottom w:val="single" w:sz="8" w:color="auto"/>
            </w:tcBorders>
            <w:shd w:val="clear" w:color="auto" w:fill="2AD2C8"/>
          </w:tcPr>
          <w:p>
            <w:pPr>
              <w:ind w:left="320"/>
              <w:spacing w:after="0"/>
              <w:rPr>
                <w:sz w:val="20"/>
                <w:szCs w:val="20"/>
                <w:color w:val="auto"/>
              </w:rPr>
            </w:pPr>
            <w:r>
              <w:rPr>
                <w:rFonts w:ascii="Arial" w:cs="Arial" w:eastAsia="Arial" w:hAnsi="Arial"/>
                <w:sz w:val="15"/>
                <w:szCs w:val="15"/>
                <w:b w:val="1"/>
                <w:bCs w:val="1"/>
                <w:color w:val="FFFFFF"/>
              </w:rPr>
              <w:t>QoQ</w:t>
            </w:r>
          </w:p>
        </w:tc>
        <w:tc>
          <w:tcPr>
            <w:tcW w:w="100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5"/>
                <w:szCs w:val="15"/>
                <w:b w:val="1"/>
                <w:bCs w:val="1"/>
                <w:color w:val="FFFFFF"/>
              </w:rPr>
              <w:t>YoY</w:t>
            </w:r>
          </w:p>
        </w:tc>
      </w:tr>
      <w:tr>
        <w:trPr>
          <w:trHeight w:val="165"/>
        </w:trPr>
        <w:tc>
          <w:tcPr>
            <w:tcW w:w="622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5"/>
                <w:szCs w:val="15"/>
                <w:color w:val="auto"/>
              </w:rPr>
              <w:t>Total assets</w:t>
            </w:r>
          </w:p>
        </w:tc>
        <w:tc>
          <w:tcPr>
            <w:tcW w:w="980" w:type="dxa"/>
            <w:vAlign w:val="bottom"/>
          </w:tcPr>
          <w:p>
            <w:pPr>
              <w:jc w:val="center"/>
              <w:spacing w:after="0" w:line="165" w:lineRule="exact"/>
              <w:rPr>
                <w:sz w:val="20"/>
                <w:szCs w:val="20"/>
                <w:color w:val="auto"/>
              </w:rPr>
            </w:pPr>
            <w:r>
              <w:rPr>
                <w:rFonts w:ascii="Arial" w:cs="Arial" w:eastAsia="Arial" w:hAnsi="Arial"/>
                <w:sz w:val="15"/>
                <w:szCs w:val="15"/>
                <w:color w:val="auto"/>
              </w:rPr>
              <w:t>16,811,859</w:t>
            </w:r>
          </w:p>
        </w:tc>
        <w:tc>
          <w:tcPr>
            <w:tcW w:w="1020" w:type="dxa"/>
            <w:vAlign w:val="bottom"/>
          </w:tcPr>
          <w:p>
            <w:pPr>
              <w:jc w:val="center"/>
              <w:spacing w:after="0" w:line="165" w:lineRule="exact"/>
              <w:rPr>
                <w:sz w:val="20"/>
                <w:szCs w:val="20"/>
                <w:color w:val="auto"/>
              </w:rPr>
            </w:pPr>
            <w:r>
              <w:rPr>
                <w:rFonts w:ascii="Arial" w:cs="Arial" w:eastAsia="Arial" w:hAnsi="Arial"/>
                <w:sz w:val="15"/>
                <w:szCs w:val="15"/>
                <w:color w:val="auto"/>
              </w:rPr>
              <w:t>17,890,138</w:t>
            </w:r>
          </w:p>
        </w:tc>
        <w:tc>
          <w:tcPr>
            <w:tcW w:w="10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rPr>
              <w:t>20,352,820</w:t>
            </w:r>
          </w:p>
        </w:tc>
        <w:tc>
          <w:tcPr>
            <w:tcW w:w="1000" w:type="dxa"/>
            <w:vAlign w:val="bottom"/>
          </w:tcPr>
          <w:p>
            <w:pPr>
              <w:jc w:val="center"/>
              <w:spacing w:after="0" w:line="165" w:lineRule="exact"/>
              <w:rPr>
                <w:sz w:val="20"/>
                <w:szCs w:val="20"/>
                <w:color w:val="auto"/>
              </w:rPr>
            </w:pPr>
            <w:r>
              <w:rPr>
                <w:rFonts w:ascii="Arial" w:cs="Arial" w:eastAsia="Arial" w:hAnsi="Arial"/>
                <w:sz w:val="15"/>
                <w:szCs w:val="15"/>
                <w:color w:val="auto"/>
              </w:rPr>
              <w:t>13.8%</w:t>
            </w:r>
          </w:p>
        </w:tc>
        <w:tc>
          <w:tcPr>
            <w:tcW w:w="100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98"/>
              </w:rPr>
              <w:t>21.1%</w:t>
            </w:r>
          </w:p>
        </w:tc>
      </w:tr>
      <w:tr>
        <w:trPr>
          <w:trHeight w:val="189"/>
        </w:trPr>
        <w:tc>
          <w:tcPr>
            <w:tcW w:w="6220" w:type="dxa"/>
            <w:vAlign w:val="bottom"/>
            <w:tcBorders>
              <w:left w:val="single" w:sz="8" w:color="auto"/>
              <w:right w:val="single" w:sz="8" w:color="auto"/>
            </w:tcBorders>
          </w:tcPr>
          <w:p>
            <w:pPr>
              <w:ind w:left="20"/>
              <w:spacing w:after="0" w:line="189" w:lineRule="exact"/>
              <w:rPr>
                <w:sz w:val="20"/>
                <w:szCs w:val="20"/>
                <w:color w:val="auto"/>
              </w:rPr>
            </w:pPr>
            <w:r>
              <w:rPr>
                <w:rFonts w:ascii="Arial" w:cs="Arial" w:eastAsia="Arial" w:hAnsi="Arial"/>
                <w:sz w:val="13"/>
                <w:szCs w:val="13"/>
                <w:color w:val="auto"/>
              </w:rPr>
              <w:t xml:space="preserve">Total Invesment </w:t>
            </w:r>
            <w:r>
              <w:rPr>
                <w:rFonts w:ascii="Arial" w:cs="Arial" w:eastAsia="Arial" w:hAnsi="Arial"/>
                <w:sz w:val="21"/>
                <w:szCs w:val="21"/>
                <w:color w:val="auto"/>
                <w:vertAlign w:val="superscript"/>
              </w:rPr>
              <w:t>(1)</w:t>
            </w:r>
          </w:p>
        </w:tc>
        <w:tc>
          <w:tcPr>
            <w:tcW w:w="980" w:type="dxa"/>
            <w:vAlign w:val="bottom"/>
          </w:tcPr>
          <w:p>
            <w:pPr>
              <w:jc w:val="center"/>
              <w:spacing w:after="0"/>
              <w:rPr>
                <w:sz w:val="20"/>
                <w:szCs w:val="20"/>
                <w:color w:val="auto"/>
              </w:rPr>
            </w:pPr>
            <w:r>
              <w:rPr>
                <w:rFonts w:ascii="Arial" w:cs="Arial" w:eastAsia="Arial" w:hAnsi="Arial"/>
                <w:sz w:val="15"/>
                <w:szCs w:val="15"/>
                <w:color w:val="auto"/>
              </w:rPr>
              <w:t>12,485,677</w:t>
            </w:r>
          </w:p>
        </w:tc>
        <w:tc>
          <w:tcPr>
            <w:tcW w:w="1020" w:type="dxa"/>
            <w:vAlign w:val="bottom"/>
          </w:tcPr>
          <w:p>
            <w:pPr>
              <w:jc w:val="center"/>
              <w:spacing w:after="0"/>
              <w:rPr>
                <w:sz w:val="20"/>
                <w:szCs w:val="20"/>
                <w:color w:val="auto"/>
              </w:rPr>
            </w:pPr>
            <w:r>
              <w:rPr>
                <w:rFonts w:ascii="Arial" w:cs="Arial" w:eastAsia="Arial" w:hAnsi="Arial"/>
                <w:sz w:val="15"/>
                <w:szCs w:val="15"/>
                <w:color w:val="auto"/>
              </w:rPr>
              <w:t>13,898,637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14,117,211</w:t>
            </w:r>
          </w:p>
        </w:tc>
        <w:tc>
          <w:tcPr>
            <w:tcW w:w="1000" w:type="dxa"/>
            <w:vAlign w:val="bottom"/>
          </w:tcPr>
          <w:p>
            <w:pPr>
              <w:jc w:val="center"/>
              <w:spacing w:after="0"/>
              <w:rPr>
                <w:sz w:val="20"/>
                <w:szCs w:val="20"/>
                <w:color w:val="auto"/>
              </w:rPr>
            </w:pPr>
            <w:r>
              <w:rPr>
                <w:rFonts w:ascii="Arial" w:cs="Arial" w:eastAsia="Arial" w:hAnsi="Arial"/>
                <w:sz w:val="15"/>
                <w:szCs w:val="15"/>
                <w:color w:val="auto"/>
                <w:w w:val="99"/>
              </w:rPr>
              <w:t>1.6%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13.1%</w:t>
            </w:r>
          </w:p>
        </w:tc>
      </w:tr>
      <w:tr>
        <w:trPr>
          <w:trHeight w:val="162"/>
        </w:trPr>
        <w:tc>
          <w:tcPr>
            <w:tcW w:w="622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5"/>
                <w:szCs w:val="15"/>
                <w:color w:val="auto"/>
              </w:rPr>
              <w:t>Total Liabilities</w:t>
            </w:r>
          </w:p>
        </w:tc>
        <w:tc>
          <w:tcPr>
            <w:tcW w:w="980" w:type="dxa"/>
            <w:vAlign w:val="bottom"/>
          </w:tcPr>
          <w:p>
            <w:pPr>
              <w:jc w:val="center"/>
              <w:spacing w:after="0" w:line="162" w:lineRule="exact"/>
              <w:rPr>
                <w:sz w:val="20"/>
                <w:szCs w:val="20"/>
                <w:color w:val="auto"/>
              </w:rPr>
            </w:pPr>
            <w:r>
              <w:rPr>
                <w:rFonts w:ascii="Arial" w:cs="Arial" w:eastAsia="Arial" w:hAnsi="Arial"/>
                <w:sz w:val="15"/>
                <w:szCs w:val="15"/>
                <w:color w:val="auto"/>
              </w:rPr>
              <w:t>13,920,330</w:t>
            </w:r>
          </w:p>
        </w:tc>
        <w:tc>
          <w:tcPr>
            <w:tcW w:w="1020" w:type="dxa"/>
            <w:vAlign w:val="bottom"/>
          </w:tcPr>
          <w:p>
            <w:pPr>
              <w:jc w:val="center"/>
              <w:spacing w:after="0" w:line="162" w:lineRule="exact"/>
              <w:rPr>
                <w:sz w:val="20"/>
                <w:szCs w:val="20"/>
                <w:color w:val="auto"/>
              </w:rPr>
            </w:pPr>
            <w:r>
              <w:rPr>
                <w:rFonts w:ascii="Arial" w:cs="Arial" w:eastAsia="Arial" w:hAnsi="Arial"/>
                <w:sz w:val="15"/>
                <w:szCs w:val="15"/>
                <w:color w:val="auto"/>
              </w:rPr>
              <w:t>14,504,765</w:t>
            </w:r>
          </w:p>
        </w:tc>
        <w:tc>
          <w:tcPr>
            <w:tcW w:w="10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16,430,262</w:t>
            </w: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rPr>
              <w:t>13.3%</w:t>
            </w:r>
          </w:p>
        </w:tc>
        <w:tc>
          <w:tcPr>
            <w:tcW w:w="10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8"/>
              </w:rPr>
              <w:t>18.0%</w:t>
            </w:r>
          </w:p>
        </w:tc>
      </w:tr>
      <w:tr>
        <w:trPr>
          <w:trHeight w:val="179"/>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Net equity</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2,878,536</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3,369,625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3,177,756</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-5.7%</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8"/>
              </w:rPr>
              <w:t>10.4%</w:t>
            </w: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220" w:type="dxa"/>
            <w:vAlign w:val="bottom"/>
            <w:tcBorders>
              <w:top w:val="single" w:sz="8" w:color="auto"/>
              <w:left w:val="single" w:sz="8" w:color="auto"/>
              <w:right w:val="single" w:sz="8" w:color="auto"/>
            </w:tcBorders>
            <w:shd w:val="clear" w:color="auto" w:fill="2AD2C8"/>
          </w:tcPr>
          <w:p>
            <w:pPr>
              <w:spacing w:after="0"/>
              <w:rPr>
                <w:sz w:val="19"/>
                <w:szCs w:val="19"/>
                <w:color w:val="auto"/>
              </w:rPr>
            </w:pPr>
          </w:p>
        </w:tc>
        <w:tc>
          <w:tcPr>
            <w:tcW w:w="1000" w:type="dxa"/>
            <w:vAlign w:val="bottom"/>
            <w:tcBorders>
              <w:top w:val="single" w:sz="8" w:color="auto"/>
            </w:tcBorders>
            <w:shd w:val="clear" w:color="auto" w:fill="2AD2C8"/>
          </w:tcPr>
          <w:p>
            <w:pPr>
              <w:spacing w:after="0"/>
              <w:rPr>
                <w:sz w:val="19"/>
                <w:szCs w:val="19"/>
                <w:color w:val="auto"/>
              </w:rPr>
            </w:pPr>
          </w:p>
        </w:tc>
        <w:tc>
          <w:tcPr>
            <w:tcW w:w="1000" w:type="dxa"/>
            <w:vAlign w:val="bottom"/>
            <w:tcBorders>
              <w:top w:val="single" w:sz="8" w:color="auto"/>
            </w:tcBorders>
            <w:shd w:val="clear" w:color="auto" w:fill="2AD2C8"/>
          </w:tcPr>
          <w:p>
            <w:pPr>
              <w:ind w:left="200"/>
              <w:spacing w:after="0"/>
              <w:rPr>
                <w:sz w:val="20"/>
                <w:szCs w:val="20"/>
                <w:color w:val="auto"/>
              </w:rPr>
            </w:pPr>
            <w:r>
              <w:rPr>
                <w:rFonts w:ascii="Arial" w:cs="Arial" w:eastAsia="Arial" w:hAnsi="Arial"/>
                <w:sz w:val="16"/>
                <w:szCs w:val="16"/>
                <w:b w:val="1"/>
                <w:bCs w:val="1"/>
                <w:color w:val="FFFFFF"/>
              </w:rPr>
              <w:t>Quarter</w:t>
            </w:r>
          </w:p>
        </w:tc>
        <w:tc>
          <w:tcPr>
            <w:tcW w:w="1020" w:type="dxa"/>
            <w:vAlign w:val="bottom"/>
            <w:tcBorders>
              <w:top w:val="single" w:sz="8" w:color="auto"/>
              <w:right w:val="single" w:sz="8" w:color="auto"/>
            </w:tcBorders>
            <w:shd w:val="clear" w:color="auto" w:fill="2AD2C8"/>
          </w:tcPr>
          <w:p>
            <w:pPr>
              <w:spacing w:after="0"/>
              <w:rPr>
                <w:sz w:val="19"/>
                <w:szCs w:val="19"/>
                <w:color w:val="auto"/>
              </w:rPr>
            </w:pPr>
          </w:p>
        </w:tc>
        <w:tc>
          <w:tcPr>
            <w:tcW w:w="2000" w:type="dxa"/>
            <w:vAlign w:val="bottom"/>
            <w:tcBorders>
              <w:top w:val="single" w:sz="8" w:color="auto"/>
              <w:right w:val="single" w:sz="8" w:color="auto"/>
            </w:tcBorders>
            <w:gridSpan w:val="2"/>
            <w:shd w:val="clear" w:color="auto" w:fill="2AD2C8"/>
          </w:tcPr>
          <w:p>
            <w:pPr>
              <w:ind w:left="620"/>
              <w:spacing w:after="0"/>
              <w:rPr>
                <w:sz w:val="20"/>
                <w:szCs w:val="20"/>
                <w:color w:val="auto"/>
              </w:rPr>
            </w:pPr>
            <w:r>
              <w:rPr>
                <w:rFonts w:ascii="Arial" w:cs="Arial" w:eastAsia="Arial" w:hAnsi="Arial"/>
                <w:sz w:val="16"/>
                <w:szCs w:val="16"/>
                <w:b w:val="1"/>
                <w:bCs w:val="1"/>
                <w:color w:val="FFFFFF"/>
              </w:rPr>
              <w:t>% change</w:t>
            </w:r>
          </w:p>
        </w:tc>
      </w:tr>
      <w:tr>
        <w:trPr>
          <w:trHeight w:val="203"/>
        </w:trPr>
        <w:tc>
          <w:tcPr>
            <w:tcW w:w="6220" w:type="dxa"/>
            <w:vAlign w:val="bottom"/>
            <w:tcBorders>
              <w:left w:val="single" w:sz="8" w:color="auto"/>
              <w:bottom w:val="single" w:sz="8" w:color="auto"/>
              <w:right w:val="single" w:sz="8" w:color="auto"/>
            </w:tcBorders>
            <w:shd w:val="clear" w:color="auto" w:fill="2AD2C8"/>
          </w:tcPr>
          <w:p>
            <w:pPr>
              <w:spacing w:after="0"/>
              <w:rPr>
                <w:sz w:val="17"/>
                <w:szCs w:val="17"/>
                <w:color w:val="auto"/>
              </w:rPr>
            </w:pPr>
          </w:p>
        </w:tc>
        <w:tc>
          <w:tcPr>
            <w:tcW w:w="100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color w:val="FFFFFF"/>
              </w:rPr>
              <w:t>1Q24</w:t>
            </w:r>
          </w:p>
        </w:tc>
        <w:tc>
          <w:tcPr>
            <w:tcW w:w="100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color w:val="FFFFFF"/>
                <w:w w:val="96"/>
              </w:rPr>
              <w:t>4Q24</w:t>
            </w:r>
          </w:p>
        </w:tc>
        <w:tc>
          <w:tcPr>
            <w:tcW w:w="1020" w:type="dxa"/>
            <w:vAlign w:val="bottom"/>
            <w:tcBorders>
              <w:bottom w:val="single" w:sz="8" w:color="auto"/>
              <w:right w:val="single" w:sz="8" w:color="auto"/>
            </w:tcBorders>
            <w:shd w:val="clear" w:color="auto" w:fill="2AD2C8"/>
          </w:tcPr>
          <w:p>
            <w:pPr>
              <w:ind w:left="300"/>
              <w:spacing w:after="0"/>
              <w:rPr>
                <w:sz w:val="20"/>
                <w:szCs w:val="20"/>
                <w:color w:val="auto"/>
              </w:rPr>
            </w:pPr>
            <w:r>
              <w:rPr>
                <w:rFonts w:ascii="Arial" w:cs="Arial" w:eastAsia="Arial" w:hAnsi="Arial"/>
                <w:sz w:val="16"/>
                <w:szCs w:val="16"/>
                <w:b w:val="1"/>
                <w:bCs w:val="1"/>
                <w:color w:val="FFFFFF"/>
              </w:rPr>
              <w:t>1Q25</w:t>
            </w:r>
          </w:p>
        </w:tc>
        <w:tc>
          <w:tcPr>
            <w:tcW w:w="102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color w:val="FFFFFF"/>
              </w:rPr>
              <w:t>QoQ</w:t>
            </w:r>
          </w:p>
        </w:tc>
        <w:tc>
          <w:tcPr>
            <w:tcW w:w="980" w:type="dxa"/>
            <w:vAlign w:val="bottom"/>
            <w:tcBorders>
              <w:bottom w:val="single" w:sz="8" w:color="auto"/>
              <w:right w:val="single" w:sz="8" w:color="auto"/>
            </w:tcBorders>
            <w:shd w:val="clear" w:color="auto" w:fill="2AD2C8"/>
          </w:tcPr>
          <w:p>
            <w:pPr>
              <w:ind w:left="320"/>
              <w:spacing w:after="0"/>
              <w:rPr>
                <w:sz w:val="20"/>
                <w:szCs w:val="20"/>
                <w:color w:val="auto"/>
              </w:rPr>
            </w:pPr>
            <w:r>
              <w:rPr>
                <w:rFonts w:ascii="Arial" w:cs="Arial" w:eastAsia="Arial" w:hAnsi="Arial"/>
                <w:sz w:val="16"/>
                <w:szCs w:val="16"/>
                <w:b w:val="1"/>
                <w:bCs w:val="1"/>
                <w:color w:val="FFFFFF"/>
              </w:rPr>
              <w:t>YoY</w:t>
            </w:r>
          </w:p>
        </w:tc>
      </w:tr>
      <w:tr>
        <w:trPr>
          <w:trHeight w:val="195"/>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Insurance Service Result</w:t>
            </w:r>
          </w:p>
        </w:tc>
        <w:tc>
          <w:tcPr>
            <w:tcW w:w="1000" w:type="dxa"/>
            <w:vAlign w:val="bottom"/>
          </w:tcPr>
          <w:p>
            <w:pPr>
              <w:jc w:val="center"/>
              <w:spacing w:after="0"/>
              <w:rPr>
                <w:sz w:val="20"/>
                <w:szCs w:val="20"/>
                <w:color w:val="auto"/>
              </w:rPr>
            </w:pPr>
            <w:r>
              <w:rPr>
                <w:rFonts w:ascii="Arial" w:cs="Arial" w:eastAsia="Arial" w:hAnsi="Arial"/>
                <w:sz w:val="16"/>
                <w:szCs w:val="16"/>
                <w:color w:val="auto"/>
              </w:rPr>
              <w:t>341,794</w:t>
            </w:r>
          </w:p>
        </w:tc>
        <w:tc>
          <w:tcPr>
            <w:tcW w:w="1000" w:type="dxa"/>
            <w:vAlign w:val="bottom"/>
          </w:tcPr>
          <w:p>
            <w:pPr>
              <w:jc w:val="center"/>
              <w:spacing w:after="0"/>
              <w:rPr>
                <w:sz w:val="20"/>
                <w:szCs w:val="20"/>
                <w:color w:val="auto"/>
              </w:rPr>
            </w:pPr>
            <w:r>
              <w:rPr>
                <w:rFonts w:ascii="Arial" w:cs="Arial" w:eastAsia="Arial" w:hAnsi="Arial"/>
                <w:sz w:val="16"/>
                <w:szCs w:val="16"/>
                <w:color w:val="auto"/>
              </w:rPr>
              <w:t>293,055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279,931</w:t>
            </w:r>
          </w:p>
        </w:tc>
        <w:tc>
          <w:tcPr>
            <w:tcW w:w="1020" w:type="dxa"/>
            <w:vAlign w:val="bottom"/>
          </w:tcPr>
          <w:p>
            <w:pPr>
              <w:jc w:val="center"/>
              <w:spacing w:after="0"/>
              <w:rPr>
                <w:sz w:val="20"/>
                <w:szCs w:val="20"/>
                <w:color w:val="auto"/>
              </w:rPr>
            </w:pPr>
            <w:r>
              <w:rPr>
                <w:rFonts w:ascii="Arial" w:cs="Arial" w:eastAsia="Arial" w:hAnsi="Arial"/>
                <w:sz w:val="16"/>
                <w:szCs w:val="16"/>
                <w:color w:val="auto"/>
              </w:rPr>
              <w:t>-4.5%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-18.1%</w:t>
            </w:r>
          </w:p>
        </w:tc>
      </w:tr>
      <w:tr>
        <w:trPr>
          <w:trHeight w:val="1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Reinsurance Result</w:t>
            </w:r>
          </w:p>
        </w:tc>
        <w:tc>
          <w:tcPr>
            <w:tcW w:w="1000" w:type="dxa"/>
            <w:vAlign w:val="bottom"/>
          </w:tcPr>
          <w:p>
            <w:pPr>
              <w:jc w:val="center"/>
              <w:spacing w:after="0"/>
              <w:rPr>
                <w:sz w:val="20"/>
                <w:szCs w:val="20"/>
                <w:color w:val="auto"/>
              </w:rPr>
            </w:pPr>
            <w:r>
              <w:rPr>
                <w:rFonts w:ascii="Arial" w:cs="Arial" w:eastAsia="Arial" w:hAnsi="Arial"/>
                <w:sz w:val="16"/>
                <w:szCs w:val="16"/>
                <w:color w:val="auto"/>
              </w:rPr>
              <w:t>(180,053)</w:t>
            </w:r>
          </w:p>
        </w:tc>
        <w:tc>
          <w:tcPr>
            <w:tcW w:w="1000" w:type="dxa"/>
            <w:vAlign w:val="bottom"/>
          </w:tcPr>
          <w:p>
            <w:pPr>
              <w:jc w:val="center"/>
              <w:spacing w:after="0"/>
              <w:rPr>
                <w:sz w:val="20"/>
                <w:szCs w:val="20"/>
                <w:color w:val="auto"/>
              </w:rPr>
            </w:pPr>
            <w:r>
              <w:rPr>
                <w:rFonts w:ascii="Arial" w:cs="Arial" w:eastAsia="Arial" w:hAnsi="Arial"/>
                <w:sz w:val="16"/>
                <w:szCs w:val="16"/>
                <w:color w:val="auto"/>
              </w:rPr>
              <w:t>(102,995)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(94,861)</w:t>
            </w:r>
          </w:p>
        </w:tc>
        <w:tc>
          <w:tcPr>
            <w:tcW w:w="1020" w:type="dxa"/>
            <w:vAlign w:val="bottom"/>
          </w:tcPr>
          <w:p>
            <w:pPr>
              <w:jc w:val="center"/>
              <w:spacing w:after="0"/>
              <w:rPr>
                <w:sz w:val="20"/>
                <w:szCs w:val="20"/>
                <w:color w:val="auto"/>
              </w:rPr>
            </w:pPr>
            <w:r>
              <w:rPr>
                <w:rFonts w:ascii="Arial" w:cs="Arial" w:eastAsia="Arial" w:hAnsi="Arial"/>
                <w:sz w:val="16"/>
                <w:szCs w:val="16"/>
                <w:color w:val="auto"/>
              </w:rPr>
              <w:t>-7.9%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-47.3%</w:t>
            </w:r>
          </w:p>
        </w:tc>
      </w:tr>
      <w:tr>
        <w:trPr>
          <w:trHeight w:val="1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Insurance underwriting result</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161,741</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190,060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185,070</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-2.6%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14.4%</w:t>
            </w:r>
          </w:p>
        </w:tc>
      </w:tr>
      <w:tr>
        <w:trPr>
          <w:trHeight w:val="1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Sale of medical services</w:t>
            </w:r>
          </w:p>
        </w:tc>
        <w:tc>
          <w:tcPr>
            <w:tcW w:w="1000" w:type="dxa"/>
            <w:vAlign w:val="bottom"/>
          </w:tcPr>
          <w:p>
            <w:pPr>
              <w:jc w:val="center"/>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78,267</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9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n.a.</w:t>
            </w:r>
          </w:p>
        </w:tc>
      </w:tr>
      <w:tr>
        <w:trPr>
          <w:trHeight w:val="1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Cost of sales of medical services</w:t>
            </w:r>
          </w:p>
        </w:tc>
        <w:tc>
          <w:tcPr>
            <w:tcW w:w="1000" w:type="dxa"/>
            <w:vAlign w:val="bottom"/>
          </w:tcPr>
          <w:p>
            <w:pPr>
              <w:jc w:val="center"/>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(35,393)</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9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n.a.</w:t>
            </w:r>
          </w:p>
        </w:tc>
      </w:tr>
      <w:tr>
        <w:trPr>
          <w:trHeight w:val="1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Medical services result</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42,874</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n.a.</w:t>
            </w:r>
          </w:p>
        </w:tc>
        <w:tc>
          <w:tcPr>
            <w:tcW w:w="980" w:type="dxa"/>
            <w:vAlign w:val="bottom"/>
            <w:tcBorders>
              <w:right w:val="single" w:sz="8" w:color="auto"/>
            </w:tcBorders>
          </w:tcPr>
          <w:p>
            <w:pPr>
              <w:ind w:left="320"/>
              <w:spacing w:after="0"/>
              <w:rPr>
                <w:sz w:val="20"/>
                <w:szCs w:val="20"/>
                <w:color w:val="auto"/>
              </w:rPr>
            </w:pPr>
            <w:r>
              <w:rPr>
                <w:rFonts w:ascii="Arial" w:cs="Arial" w:eastAsia="Arial" w:hAnsi="Arial"/>
                <w:sz w:val="16"/>
                <w:szCs w:val="16"/>
                <w:b w:val="1"/>
                <w:bCs w:val="1"/>
                <w:color w:val="auto"/>
              </w:rPr>
              <w:t>n.a.</w:t>
            </w:r>
          </w:p>
        </w:tc>
      </w:tr>
      <w:tr>
        <w:trPr>
          <w:trHeight w:val="1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Interest income</w:t>
            </w:r>
          </w:p>
        </w:tc>
        <w:tc>
          <w:tcPr>
            <w:tcW w:w="1000" w:type="dxa"/>
            <w:vAlign w:val="bottom"/>
          </w:tcPr>
          <w:p>
            <w:pPr>
              <w:jc w:val="center"/>
              <w:spacing w:after="0"/>
              <w:rPr>
                <w:sz w:val="20"/>
                <w:szCs w:val="20"/>
                <w:color w:val="auto"/>
              </w:rPr>
            </w:pPr>
            <w:r>
              <w:rPr>
                <w:rFonts w:ascii="Arial" w:cs="Arial" w:eastAsia="Arial" w:hAnsi="Arial"/>
                <w:sz w:val="16"/>
                <w:szCs w:val="16"/>
                <w:color w:val="auto"/>
              </w:rPr>
              <w:t>219,545</w:t>
            </w:r>
          </w:p>
        </w:tc>
        <w:tc>
          <w:tcPr>
            <w:tcW w:w="1000" w:type="dxa"/>
            <w:vAlign w:val="bottom"/>
          </w:tcPr>
          <w:p>
            <w:pPr>
              <w:jc w:val="center"/>
              <w:spacing w:after="0"/>
              <w:rPr>
                <w:sz w:val="20"/>
                <w:szCs w:val="20"/>
                <w:color w:val="auto"/>
              </w:rPr>
            </w:pPr>
            <w:r>
              <w:rPr>
                <w:rFonts w:ascii="Arial" w:cs="Arial" w:eastAsia="Arial" w:hAnsi="Arial"/>
                <w:sz w:val="16"/>
                <w:szCs w:val="16"/>
                <w:color w:val="auto"/>
              </w:rPr>
              <w:t>208,159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238,213</w:t>
            </w:r>
          </w:p>
        </w:tc>
        <w:tc>
          <w:tcPr>
            <w:tcW w:w="1020" w:type="dxa"/>
            <w:vAlign w:val="bottom"/>
          </w:tcPr>
          <w:p>
            <w:pPr>
              <w:jc w:val="center"/>
              <w:spacing w:after="0"/>
              <w:rPr>
                <w:sz w:val="20"/>
                <w:szCs w:val="20"/>
                <w:color w:val="auto"/>
              </w:rPr>
            </w:pPr>
            <w:r>
              <w:rPr>
                <w:rFonts w:ascii="Arial" w:cs="Arial" w:eastAsia="Arial" w:hAnsi="Arial"/>
                <w:sz w:val="16"/>
                <w:szCs w:val="16"/>
                <w:color w:val="auto"/>
              </w:rPr>
              <w:t>14.4%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8.5%</w:t>
            </w:r>
          </w:p>
        </w:tc>
      </w:tr>
      <w:tr>
        <w:trPr>
          <w:trHeight w:val="203"/>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Interest Expenses</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(129,114)</w:t>
            </w:r>
          </w:p>
        </w:tc>
        <w:tc>
          <w:tcPr>
            <w:tcW w:w="1000" w:type="dxa"/>
            <w:vAlign w:val="bottom"/>
          </w:tcPr>
          <w:p>
            <w:pPr>
              <w:jc w:val="center"/>
              <w:spacing w:after="0"/>
              <w:rPr>
                <w:sz w:val="20"/>
                <w:szCs w:val="20"/>
                <w:color w:val="auto"/>
              </w:rPr>
            </w:pPr>
            <w:r>
              <w:rPr>
                <w:rFonts w:ascii="Arial" w:cs="Arial" w:eastAsia="Arial" w:hAnsi="Arial"/>
                <w:sz w:val="16"/>
                <w:szCs w:val="16"/>
                <w:color w:val="auto"/>
              </w:rPr>
              <w:t>(138,943)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(145,698)</w:t>
            </w: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4.9%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12.8%</w:t>
            </w:r>
          </w:p>
        </w:tc>
      </w:tr>
      <w:tr>
        <w:trPr>
          <w:trHeight w:val="189"/>
        </w:trPr>
        <w:tc>
          <w:tcPr>
            <w:tcW w:w="62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Interest expenses attributable to insurance activities</w:t>
            </w:r>
          </w:p>
        </w:tc>
        <w:tc>
          <w:tcPr>
            <w:tcW w:w="1000" w:type="dxa"/>
            <w:vAlign w:val="bottom"/>
          </w:tcPr>
          <w:p>
            <w:pPr>
              <w:jc w:val="center"/>
              <w:spacing w:after="0"/>
              <w:rPr>
                <w:sz w:val="20"/>
                <w:szCs w:val="20"/>
                <w:color w:val="auto"/>
              </w:rPr>
            </w:pPr>
            <w:r>
              <w:rPr>
                <w:rFonts w:ascii="Arial" w:cs="Arial" w:eastAsia="Arial" w:hAnsi="Arial"/>
                <w:sz w:val="16"/>
                <w:szCs w:val="16"/>
                <w:color w:val="auto"/>
              </w:rPr>
              <w:t>(122,004)</w:t>
            </w:r>
          </w:p>
        </w:tc>
        <w:tc>
          <w:tcPr>
            <w:tcW w:w="1000" w:type="dxa"/>
            <w:vAlign w:val="bottom"/>
          </w:tcPr>
          <w:p>
            <w:pPr>
              <w:jc w:val="center"/>
              <w:spacing w:after="0"/>
              <w:rPr>
                <w:sz w:val="20"/>
                <w:szCs w:val="20"/>
                <w:color w:val="auto"/>
              </w:rPr>
            </w:pPr>
            <w:r>
              <w:rPr>
                <w:rFonts w:ascii="Arial" w:cs="Arial" w:eastAsia="Arial" w:hAnsi="Arial"/>
                <w:sz w:val="16"/>
                <w:szCs w:val="16"/>
                <w:color w:val="auto"/>
              </w:rPr>
              <w:t>(132,088)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(135,622)</w:t>
            </w: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2.7%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11.2%</w:t>
            </w:r>
          </w:p>
        </w:tc>
      </w:tr>
      <w:tr>
        <w:trPr>
          <w:trHeight w:val="1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Interest Income</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90,431</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69,216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92,515</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33.7%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2.3%</w:t>
            </w:r>
          </w:p>
        </w:tc>
      </w:tr>
      <w:tr>
        <w:trPr>
          <w:trHeight w:val="191"/>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Fee Income and Gain in FX</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(3,262)</w:t>
            </w:r>
          </w:p>
        </w:tc>
        <w:tc>
          <w:tcPr>
            <w:tcW w:w="1000" w:type="dxa"/>
            <w:vAlign w:val="bottom"/>
          </w:tcPr>
          <w:p>
            <w:pPr>
              <w:jc w:val="center"/>
              <w:spacing w:after="0"/>
              <w:rPr>
                <w:sz w:val="20"/>
                <w:szCs w:val="20"/>
                <w:color w:val="auto"/>
              </w:rPr>
            </w:pPr>
            <w:r>
              <w:rPr>
                <w:rFonts w:ascii="Arial" w:cs="Arial" w:eastAsia="Arial" w:hAnsi="Arial"/>
                <w:sz w:val="16"/>
                <w:szCs w:val="16"/>
                <w:color w:val="auto"/>
              </w:rPr>
              <w:t>(4,065)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(4,151)</w:t>
            </w: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2.1%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27.3%</w:t>
            </w:r>
          </w:p>
        </w:tc>
      </w:tr>
      <w:tr>
        <w:trPr>
          <w:trHeight w:val="187"/>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i w:val="1"/>
                <w:iCs w:val="1"/>
                <w:color w:val="auto"/>
              </w:rPr>
              <w:t>Other Income No Core:</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1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gain (loss) from exchange differences</w:t>
            </w:r>
          </w:p>
        </w:tc>
        <w:tc>
          <w:tcPr>
            <w:tcW w:w="1000" w:type="dxa"/>
            <w:vAlign w:val="bottom"/>
          </w:tcPr>
          <w:p>
            <w:pPr>
              <w:jc w:val="center"/>
              <w:spacing w:after="0"/>
              <w:rPr>
                <w:sz w:val="20"/>
                <w:szCs w:val="20"/>
                <w:color w:val="auto"/>
              </w:rPr>
            </w:pPr>
            <w:r>
              <w:rPr>
                <w:rFonts w:ascii="Arial" w:cs="Arial" w:eastAsia="Arial" w:hAnsi="Arial"/>
                <w:sz w:val="16"/>
                <w:szCs w:val="16"/>
                <w:color w:val="auto"/>
              </w:rPr>
              <w:t>(182)</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1,151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(351)</w:t>
            </w:r>
          </w:p>
        </w:tc>
        <w:tc>
          <w:tcPr>
            <w:tcW w:w="1020" w:type="dxa"/>
            <w:vAlign w:val="bottom"/>
          </w:tcPr>
          <w:p>
            <w:pPr>
              <w:jc w:val="center"/>
              <w:spacing w:after="0"/>
              <w:rPr>
                <w:sz w:val="20"/>
                <w:szCs w:val="20"/>
                <w:color w:val="auto"/>
              </w:rPr>
            </w:pPr>
            <w:r>
              <w:rPr>
                <w:rFonts w:ascii="Arial" w:cs="Arial" w:eastAsia="Arial" w:hAnsi="Arial"/>
                <w:sz w:val="16"/>
                <w:szCs w:val="16"/>
                <w:color w:val="auto"/>
              </w:rPr>
              <w:t>-130.5%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92.9%</w:t>
            </w:r>
          </w:p>
        </w:tc>
      </w:tr>
      <w:tr>
        <w:trPr>
          <w:trHeight w:val="1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loss on securities and associates</w:t>
            </w:r>
          </w:p>
        </w:tc>
        <w:tc>
          <w:tcPr>
            <w:tcW w:w="1000" w:type="dxa"/>
            <w:vAlign w:val="bottom"/>
          </w:tcPr>
          <w:p>
            <w:pPr>
              <w:jc w:val="center"/>
              <w:spacing w:after="0"/>
              <w:rPr>
                <w:sz w:val="20"/>
                <w:szCs w:val="20"/>
                <w:color w:val="auto"/>
              </w:rPr>
            </w:pPr>
            <w:r>
              <w:rPr>
                <w:rFonts w:ascii="Arial" w:cs="Arial" w:eastAsia="Arial" w:hAnsi="Arial"/>
                <w:sz w:val="16"/>
                <w:szCs w:val="16"/>
                <w:color w:val="auto"/>
              </w:rPr>
              <w:t>23,222</w:t>
            </w:r>
          </w:p>
        </w:tc>
        <w:tc>
          <w:tcPr>
            <w:tcW w:w="1000" w:type="dxa"/>
            <w:vAlign w:val="bottom"/>
          </w:tcPr>
          <w:p>
            <w:pPr>
              <w:jc w:val="center"/>
              <w:spacing w:after="0"/>
              <w:rPr>
                <w:sz w:val="20"/>
                <w:szCs w:val="20"/>
                <w:color w:val="auto"/>
              </w:rPr>
            </w:pPr>
            <w:r>
              <w:rPr>
                <w:rFonts w:ascii="Arial" w:cs="Arial" w:eastAsia="Arial" w:hAnsi="Arial"/>
                <w:sz w:val="16"/>
                <w:szCs w:val="16"/>
                <w:color w:val="auto"/>
              </w:rPr>
              <w:t>(15,450)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(34,396)</w:t>
            </w:r>
          </w:p>
        </w:tc>
        <w:tc>
          <w:tcPr>
            <w:tcW w:w="1020" w:type="dxa"/>
            <w:vAlign w:val="bottom"/>
          </w:tcPr>
          <w:p>
            <w:pPr>
              <w:jc w:val="center"/>
              <w:spacing w:after="0"/>
              <w:rPr>
                <w:sz w:val="20"/>
                <w:szCs w:val="20"/>
                <w:color w:val="auto"/>
              </w:rPr>
            </w:pPr>
            <w:r>
              <w:rPr>
                <w:rFonts w:ascii="Arial" w:cs="Arial" w:eastAsia="Arial" w:hAnsi="Arial"/>
                <w:sz w:val="16"/>
                <w:szCs w:val="16"/>
                <w:color w:val="auto"/>
              </w:rPr>
              <w:t>122.6%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-248.1%</w:t>
            </w:r>
          </w:p>
        </w:tc>
      </w:tr>
      <w:tr>
        <w:trPr>
          <w:trHeight w:val="1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Other Income not operational</w:t>
            </w:r>
          </w:p>
        </w:tc>
        <w:tc>
          <w:tcPr>
            <w:tcW w:w="1000" w:type="dxa"/>
            <w:vAlign w:val="bottom"/>
          </w:tcPr>
          <w:p>
            <w:pPr>
              <w:jc w:val="center"/>
              <w:spacing w:after="0"/>
              <w:rPr>
                <w:sz w:val="20"/>
                <w:szCs w:val="20"/>
                <w:color w:val="auto"/>
              </w:rPr>
            </w:pPr>
            <w:r>
              <w:rPr>
                <w:rFonts w:ascii="Arial" w:cs="Arial" w:eastAsia="Arial" w:hAnsi="Arial"/>
                <w:sz w:val="16"/>
                <w:szCs w:val="16"/>
                <w:color w:val="auto"/>
              </w:rPr>
              <w:t>29,751</w:t>
            </w:r>
          </w:p>
        </w:tc>
        <w:tc>
          <w:tcPr>
            <w:tcW w:w="1000" w:type="dxa"/>
            <w:vAlign w:val="bottom"/>
          </w:tcPr>
          <w:p>
            <w:pPr>
              <w:jc w:val="center"/>
              <w:spacing w:after="0"/>
              <w:rPr>
                <w:sz w:val="20"/>
                <w:szCs w:val="20"/>
                <w:color w:val="auto"/>
              </w:rPr>
            </w:pPr>
            <w:r>
              <w:rPr>
                <w:rFonts w:ascii="Arial" w:cs="Arial" w:eastAsia="Arial" w:hAnsi="Arial"/>
                <w:sz w:val="16"/>
                <w:szCs w:val="16"/>
                <w:color w:val="auto"/>
              </w:rPr>
              <w:t>52,455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26,264</w:t>
            </w:r>
          </w:p>
        </w:tc>
        <w:tc>
          <w:tcPr>
            <w:tcW w:w="1020" w:type="dxa"/>
            <w:vAlign w:val="bottom"/>
          </w:tcPr>
          <w:p>
            <w:pPr>
              <w:jc w:val="center"/>
              <w:spacing w:after="0"/>
              <w:rPr>
                <w:sz w:val="20"/>
                <w:szCs w:val="20"/>
                <w:color w:val="auto"/>
              </w:rPr>
            </w:pPr>
            <w:r>
              <w:rPr>
                <w:rFonts w:ascii="Arial" w:cs="Arial" w:eastAsia="Arial" w:hAnsi="Arial"/>
                <w:sz w:val="16"/>
                <w:szCs w:val="16"/>
                <w:color w:val="auto"/>
              </w:rPr>
              <w:t>-49.9%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-11.7%</w:t>
            </w:r>
          </w:p>
        </w:tc>
      </w:tr>
      <w:tr>
        <w:trPr>
          <w:trHeight w:val="1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Other Income</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49,529</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34,089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(12,634)</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-137.1%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-125.5%</w:t>
            </w:r>
          </w:p>
        </w:tc>
      </w:tr>
      <w:tr>
        <w:trPr>
          <w:trHeight w:val="1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Operating expenses</w:t>
            </w:r>
          </w:p>
        </w:tc>
        <w:tc>
          <w:tcPr>
            <w:tcW w:w="1000" w:type="dxa"/>
            <w:vAlign w:val="bottom"/>
          </w:tcPr>
          <w:p>
            <w:pPr>
              <w:jc w:val="center"/>
              <w:spacing w:after="0"/>
              <w:rPr>
                <w:sz w:val="20"/>
                <w:szCs w:val="20"/>
                <w:color w:val="auto"/>
              </w:rPr>
            </w:pPr>
            <w:r>
              <w:rPr>
                <w:rFonts w:ascii="Arial" w:cs="Arial" w:eastAsia="Arial" w:hAnsi="Arial"/>
                <w:sz w:val="16"/>
                <w:szCs w:val="16"/>
                <w:color w:val="auto"/>
              </w:rPr>
              <w:t>(76,174)</w:t>
            </w:r>
          </w:p>
        </w:tc>
        <w:tc>
          <w:tcPr>
            <w:tcW w:w="1000" w:type="dxa"/>
            <w:vAlign w:val="bottom"/>
          </w:tcPr>
          <w:p>
            <w:pPr>
              <w:jc w:val="center"/>
              <w:spacing w:after="0"/>
              <w:rPr>
                <w:sz w:val="20"/>
                <w:szCs w:val="20"/>
                <w:color w:val="auto"/>
              </w:rPr>
            </w:pPr>
            <w:r>
              <w:rPr>
                <w:rFonts w:ascii="Arial" w:cs="Arial" w:eastAsia="Arial" w:hAnsi="Arial"/>
                <w:sz w:val="16"/>
                <w:szCs w:val="16"/>
                <w:color w:val="auto"/>
              </w:rPr>
              <w:t>(84,895)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(105,415)</w:t>
            </w:r>
          </w:p>
        </w:tc>
        <w:tc>
          <w:tcPr>
            <w:tcW w:w="1020" w:type="dxa"/>
            <w:vAlign w:val="bottom"/>
          </w:tcPr>
          <w:p>
            <w:pPr>
              <w:jc w:val="center"/>
              <w:spacing w:after="0"/>
              <w:rPr>
                <w:sz w:val="20"/>
                <w:szCs w:val="20"/>
                <w:color w:val="auto"/>
              </w:rPr>
            </w:pPr>
            <w:r>
              <w:rPr>
                <w:rFonts w:ascii="Arial" w:cs="Arial" w:eastAsia="Arial" w:hAnsi="Arial"/>
                <w:sz w:val="16"/>
                <w:szCs w:val="16"/>
                <w:color w:val="auto"/>
              </w:rPr>
              <w:t>24.2%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38.4%</w:t>
            </w:r>
          </w:p>
        </w:tc>
      </w:tr>
      <w:tr>
        <w:trPr>
          <w:trHeight w:val="1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Other expenses</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(4,979)</w:t>
            </w:r>
          </w:p>
        </w:tc>
        <w:tc>
          <w:tcPr>
            <w:tcW w:w="1000" w:type="dxa"/>
            <w:vAlign w:val="bottom"/>
          </w:tcPr>
          <w:p>
            <w:pPr>
              <w:jc w:val="center"/>
              <w:spacing w:after="0"/>
              <w:rPr>
                <w:sz w:val="20"/>
                <w:szCs w:val="20"/>
                <w:color w:val="auto"/>
              </w:rPr>
            </w:pPr>
            <w:r>
              <w:rPr>
                <w:rFonts w:ascii="Arial" w:cs="Arial" w:eastAsia="Arial" w:hAnsi="Arial"/>
                <w:sz w:val="16"/>
                <w:szCs w:val="16"/>
                <w:color w:val="auto"/>
              </w:rPr>
              <w:t>(25,602)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(3,837)</w:t>
            </w:r>
          </w:p>
        </w:tc>
        <w:tc>
          <w:tcPr>
            <w:tcW w:w="1020" w:type="dxa"/>
            <w:vAlign w:val="bottom"/>
          </w:tcPr>
          <w:p>
            <w:pPr>
              <w:jc w:val="center"/>
              <w:spacing w:after="0"/>
              <w:rPr>
                <w:sz w:val="20"/>
                <w:szCs w:val="20"/>
                <w:color w:val="auto"/>
              </w:rPr>
            </w:pPr>
            <w:r>
              <w:rPr>
                <w:rFonts w:ascii="Arial" w:cs="Arial" w:eastAsia="Arial" w:hAnsi="Arial"/>
                <w:sz w:val="16"/>
                <w:szCs w:val="16"/>
                <w:color w:val="auto"/>
              </w:rPr>
              <w:t>-85.0%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-22.9%</w:t>
            </w:r>
          </w:p>
        </w:tc>
      </w:tr>
      <w:tr>
        <w:trPr>
          <w:trHeight w:val="1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Expenses</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(81,153)</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9"/>
              </w:rPr>
              <w:t>(110,498)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(109,252)</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-1.1%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34.6%</w:t>
            </w:r>
          </w:p>
        </w:tc>
      </w:tr>
      <w:tr>
        <w:trPr>
          <w:trHeight w:val="189"/>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Income tax</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(3,795)</w:t>
            </w:r>
          </w:p>
        </w:tc>
        <w:tc>
          <w:tcPr>
            <w:tcW w:w="1000" w:type="dxa"/>
            <w:vAlign w:val="bottom"/>
          </w:tcPr>
          <w:p>
            <w:pPr>
              <w:jc w:val="center"/>
              <w:spacing w:after="0"/>
              <w:rPr>
                <w:sz w:val="20"/>
                <w:szCs w:val="20"/>
                <w:color w:val="auto"/>
              </w:rPr>
            </w:pPr>
            <w:r>
              <w:rPr>
                <w:rFonts w:ascii="Arial" w:cs="Arial" w:eastAsia="Arial" w:hAnsi="Arial"/>
                <w:sz w:val="16"/>
                <w:szCs w:val="16"/>
                <w:color w:val="auto"/>
              </w:rPr>
              <w:t>(13,274)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(16,052)</w:t>
            </w:r>
          </w:p>
        </w:tc>
        <w:tc>
          <w:tcPr>
            <w:tcW w:w="1020" w:type="dxa"/>
            <w:vAlign w:val="bottom"/>
          </w:tcPr>
          <w:p>
            <w:pPr>
              <w:jc w:val="center"/>
              <w:spacing w:after="0"/>
              <w:rPr>
                <w:sz w:val="20"/>
                <w:szCs w:val="20"/>
                <w:color w:val="auto"/>
              </w:rPr>
            </w:pPr>
            <w:r>
              <w:rPr>
                <w:rFonts w:ascii="Arial" w:cs="Arial" w:eastAsia="Arial" w:hAnsi="Arial"/>
                <w:sz w:val="16"/>
                <w:szCs w:val="16"/>
                <w:color w:val="auto"/>
              </w:rPr>
              <w:t>20.9%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323.0%</w:t>
            </w:r>
          </w:p>
        </w:tc>
      </w:tr>
      <w:tr>
        <w:trPr>
          <w:trHeight w:val="203"/>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216,753</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169,594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182,521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7.6%</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-15.8%</w:t>
            </w:r>
          </w:p>
        </w:tc>
      </w:tr>
    </w:tbl>
    <w:p>
      <w:pPr>
        <w:spacing w:after="0" w:line="181" w:lineRule="exact"/>
        <w:rPr>
          <w:sz w:val="20"/>
          <w:szCs w:val="20"/>
          <w:color w:val="auto"/>
        </w:rPr>
      </w:pPr>
    </w:p>
    <w:p>
      <w:pPr>
        <w:ind w:left="980"/>
        <w:spacing w:after="0"/>
        <w:rPr>
          <w:sz w:val="20"/>
          <w:szCs w:val="20"/>
          <w:color w:val="auto"/>
        </w:rPr>
      </w:pPr>
      <w:r>
        <w:rPr>
          <w:rFonts w:ascii="Arial" w:cs="Arial" w:eastAsia="Arial" w:hAnsi="Arial"/>
          <w:sz w:val="12"/>
          <w:szCs w:val="12"/>
          <w:color w:val="auto"/>
        </w:rPr>
        <w:t>*Financial statements without consolidation adjustments.</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2"/>
          <w:szCs w:val="12"/>
          <w:color w:val="auto"/>
        </w:rPr>
        <w:t>(1) Excluding investments in real estate.</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Up to February 2025, Grupo Pacifico’s financial statements reflect the agreement with Banmedica (in equal parts) of the businesses of:</w:t>
      </w:r>
    </w:p>
    <w:p>
      <w:pPr>
        <w:spacing w:after="0" w:line="2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private health insurance managed by Grupo Pacifico and included in its Financial Statements in each of the accounting lines;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corporate health insurance (dependent workers);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medical services.</w:t>
      </w:r>
    </w:p>
    <w:p>
      <w:pPr>
        <w:spacing w:after="0" w:line="17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29"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auto"/>
        </w:rPr>
        <w:t>As explained before, corporate health insurance and medical services businesses are consolidated by Banmedica. The following table reflects the consolidated results from which Grupo Pacifico receives the 50% net income.</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1" w:name="page72"/>
    <w:bookmarkEnd w:id="71"/>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12.6.9. Investment Management &amp; Advisory </w:t>
      </w:r>
      <w:r>
        <w:rPr>
          <w:rFonts w:ascii="Arial" w:cs="Arial" w:eastAsia="Arial" w:hAnsi="Arial"/>
          <w:sz w:val="29"/>
          <w:szCs w:val="29"/>
          <w:b w:val="1"/>
          <w:bCs w:val="1"/>
          <w:color w:val="auto"/>
          <w:vertAlign w:val="superscript"/>
        </w:rPr>
        <w:t>*</w:t>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14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rPr>
              <w:t>Investment Management &amp; Advisory *</w:t>
            </w:r>
          </w:p>
        </w:tc>
        <w:tc>
          <w:tcPr>
            <w:tcW w:w="1220" w:type="dxa"/>
            <w:vAlign w:val="bottom"/>
            <w:tcBorders>
              <w:top w:val="single" w:sz="8" w:color="auto"/>
            </w:tcBorders>
            <w:shd w:val="clear" w:color="auto" w:fill="33CCCC"/>
          </w:tcPr>
          <w:p>
            <w:pPr>
              <w:spacing w:after="0"/>
              <w:rPr>
                <w:sz w:val="17"/>
                <w:szCs w:val="17"/>
                <w:color w:val="auto"/>
              </w:rPr>
            </w:pPr>
          </w:p>
        </w:tc>
        <w:tc>
          <w:tcPr>
            <w:tcW w:w="1200" w:type="dxa"/>
            <w:vAlign w:val="bottom"/>
            <w:tcBorders>
              <w:top w:val="single" w:sz="8" w:color="auto"/>
            </w:tcBorders>
            <w:shd w:val="clear" w:color="auto" w:fill="33CCCC"/>
          </w:tcPr>
          <w:p>
            <w:pPr>
              <w:ind w:left="280"/>
              <w:spacing w:after="0"/>
              <w:rPr>
                <w:sz w:val="20"/>
                <w:szCs w:val="20"/>
                <w:color w:val="auto"/>
              </w:rPr>
            </w:pPr>
            <w:r>
              <w:rPr>
                <w:rFonts w:ascii="Arial" w:cs="Arial" w:eastAsia="Arial" w:hAnsi="Arial"/>
                <w:sz w:val="16"/>
                <w:szCs w:val="16"/>
                <w:b w:val="1"/>
                <w:bCs w:val="1"/>
                <w:color w:val="FFFFFF"/>
              </w:rPr>
              <w:t>Quarter</w:t>
            </w:r>
          </w:p>
        </w:tc>
        <w:tc>
          <w:tcPr>
            <w:tcW w:w="1220" w:type="dxa"/>
            <w:vAlign w:val="bottom"/>
            <w:tcBorders>
              <w:top w:val="single" w:sz="8" w:color="auto"/>
              <w:right w:val="single" w:sz="8" w:color="auto"/>
            </w:tcBorders>
            <w:shd w:val="clear" w:color="auto" w:fill="33CCCC"/>
          </w:tcPr>
          <w:p>
            <w:pPr>
              <w:spacing w:after="0"/>
              <w:rPr>
                <w:sz w:val="17"/>
                <w:szCs w:val="17"/>
                <w:color w:val="auto"/>
              </w:rPr>
            </w:pPr>
          </w:p>
        </w:tc>
        <w:tc>
          <w:tcPr>
            <w:tcW w:w="2460" w:type="dxa"/>
            <w:vAlign w:val="bottom"/>
            <w:tcBorders>
              <w:top w:val="single" w:sz="8" w:color="auto"/>
              <w:right w:val="single" w:sz="8" w:color="auto"/>
            </w:tcBorders>
            <w:gridSpan w:val="2"/>
            <w:shd w:val="clear" w:color="auto" w:fill="33CCCC"/>
          </w:tcPr>
          <w:p>
            <w:pPr>
              <w:ind w:left="840"/>
              <w:spacing w:after="0"/>
              <w:rPr>
                <w:sz w:val="20"/>
                <w:szCs w:val="20"/>
                <w:color w:val="auto"/>
              </w:rPr>
            </w:pPr>
            <w:r>
              <w:rPr>
                <w:rFonts w:ascii="Arial" w:cs="Arial" w:eastAsia="Arial" w:hAnsi="Arial"/>
                <w:sz w:val="16"/>
                <w:szCs w:val="16"/>
                <w:b w:val="1"/>
                <w:bCs w:val="1"/>
                <w:color w:val="FFFFFF"/>
              </w:rPr>
              <w:t>% change</w:t>
            </w:r>
          </w:p>
        </w:tc>
      </w:tr>
      <w:tr>
        <w:trPr>
          <w:trHeight w:val="189"/>
        </w:trPr>
        <w:tc>
          <w:tcPr>
            <w:tcW w:w="514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rPr>
              <w:t>S/ 000</w:t>
            </w:r>
          </w:p>
        </w:tc>
        <w:tc>
          <w:tcPr>
            <w:tcW w:w="12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1Q24</w:t>
            </w:r>
          </w:p>
        </w:tc>
        <w:tc>
          <w:tcPr>
            <w:tcW w:w="12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4Q24</w:t>
            </w:r>
          </w:p>
        </w:tc>
        <w:tc>
          <w:tcPr>
            <w:tcW w:w="12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6"/>
              </w:rPr>
              <w:t>1Q25</w:t>
            </w:r>
          </w:p>
        </w:tc>
        <w:tc>
          <w:tcPr>
            <w:tcW w:w="12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QoQ</w:t>
            </w:r>
          </w:p>
        </w:tc>
        <w:tc>
          <w:tcPr>
            <w:tcW w:w="124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16"/>
                <w:szCs w:val="16"/>
                <w:b w:val="1"/>
                <w:bCs w:val="1"/>
                <w:color w:val="FFFFFF"/>
              </w:rPr>
              <w:t>YoY</w:t>
            </w:r>
          </w:p>
        </w:tc>
      </w:tr>
      <w:tr>
        <w:trPr>
          <w:trHeight w:val="168"/>
        </w:trPr>
        <w:tc>
          <w:tcPr>
            <w:tcW w:w="514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6"/>
                <w:szCs w:val="16"/>
                <w:color w:val="auto"/>
              </w:rPr>
              <w:t>Net interest income</w:t>
            </w:r>
          </w:p>
        </w:tc>
        <w:tc>
          <w:tcPr>
            <w:tcW w:w="1220" w:type="dxa"/>
            <w:vAlign w:val="bottom"/>
          </w:tcPr>
          <w:p>
            <w:pPr>
              <w:jc w:val="center"/>
              <w:spacing w:after="0" w:line="168" w:lineRule="exact"/>
              <w:rPr>
                <w:sz w:val="20"/>
                <w:szCs w:val="20"/>
                <w:color w:val="auto"/>
              </w:rPr>
            </w:pPr>
            <w:r>
              <w:rPr>
                <w:rFonts w:ascii="Arial" w:cs="Arial" w:eastAsia="Arial" w:hAnsi="Arial"/>
                <w:sz w:val="16"/>
                <w:szCs w:val="16"/>
                <w:color w:val="auto"/>
                <w:w w:val="99"/>
              </w:rPr>
              <w:t>6,460</w:t>
            </w:r>
          </w:p>
        </w:tc>
        <w:tc>
          <w:tcPr>
            <w:tcW w:w="1200" w:type="dxa"/>
            <w:vAlign w:val="bottom"/>
          </w:tcPr>
          <w:p>
            <w:pPr>
              <w:jc w:val="center"/>
              <w:spacing w:after="0" w:line="168" w:lineRule="exact"/>
              <w:rPr>
                <w:sz w:val="20"/>
                <w:szCs w:val="20"/>
                <w:color w:val="auto"/>
              </w:rPr>
            </w:pPr>
            <w:r>
              <w:rPr>
                <w:rFonts w:ascii="Arial" w:cs="Arial" w:eastAsia="Arial" w:hAnsi="Arial"/>
                <w:sz w:val="16"/>
                <w:szCs w:val="16"/>
                <w:color w:val="auto"/>
              </w:rPr>
              <w:t>(15,640)</w:t>
            </w:r>
          </w:p>
        </w:tc>
        <w:tc>
          <w:tcPr>
            <w:tcW w:w="122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10,441</w:t>
            </w:r>
          </w:p>
        </w:tc>
        <w:tc>
          <w:tcPr>
            <w:tcW w:w="1220" w:type="dxa"/>
            <w:vAlign w:val="bottom"/>
          </w:tcPr>
          <w:p>
            <w:pPr>
              <w:jc w:val="center"/>
              <w:spacing w:after="0" w:line="168" w:lineRule="exact"/>
              <w:rPr>
                <w:sz w:val="20"/>
                <w:szCs w:val="20"/>
                <w:color w:val="auto"/>
              </w:rPr>
            </w:pPr>
            <w:r>
              <w:rPr>
                <w:rFonts w:ascii="Arial" w:cs="Arial" w:eastAsia="Arial" w:hAnsi="Arial"/>
                <w:sz w:val="16"/>
                <w:szCs w:val="16"/>
                <w:color w:val="auto"/>
              </w:rPr>
              <w:t>-166.8%</w:t>
            </w:r>
          </w:p>
        </w:tc>
        <w:tc>
          <w:tcPr>
            <w:tcW w:w="12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61.6%</w:t>
            </w:r>
          </w:p>
        </w:tc>
      </w:tr>
      <w:tr>
        <w:trPr>
          <w:trHeight w:val="189"/>
        </w:trPr>
        <w:tc>
          <w:tcPr>
            <w:tcW w:w="5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Other income</w:t>
            </w:r>
          </w:p>
        </w:tc>
        <w:tc>
          <w:tcPr>
            <w:tcW w:w="1220" w:type="dxa"/>
            <w:vAlign w:val="bottom"/>
          </w:tcPr>
          <w:p>
            <w:pPr>
              <w:jc w:val="center"/>
              <w:spacing w:after="0"/>
              <w:rPr>
                <w:sz w:val="20"/>
                <w:szCs w:val="20"/>
                <w:color w:val="auto"/>
              </w:rPr>
            </w:pPr>
            <w:r>
              <w:rPr>
                <w:rFonts w:ascii="Arial" w:cs="Arial" w:eastAsia="Arial" w:hAnsi="Arial"/>
                <w:sz w:val="16"/>
                <w:szCs w:val="16"/>
                <w:color w:val="auto"/>
              </w:rPr>
              <w:t>233,390</w:t>
            </w:r>
          </w:p>
        </w:tc>
        <w:tc>
          <w:tcPr>
            <w:tcW w:w="1200" w:type="dxa"/>
            <w:vAlign w:val="bottom"/>
          </w:tcPr>
          <w:p>
            <w:pPr>
              <w:jc w:val="center"/>
              <w:spacing w:after="0"/>
              <w:rPr>
                <w:sz w:val="20"/>
                <w:szCs w:val="20"/>
                <w:color w:val="auto"/>
              </w:rPr>
            </w:pPr>
            <w:r>
              <w:rPr>
                <w:rFonts w:ascii="Arial" w:cs="Arial" w:eastAsia="Arial" w:hAnsi="Arial"/>
                <w:sz w:val="16"/>
                <w:szCs w:val="16"/>
                <w:color w:val="auto"/>
              </w:rPr>
              <w:t>214,144</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264,926</w:t>
            </w:r>
          </w:p>
        </w:tc>
        <w:tc>
          <w:tcPr>
            <w:tcW w:w="1220" w:type="dxa"/>
            <w:vAlign w:val="bottom"/>
          </w:tcPr>
          <w:p>
            <w:pPr>
              <w:jc w:val="center"/>
              <w:spacing w:after="0"/>
              <w:rPr>
                <w:sz w:val="20"/>
                <w:szCs w:val="20"/>
                <w:color w:val="auto"/>
              </w:rPr>
            </w:pPr>
            <w:r>
              <w:rPr>
                <w:rFonts w:ascii="Arial" w:cs="Arial" w:eastAsia="Arial" w:hAnsi="Arial"/>
                <w:sz w:val="16"/>
                <w:szCs w:val="16"/>
                <w:color w:val="auto"/>
              </w:rPr>
              <w:t>23.7%</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13.5%</w:t>
            </w:r>
          </w:p>
        </w:tc>
      </w:tr>
      <w:tr>
        <w:trPr>
          <w:trHeight w:val="189"/>
        </w:trPr>
        <w:tc>
          <w:tcPr>
            <w:tcW w:w="51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Fee income</w:t>
            </w:r>
          </w:p>
        </w:tc>
        <w:tc>
          <w:tcPr>
            <w:tcW w:w="1220" w:type="dxa"/>
            <w:vAlign w:val="bottom"/>
          </w:tcPr>
          <w:p>
            <w:pPr>
              <w:jc w:val="center"/>
              <w:spacing w:after="0"/>
              <w:rPr>
                <w:sz w:val="20"/>
                <w:szCs w:val="20"/>
                <w:color w:val="auto"/>
              </w:rPr>
            </w:pPr>
            <w:r>
              <w:rPr>
                <w:rFonts w:ascii="Arial" w:cs="Arial" w:eastAsia="Arial" w:hAnsi="Arial"/>
                <w:sz w:val="16"/>
                <w:szCs w:val="16"/>
                <w:color w:val="auto"/>
              </w:rPr>
              <w:t>145,099</w:t>
            </w:r>
          </w:p>
        </w:tc>
        <w:tc>
          <w:tcPr>
            <w:tcW w:w="1200" w:type="dxa"/>
            <w:vAlign w:val="bottom"/>
          </w:tcPr>
          <w:p>
            <w:pPr>
              <w:jc w:val="center"/>
              <w:spacing w:after="0"/>
              <w:rPr>
                <w:sz w:val="20"/>
                <w:szCs w:val="20"/>
                <w:color w:val="auto"/>
              </w:rPr>
            </w:pPr>
            <w:r>
              <w:rPr>
                <w:rFonts w:ascii="Arial" w:cs="Arial" w:eastAsia="Arial" w:hAnsi="Arial"/>
                <w:sz w:val="16"/>
                <w:szCs w:val="16"/>
                <w:color w:val="auto"/>
              </w:rPr>
              <w:t>145,476</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150,272</w:t>
            </w:r>
          </w:p>
        </w:tc>
        <w:tc>
          <w:tcPr>
            <w:tcW w:w="1220" w:type="dxa"/>
            <w:vAlign w:val="bottom"/>
          </w:tcPr>
          <w:p>
            <w:pPr>
              <w:jc w:val="center"/>
              <w:spacing w:after="0"/>
              <w:rPr>
                <w:sz w:val="20"/>
                <w:szCs w:val="20"/>
                <w:color w:val="auto"/>
              </w:rPr>
            </w:pPr>
            <w:r>
              <w:rPr>
                <w:rFonts w:ascii="Arial" w:cs="Arial" w:eastAsia="Arial" w:hAnsi="Arial"/>
                <w:sz w:val="16"/>
                <w:szCs w:val="16"/>
                <w:color w:val="auto"/>
                <w:w w:val="98"/>
              </w:rPr>
              <w:t>3.3%</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3.6%</w:t>
            </w:r>
          </w:p>
        </w:tc>
      </w:tr>
      <w:tr>
        <w:trPr>
          <w:trHeight w:val="189"/>
        </w:trPr>
        <w:tc>
          <w:tcPr>
            <w:tcW w:w="51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Net gain on foreign exchange transactions</w:t>
            </w:r>
          </w:p>
        </w:tc>
        <w:tc>
          <w:tcPr>
            <w:tcW w:w="1220" w:type="dxa"/>
            <w:vAlign w:val="bottom"/>
          </w:tcPr>
          <w:p>
            <w:pPr>
              <w:jc w:val="center"/>
              <w:spacing w:after="0"/>
              <w:rPr>
                <w:sz w:val="20"/>
                <w:szCs w:val="20"/>
                <w:color w:val="auto"/>
              </w:rPr>
            </w:pPr>
            <w:r>
              <w:rPr>
                <w:rFonts w:ascii="Arial" w:cs="Arial" w:eastAsia="Arial" w:hAnsi="Arial"/>
                <w:sz w:val="16"/>
                <w:szCs w:val="16"/>
                <w:color w:val="auto"/>
              </w:rPr>
              <w:t>12,638</w:t>
            </w:r>
          </w:p>
        </w:tc>
        <w:tc>
          <w:tcPr>
            <w:tcW w:w="1200" w:type="dxa"/>
            <w:vAlign w:val="bottom"/>
          </w:tcPr>
          <w:p>
            <w:pPr>
              <w:jc w:val="center"/>
              <w:spacing w:after="0"/>
              <w:rPr>
                <w:sz w:val="20"/>
                <w:szCs w:val="20"/>
                <w:color w:val="auto"/>
              </w:rPr>
            </w:pPr>
            <w:r>
              <w:rPr>
                <w:rFonts w:ascii="Arial" w:cs="Arial" w:eastAsia="Arial" w:hAnsi="Arial"/>
                <w:sz w:val="16"/>
                <w:szCs w:val="16"/>
                <w:color w:val="auto"/>
              </w:rPr>
              <w:t>15,356</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15,069</w:t>
            </w:r>
          </w:p>
        </w:tc>
        <w:tc>
          <w:tcPr>
            <w:tcW w:w="1220" w:type="dxa"/>
            <w:vAlign w:val="bottom"/>
          </w:tcPr>
          <w:p>
            <w:pPr>
              <w:jc w:val="center"/>
              <w:spacing w:after="0"/>
              <w:rPr>
                <w:sz w:val="20"/>
                <w:szCs w:val="20"/>
                <w:color w:val="auto"/>
              </w:rPr>
            </w:pPr>
            <w:r>
              <w:rPr>
                <w:rFonts w:ascii="Arial" w:cs="Arial" w:eastAsia="Arial" w:hAnsi="Arial"/>
                <w:sz w:val="16"/>
                <w:szCs w:val="16"/>
                <w:color w:val="auto"/>
              </w:rPr>
              <w:t>-1.9%</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19.2%</w:t>
            </w:r>
          </w:p>
        </w:tc>
      </w:tr>
      <w:tr>
        <w:trPr>
          <w:trHeight w:val="189"/>
        </w:trPr>
        <w:tc>
          <w:tcPr>
            <w:tcW w:w="51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Net gain on sales of securities</w:t>
            </w:r>
          </w:p>
        </w:tc>
        <w:tc>
          <w:tcPr>
            <w:tcW w:w="1220" w:type="dxa"/>
            <w:vAlign w:val="bottom"/>
          </w:tcPr>
          <w:p>
            <w:pPr>
              <w:jc w:val="center"/>
              <w:spacing w:after="0"/>
              <w:rPr>
                <w:sz w:val="20"/>
                <w:szCs w:val="20"/>
                <w:color w:val="auto"/>
              </w:rPr>
            </w:pPr>
            <w:r>
              <w:rPr>
                <w:rFonts w:ascii="Arial" w:cs="Arial" w:eastAsia="Arial" w:hAnsi="Arial"/>
                <w:sz w:val="16"/>
                <w:szCs w:val="16"/>
                <w:color w:val="auto"/>
              </w:rPr>
              <w:t>54,569</w:t>
            </w:r>
          </w:p>
        </w:tc>
        <w:tc>
          <w:tcPr>
            <w:tcW w:w="1200" w:type="dxa"/>
            <w:vAlign w:val="bottom"/>
          </w:tcPr>
          <w:p>
            <w:pPr>
              <w:jc w:val="center"/>
              <w:spacing w:after="0"/>
              <w:rPr>
                <w:sz w:val="20"/>
                <w:szCs w:val="20"/>
                <w:color w:val="auto"/>
              </w:rPr>
            </w:pPr>
            <w:r>
              <w:rPr>
                <w:rFonts w:ascii="Arial" w:cs="Arial" w:eastAsia="Arial" w:hAnsi="Arial"/>
                <w:sz w:val="16"/>
                <w:szCs w:val="16"/>
                <w:color w:val="auto"/>
              </w:rPr>
              <w:t>15,289</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41,192</w:t>
            </w:r>
          </w:p>
        </w:tc>
        <w:tc>
          <w:tcPr>
            <w:tcW w:w="1220" w:type="dxa"/>
            <w:vAlign w:val="bottom"/>
          </w:tcPr>
          <w:p>
            <w:pPr>
              <w:jc w:val="center"/>
              <w:spacing w:after="0"/>
              <w:rPr>
                <w:sz w:val="20"/>
                <w:szCs w:val="20"/>
                <w:color w:val="auto"/>
              </w:rPr>
            </w:pPr>
            <w:r>
              <w:rPr>
                <w:rFonts w:ascii="Arial" w:cs="Arial" w:eastAsia="Arial" w:hAnsi="Arial"/>
                <w:sz w:val="16"/>
                <w:szCs w:val="16"/>
                <w:color w:val="auto"/>
              </w:rPr>
              <w:t>169.4%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-24.5%</w:t>
            </w:r>
          </w:p>
        </w:tc>
      </w:tr>
      <w:tr>
        <w:trPr>
          <w:trHeight w:val="189"/>
        </w:trPr>
        <w:tc>
          <w:tcPr>
            <w:tcW w:w="51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Derivative Result</w:t>
            </w:r>
          </w:p>
        </w:tc>
        <w:tc>
          <w:tcPr>
            <w:tcW w:w="1220" w:type="dxa"/>
            <w:vAlign w:val="bottom"/>
          </w:tcPr>
          <w:p>
            <w:pPr>
              <w:jc w:val="center"/>
              <w:spacing w:after="0"/>
              <w:rPr>
                <w:sz w:val="20"/>
                <w:szCs w:val="20"/>
                <w:color w:val="auto"/>
              </w:rPr>
            </w:pPr>
            <w:r>
              <w:rPr>
                <w:rFonts w:ascii="Arial" w:cs="Arial" w:eastAsia="Arial" w:hAnsi="Arial"/>
                <w:sz w:val="16"/>
                <w:szCs w:val="16"/>
                <w:color w:val="auto"/>
              </w:rPr>
              <w:t>22,028</w:t>
            </w:r>
          </w:p>
        </w:tc>
        <w:tc>
          <w:tcPr>
            <w:tcW w:w="1200" w:type="dxa"/>
            <w:vAlign w:val="bottom"/>
          </w:tcPr>
          <w:p>
            <w:pPr>
              <w:jc w:val="center"/>
              <w:spacing w:after="0"/>
              <w:rPr>
                <w:sz w:val="20"/>
                <w:szCs w:val="20"/>
                <w:color w:val="auto"/>
              </w:rPr>
            </w:pPr>
            <w:r>
              <w:rPr>
                <w:rFonts w:ascii="Arial" w:cs="Arial" w:eastAsia="Arial" w:hAnsi="Arial"/>
                <w:sz w:val="16"/>
                <w:szCs w:val="16"/>
                <w:color w:val="auto"/>
              </w:rPr>
              <w:t>53,081</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3,864</w:t>
            </w:r>
          </w:p>
        </w:tc>
        <w:tc>
          <w:tcPr>
            <w:tcW w:w="1220" w:type="dxa"/>
            <w:vAlign w:val="bottom"/>
          </w:tcPr>
          <w:p>
            <w:pPr>
              <w:jc w:val="center"/>
              <w:spacing w:after="0"/>
              <w:rPr>
                <w:sz w:val="20"/>
                <w:szCs w:val="20"/>
                <w:color w:val="auto"/>
              </w:rPr>
            </w:pPr>
            <w:r>
              <w:rPr>
                <w:rFonts w:ascii="Arial" w:cs="Arial" w:eastAsia="Arial" w:hAnsi="Arial"/>
                <w:sz w:val="16"/>
                <w:szCs w:val="16"/>
                <w:color w:val="auto"/>
              </w:rPr>
              <w:t>-92.7%</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-82.5%</w:t>
            </w:r>
          </w:p>
        </w:tc>
      </w:tr>
      <w:tr>
        <w:trPr>
          <w:trHeight w:val="189"/>
        </w:trPr>
        <w:tc>
          <w:tcPr>
            <w:tcW w:w="51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Result from exposure to the exchange rate</w:t>
            </w:r>
          </w:p>
        </w:tc>
        <w:tc>
          <w:tcPr>
            <w:tcW w:w="1220" w:type="dxa"/>
            <w:vAlign w:val="bottom"/>
          </w:tcPr>
          <w:p>
            <w:pPr>
              <w:jc w:val="center"/>
              <w:spacing w:after="0"/>
              <w:rPr>
                <w:sz w:val="20"/>
                <w:szCs w:val="20"/>
                <w:color w:val="auto"/>
              </w:rPr>
            </w:pPr>
            <w:r>
              <w:rPr>
                <w:rFonts w:ascii="Arial" w:cs="Arial" w:eastAsia="Arial" w:hAnsi="Arial"/>
                <w:sz w:val="16"/>
                <w:szCs w:val="16"/>
                <w:color w:val="auto"/>
              </w:rPr>
              <w:t>(12,973)</w:t>
            </w:r>
          </w:p>
        </w:tc>
        <w:tc>
          <w:tcPr>
            <w:tcW w:w="1200" w:type="dxa"/>
            <w:vAlign w:val="bottom"/>
          </w:tcPr>
          <w:p>
            <w:pPr>
              <w:jc w:val="center"/>
              <w:spacing w:after="0"/>
              <w:rPr>
                <w:sz w:val="20"/>
                <w:szCs w:val="20"/>
                <w:color w:val="auto"/>
              </w:rPr>
            </w:pPr>
            <w:r>
              <w:rPr>
                <w:rFonts w:ascii="Arial" w:cs="Arial" w:eastAsia="Arial" w:hAnsi="Arial"/>
                <w:sz w:val="16"/>
                <w:szCs w:val="16"/>
                <w:color w:val="auto"/>
              </w:rPr>
              <w:t>(21,323)</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12,599</w:t>
            </w:r>
          </w:p>
        </w:tc>
        <w:tc>
          <w:tcPr>
            <w:tcW w:w="1220" w:type="dxa"/>
            <w:vAlign w:val="bottom"/>
          </w:tcPr>
          <w:p>
            <w:pPr>
              <w:jc w:val="center"/>
              <w:spacing w:after="0"/>
              <w:rPr>
                <w:sz w:val="20"/>
                <w:szCs w:val="20"/>
                <w:color w:val="auto"/>
              </w:rPr>
            </w:pPr>
            <w:r>
              <w:rPr>
                <w:rFonts w:ascii="Arial" w:cs="Arial" w:eastAsia="Arial" w:hAnsi="Arial"/>
                <w:sz w:val="16"/>
                <w:szCs w:val="16"/>
                <w:color w:val="auto"/>
              </w:rPr>
              <w:t>-159.1%</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-197.1%</w:t>
            </w:r>
          </w:p>
        </w:tc>
      </w:tr>
      <w:tr>
        <w:trPr>
          <w:trHeight w:val="177"/>
        </w:trPr>
        <w:tc>
          <w:tcPr>
            <w:tcW w:w="5140" w:type="dxa"/>
            <w:vAlign w:val="bottom"/>
            <w:tcBorders>
              <w:left w:val="single" w:sz="8" w:color="auto"/>
              <w:right w:val="single" w:sz="8" w:color="auto"/>
            </w:tcBorders>
          </w:tcPr>
          <w:p>
            <w:pPr>
              <w:ind w:left="180"/>
              <w:spacing w:after="0" w:line="177" w:lineRule="exact"/>
              <w:rPr>
                <w:sz w:val="20"/>
                <w:szCs w:val="20"/>
                <w:color w:val="auto"/>
              </w:rPr>
            </w:pPr>
            <w:r>
              <w:rPr>
                <w:rFonts w:ascii="Arial" w:cs="Arial" w:eastAsia="Arial" w:hAnsi="Arial"/>
                <w:sz w:val="16"/>
                <w:szCs w:val="16"/>
                <w:color w:val="auto"/>
              </w:rPr>
              <w:t>Other income</w:t>
            </w:r>
          </w:p>
        </w:tc>
        <w:tc>
          <w:tcPr>
            <w:tcW w:w="1220" w:type="dxa"/>
            <w:vAlign w:val="bottom"/>
          </w:tcPr>
          <w:p>
            <w:pPr>
              <w:jc w:val="center"/>
              <w:spacing w:after="0" w:line="177" w:lineRule="exact"/>
              <w:rPr>
                <w:sz w:val="20"/>
                <w:szCs w:val="20"/>
                <w:color w:val="auto"/>
              </w:rPr>
            </w:pPr>
            <w:r>
              <w:rPr>
                <w:rFonts w:ascii="Arial" w:cs="Arial" w:eastAsia="Arial" w:hAnsi="Arial"/>
                <w:sz w:val="16"/>
                <w:szCs w:val="16"/>
                <w:color w:val="auto"/>
              </w:rPr>
              <w:t>12,029</w:t>
            </w:r>
          </w:p>
        </w:tc>
        <w:tc>
          <w:tcPr>
            <w:tcW w:w="1200" w:type="dxa"/>
            <w:vAlign w:val="bottom"/>
          </w:tcPr>
          <w:p>
            <w:pPr>
              <w:jc w:val="center"/>
              <w:spacing w:after="0" w:line="177" w:lineRule="exact"/>
              <w:rPr>
                <w:sz w:val="20"/>
                <w:szCs w:val="20"/>
                <w:color w:val="auto"/>
              </w:rPr>
            </w:pPr>
            <w:r>
              <w:rPr>
                <w:rFonts w:ascii="Arial" w:cs="Arial" w:eastAsia="Arial" w:hAnsi="Arial"/>
                <w:sz w:val="16"/>
                <w:szCs w:val="16"/>
                <w:color w:val="auto"/>
                <w:w w:val="99"/>
              </w:rPr>
              <w:t>6,265</w:t>
            </w:r>
          </w:p>
        </w:tc>
        <w:tc>
          <w:tcPr>
            <w:tcW w:w="12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6"/>
                <w:szCs w:val="16"/>
                <w:color w:val="auto"/>
              </w:rPr>
              <w:t>41,930</w:t>
            </w:r>
          </w:p>
        </w:tc>
        <w:tc>
          <w:tcPr>
            <w:tcW w:w="1220" w:type="dxa"/>
            <w:vAlign w:val="bottom"/>
          </w:tcPr>
          <w:p>
            <w:pPr>
              <w:jc w:val="center"/>
              <w:spacing w:after="0" w:line="177" w:lineRule="exact"/>
              <w:rPr>
                <w:sz w:val="20"/>
                <w:szCs w:val="20"/>
                <w:color w:val="auto"/>
              </w:rPr>
            </w:pPr>
            <w:r>
              <w:rPr>
                <w:rFonts w:ascii="Arial" w:cs="Arial" w:eastAsia="Arial" w:hAnsi="Arial"/>
                <w:sz w:val="16"/>
                <w:szCs w:val="16"/>
                <w:color w:val="auto"/>
              </w:rPr>
              <w:t>n.a.</w:t>
            </w:r>
          </w:p>
        </w:tc>
        <w:tc>
          <w:tcPr>
            <w:tcW w:w="1240" w:type="dxa"/>
            <w:vAlign w:val="bottom"/>
            <w:tcBorders>
              <w:right w:val="single" w:sz="8" w:color="auto"/>
            </w:tcBorders>
          </w:tcPr>
          <w:p>
            <w:pPr>
              <w:ind w:left="480"/>
              <w:spacing w:after="0" w:line="177" w:lineRule="exact"/>
              <w:rPr>
                <w:sz w:val="20"/>
                <w:szCs w:val="20"/>
                <w:color w:val="auto"/>
              </w:rPr>
            </w:pPr>
            <w:r>
              <w:rPr>
                <w:rFonts w:ascii="Arial" w:cs="Arial" w:eastAsia="Arial" w:hAnsi="Arial"/>
                <w:sz w:val="16"/>
                <w:szCs w:val="16"/>
                <w:color w:val="auto"/>
              </w:rPr>
              <w:t>n.a.</w:t>
            </w:r>
          </w:p>
        </w:tc>
      </w:tr>
      <w:tr>
        <w:trPr>
          <w:trHeight w:val="215"/>
        </w:trPr>
        <w:tc>
          <w:tcPr>
            <w:tcW w:w="5140" w:type="dxa"/>
            <w:vAlign w:val="bottom"/>
            <w:tcBorders>
              <w:left w:val="single" w:sz="8" w:color="auto"/>
              <w:bottom w:val="single" w:sz="8" w:color="auto"/>
              <w:right w:val="single" w:sz="8" w:color="auto"/>
            </w:tcBorders>
          </w:tcPr>
          <w:p>
            <w:pPr>
              <w:ind w:left="20"/>
              <w:spacing w:after="0" w:line="216" w:lineRule="exact"/>
              <w:rPr>
                <w:sz w:val="20"/>
                <w:szCs w:val="20"/>
                <w:color w:val="auto"/>
              </w:rPr>
            </w:pPr>
            <w:r>
              <w:rPr>
                <w:rFonts w:ascii="Arial" w:cs="Arial" w:eastAsia="Arial" w:hAnsi="Arial"/>
                <w:sz w:val="15"/>
                <w:szCs w:val="15"/>
                <w:color w:val="auto"/>
              </w:rPr>
              <w:t xml:space="preserve">Operating expenses </w:t>
            </w:r>
            <w:r>
              <w:rPr>
                <w:rFonts w:ascii="Arial" w:cs="Arial" w:eastAsia="Arial" w:hAnsi="Arial"/>
                <w:sz w:val="24"/>
                <w:szCs w:val="24"/>
                <w:color w:val="auto"/>
                <w:vertAlign w:val="superscript"/>
              </w:rPr>
              <w:t>(1)</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(180,091)</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(145,999)</w:t>
            </w:r>
          </w:p>
        </w:tc>
        <w:tc>
          <w:tcPr>
            <w:tcW w:w="122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6"/>
                <w:szCs w:val="16"/>
                <w:color w:val="auto"/>
              </w:rPr>
              <w:t>(202,074)</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38.4%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12.2%</w:t>
            </w:r>
          </w:p>
        </w:tc>
      </w:tr>
      <w:tr>
        <w:trPr>
          <w:trHeight w:val="183"/>
        </w:trPr>
        <w:tc>
          <w:tcPr>
            <w:tcW w:w="5140" w:type="dxa"/>
            <w:vAlign w:val="bottom"/>
            <w:tcBorders>
              <w:left w:val="single" w:sz="8" w:color="auto"/>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Operating income</w:t>
            </w:r>
          </w:p>
        </w:tc>
        <w:tc>
          <w:tcPr>
            <w:tcW w:w="12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59,759</w:t>
            </w:r>
          </w:p>
        </w:tc>
        <w:tc>
          <w:tcPr>
            <w:tcW w:w="12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52,505</w:t>
            </w:r>
          </w:p>
        </w:tc>
        <w:tc>
          <w:tcPr>
            <w:tcW w:w="12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73,293</w:t>
            </w:r>
          </w:p>
        </w:tc>
        <w:tc>
          <w:tcPr>
            <w:tcW w:w="12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39.6%</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22.6%</w:t>
            </w:r>
          </w:p>
        </w:tc>
      </w:tr>
      <w:tr>
        <w:trPr>
          <w:trHeight w:val="168"/>
        </w:trPr>
        <w:tc>
          <w:tcPr>
            <w:tcW w:w="514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6"/>
                <w:szCs w:val="16"/>
                <w:color w:val="auto"/>
              </w:rPr>
              <w:t>Income taxes</w:t>
            </w:r>
          </w:p>
        </w:tc>
        <w:tc>
          <w:tcPr>
            <w:tcW w:w="1220" w:type="dxa"/>
            <w:vAlign w:val="bottom"/>
          </w:tcPr>
          <w:p>
            <w:pPr>
              <w:jc w:val="center"/>
              <w:spacing w:after="0" w:line="168" w:lineRule="exact"/>
              <w:rPr>
                <w:sz w:val="20"/>
                <w:szCs w:val="20"/>
                <w:color w:val="auto"/>
              </w:rPr>
            </w:pPr>
            <w:r>
              <w:rPr>
                <w:rFonts w:ascii="Arial" w:cs="Arial" w:eastAsia="Arial" w:hAnsi="Arial"/>
                <w:sz w:val="16"/>
                <w:szCs w:val="16"/>
                <w:color w:val="auto"/>
              </w:rPr>
              <w:t>(10,943)</w:t>
            </w:r>
          </w:p>
        </w:tc>
        <w:tc>
          <w:tcPr>
            <w:tcW w:w="1200" w:type="dxa"/>
            <w:vAlign w:val="bottom"/>
          </w:tcPr>
          <w:p>
            <w:pPr>
              <w:jc w:val="center"/>
              <w:spacing w:after="0" w:line="168" w:lineRule="exact"/>
              <w:rPr>
                <w:sz w:val="20"/>
                <w:szCs w:val="20"/>
                <w:color w:val="auto"/>
              </w:rPr>
            </w:pPr>
            <w:r>
              <w:rPr>
                <w:rFonts w:ascii="Arial" w:cs="Arial" w:eastAsia="Arial" w:hAnsi="Arial"/>
                <w:sz w:val="16"/>
                <w:szCs w:val="16"/>
                <w:color w:val="auto"/>
              </w:rPr>
              <w:t>(22,722)</w:t>
            </w:r>
          </w:p>
        </w:tc>
        <w:tc>
          <w:tcPr>
            <w:tcW w:w="1220" w:type="dxa"/>
            <w:vAlign w:val="bottom"/>
            <w:tcBorders>
              <w:right w:val="single" w:sz="8" w:color="auto"/>
            </w:tcBorders>
          </w:tcPr>
          <w:p>
            <w:pPr>
              <w:jc w:val="right"/>
              <w:ind w:right="239"/>
              <w:spacing w:after="0" w:line="168" w:lineRule="exact"/>
              <w:rPr>
                <w:sz w:val="20"/>
                <w:szCs w:val="20"/>
                <w:color w:val="auto"/>
              </w:rPr>
            </w:pPr>
            <w:r>
              <w:rPr>
                <w:rFonts w:ascii="Arial" w:cs="Arial" w:eastAsia="Arial" w:hAnsi="Arial"/>
                <w:sz w:val="16"/>
                <w:szCs w:val="16"/>
                <w:color w:val="auto"/>
              </w:rPr>
              <w:t>(11,098)</w:t>
            </w:r>
          </w:p>
        </w:tc>
        <w:tc>
          <w:tcPr>
            <w:tcW w:w="1220" w:type="dxa"/>
            <w:vAlign w:val="bottom"/>
          </w:tcPr>
          <w:p>
            <w:pPr>
              <w:jc w:val="center"/>
              <w:spacing w:after="0" w:line="168" w:lineRule="exact"/>
              <w:rPr>
                <w:sz w:val="20"/>
                <w:szCs w:val="20"/>
                <w:color w:val="auto"/>
              </w:rPr>
            </w:pPr>
            <w:r>
              <w:rPr>
                <w:rFonts w:ascii="Arial" w:cs="Arial" w:eastAsia="Arial" w:hAnsi="Arial"/>
                <w:sz w:val="16"/>
                <w:szCs w:val="16"/>
                <w:color w:val="auto"/>
              </w:rPr>
              <w:t>-51.2%</w:t>
            </w:r>
          </w:p>
        </w:tc>
        <w:tc>
          <w:tcPr>
            <w:tcW w:w="12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1.4%</w:t>
            </w:r>
          </w:p>
        </w:tc>
      </w:tr>
      <w:tr>
        <w:trPr>
          <w:trHeight w:val="203"/>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Non-controlling interest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2,576</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156</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152</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-2.6%</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-94.1%</w:t>
            </w:r>
          </w:p>
        </w:tc>
      </w:tr>
      <w:tr>
        <w:trPr>
          <w:trHeight w:val="196"/>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46,240</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29,627</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62,043</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109.4%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34.2%</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 Includes ASB and Credicorp Capital. Does not include Wealth Management at BCP.</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 Includes: Salaries and employee benefits + Administrative expenses + Assigned expenses + Depreciation and amortization + Tax and contributions + Other expenses.</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2" w:name="page73"/>
    <w:bookmarkEnd w:id="72"/>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12.7.</w:t>
            </w:r>
          </w:p>
        </w:tc>
        <w:tc>
          <w:tcPr>
            <w:tcW w:w="2180" w:type="dxa"/>
            <w:vAlign w:val="bottom"/>
            <w:gridSpan w:val="2"/>
          </w:tcPr>
          <w:p>
            <w:pPr>
              <w:ind w:left="120"/>
              <w:spacing w:after="0"/>
              <w:rPr>
                <w:sz w:val="20"/>
                <w:szCs w:val="20"/>
                <w:color w:val="auto"/>
              </w:rPr>
            </w:pPr>
            <w:r>
              <w:rPr>
                <w:rFonts w:ascii="Arial" w:cs="Arial" w:eastAsia="Arial" w:hAnsi="Arial"/>
                <w:sz w:val="18"/>
                <w:szCs w:val="18"/>
                <w:b w:val="1"/>
                <w:bCs w:val="1"/>
                <w:color w:val="auto"/>
              </w:rPr>
              <w:t>Table of calculations</w:t>
            </w:r>
          </w:p>
        </w:tc>
        <w:tc>
          <w:tcPr>
            <w:tcW w:w="2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960" w:type="dxa"/>
            <w:vAlign w:val="bottom"/>
            <w:tcBorders>
              <w:bottom w:val="single" w:sz="8" w:color="auto"/>
              <w:right w:val="single" w:sz="8" w:color="33CCCC"/>
            </w:tcBorders>
            <w:shd w:val="clear" w:color="auto" w:fill="33CCCC"/>
          </w:tcPr>
          <w:p>
            <w:pPr>
              <w:spacing w:after="0"/>
              <w:rPr>
                <w:sz w:val="13"/>
                <w:szCs w:val="13"/>
                <w:color w:val="auto"/>
              </w:rPr>
            </w:pPr>
          </w:p>
        </w:tc>
        <w:tc>
          <w:tcPr>
            <w:tcW w:w="2540" w:type="dxa"/>
            <w:vAlign w:val="bottom"/>
            <w:tcBorders>
              <w:bottom w:val="single" w:sz="8" w:color="auto"/>
              <w:right w:val="single" w:sz="8" w:color="33CCCC"/>
            </w:tcBorders>
            <w:shd w:val="clear" w:color="auto" w:fill="33CCCC"/>
          </w:tcPr>
          <w:p>
            <w:pPr>
              <w:spacing w:after="0"/>
              <w:rPr>
                <w:sz w:val="13"/>
                <w:szCs w:val="13"/>
                <w:color w:val="auto"/>
              </w:rPr>
            </w:pPr>
          </w:p>
        </w:tc>
        <w:tc>
          <w:tcPr>
            <w:tcW w:w="20" w:type="dxa"/>
            <w:vAlign w:val="bottom"/>
            <w:tcBorders>
              <w:bottom w:val="single" w:sz="8" w:color="auto"/>
            </w:tcBorders>
            <w:shd w:val="clear" w:color="auto" w:fill="33CCCC"/>
          </w:tcPr>
          <w:p>
            <w:pPr>
              <w:spacing w:after="0"/>
              <w:rPr>
                <w:sz w:val="13"/>
                <w:szCs w:val="13"/>
                <w:color w:val="auto"/>
              </w:rPr>
            </w:pPr>
          </w:p>
        </w:tc>
        <w:tc>
          <w:tcPr>
            <w:tcW w:w="2000" w:type="dxa"/>
            <w:vAlign w:val="bottom"/>
            <w:tcBorders>
              <w:bottom w:val="single" w:sz="8" w:color="auto"/>
            </w:tcBorders>
            <w:gridSpan w:val="15"/>
            <w:shd w:val="clear" w:color="auto" w:fill="33CCCC"/>
          </w:tcPr>
          <w:p>
            <w:pPr>
              <w:ind w:left="40"/>
              <w:spacing w:after="0" w:line="156" w:lineRule="exact"/>
              <w:rPr>
                <w:sz w:val="20"/>
                <w:szCs w:val="20"/>
                <w:color w:val="auto"/>
              </w:rPr>
            </w:pPr>
            <w:r>
              <w:rPr>
                <w:rFonts w:ascii="Arial" w:cs="Arial" w:eastAsia="Arial" w:hAnsi="Arial"/>
                <w:sz w:val="12"/>
                <w:szCs w:val="12"/>
                <w:b w:val="1"/>
                <w:bCs w:val="1"/>
                <w:color w:val="FFFFFF"/>
              </w:rPr>
              <w:t xml:space="preserve">Table of calculations </w:t>
            </w:r>
            <w:r>
              <w:rPr>
                <w:rFonts w:ascii="Arial" w:cs="Arial" w:eastAsia="Arial" w:hAnsi="Arial"/>
                <w:sz w:val="18"/>
                <w:szCs w:val="18"/>
                <w:color w:val="FFFFFF"/>
                <w:vertAlign w:val="superscript"/>
              </w:rPr>
              <w:t>(1)</w:t>
            </w:r>
          </w:p>
        </w:tc>
        <w:tc>
          <w:tcPr>
            <w:tcW w:w="320" w:type="dxa"/>
            <w:vAlign w:val="bottom"/>
            <w:tcBorders>
              <w:bottom w:val="single" w:sz="8" w:color="auto"/>
            </w:tcBorders>
            <w:shd w:val="clear" w:color="auto" w:fill="33CCCC"/>
          </w:tcPr>
          <w:p>
            <w:pPr>
              <w:spacing w:after="0"/>
              <w:rPr>
                <w:sz w:val="13"/>
                <w:szCs w:val="13"/>
                <w:color w:val="auto"/>
              </w:rPr>
            </w:pPr>
          </w:p>
        </w:tc>
        <w:tc>
          <w:tcPr>
            <w:tcW w:w="100" w:type="dxa"/>
            <w:vAlign w:val="bottom"/>
            <w:tcBorders>
              <w:bottom w:val="single" w:sz="8" w:color="auto"/>
            </w:tcBorders>
            <w:shd w:val="clear" w:color="auto" w:fill="33CCCC"/>
          </w:tcPr>
          <w:p>
            <w:pPr>
              <w:spacing w:after="0"/>
              <w:rPr>
                <w:sz w:val="13"/>
                <w:szCs w:val="13"/>
                <w:color w:val="auto"/>
              </w:rPr>
            </w:pPr>
          </w:p>
        </w:tc>
        <w:tc>
          <w:tcPr>
            <w:tcW w:w="300" w:type="dxa"/>
            <w:vAlign w:val="bottom"/>
            <w:tcBorders>
              <w:bottom w:val="single" w:sz="8" w:color="auto"/>
              <w:right w:val="single" w:sz="8" w:color="33CCCC"/>
            </w:tcBorders>
            <w:shd w:val="clear" w:color="auto" w:fill="33CCCC"/>
          </w:tcPr>
          <w:p>
            <w:pPr>
              <w:spacing w:after="0"/>
              <w:rPr>
                <w:sz w:val="13"/>
                <w:szCs w:val="13"/>
                <w:color w:val="auto"/>
              </w:rPr>
            </w:pPr>
          </w:p>
        </w:tc>
        <w:tc>
          <w:tcPr>
            <w:tcW w:w="100" w:type="dxa"/>
            <w:vAlign w:val="bottom"/>
            <w:tcBorders>
              <w:bottom w:val="single" w:sz="8" w:color="auto"/>
            </w:tcBorders>
            <w:shd w:val="clear" w:color="auto" w:fill="33CCCC"/>
          </w:tcPr>
          <w:p>
            <w:pPr>
              <w:spacing w:after="0"/>
              <w:rPr>
                <w:sz w:val="13"/>
                <w:szCs w:val="13"/>
                <w:color w:val="auto"/>
              </w:rPr>
            </w:pPr>
          </w:p>
        </w:tc>
        <w:tc>
          <w:tcPr>
            <w:tcW w:w="400" w:type="dxa"/>
            <w:vAlign w:val="bottom"/>
            <w:tcBorders>
              <w:bottom w:val="single" w:sz="8" w:color="auto"/>
            </w:tcBorders>
            <w:shd w:val="clear" w:color="auto" w:fill="33CCCC"/>
          </w:tcPr>
          <w:p>
            <w:pPr>
              <w:spacing w:after="0"/>
              <w:rPr>
                <w:sz w:val="13"/>
                <w:szCs w:val="13"/>
                <w:color w:val="auto"/>
              </w:rPr>
            </w:pPr>
          </w:p>
        </w:tc>
        <w:tc>
          <w:tcPr>
            <w:tcW w:w="100" w:type="dxa"/>
            <w:vAlign w:val="bottom"/>
            <w:tcBorders>
              <w:bottom w:val="single" w:sz="8" w:color="auto"/>
            </w:tcBorders>
            <w:shd w:val="clear" w:color="auto" w:fill="33CCCC"/>
          </w:tcPr>
          <w:p>
            <w:pPr>
              <w:spacing w:after="0"/>
              <w:rPr>
                <w:sz w:val="13"/>
                <w:szCs w:val="13"/>
                <w:color w:val="auto"/>
              </w:rPr>
            </w:pPr>
          </w:p>
        </w:tc>
        <w:tc>
          <w:tcPr>
            <w:tcW w:w="20" w:type="dxa"/>
            <w:vAlign w:val="bottom"/>
            <w:tcBorders>
              <w:bottom w:val="single" w:sz="8" w:color="auto"/>
            </w:tcBorders>
            <w:shd w:val="clear" w:color="auto" w:fill="33CCCC"/>
          </w:tcPr>
          <w:p>
            <w:pPr>
              <w:spacing w:after="0"/>
              <w:rPr>
                <w:sz w:val="13"/>
                <w:szCs w:val="13"/>
                <w:color w:val="auto"/>
              </w:rPr>
            </w:pPr>
          </w:p>
        </w:tc>
        <w:tc>
          <w:tcPr>
            <w:tcW w:w="120" w:type="dxa"/>
            <w:vAlign w:val="bottom"/>
            <w:tcBorders>
              <w:bottom w:val="single" w:sz="8" w:color="auto"/>
            </w:tcBorders>
            <w:shd w:val="clear" w:color="auto" w:fill="33CCCC"/>
          </w:tcPr>
          <w:p>
            <w:pPr>
              <w:spacing w:after="0"/>
              <w:rPr>
                <w:sz w:val="13"/>
                <w:szCs w:val="13"/>
                <w:color w:val="auto"/>
              </w:rPr>
            </w:pPr>
          </w:p>
        </w:tc>
        <w:tc>
          <w:tcPr>
            <w:tcW w:w="280" w:type="dxa"/>
            <w:vAlign w:val="bottom"/>
            <w:tcBorders>
              <w:bottom w:val="single" w:sz="8" w:color="auto"/>
            </w:tcBorders>
            <w:shd w:val="clear" w:color="auto" w:fill="33CCCC"/>
          </w:tcPr>
          <w:p>
            <w:pPr>
              <w:spacing w:after="0"/>
              <w:rPr>
                <w:sz w:val="13"/>
                <w:szCs w:val="13"/>
                <w:color w:val="auto"/>
              </w:rPr>
            </w:pPr>
          </w:p>
        </w:tc>
        <w:tc>
          <w:tcPr>
            <w:tcW w:w="20" w:type="dxa"/>
            <w:vAlign w:val="bottom"/>
            <w:tcBorders>
              <w:bottom w:val="single" w:sz="8" w:color="auto"/>
            </w:tcBorders>
            <w:shd w:val="clear" w:color="auto" w:fill="33CCCC"/>
          </w:tcPr>
          <w:p>
            <w:pPr>
              <w:spacing w:after="0"/>
              <w:rPr>
                <w:sz w:val="13"/>
                <w:szCs w:val="13"/>
                <w:color w:val="auto"/>
              </w:rPr>
            </w:pPr>
          </w:p>
        </w:tc>
        <w:tc>
          <w:tcPr>
            <w:tcW w:w="120" w:type="dxa"/>
            <w:vAlign w:val="bottom"/>
            <w:tcBorders>
              <w:bottom w:val="single" w:sz="8" w:color="auto"/>
            </w:tcBorders>
            <w:shd w:val="clear" w:color="auto" w:fill="33CCCC"/>
          </w:tcPr>
          <w:p>
            <w:pPr>
              <w:spacing w:after="0"/>
              <w:rPr>
                <w:sz w:val="13"/>
                <w:szCs w:val="13"/>
                <w:color w:val="auto"/>
              </w:rPr>
            </w:pPr>
          </w:p>
        </w:tc>
        <w:tc>
          <w:tcPr>
            <w:tcW w:w="20" w:type="dxa"/>
            <w:vAlign w:val="bottom"/>
            <w:tcBorders>
              <w:bottom w:val="single" w:sz="8" w:color="auto"/>
            </w:tcBorders>
            <w:shd w:val="clear" w:color="auto" w:fill="33CCCC"/>
          </w:tcPr>
          <w:p>
            <w:pPr>
              <w:spacing w:after="0"/>
              <w:rPr>
                <w:sz w:val="13"/>
                <w:szCs w:val="13"/>
                <w:color w:val="auto"/>
              </w:rPr>
            </w:pPr>
          </w:p>
        </w:tc>
        <w:tc>
          <w:tcPr>
            <w:tcW w:w="20" w:type="dxa"/>
            <w:vAlign w:val="bottom"/>
            <w:tcBorders>
              <w:bottom w:val="single" w:sz="8" w:color="auto"/>
            </w:tcBorders>
            <w:shd w:val="clear" w:color="auto" w:fill="33CCCC"/>
          </w:tcPr>
          <w:p>
            <w:pPr>
              <w:spacing w:after="0"/>
              <w:rPr>
                <w:sz w:val="13"/>
                <w:szCs w:val="13"/>
                <w:color w:val="auto"/>
              </w:rPr>
            </w:pPr>
          </w:p>
        </w:tc>
        <w:tc>
          <w:tcPr>
            <w:tcW w:w="260" w:type="dxa"/>
            <w:vAlign w:val="bottom"/>
            <w:tcBorders>
              <w:bottom w:val="single" w:sz="8" w:color="auto"/>
            </w:tcBorders>
            <w:shd w:val="clear" w:color="auto" w:fill="33CCCC"/>
          </w:tcPr>
          <w:p>
            <w:pPr>
              <w:spacing w:after="0"/>
              <w:rPr>
                <w:sz w:val="13"/>
                <w:szCs w:val="13"/>
                <w:color w:val="auto"/>
              </w:rPr>
            </w:pPr>
          </w:p>
        </w:tc>
        <w:tc>
          <w:tcPr>
            <w:tcW w:w="440" w:type="dxa"/>
            <w:vAlign w:val="bottom"/>
            <w:tcBorders>
              <w:bottom w:val="single" w:sz="8" w:color="auto"/>
            </w:tcBorders>
            <w:shd w:val="clear" w:color="auto" w:fill="33CCCC"/>
          </w:tcPr>
          <w:p>
            <w:pPr>
              <w:spacing w:after="0"/>
              <w:rPr>
                <w:sz w:val="13"/>
                <w:szCs w:val="13"/>
                <w:color w:val="auto"/>
              </w:rPr>
            </w:pPr>
          </w:p>
        </w:tc>
        <w:tc>
          <w:tcPr>
            <w:tcW w:w="100" w:type="dxa"/>
            <w:vAlign w:val="bottom"/>
            <w:tcBorders>
              <w:bottom w:val="single" w:sz="8" w:color="auto"/>
            </w:tcBorders>
            <w:shd w:val="clear" w:color="auto" w:fill="33CCCC"/>
          </w:tcPr>
          <w:p>
            <w:pPr>
              <w:spacing w:after="0"/>
              <w:rPr>
                <w:sz w:val="13"/>
                <w:szCs w:val="13"/>
                <w:color w:val="auto"/>
              </w:rPr>
            </w:pPr>
          </w:p>
        </w:tc>
        <w:tc>
          <w:tcPr>
            <w:tcW w:w="140" w:type="dxa"/>
            <w:vAlign w:val="bottom"/>
            <w:tcBorders>
              <w:bottom w:val="single" w:sz="8" w:color="auto"/>
            </w:tcBorders>
            <w:shd w:val="clear" w:color="auto" w:fill="33CCCC"/>
          </w:tcPr>
          <w:p>
            <w:pPr>
              <w:spacing w:after="0"/>
              <w:rPr>
                <w:sz w:val="13"/>
                <w:szCs w:val="13"/>
                <w:color w:val="auto"/>
              </w:rPr>
            </w:pPr>
          </w:p>
        </w:tc>
        <w:tc>
          <w:tcPr>
            <w:tcW w:w="100" w:type="dxa"/>
            <w:vAlign w:val="bottom"/>
            <w:tcBorders>
              <w:bottom w:val="single" w:sz="8" w:color="auto"/>
            </w:tcBorders>
            <w:shd w:val="clear" w:color="auto" w:fill="33CCCC"/>
          </w:tcPr>
          <w:p>
            <w:pPr>
              <w:spacing w:after="0"/>
              <w:rPr>
                <w:sz w:val="13"/>
                <w:szCs w:val="13"/>
                <w:color w:val="auto"/>
              </w:rPr>
            </w:pPr>
          </w:p>
        </w:tc>
        <w:tc>
          <w:tcPr>
            <w:tcW w:w="100" w:type="dxa"/>
            <w:vAlign w:val="bottom"/>
            <w:tcBorders>
              <w:bottom w:val="single" w:sz="8" w:color="auto"/>
            </w:tcBorders>
            <w:shd w:val="clear" w:color="auto" w:fill="33CCCC"/>
          </w:tcPr>
          <w:p>
            <w:pPr>
              <w:spacing w:after="0"/>
              <w:rPr>
                <w:sz w:val="13"/>
                <w:szCs w:val="13"/>
                <w:color w:val="auto"/>
              </w:rPr>
            </w:pPr>
          </w:p>
        </w:tc>
        <w:tc>
          <w:tcPr>
            <w:tcW w:w="40" w:type="dxa"/>
            <w:vAlign w:val="bottom"/>
            <w:tcBorders>
              <w:bottom w:val="single" w:sz="8" w:color="auto"/>
            </w:tcBorders>
            <w:shd w:val="clear" w:color="auto" w:fill="33CCCC"/>
          </w:tcPr>
          <w:p>
            <w:pPr>
              <w:spacing w:after="0"/>
              <w:rPr>
                <w:sz w:val="13"/>
                <w:szCs w:val="13"/>
                <w:color w:val="auto"/>
              </w:rPr>
            </w:pPr>
          </w:p>
        </w:tc>
        <w:tc>
          <w:tcPr>
            <w:tcW w:w="100" w:type="dxa"/>
            <w:vAlign w:val="bottom"/>
            <w:tcBorders>
              <w:bottom w:val="single" w:sz="8" w:color="auto"/>
              <w:right w:val="single" w:sz="8" w:color="auto"/>
            </w:tcBorders>
            <w:shd w:val="clear" w:color="auto" w:fill="33CCCC"/>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Profitability</w:t>
            </w:r>
          </w:p>
        </w:tc>
        <w:tc>
          <w:tcPr>
            <w:tcW w:w="25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Interest earning assets</w:t>
            </w:r>
          </w:p>
        </w:tc>
        <w:tc>
          <w:tcPr>
            <w:tcW w:w="5220" w:type="dxa"/>
            <w:vAlign w:val="bottom"/>
            <w:tcBorders>
              <w:right w:val="single" w:sz="8" w:color="auto"/>
            </w:tcBorders>
            <w:gridSpan w:val="37"/>
          </w:tcPr>
          <w:p>
            <w:pPr>
              <w:jc w:val="center"/>
              <w:ind w:right="20"/>
              <w:spacing w:after="0"/>
              <w:rPr>
                <w:sz w:val="20"/>
                <w:szCs w:val="20"/>
                <w:color w:val="auto"/>
              </w:rPr>
            </w:pPr>
            <w:r>
              <w:rPr>
                <w:rFonts w:ascii="Arial" w:cs="Arial" w:eastAsia="Arial" w:hAnsi="Arial"/>
                <w:sz w:val="14"/>
                <w:szCs w:val="14"/>
                <w:color w:val="auto"/>
              </w:rPr>
              <w:t>Cash and due from banks+Total investments+Cash collateral, reverse repurchase</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20" w:type="dxa"/>
            <w:vAlign w:val="bottom"/>
            <w:tcBorders>
              <w:bottom w:val="single" w:sz="8" w:color="auto"/>
              <w:right w:val="single" w:sz="8" w:color="auto"/>
            </w:tcBorders>
            <w:gridSpan w:val="29"/>
          </w:tcPr>
          <w:p>
            <w:pPr>
              <w:jc w:val="center"/>
              <w:ind w:right="1040"/>
              <w:spacing w:after="0" w:line="108" w:lineRule="exact"/>
              <w:rPr>
                <w:sz w:val="20"/>
                <w:szCs w:val="20"/>
                <w:color w:val="auto"/>
              </w:rPr>
            </w:pPr>
            <w:r>
              <w:rPr>
                <w:rFonts w:ascii="Arial" w:cs="Arial" w:eastAsia="Arial" w:hAnsi="Arial"/>
                <w:sz w:val="12"/>
                <w:szCs w:val="12"/>
                <w:color w:val="auto"/>
              </w:rPr>
              <w:t>agreements and securities borrowing+Loans</w:t>
            </w:r>
          </w:p>
        </w:tc>
        <w:tc>
          <w:tcPr>
            <w:tcW w:w="0" w:type="dxa"/>
            <w:vAlign w:val="bottom"/>
          </w:tcPr>
          <w:p>
            <w:pPr>
              <w:spacing w:after="0"/>
              <w:rPr>
                <w:sz w:val="1"/>
                <w:szCs w:val="1"/>
                <w:color w:val="auto"/>
              </w:rPr>
            </w:pPr>
          </w:p>
        </w:tc>
      </w:tr>
      <w:tr>
        <w:trPr>
          <w:trHeight w:val="146"/>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80" w:type="dxa"/>
            <w:vAlign w:val="bottom"/>
            <w:tcBorders>
              <w:right w:val="single" w:sz="8" w:color="auto"/>
            </w:tcBorders>
            <w:gridSpan w:val="31"/>
          </w:tcPr>
          <w:p>
            <w:pPr>
              <w:jc w:val="center"/>
              <w:ind w:right="480"/>
              <w:spacing w:after="0" w:line="147" w:lineRule="exact"/>
              <w:rPr>
                <w:sz w:val="20"/>
                <w:szCs w:val="20"/>
                <w:color w:val="auto"/>
              </w:rPr>
            </w:pPr>
            <w:r>
              <w:rPr>
                <w:rFonts w:ascii="Arial" w:cs="Arial" w:eastAsia="Arial" w:hAnsi="Arial"/>
                <w:sz w:val="14"/>
                <w:szCs w:val="14"/>
                <w:color w:val="auto"/>
              </w:rPr>
              <w:t>Deposits and obligations+Due to banks and correspondents+BCRP</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Funding</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160" w:type="dxa"/>
            <w:vAlign w:val="bottom"/>
            <w:tcBorders>
              <w:right w:val="single" w:sz="8" w:color="auto"/>
            </w:tcBorders>
            <w:gridSpan w:val="35"/>
          </w:tcPr>
          <w:p>
            <w:pPr>
              <w:jc w:val="center"/>
              <w:ind w:right="100"/>
              <w:spacing w:after="0"/>
              <w:rPr>
                <w:sz w:val="20"/>
                <w:szCs w:val="20"/>
                <w:color w:val="auto"/>
              </w:rPr>
            </w:pPr>
            <w:r>
              <w:rPr>
                <w:rFonts w:ascii="Arial" w:cs="Arial" w:eastAsia="Arial" w:hAnsi="Arial"/>
                <w:sz w:val="14"/>
                <w:szCs w:val="14"/>
                <w:color w:val="auto"/>
              </w:rPr>
              <w:t>instruments+Repurchase agreements with clients and third parties+Bonds and</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0" w:type="dxa"/>
            <w:vAlign w:val="bottom"/>
            <w:tcBorders>
              <w:bottom w:val="single" w:sz="8" w:color="auto"/>
              <w:right w:val="single" w:sz="8" w:color="auto"/>
            </w:tcBorders>
            <w:gridSpan w:val="21"/>
          </w:tcPr>
          <w:p>
            <w:pPr>
              <w:jc w:val="center"/>
              <w:ind w:right="2060"/>
              <w:spacing w:after="0"/>
              <w:rPr>
                <w:sz w:val="20"/>
                <w:szCs w:val="20"/>
                <w:color w:val="auto"/>
              </w:rPr>
            </w:pPr>
            <w:r>
              <w:rPr>
                <w:rFonts w:ascii="Arial" w:cs="Arial" w:eastAsia="Arial" w:hAnsi="Arial"/>
                <w:sz w:val="14"/>
                <w:szCs w:val="14"/>
                <w:color w:val="auto"/>
              </w:rPr>
              <w:t>notes issued</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Net Interest Margin (NIM)</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80" w:type="dxa"/>
            <w:vAlign w:val="bottom"/>
            <w:tcBorders>
              <w:right w:val="single" w:sz="8" w:color="auto"/>
            </w:tcBorders>
            <w:gridSpan w:val="31"/>
          </w:tcPr>
          <w:p>
            <w:pPr>
              <w:jc w:val="center"/>
              <w:ind w:right="480"/>
              <w:spacing w:after="0" w:line="142" w:lineRule="exact"/>
              <w:rPr>
                <w:sz w:val="20"/>
                <w:szCs w:val="20"/>
                <w:color w:val="auto"/>
              </w:rPr>
            </w:pPr>
            <w:r>
              <w:rPr>
                <w:rFonts w:ascii="Arial" w:cs="Arial" w:eastAsia="Arial" w:hAnsi="Arial"/>
                <w:sz w:val="14"/>
                <w:szCs w:val="14"/>
                <w:color w:val="auto"/>
              </w:rPr>
              <w:t>(Net Interest Income (excluding Net Insurance Financial Expenses)</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254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320" w:type="dxa"/>
            <w:vAlign w:val="bottom"/>
            <w:tcBorders>
              <w:top w:val="single" w:sz="8" w:color="auto"/>
            </w:tcBorders>
            <w:gridSpan w:val="21"/>
            <w:vMerge w:val="restart"/>
          </w:tcPr>
          <w:p>
            <w:pPr>
              <w:jc w:val="center"/>
              <w:ind w:right="980"/>
              <w:spacing w:after="0" w:line="155" w:lineRule="exact"/>
              <w:rPr>
                <w:sz w:val="20"/>
                <w:szCs w:val="20"/>
                <w:color w:val="auto"/>
              </w:rPr>
            </w:pPr>
            <w:r>
              <w:rPr>
                <w:rFonts w:ascii="Arial" w:cs="Arial" w:eastAsia="Arial" w:hAnsi="Arial"/>
                <w:sz w:val="14"/>
                <w:szCs w:val="14"/>
                <w:color w:val="auto"/>
              </w:rPr>
              <w:t>(Average Interest Earning Assets)</w:t>
            </w:r>
          </w:p>
        </w:tc>
        <w:tc>
          <w:tcPr>
            <w:tcW w:w="480" w:type="dxa"/>
            <w:vAlign w:val="bottom"/>
            <w:tcBorders>
              <w:right w:val="single" w:sz="8" w:color="auto"/>
            </w:tcBorders>
            <w:gridSpan w:val="5"/>
            <w:vMerge w:val="restart"/>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54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gridSpan w:val="21"/>
            <w:vMerge w:val="continue"/>
          </w:tcPr>
          <w:p>
            <w:pPr>
              <w:spacing w:after="0"/>
              <w:rPr>
                <w:sz w:val="4"/>
                <w:szCs w:val="4"/>
                <w:color w:val="auto"/>
              </w:rPr>
            </w:pPr>
          </w:p>
        </w:tc>
        <w:tc>
          <w:tcPr>
            <w:tcW w:w="480" w:type="dxa"/>
            <w:vAlign w:val="bottom"/>
            <w:tcBorders>
              <w:bottom w:val="single" w:sz="8" w:color="auto"/>
              <w:right w:val="single" w:sz="8" w:color="auto"/>
            </w:tcBorders>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Risk-adjusted Net</w:t>
            </w:r>
          </w:p>
        </w:tc>
        <w:tc>
          <w:tcPr>
            <w:tcW w:w="20" w:type="dxa"/>
            <w:vAlign w:val="bottom"/>
          </w:tcPr>
          <w:p>
            <w:pPr>
              <w:spacing w:after="0"/>
              <w:rPr>
                <w:sz w:val="12"/>
                <w:szCs w:val="12"/>
                <w:color w:val="auto"/>
              </w:rPr>
            </w:pPr>
          </w:p>
        </w:tc>
        <w:tc>
          <w:tcPr>
            <w:tcW w:w="5200" w:type="dxa"/>
            <w:vAlign w:val="bottom"/>
            <w:tcBorders>
              <w:right w:val="single" w:sz="8" w:color="auto"/>
            </w:tcBorders>
            <w:gridSpan w:val="36"/>
          </w:tcPr>
          <w:p>
            <w:pPr>
              <w:jc w:val="center"/>
              <w:ind w:right="60"/>
              <w:spacing w:after="0" w:line="142" w:lineRule="exact"/>
              <w:rPr>
                <w:sz w:val="20"/>
                <w:szCs w:val="20"/>
                <w:color w:val="auto"/>
              </w:rPr>
            </w:pPr>
            <w:r>
              <w:rPr>
                <w:rFonts w:ascii="Arial" w:cs="Arial" w:eastAsia="Arial" w:hAnsi="Arial"/>
                <w:sz w:val="14"/>
                <w:szCs w:val="14"/>
                <w:color w:val="auto"/>
              </w:rPr>
              <w:t>(Annualized Net Interest Income (excluding Net Insurance Financial Expenses)-</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Interest Margin (Risk-</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gridSpan w:val="22"/>
          </w:tcPr>
          <w:p>
            <w:pPr>
              <w:jc w:val="center"/>
              <w:ind w:right="1780"/>
              <w:spacing w:after="0" w:line="142" w:lineRule="exact"/>
              <w:rPr>
                <w:sz w:val="20"/>
                <w:szCs w:val="20"/>
                <w:color w:val="auto"/>
              </w:rPr>
            </w:pPr>
            <w:r>
              <w:rPr>
                <w:rFonts w:ascii="Arial" w:cs="Arial" w:eastAsia="Arial" w:hAnsi="Arial"/>
                <w:sz w:val="14"/>
                <w:szCs w:val="14"/>
                <w:color w:val="auto"/>
              </w:rPr>
              <w:t>Annualized Provisions )</w:t>
            </w: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adjusted NIM)</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8"/>
            <w:vMerge w:val="restart"/>
          </w:tcPr>
          <w:p>
            <w:pPr>
              <w:ind w:left="20"/>
              <w:spacing w:after="0"/>
              <w:rPr>
                <w:sz w:val="20"/>
                <w:szCs w:val="20"/>
                <w:color w:val="auto"/>
              </w:rPr>
            </w:pPr>
            <w:r>
              <w:rPr>
                <w:rFonts w:ascii="Arial" w:cs="Arial" w:eastAsia="Arial" w:hAnsi="Arial"/>
                <w:sz w:val="14"/>
                <w:szCs w:val="14"/>
                <w:color w:val="auto"/>
              </w:rPr>
              <w:t>(Average period end</w:t>
            </w: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5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8"/>
            <w:vMerge w:val="continue"/>
          </w:tcPr>
          <w:p>
            <w:pPr>
              <w:spacing w:after="0"/>
              <w:rPr>
                <w:sz w:val="13"/>
                <w:szCs w:val="13"/>
                <w:color w:val="auto"/>
              </w:rPr>
            </w:pPr>
          </w:p>
        </w:tc>
        <w:tc>
          <w:tcPr>
            <w:tcW w:w="3360" w:type="dxa"/>
            <w:vAlign w:val="bottom"/>
            <w:tcBorders>
              <w:bottom w:val="single" w:sz="8" w:color="auto"/>
              <w:right w:val="single" w:sz="8" w:color="auto"/>
            </w:tcBorders>
            <w:gridSpan w:val="23"/>
          </w:tcPr>
          <w:p>
            <w:pPr>
              <w:spacing w:after="0" w:line="155" w:lineRule="exact"/>
              <w:rPr>
                <w:sz w:val="20"/>
                <w:szCs w:val="20"/>
                <w:color w:val="auto"/>
              </w:rPr>
            </w:pPr>
            <w:r>
              <w:rPr>
                <w:rFonts w:ascii="Arial" w:cs="Arial" w:eastAsia="Arial" w:hAnsi="Arial"/>
                <w:sz w:val="14"/>
                <w:szCs w:val="14"/>
                <w:color w:val="auto"/>
              </w:rPr>
              <w:t>and period beginning interest earning assets )</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Funding cost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80" w:type="dxa"/>
            <w:vAlign w:val="bottom"/>
            <w:tcBorders>
              <w:right w:val="single" w:sz="8" w:color="auto"/>
            </w:tcBorders>
            <w:gridSpan w:val="33"/>
          </w:tcPr>
          <w:p>
            <w:pPr>
              <w:jc w:val="center"/>
              <w:ind w:right="280"/>
              <w:spacing w:after="0" w:line="142" w:lineRule="exact"/>
              <w:rPr>
                <w:sz w:val="20"/>
                <w:szCs w:val="20"/>
                <w:color w:val="auto"/>
              </w:rPr>
            </w:pPr>
            <w:r>
              <w:rPr>
                <w:rFonts w:ascii="Arial" w:cs="Arial" w:eastAsia="Arial" w:hAnsi="Arial"/>
                <w:sz w:val="14"/>
                <w:szCs w:val="14"/>
                <w:u w:val="single" w:color="auto"/>
                <w:color w:val="auto"/>
              </w:rPr>
              <w:t>(Interest</w:t>
            </w:r>
            <w:r>
              <w:rPr>
                <w:rFonts w:ascii="Arial" w:cs="Arial" w:eastAsia="Arial" w:hAnsi="Arial"/>
                <w:sz w:val="14"/>
                <w:szCs w:val="14"/>
                <w:color w:val="auto"/>
              </w:rPr>
              <w:t xml:space="preserve"> Expense (Does not Include Net Insurance Financial Expenses)</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254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920" w:type="dxa"/>
            <w:vAlign w:val="bottom"/>
            <w:tcBorders>
              <w:top w:val="single" w:sz="8" w:color="auto"/>
            </w:tcBorders>
            <w:gridSpan w:val="18"/>
            <w:vMerge w:val="restart"/>
          </w:tcPr>
          <w:p>
            <w:pPr>
              <w:jc w:val="center"/>
              <w:ind w:right="1660"/>
              <w:spacing w:after="0" w:line="155" w:lineRule="exact"/>
              <w:rPr>
                <w:sz w:val="20"/>
                <w:szCs w:val="20"/>
                <w:color w:val="auto"/>
              </w:rPr>
            </w:pPr>
            <w:r>
              <w:rPr>
                <w:rFonts w:ascii="Arial" w:cs="Arial" w:eastAsia="Arial" w:hAnsi="Arial"/>
                <w:sz w:val="14"/>
                <w:szCs w:val="14"/>
                <w:color w:val="auto"/>
              </w:rPr>
              <w:t>(Average Funding )</w:t>
            </w:r>
          </w:p>
        </w:tc>
        <w:tc>
          <w:tcPr>
            <w:tcW w:w="340" w:type="dxa"/>
            <w:vAlign w:val="bottom"/>
            <w:tcBorders>
              <w:right w:val="single" w:sz="8" w:color="auto"/>
            </w:tcBorders>
            <w:gridSpan w:val="4"/>
            <w:vMerge w:val="restart"/>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54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gridSpan w:val="18"/>
            <w:vMerge w:val="continue"/>
          </w:tcPr>
          <w:p>
            <w:pPr>
              <w:spacing w:after="0"/>
              <w:rPr>
                <w:sz w:val="4"/>
                <w:szCs w:val="4"/>
                <w:color w:val="auto"/>
              </w:rPr>
            </w:pPr>
          </w:p>
        </w:tc>
        <w:tc>
          <w:tcPr>
            <w:tcW w:w="340" w:type="dxa"/>
            <w:vAlign w:val="bottom"/>
            <w:tcBorders>
              <w:bottom w:val="single" w:sz="8" w:color="auto"/>
              <w:right w:val="single" w:sz="8" w:color="auto"/>
            </w:tcBorders>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Core income</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120" w:type="dxa"/>
            <w:vAlign w:val="bottom"/>
            <w:tcBorders>
              <w:bottom w:val="single" w:sz="8" w:color="auto"/>
              <w:right w:val="single" w:sz="8" w:color="auto"/>
            </w:tcBorders>
            <w:gridSpan w:val="34"/>
          </w:tcPr>
          <w:p>
            <w:pPr>
              <w:jc w:val="center"/>
              <w:ind w:right="120"/>
              <w:spacing w:after="0" w:line="155" w:lineRule="exact"/>
              <w:rPr>
                <w:sz w:val="20"/>
                <w:szCs w:val="20"/>
                <w:color w:val="auto"/>
              </w:rPr>
            </w:pPr>
            <w:r>
              <w:rPr>
                <w:rFonts w:ascii="Arial" w:cs="Arial" w:eastAsia="Arial" w:hAnsi="Arial"/>
                <w:sz w:val="14"/>
                <w:szCs w:val="14"/>
                <w:color w:val="auto"/>
              </w:rPr>
              <w:t>Net Interest Income+Fee Income+Net Gain on Foreign exchange transactions</w:t>
            </w: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Other core income</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80" w:type="dxa"/>
            <w:vAlign w:val="bottom"/>
            <w:tcBorders>
              <w:bottom w:val="single" w:sz="8" w:color="auto"/>
              <w:right w:val="single" w:sz="8" w:color="auto"/>
            </w:tcBorders>
            <w:gridSpan w:val="30"/>
          </w:tcPr>
          <w:p>
            <w:pPr>
              <w:jc w:val="center"/>
              <w:ind w:right="580"/>
              <w:spacing w:after="0" w:line="155" w:lineRule="exact"/>
              <w:rPr>
                <w:sz w:val="20"/>
                <w:szCs w:val="20"/>
                <w:color w:val="auto"/>
              </w:rPr>
            </w:pPr>
            <w:r>
              <w:rPr>
                <w:rFonts w:ascii="Arial" w:cs="Arial" w:eastAsia="Arial" w:hAnsi="Arial"/>
                <w:sz w:val="14"/>
                <w:szCs w:val="14"/>
                <w:color w:val="auto"/>
              </w:rPr>
              <w:t>Fee Income+Net Gain on Foreign exchange transactions</w:t>
            </w:r>
          </w:p>
        </w:tc>
        <w:tc>
          <w:tcPr>
            <w:tcW w:w="0" w:type="dxa"/>
            <w:vAlign w:val="bottom"/>
          </w:tcPr>
          <w:p>
            <w:pPr>
              <w:spacing w:after="0"/>
              <w:rPr>
                <w:sz w:val="1"/>
                <w:szCs w:val="1"/>
                <w:color w:val="auto"/>
              </w:rPr>
            </w:pPr>
          </w:p>
        </w:tc>
      </w:tr>
      <w:tr>
        <w:trPr>
          <w:trHeight w:val="146"/>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Other non-core income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160" w:type="dxa"/>
            <w:vAlign w:val="bottom"/>
            <w:tcBorders>
              <w:right w:val="single" w:sz="8" w:color="auto"/>
            </w:tcBorders>
            <w:gridSpan w:val="35"/>
          </w:tcPr>
          <w:p>
            <w:pPr>
              <w:jc w:val="center"/>
              <w:ind w:right="80"/>
              <w:spacing w:after="0" w:line="147" w:lineRule="exact"/>
              <w:rPr>
                <w:sz w:val="20"/>
                <w:szCs w:val="20"/>
                <w:color w:val="auto"/>
              </w:rPr>
            </w:pPr>
            <w:r>
              <w:rPr>
                <w:rFonts w:ascii="Arial" w:cs="Arial" w:eastAsia="Arial" w:hAnsi="Arial"/>
                <w:sz w:val="14"/>
                <w:szCs w:val="14"/>
                <w:color w:val="auto"/>
              </w:rPr>
              <w:t>Net Gain Securities+Net Gain from associates+Net Gain of derivatives held for</w:t>
            </w:r>
          </w:p>
        </w:tc>
        <w:tc>
          <w:tcPr>
            <w:tcW w:w="0" w:type="dxa"/>
            <w:vAlign w:val="bottom"/>
          </w:tcPr>
          <w:p>
            <w:pPr>
              <w:spacing w:after="0"/>
              <w:rPr>
                <w:sz w:val="1"/>
                <w:szCs w:val="1"/>
                <w:color w:val="auto"/>
              </w:rPr>
            </w:pPr>
          </w:p>
        </w:tc>
      </w:tr>
      <w:tr>
        <w:trPr>
          <w:trHeight w:val="115"/>
        </w:trPr>
        <w:tc>
          <w:tcPr>
            <w:tcW w:w="54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5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980" w:type="dxa"/>
            <w:vAlign w:val="bottom"/>
            <w:tcBorders>
              <w:right w:val="single" w:sz="8" w:color="auto"/>
            </w:tcBorders>
            <w:gridSpan w:val="33"/>
            <w:vMerge w:val="restart"/>
          </w:tcPr>
          <w:p>
            <w:pPr>
              <w:jc w:val="center"/>
              <w:ind w:right="280"/>
              <w:spacing w:after="0"/>
              <w:rPr>
                <w:sz w:val="20"/>
                <w:szCs w:val="20"/>
                <w:color w:val="auto"/>
              </w:rPr>
            </w:pPr>
            <w:r>
              <w:rPr>
                <w:rFonts w:ascii="Arial" w:cs="Arial" w:eastAsia="Arial" w:hAnsi="Arial"/>
                <w:sz w:val="14"/>
                <w:szCs w:val="14"/>
                <w:color w:val="auto"/>
              </w:rPr>
              <w:t>trading+Net Gain from exchange differences+Other non operative income</w:t>
            </w:r>
          </w:p>
        </w:tc>
        <w:tc>
          <w:tcPr>
            <w:tcW w:w="0" w:type="dxa"/>
            <w:vAlign w:val="bottom"/>
          </w:tcPr>
          <w:p>
            <w:pPr>
              <w:spacing w:after="0"/>
              <w:rPr>
                <w:sz w:val="1"/>
                <w:szCs w:val="1"/>
                <w:color w:val="auto"/>
              </w:rPr>
            </w:pPr>
          </w:p>
        </w:tc>
      </w:tr>
      <w:tr>
        <w:trPr>
          <w:trHeight w:val="56"/>
        </w:trPr>
        <w:tc>
          <w:tcPr>
            <w:tcW w:w="54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980" w:type="dxa"/>
            <w:vAlign w:val="bottom"/>
            <w:tcBorders>
              <w:bottom w:val="single" w:sz="8" w:color="auto"/>
              <w:right w:val="single" w:sz="8" w:color="auto"/>
            </w:tcBorders>
            <w:gridSpan w:val="3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Return on average assets (ROA)</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Borders>
              <w:bottom w:val="single" w:sz="8" w:color="auto"/>
            </w:tcBorders>
            <w:gridSpan w:val="8"/>
          </w:tcPr>
          <w:p>
            <w:pPr>
              <w:spacing w:after="0" w:line="142" w:lineRule="exact"/>
              <w:rPr>
                <w:sz w:val="20"/>
                <w:szCs w:val="20"/>
                <w:color w:val="auto"/>
              </w:rPr>
            </w:pPr>
            <w:r>
              <w:rPr>
                <w:rFonts w:ascii="Arial" w:cs="Arial" w:eastAsia="Arial" w:hAnsi="Arial"/>
                <w:sz w:val="14"/>
                <w:szCs w:val="14"/>
                <w:color w:val="auto"/>
              </w:rPr>
              <w:t>(Annualized Net</w:t>
            </w:r>
          </w:p>
        </w:tc>
        <w:tc>
          <w:tcPr>
            <w:tcW w:w="2180" w:type="dxa"/>
            <w:vAlign w:val="bottom"/>
            <w:tcBorders>
              <w:bottom w:val="single" w:sz="8" w:color="auto"/>
            </w:tcBorders>
            <w:gridSpan w:val="14"/>
          </w:tcPr>
          <w:p>
            <w:pPr>
              <w:ind w:left="80"/>
              <w:spacing w:after="0" w:line="142" w:lineRule="exact"/>
              <w:rPr>
                <w:sz w:val="20"/>
                <w:szCs w:val="20"/>
                <w:color w:val="auto"/>
              </w:rPr>
            </w:pPr>
            <w:r>
              <w:rPr>
                <w:rFonts w:ascii="Arial" w:cs="Arial" w:eastAsia="Arial" w:hAnsi="Arial"/>
                <w:sz w:val="14"/>
                <w:szCs w:val="14"/>
                <w:color w:val="auto"/>
              </w:rPr>
              <w:t>Income attributable to Credicorp)</w:t>
            </w:r>
          </w:p>
        </w:tc>
        <w:tc>
          <w:tcPr>
            <w:tcW w:w="1020" w:type="dxa"/>
            <w:vAlign w:val="bottom"/>
            <w:tcBorders>
              <w:right w:val="single" w:sz="8" w:color="auto"/>
            </w:tcBorders>
            <w:gridSpan w:val="7"/>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254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0" w:type="dxa"/>
            <w:vAlign w:val="bottom"/>
            <w:tcBorders>
              <w:right w:val="single" w:sz="8" w:color="auto"/>
            </w:tcBorders>
            <w:gridSpan w:val="21"/>
            <w:vMerge w:val="restart"/>
          </w:tcPr>
          <w:p>
            <w:pPr>
              <w:jc w:val="center"/>
              <w:ind w:right="2060"/>
              <w:spacing w:after="0" w:line="155" w:lineRule="exact"/>
              <w:rPr>
                <w:sz w:val="20"/>
                <w:szCs w:val="20"/>
                <w:color w:val="auto"/>
              </w:rPr>
            </w:pPr>
            <w:r>
              <w:rPr>
                <w:rFonts w:ascii="Arial" w:cs="Arial" w:eastAsia="Arial" w:hAnsi="Arial"/>
                <w:sz w:val="14"/>
                <w:szCs w:val="14"/>
                <w:color w:val="auto"/>
              </w:rPr>
              <w:t>(Average Assets)</w:t>
            </w:r>
          </w:p>
        </w:tc>
        <w:tc>
          <w:tcPr>
            <w:tcW w:w="0" w:type="dxa"/>
            <w:vAlign w:val="bottom"/>
          </w:tcPr>
          <w:p>
            <w:pPr>
              <w:spacing w:after="0"/>
              <w:rPr>
                <w:sz w:val="1"/>
                <w:szCs w:val="1"/>
                <w:color w:val="auto"/>
              </w:rPr>
            </w:pPr>
          </w:p>
        </w:tc>
      </w:tr>
      <w:tr>
        <w:trPr>
          <w:trHeight w:val="56"/>
        </w:trPr>
        <w:tc>
          <w:tcPr>
            <w:tcW w:w="54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0" w:type="dxa"/>
            <w:vAlign w:val="bottom"/>
            <w:tcBorders>
              <w:bottom w:val="single" w:sz="8" w:color="auto"/>
              <w:right w:val="single" w:sz="8" w:color="auto"/>
            </w:tcBorders>
            <w:gridSpan w:val="2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Return on average equity (ROE)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Borders>
              <w:bottom w:val="single" w:sz="8" w:color="auto"/>
            </w:tcBorders>
            <w:gridSpan w:val="8"/>
          </w:tcPr>
          <w:p>
            <w:pPr>
              <w:spacing w:after="0" w:line="142" w:lineRule="exact"/>
              <w:rPr>
                <w:sz w:val="20"/>
                <w:szCs w:val="20"/>
                <w:color w:val="auto"/>
              </w:rPr>
            </w:pPr>
            <w:r>
              <w:rPr>
                <w:rFonts w:ascii="Arial" w:cs="Arial" w:eastAsia="Arial" w:hAnsi="Arial"/>
                <w:sz w:val="14"/>
                <w:szCs w:val="14"/>
                <w:color w:val="auto"/>
              </w:rPr>
              <w:t>(Annualized Net</w:t>
            </w:r>
          </w:p>
        </w:tc>
        <w:tc>
          <w:tcPr>
            <w:tcW w:w="2180" w:type="dxa"/>
            <w:vAlign w:val="bottom"/>
            <w:tcBorders>
              <w:bottom w:val="single" w:sz="8" w:color="auto"/>
            </w:tcBorders>
            <w:gridSpan w:val="14"/>
          </w:tcPr>
          <w:p>
            <w:pPr>
              <w:ind w:left="80"/>
              <w:spacing w:after="0" w:line="142" w:lineRule="exact"/>
              <w:rPr>
                <w:sz w:val="20"/>
                <w:szCs w:val="20"/>
                <w:color w:val="auto"/>
              </w:rPr>
            </w:pPr>
            <w:r>
              <w:rPr>
                <w:rFonts w:ascii="Arial" w:cs="Arial" w:eastAsia="Arial" w:hAnsi="Arial"/>
                <w:sz w:val="14"/>
                <w:szCs w:val="14"/>
                <w:color w:val="auto"/>
              </w:rPr>
              <w:t>Income attributable to Credicorp)</w:t>
            </w:r>
          </w:p>
        </w:tc>
        <w:tc>
          <w:tcPr>
            <w:tcW w:w="1020" w:type="dxa"/>
            <w:vAlign w:val="bottom"/>
            <w:tcBorders>
              <w:right w:val="single" w:sz="8" w:color="auto"/>
            </w:tcBorders>
            <w:gridSpan w:val="7"/>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254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360" w:type="dxa"/>
            <w:vAlign w:val="bottom"/>
            <w:tcBorders>
              <w:right w:val="single" w:sz="8" w:color="auto"/>
            </w:tcBorders>
            <w:gridSpan w:val="23"/>
            <w:vMerge w:val="restart"/>
          </w:tcPr>
          <w:p>
            <w:pPr>
              <w:jc w:val="center"/>
              <w:ind w:right="1900"/>
              <w:spacing w:after="0" w:line="155" w:lineRule="exact"/>
              <w:rPr>
                <w:sz w:val="20"/>
                <w:szCs w:val="20"/>
                <w:color w:val="auto"/>
              </w:rPr>
            </w:pPr>
            <w:r>
              <w:rPr>
                <w:rFonts w:ascii="Arial" w:cs="Arial" w:eastAsia="Arial" w:hAnsi="Arial"/>
                <w:sz w:val="14"/>
                <w:szCs w:val="14"/>
                <w:color w:val="auto"/>
              </w:rPr>
              <w:t>(Average Net Equity)</w:t>
            </w:r>
          </w:p>
        </w:tc>
        <w:tc>
          <w:tcPr>
            <w:tcW w:w="0" w:type="dxa"/>
            <w:vAlign w:val="bottom"/>
          </w:tcPr>
          <w:p>
            <w:pPr>
              <w:spacing w:after="0"/>
              <w:rPr>
                <w:sz w:val="1"/>
                <w:szCs w:val="1"/>
                <w:color w:val="auto"/>
              </w:rPr>
            </w:pPr>
          </w:p>
        </w:tc>
      </w:tr>
      <w:tr>
        <w:trPr>
          <w:trHeight w:val="56"/>
        </w:trPr>
        <w:tc>
          <w:tcPr>
            <w:tcW w:w="54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gridSpan w:val="2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Portfolio</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Internal overdue ratio</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Borders>
              <w:bottom w:val="single" w:sz="8" w:color="auto"/>
            </w:tcBorders>
            <w:gridSpan w:val="10"/>
          </w:tcPr>
          <w:p>
            <w:pPr>
              <w:jc w:val="center"/>
              <w:spacing w:after="0" w:line="142" w:lineRule="exact"/>
              <w:rPr>
                <w:sz w:val="20"/>
                <w:szCs w:val="20"/>
                <w:color w:val="auto"/>
              </w:rPr>
            </w:pPr>
            <w:r>
              <w:rPr>
                <w:rFonts w:ascii="Arial" w:cs="Arial" w:eastAsia="Arial" w:hAnsi="Arial"/>
                <w:sz w:val="14"/>
                <w:szCs w:val="14"/>
                <w:color w:val="auto"/>
              </w:rPr>
              <w:t>(Internal overdue loans)</w:t>
            </w:r>
          </w:p>
        </w:tc>
        <w:tc>
          <w:tcPr>
            <w:tcW w:w="1860" w:type="dxa"/>
            <w:vAlign w:val="bottom"/>
            <w:tcBorders>
              <w:right w:val="single" w:sz="8" w:color="auto"/>
            </w:tcBorders>
            <w:gridSpan w:val="14"/>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4"/>
                <w:szCs w:val="14"/>
                <w:b w:val="1"/>
                <w:bCs w:val="1"/>
                <w:color w:val="auto"/>
              </w:rPr>
              <w:t>quality</w:t>
            </w:r>
          </w:p>
        </w:tc>
        <w:tc>
          <w:tcPr>
            <w:tcW w:w="254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0" w:type="dxa"/>
            <w:vAlign w:val="bottom"/>
            <w:tcBorders>
              <w:right w:val="single" w:sz="8" w:color="auto"/>
            </w:tcBorders>
            <w:gridSpan w:val="21"/>
            <w:vMerge w:val="restart"/>
          </w:tcPr>
          <w:p>
            <w:pPr>
              <w:jc w:val="center"/>
              <w:ind w:right="2060"/>
              <w:spacing w:after="0" w:line="155" w:lineRule="exact"/>
              <w:rPr>
                <w:sz w:val="20"/>
                <w:szCs w:val="20"/>
                <w:color w:val="auto"/>
              </w:rPr>
            </w:pPr>
            <w:r>
              <w:rPr>
                <w:rFonts w:ascii="Arial" w:cs="Arial" w:eastAsia="Arial" w:hAnsi="Arial"/>
                <w:sz w:val="14"/>
                <w:szCs w:val="14"/>
                <w:color w:val="auto"/>
                <w:w w:val="99"/>
              </w:rPr>
              <w:t>(Total Loans)</w:t>
            </w:r>
          </w:p>
        </w:tc>
        <w:tc>
          <w:tcPr>
            <w:tcW w:w="0" w:type="dxa"/>
            <w:vAlign w:val="bottom"/>
          </w:tcPr>
          <w:p>
            <w:pPr>
              <w:spacing w:after="0"/>
              <w:rPr>
                <w:sz w:val="1"/>
                <w:szCs w:val="1"/>
                <w:color w:val="auto"/>
              </w:rPr>
            </w:pPr>
          </w:p>
        </w:tc>
      </w:tr>
      <w:tr>
        <w:trPr>
          <w:trHeight w:val="56"/>
        </w:trPr>
        <w:tc>
          <w:tcPr>
            <w:tcW w:w="54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0" w:type="dxa"/>
            <w:vAlign w:val="bottom"/>
            <w:tcBorders>
              <w:bottom w:val="single" w:sz="8" w:color="auto"/>
              <w:right w:val="single" w:sz="8" w:color="auto"/>
            </w:tcBorders>
            <w:gridSpan w:val="2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Non – performing loans ratio (NPL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80" w:type="dxa"/>
            <w:vAlign w:val="bottom"/>
            <w:tcBorders>
              <w:right w:val="single" w:sz="8" w:color="auto"/>
            </w:tcBorders>
            <w:gridSpan w:val="28"/>
          </w:tcPr>
          <w:p>
            <w:pPr>
              <w:jc w:val="center"/>
              <w:ind w:right="1280"/>
              <w:spacing w:after="0" w:line="142" w:lineRule="exact"/>
              <w:rPr>
                <w:sz w:val="20"/>
                <w:szCs w:val="20"/>
                <w:color w:val="auto"/>
              </w:rPr>
            </w:pPr>
            <w:r>
              <w:rPr>
                <w:rFonts w:ascii="Arial" w:cs="Arial" w:eastAsia="Arial" w:hAnsi="Arial"/>
                <w:sz w:val="14"/>
                <w:szCs w:val="14"/>
                <w:color w:val="auto"/>
              </w:rPr>
              <w:t>(Internal overdue loans+Refinanced loans)</w:t>
            </w: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ratio)</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920" w:type="dxa"/>
            <w:vAlign w:val="bottom"/>
            <w:tcBorders>
              <w:top w:val="single" w:sz="8" w:color="auto"/>
              <w:bottom w:val="single" w:sz="8" w:color="auto"/>
            </w:tcBorders>
            <w:gridSpan w:val="13"/>
          </w:tcPr>
          <w:p>
            <w:pPr>
              <w:jc w:val="center"/>
              <w:ind w:right="708"/>
              <w:spacing w:after="0" w:line="155" w:lineRule="exact"/>
              <w:rPr>
                <w:sz w:val="20"/>
                <w:szCs w:val="20"/>
                <w:color w:val="auto"/>
              </w:rPr>
            </w:pPr>
            <w:r>
              <w:rPr>
                <w:rFonts w:ascii="Arial" w:cs="Arial" w:eastAsia="Arial" w:hAnsi="Arial"/>
                <w:sz w:val="14"/>
                <w:szCs w:val="14"/>
                <w:color w:val="auto"/>
                <w:w w:val="99"/>
              </w:rPr>
              <w:t>(Total Loans)</w:t>
            </w:r>
          </w:p>
        </w:tc>
        <w:tc>
          <w:tcPr>
            <w:tcW w:w="700" w:type="dxa"/>
            <w:vAlign w:val="bottom"/>
            <w:tcBorders>
              <w:bottom w:val="single" w:sz="8" w:color="auto"/>
            </w:tcBorders>
            <w:gridSpan w:val="2"/>
          </w:tcPr>
          <w:p>
            <w:pPr>
              <w:spacing w:after="0"/>
              <w:rPr>
                <w:sz w:val="13"/>
                <w:szCs w:val="13"/>
                <w:color w:val="auto"/>
              </w:rPr>
            </w:pPr>
          </w:p>
        </w:tc>
        <w:tc>
          <w:tcPr>
            <w:tcW w:w="340" w:type="dxa"/>
            <w:vAlign w:val="bottom"/>
            <w:tcBorders>
              <w:bottom w:val="single" w:sz="8" w:color="auto"/>
            </w:tcBorders>
            <w:gridSpan w:val="3"/>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Coverage ratio of internal overdue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0" w:type="dxa"/>
            <w:vAlign w:val="bottom"/>
            <w:tcBorders>
              <w:right w:val="single" w:sz="8" w:color="auto"/>
            </w:tcBorders>
            <w:gridSpan w:val="26"/>
          </w:tcPr>
          <w:p>
            <w:pPr>
              <w:jc w:val="center"/>
              <w:ind w:right="1460"/>
              <w:spacing w:after="0" w:line="142" w:lineRule="exact"/>
              <w:rPr>
                <w:sz w:val="20"/>
                <w:szCs w:val="20"/>
                <w:color w:val="auto"/>
              </w:rPr>
            </w:pPr>
            <w:r>
              <w:rPr>
                <w:rFonts w:ascii="Arial" w:cs="Arial" w:eastAsia="Arial" w:hAnsi="Arial"/>
                <w:sz w:val="14"/>
                <w:szCs w:val="14"/>
                <w:color w:val="auto"/>
              </w:rPr>
              <w:t>(Allowance for loans losses)</w:t>
            </w: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loans</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11"/>
          </w:tcPr>
          <w:p>
            <w:pPr>
              <w:jc w:val="center"/>
              <w:ind w:right="120"/>
              <w:spacing w:after="0" w:line="155" w:lineRule="exact"/>
              <w:rPr>
                <w:sz w:val="20"/>
                <w:szCs w:val="20"/>
                <w:color w:val="auto"/>
              </w:rPr>
            </w:pPr>
            <w:r>
              <w:rPr>
                <w:rFonts w:ascii="Arial" w:cs="Arial" w:eastAsia="Arial" w:hAnsi="Arial"/>
                <w:sz w:val="14"/>
                <w:szCs w:val="14"/>
                <w:color w:val="auto"/>
              </w:rPr>
              <w:t>(Internal overdue loans)</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spacing w:after="0"/>
              <w:rPr>
                <w:sz w:val="13"/>
                <w:szCs w:val="13"/>
                <w:color w:val="auto"/>
              </w:rPr>
            </w:pPr>
          </w:p>
        </w:tc>
        <w:tc>
          <w:tcPr>
            <w:tcW w:w="340" w:type="dxa"/>
            <w:vAlign w:val="bottom"/>
            <w:tcBorders>
              <w:bottom w:val="single" w:sz="8" w:color="auto"/>
            </w:tcBorders>
            <w:gridSpan w:val="3"/>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Coverage ratio of non – performing</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0" w:type="dxa"/>
            <w:vAlign w:val="bottom"/>
            <w:tcBorders>
              <w:right w:val="single" w:sz="8" w:color="auto"/>
            </w:tcBorders>
            <w:gridSpan w:val="26"/>
          </w:tcPr>
          <w:p>
            <w:pPr>
              <w:jc w:val="center"/>
              <w:ind w:right="1460"/>
              <w:spacing w:after="0" w:line="142" w:lineRule="exact"/>
              <w:rPr>
                <w:sz w:val="20"/>
                <w:szCs w:val="20"/>
                <w:color w:val="auto"/>
              </w:rPr>
            </w:pPr>
            <w:r>
              <w:rPr>
                <w:rFonts w:ascii="Arial" w:cs="Arial" w:eastAsia="Arial" w:hAnsi="Arial"/>
                <w:sz w:val="14"/>
                <w:szCs w:val="14"/>
                <w:color w:val="auto"/>
              </w:rPr>
              <w:t>(Allowance for loans losses)</w:t>
            </w: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loans</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gridSpan w:val="10"/>
          </w:tcPr>
          <w:p>
            <w:pPr>
              <w:jc w:val="center"/>
              <w:ind w:right="140"/>
              <w:spacing w:after="0" w:line="155" w:lineRule="exact"/>
              <w:rPr>
                <w:sz w:val="20"/>
                <w:szCs w:val="20"/>
                <w:color w:val="auto"/>
              </w:rPr>
            </w:pPr>
            <w:r>
              <w:rPr>
                <w:rFonts w:ascii="Arial" w:cs="Arial" w:eastAsia="Arial" w:hAnsi="Arial"/>
                <w:sz w:val="14"/>
                <w:szCs w:val="14"/>
                <w:color w:val="auto"/>
              </w:rPr>
              <w:t>(Non-performing loans)</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spacing w:after="0"/>
              <w:rPr>
                <w:sz w:val="13"/>
                <w:szCs w:val="13"/>
                <w:color w:val="auto"/>
              </w:rPr>
            </w:pPr>
          </w:p>
        </w:tc>
        <w:tc>
          <w:tcPr>
            <w:tcW w:w="340" w:type="dxa"/>
            <w:vAlign w:val="bottom"/>
            <w:tcBorders>
              <w:bottom w:val="single" w:sz="8" w:color="auto"/>
            </w:tcBorders>
            <w:gridSpan w:val="3"/>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Cost of risk</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120" w:type="dxa"/>
            <w:vAlign w:val="bottom"/>
            <w:tcBorders>
              <w:right w:val="single" w:sz="8" w:color="auto"/>
            </w:tcBorders>
            <w:gridSpan w:val="34"/>
          </w:tcPr>
          <w:p>
            <w:pPr>
              <w:jc w:val="center"/>
              <w:ind w:right="140"/>
              <w:spacing w:after="0" w:line="142" w:lineRule="exact"/>
              <w:rPr>
                <w:sz w:val="20"/>
                <w:szCs w:val="20"/>
                <w:color w:val="auto"/>
              </w:rPr>
            </w:pPr>
            <w:r>
              <w:rPr>
                <w:rFonts w:ascii="Arial" w:cs="Arial" w:eastAsia="Arial" w:hAnsi="Arial"/>
                <w:sz w:val="14"/>
                <w:szCs w:val="14"/>
                <w:u w:val="single" w:color="auto"/>
                <w:color w:val="auto"/>
              </w:rPr>
              <w:t>(Annualized</w:t>
            </w:r>
            <w:r>
              <w:rPr>
                <w:rFonts w:ascii="Arial" w:cs="Arial" w:eastAsia="Arial" w:hAnsi="Arial"/>
                <w:sz w:val="14"/>
                <w:szCs w:val="14"/>
                <w:color w:val="auto"/>
              </w:rPr>
              <w:t xml:space="preserve"> provision for credit losses on loans portfolio, net of recoveries )</w:t>
            </w:r>
          </w:p>
        </w:tc>
        <w:tc>
          <w:tcPr>
            <w:tcW w:w="0" w:type="dxa"/>
            <w:vAlign w:val="bottom"/>
          </w:tcPr>
          <w:p>
            <w:pPr>
              <w:spacing w:after="0"/>
              <w:rPr>
                <w:sz w:val="1"/>
                <w:szCs w:val="1"/>
                <w:color w:val="auto"/>
              </w:rPr>
            </w:pPr>
          </w:p>
        </w:tc>
      </w:tr>
      <w:tr>
        <w:trPr>
          <w:trHeight w:val="100"/>
        </w:trPr>
        <w:tc>
          <w:tcPr>
            <w:tcW w:w="54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254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120" w:type="dxa"/>
            <w:vAlign w:val="bottom"/>
            <w:tcBorders>
              <w:top w:val="single" w:sz="8" w:color="auto"/>
            </w:tcBorders>
            <w:gridSpan w:val="20"/>
            <w:vMerge w:val="restart"/>
          </w:tcPr>
          <w:p>
            <w:pPr>
              <w:jc w:val="center"/>
              <w:ind w:right="1660"/>
              <w:spacing w:after="0" w:line="155" w:lineRule="exact"/>
              <w:rPr>
                <w:sz w:val="20"/>
                <w:szCs w:val="20"/>
                <w:color w:val="auto"/>
              </w:rPr>
            </w:pPr>
            <w:r>
              <w:rPr>
                <w:rFonts w:ascii="Arial" w:cs="Arial" w:eastAsia="Arial" w:hAnsi="Arial"/>
                <w:sz w:val="14"/>
                <w:szCs w:val="14"/>
                <w:color w:val="auto"/>
              </w:rPr>
              <w:t>(Average Total Loans)</w:t>
            </w:r>
          </w:p>
        </w:tc>
        <w:tc>
          <w:tcPr>
            <w:tcW w:w="240" w:type="dxa"/>
            <w:vAlign w:val="bottom"/>
            <w:tcBorders>
              <w:right w:val="single" w:sz="8" w:color="auto"/>
            </w:tcBorders>
            <w:gridSpan w:val="3"/>
            <w:vMerge w:val="restart"/>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54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gridSpan w:val="20"/>
            <w:vMerge w:val="continue"/>
          </w:tcPr>
          <w:p>
            <w:pPr>
              <w:spacing w:after="0"/>
              <w:rPr>
                <w:sz w:val="4"/>
                <w:szCs w:val="4"/>
                <w:color w:val="auto"/>
              </w:rPr>
            </w:pPr>
          </w:p>
        </w:tc>
        <w:tc>
          <w:tcPr>
            <w:tcW w:w="240" w:type="dxa"/>
            <w:vAlign w:val="bottom"/>
            <w:tcBorders>
              <w:bottom w:val="single" w:sz="8" w:color="auto"/>
              <w:right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Operating</w:t>
            </w:r>
          </w:p>
        </w:tc>
        <w:tc>
          <w:tcPr>
            <w:tcW w:w="25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Operating expenses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20" w:type="dxa"/>
            <w:vAlign w:val="bottom"/>
            <w:tcBorders>
              <w:right w:val="single" w:sz="8" w:color="auto"/>
            </w:tcBorders>
            <w:gridSpan w:val="34"/>
          </w:tcPr>
          <w:p>
            <w:pPr>
              <w:jc w:val="center"/>
              <w:ind w:right="140"/>
              <w:spacing w:after="0"/>
              <w:rPr>
                <w:sz w:val="20"/>
                <w:szCs w:val="20"/>
                <w:color w:val="auto"/>
              </w:rPr>
            </w:pPr>
            <w:r>
              <w:rPr>
                <w:rFonts w:ascii="Arial" w:cs="Arial" w:eastAsia="Arial" w:hAnsi="Arial"/>
                <w:sz w:val="14"/>
                <w:szCs w:val="14"/>
                <w:color w:val="auto"/>
              </w:rPr>
              <w:t>Salaries and employees benefits+Administrtive expenses+Depreciation and</w:t>
            </w:r>
          </w:p>
        </w:tc>
        <w:tc>
          <w:tcPr>
            <w:tcW w:w="0" w:type="dxa"/>
            <w:vAlign w:val="bottom"/>
          </w:tcPr>
          <w:p>
            <w:pPr>
              <w:spacing w:after="0"/>
              <w:rPr>
                <w:sz w:val="1"/>
                <w:szCs w:val="1"/>
                <w:color w:val="auto"/>
              </w:rPr>
            </w:pPr>
          </w:p>
        </w:tc>
      </w:tr>
      <w:tr>
        <w:trPr>
          <w:trHeight w:val="157"/>
        </w:trPr>
        <w:tc>
          <w:tcPr>
            <w:tcW w:w="54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rPr>
              <w:t>performance</w:t>
            </w:r>
          </w:p>
        </w:tc>
        <w:tc>
          <w:tcPr>
            <w:tcW w:w="2540" w:type="dxa"/>
            <w:vAlign w:val="bottom"/>
            <w:tcBorders>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80" w:type="dxa"/>
            <w:vAlign w:val="bottom"/>
            <w:tcBorders>
              <w:bottom w:val="single" w:sz="8" w:color="auto"/>
              <w:right w:val="single" w:sz="8" w:color="auto"/>
            </w:tcBorders>
            <w:gridSpan w:val="30"/>
          </w:tcPr>
          <w:p>
            <w:pPr>
              <w:jc w:val="center"/>
              <w:ind w:right="580"/>
              <w:spacing w:after="0" w:line="157" w:lineRule="exact"/>
              <w:rPr>
                <w:sz w:val="20"/>
                <w:szCs w:val="20"/>
                <w:color w:val="auto"/>
              </w:rPr>
            </w:pPr>
            <w:r>
              <w:rPr>
                <w:rFonts w:ascii="Arial" w:cs="Arial" w:eastAsia="Arial" w:hAnsi="Arial"/>
                <w:sz w:val="14"/>
                <w:szCs w:val="14"/>
                <w:color w:val="auto"/>
              </w:rPr>
              <w:t>amortization+Association in participation +Acquisition cost</w:t>
            </w:r>
          </w:p>
        </w:tc>
        <w:tc>
          <w:tcPr>
            <w:tcW w:w="0" w:type="dxa"/>
            <w:vAlign w:val="bottom"/>
          </w:tcPr>
          <w:p>
            <w:pPr>
              <w:spacing w:after="0"/>
              <w:rPr>
                <w:sz w:val="1"/>
                <w:szCs w:val="1"/>
                <w:color w:val="auto"/>
              </w:rPr>
            </w:pPr>
          </w:p>
        </w:tc>
      </w:tr>
      <w:tr>
        <w:trPr>
          <w:trHeight w:val="146"/>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120" w:type="dxa"/>
            <w:vAlign w:val="bottom"/>
            <w:tcBorders>
              <w:right w:val="single" w:sz="8" w:color="auto"/>
            </w:tcBorders>
            <w:gridSpan w:val="34"/>
          </w:tcPr>
          <w:p>
            <w:pPr>
              <w:jc w:val="center"/>
              <w:ind w:right="140"/>
              <w:spacing w:after="0" w:line="147" w:lineRule="exact"/>
              <w:rPr>
                <w:sz w:val="20"/>
                <w:szCs w:val="20"/>
                <w:color w:val="auto"/>
              </w:rPr>
            </w:pPr>
            <w:r>
              <w:rPr>
                <w:rFonts w:ascii="Arial" w:cs="Arial" w:eastAsia="Arial" w:hAnsi="Arial"/>
                <w:sz w:val="14"/>
                <w:szCs w:val="14"/>
                <w:color w:val="auto"/>
              </w:rPr>
              <w:t>Net interest, similar income, and expenses+Fee income+Net gain on foreign</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Operating Income</w:t>
            </w:r>
          </w:p>
        </w:tc>
        <w:tc>
          <w:tcPr>
            <w:tcW w:w="5220" w:type="dxa"/>
            <w:vAlign w:val="bottom"/>
            <w:tcBorders>
              <w:right w:val="single" w:sz="8" w:color="auto"/>
            </w:tcBorders>
            <w:gridSpan w:val="37"/>
          </w:tcPr>
          <w:p>
            <w:pPr>
              <w:jc w:val="center"/>
              <w:ind w:right="40"/>
              <w:spacing w:after="0"/>
              <w:rPr>
                <w:sz w:val="20"/>
                <w:szCs w:val="20"/>
                <w:color w:val="auto"/>
              </w:rPr>
            </w:pPr>
            <w:r>
              <w:rPr>
                <w:rFonts w:ascii="Arial" w:cs="Arial" w:eastAsia="Arial" w:hAnsi="Arial"/>
                <w:sz w:val="14"/>
                <w:szCs w:val="14"/>
                <w:color w:val="auto"/>
              </w:rPr>
              <w:t>exchange transactions+Net gain from associates+Net gain on derivatives held for</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160" w:type="dxa"/>
            <w:vAlign w:val="bottom"/>
            <w:tcBorders>
              <w:bottom w:val="single" w:sz="8" w:color="auto"/>
              <w:right w:val="single" w:sz="8" w:color="auto"/>
            </w:tcBorders>
            <w:gridSpan w:val="35"/>
          </w:tcPr>
          <w:p>
            <w:pPr>
              <w:jc w:val="center"/>
              <w:ind w:right="100"/>
              <w:spacing w:after="0"/>
              <w:rPr>
                <w:sz w:val="20"/>
                <w:szCs w:val="20"/>
                <w:color w:val="auto"/>
              </w:rPr>
            </w:pPr>
            <w:r>
              <w:rPr>
                <w:rFonts w:ascii="Arial" w:cs="Arial" w:eastAsia="Arial" w:hAnsi="Arial"/>
                <w:sz w:val="14"/>
                <w:szCs w:val="14"/>
                <w:color w:val="auto"/>
              </w:rPr>
              <w:t>trading+Net gain from echange differences+Net Insurance Underwriting Results</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120" w:type="dxa"/>
            <w:vAlign w:val="bottom"/>
            <w:tcBorders>
              <w:right w:val="single" w:sz="8" w:color="auto"/>
            </w:tcBorders>
            <w:gridSpan w:val="34"/>
          </w:tcPr>
          <w:p>
            <w:pPr>
              <w:jc w:val="center"/>
              <w:ind w:right="140"/>
              <w:spacing w:after="0" w:line="142" w:lineRule="exact"/>
              <w:rPr>
                <w:sz w:val="20"/>
                <w:szCs w:val="20"/>
                <w:color w:val="auto"/>
              </w:rPr>
            </w:pPr>
            <w:r>
              <w:rPr>
                <w:rFonts w:ascii="Arial" w:cs="Arial" w:eastAsia="Arial" w:hAnsi="Arial"/>
                <w:sz w:val="14"/>
                <w:szCs w:val="14"/>
                <w:color w:val="auto"/>
              </w:rPr>
              <w:t>Salaries and employee benefits + Administrative expenses + Depreciation and</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20" w:type="dxa"/>
            <w:vAlign w:val="bottom"/>
            <w:tcBorders>
              <w:top w:val="single" w:sz="8" w:color="auto"/>
            </w:tcBorders>
            <w:gridSpan w:val="25"/>
          </w:tcPr>
          <w:p>
            <w:pPr>
              <w:jc w:val="center"/>
              <w:ind w:right="1160"/>
              <w:spacing w:after="0" w:line="142" w:lineRule="exact"/>
              <w:rPr>
                <w:sz w:val="20"/>
                <w:szCs w:val="20"/>
                <w:color w:val="auto"/>
              </w:rPr>
            </w:pPr>
            <w:r>
              <w:rPr>
                <w:rFonts w:ascii="Arial" w:cs="Arial" w:eastAsia="Arial" w:hAnsi="Arial"/>
                <w:sz w:val="14"/>
                <w:szCs w:val="14"/>
                <w:color w:val="auto"/>
              </w:rPr>
              <w:t>amortization + Association in participation</w:t>
            </w:r>
          </w:p>
        </w:tc>
        <w:tc>
          <w:tcPr>
            <w:tcW w:w="14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tcPr>
          <w:p>
            <w:pPr>
              <w:spacing w:after="0" w:line="147" w:lineRule="exact"/>
              <w:rPr>
                <w:sz w:val="20"/>
                <w:szCs w:val="20"/>
                <w:color w:val="auto"/>
              </w:rPr>
            </w:pPr>
            <w:r>
              <w:rPr>
                <w:rFonts w:ascii="Arial" w:cs="Arial" w:eastAsia="Arial" w:hAnsi="Arial"/>
                <w:sz w:val="14"/>
                <w:szCs w:val="14"/>
                <w:b w:val="1"/>
                <w:bCs w:val="1"/>
                <w:color w:val="auto"/>
              </w:rPr>
              <w:t>Efficiency ratio</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7"/>
          </w:tcPr>
          <w:p>
            <w:pPr>
              <w:spacing w:after="0" w:line="147" w:lineRule="exact"/>
              <w:rPr>
                <w:sz w:val="20"/>
                <w:szCs w:val="20"/>
                <w:color w:val="auto"/>
              </w:rPr>
            </w:pPr>
            <w:r>
              <w:rPr>
                <w:rFonts w:ascii="Arial" w:cs="Arial" w:eastAsia="Arial" w:hAnsi="Arial"/>
                <w:sz w:val="14"/>
                <w:szCs w:val="14"/>
                <w:color w:val="auto"/>
                <w:w w:val="95"/>
              </w:rPr>
              <w:t>Net interest, similar</w:t>
            </w:r>
          </w:p>
        </w:tc>
        <w:tc>
          <w:tcPr>
            <w:tcW w:w="2660" w:type="dxa"/>
            <w:vAlign w:val="bottom"/>
            <w:tcBorders>
              <w:top w:val="single" w:sz="8" w:color="auto"/>
            </w:tcBorders>
            <w:gridSpan w:val="18"/>
          </w:tcPr>
          <w:p>
            <w:pPr>
              <w:jc w:val="center"/>
              <w:spacing w:after="0" w:line="147" w:lineRule="exact"/>
              <w:rPr>
                <w:sz w:val="20"/>
                <w:szCs w:val="20"/>
                <w:color w:val="auto"/>
              </w:rPr>
            </w:pPr>
            <w:r>
              <w:rPr>
                <w:rFonts w:ascii="Arial" w:cs="Arial" w:eastAsia="Arial" w:hAnsi="Arial"/>
                <w:sz w:val="14"/>
                <w:szCs w:val="14"/>
                <w:color w:val="auto"/>
              </w:rPr>
              <w:t>income and expenses + Fee Income +</w:t>
            </w:r>
          </w:p>
        </w:tc>
        <w:tc>
          <w:tcPr>
            <w:tcW w:w="1300" w:type="dxa"/>
            <w:vAlign w:val="bottom"/>
            <w:tcBorders>
              <w:right w:val="single" w:sz="8" w:color="auto"/>
            </w:tcBorders>
            <w:gridSpan w:val="9"/>
          </w:tcPr>
          <w:p>
            <w:pPr>
              <w:spacing w:after="0" w:line="147" w:lineRule="exact"/>
              <w:rPr>
                <w:sz w:val="20"/>
                <w:szCs w:val="20"/>
                <w:color w:val="auto"/>
              </w:rPr>
            </w:pPr>
            <w:r>
              <w:rPr>
                <w:rFonts w:ascii="Arial" w:cs="Arial" w:eastAsia="Arial" w:hAnsi="Arial"/>
                <w:sz w:val="14"/>
                <w:szCs w:val="14"/>
                <w:color w:val="auto"/>
              </w:rPr>
              <w:t>Net gain on foreign</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25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160" w:type="dxa"/>
            <w:vAlign w:val="bottom"/>
            <w:tcBorders>
              <w:right w:val="single" w:sz="8" w:color="auto"/>
            </w:tcBorders>
            <w:gridSpan w:val="35"/>
          </w:tcPr>
          <w:p>
            <w:pPr>
              <w:jc w:val="center"/>
              <w:ind w:right="100"/>
              <w:spacing w:after="0"/>
              <w:rPr>
                <w:sz w:val="20"/>
                <w:szCs w:val="20"/>
                <w:color w:val="auto"/>
              </w:rPr>
            </w:pPr>
            <w:r>
              <w:rPr>
                <w:rFonts w:ascii="Arial" w:cs="Arial" w:eastAsia="Arial" w:hAnsi="Arial"/>
                <w:sz w:val="14"/>
                <w:szCs w:val="14"/>
                <w:color w:val="auto"/>
              </w:rPr>
              <w:t>exchange transactions + Net gain from associates+Net gain on derivatives held</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120" w:type="dxa"/>
            <w:vAlign w:val="bottom"/>
            <w:tcBorders>
              <w:bottom w:val="single" w:sz="8" w:color="auto"/>
              <w:right w:val="single" w:sz="8" w:color="auto"/>
            </w:tcBorders>
            <w:gridSpan w:val="34"/>
          </w:tcPr>
          <w:p>
            <w:pPr>
              <w:jc w:val="center"/>
              <w:ind w:right="140"/>
              <w:spacing w:after="0"/>
              <w:rPr>
                <w:sz w:val="20"/>
                <w:szCs w:val="20"/>
                <w:color w:val="auto"/>
              </w:rPr>
            </w:pPr>
            <w:r>
              <w:rPr>
                <w:rFonts w:ascii="Arial" w:cs="Arial" w:eastAsia="Arial" w:hAnsi="Arial"/>
                <w:sz w:val="14"/>
                <w:szCs w:val="14"/>
                <w:color w:val="auto"/>
              </w:rPr>
              <w:t>for trading + Result on exchange differences+Insurance Underwriting Result</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Capital</w:t>
            </w:r>
          </w:p>
        </w:tc>
        <w:tc>
          <w:tcPr>
            <w:tcW w:w="2540" w:type="dxa"/>
            <w:vAlign w:val="bottom"/>
            <w:tcBorders>
              <w:right w:val="single" w:sz="8" w:color="auto"/>
            </w:tcBorders>
          </w:tcPr>
          <w:p>
            <w:pPr>
              <w:spacing w:after="0"/>
              <w:rPr>
                <w:sz w:val="12"/>
                <w:szCs w:val="12"/>
                <w:color w:val="auto"/>
              </w:rPr>
            </w:pPr>
          </w:p>
        </w:tc>
        <w:tc>
          <w:tcPr>
            <w:tcW w:w="5220" w:type="dxa"/>
            <w:vAlign w:val="bottom"/>
            <w:tcBorders>
              <w:right w:val="single" w:sz="8" w:color="auto"/>
            </w:tcBorders>
            <w:gridSpan w:val="37"/>
          </w:tcPr>
          <w:p>
            <w:pPr>
              <w:jc w:val="center"/>
              <w:ind w:right="40"/>
              <w:spacing w:after="0" w:line="142" w:lineRule="exact"/>
              <w:rPr>
                <w:sz w:val="20"/>
                <w:szCs w:val="20"/>
                <w:color w:val="auto"/>
              </w:rPr>
            </w:pPr>
            <w:r>
              <w:rPr>
                <w:rFonts w:ascii="Arial" w:cs="Arial" w:eastAsia="Arial" w:hAnsi="Arial"/>
                <w:sz w:val="14"/>
                <w:szCs w:val="14"/>
                <w:color w:val="auto"/>
              </w:rPr>
              <w:t xml:space="preserve">Total High Quality Liquid Assets + Min(Total Inflow </w:t>
            </w:r>
            <w:r>
              <w:rPr>
                <w:rFonts w:ascii="Arial" w:cs="Arial" w:eastAsia="Arial" w:hAnsi="Arial"/>
                <w:sz w:val="11"/>
                <w:szCs w:val="11"/>
                <w:color w:val="auto"/>
              </w:rPr>
              <w:t>30 days</w:t>
            </w:r>
            <w:r>
              <w:rPr>
                <w:rFonts w:ascii="Arial" w:cs="Arial" w:eastAsia="Arial" w:hAnsi="Arial"/>
                <w:sz w:val="14"/>
                <w:szCs w:val="14"/>
                <w:color w:val="auto"/>
              </w:rPr>
              <w:t xml:space="preserve">; 75% * Total Outflow </w:t>
            </w: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Adequacy</w:t>
            </w:r>
          </w:p>
        </w:tc>
        <w:tc>
          <w:tcPr>
            <w:tcW w:w="254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Liquidity Coverage ratio</w:t>
            </w: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780" w:type="dxa"/>
            <w:vAlign w:val="bottom"/>
            <w:tcBorders>
              <w:top w:val="single" w:sz="8" w:color="auto"/>
              <w:right w:val="single" w:sz="8" w:color="auto"/>
            </w:tcBorders>
            <w:gridSpan w:val="19"/>
          </w:tcPr>
          <w:p>
            <w:pPr>
              <w:jc w:val="center"/>
              <w:ind w:right="2480"/>
              <w:spacing w:after="0" w:line="142" w:lineRule="exact"/>
              <w:rPr>
                <w:sz w:val="20"/>
                <w:szCs w:val="20"/>
                <w:color w:val="auto"/>
              </w:rPr>
            </w:pPr>
            <w:r>
              <w:rPr>
                <w:rFonts w:ascii="Arial" w:cs="Arial" w:eastAsia="Arial" w:hAnsi="Arial"/>
                <w:sz w:val="12"/>
                <w:szCs w:val="12"/>
                <w:color w:val="auto"/>
                <w:w w:val="99"/>
              </w:rPr>
              <w:t>days</w:t>
            </w: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25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80" w:type="dxa"/>
            <w:vAlign w:val="bottom"/>
            <w:tcBorders>
              <w:right w:val="single" w:sz="8" w:color="auto"/>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5"/>
          </w:tcPr>
          <w:p>
            <w:pPr>
              <w:ind w:left="80"/>
              <w:spacing w:after="0" w:line="155" w:lineRule="exact"/>
              <w:rPr>
                <w:sz w:val="20"/>
                <w:szCs w:val="20"/>
                <w:color w:val="auto"/>
              </w:rPr>
            </w:pPr>
            <w:r>
              <w:rPr>
                <w:rFonts w:ascii="Arial" w:cs="Arial" w:eastAsia="Arial" w:hAnsi="Arial"/>
                <w:sz w:val="14"/>
                <w:szCs w:val="14"/>
                <w:color w:val="auto"/>
                <w:w w:val="92"/>
              </w:rPr>
              <w:t>Total Outflow</w:t>
            </w:r>
          </w:p>
        </w:tc>
        <w:tc>
          <w:tcPr>
            <w:tcW w:w="2480" w:type="dxa"/>
            <w:vAlign w:val="bottom"/>
            <w:tcBorders>
              <w:bottom w:val="single" w:sz="8" w:color="auto"/>
              <w:right w:val="single" w:sz="8" w:color="auto"/>
            </w:tcBorders>
            <w:gridSpan w:val="18"/>
          </w:tcPr>
          <w:p>
            <w:pPr>
              <w:ind w:left="80"/>
              <w:spacing w:after="0"/>
              <w:rPr>
                <w:sz w:val="20"/>
                <w:szCs w:val="20"/>
                <w:color w:val="auto"/>
              </w:rPr>
            </w:pPr>
            <w:r>
              <w:rPr>
                <w:rFonts w:ascii="Arial" w:cs="Arial" w:eastAsia="Arial" w:hAnsi="Arial"/>
                <w:sz w:val="12"/>
                <w:szCs w:val="12"/>
                <w:color w:val="auto"/>
              </w:rPr>
              <w:t>30 days</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Regulatory Capital ratio</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bottom w:val="single" w:sz="8" w:color="auto"/>
            </w:tcBorders>
            <w:gridSpan w:val="6"/>
          </w:tcPr>
          <w:p>
            <w:pPr>
              <w:jc w:val="center"/>
              <w:spacing w:after="0" w:line="142" w:lineRule="exact"/>
              <w:rPr>
                <w:sz w:val="20"/>
                <w:szCs w:val="20"/>
                <w:color w:val="auto"/>
              </w:rPr>
            </w:pPr>
            <w:r>
              <w:rPr>
                <w:rFonts w:ascii="Arial" w:cs="Arial" w:eastAsia="Arial" w:hAnsi="Arial"/>
                <w:sz w:val="14"/>
                <w:szCs w:val="14"/>
                <w:color w:val="auto"/>
              </w:rPr>
              <w:t>(Regulatory Capital)</w:t>
            </w:r>
          </w:p>
        </w:tc>
        <w:tc>
          <w:tcPr>
            <w:tcW w:w="1980" w:type="dxa"/>
            <w:vAlign w:val="bottom"/>
            <w:tcBorders>
              <w:right w:val="single" w:sz="8" w:color="auto"/>
            </w:tcBorders>
            <w:gridSpan w:val="16"/>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54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254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360" w:type="dxa"/>
            <w:vAlign w:val="bottom"/>
            <w:tcBorders>
              <w:right w:val="single" w:sz="8" w:color="auto"/>
            </w:tcBorders>
            <w:gridSpan w:val="23"/>
            <w:vMerge w:val="restart"/>
          </w:tcPr>
          <w:p>
            <w:pPr>
              <w:jc w:val="center"/>
              <w:ind w:right="1880"/>
              <w:spacing w:after="0" w:line="155" w:lineRule="exact"/>
              <w:rPr>
                <w:sz w:val="20"/>
                <w:szCs w:val="20"/>
                <w:color w:val="auto"/>
              </w:rPr>
            </w:pPr>
            <w:r>
              <w:rPr>
                <w:rFonts w:ascii="Arial" w:cs="Arial" w:eastAsia="Arial" w:hAnsi="Arial"/>
                <w:sz w:val="14"/>
                <w:szCs w:val="14"/>
                <w:color w:val="auto"/>
              </w:rPr>
              <w:t>(Risk -weighted assets)</w:t>
            </w:r>
          </w:p>
        </w:tc>
        <w:tc>
          <w:tcPr>
            <w:tcW w:w="0" w:type="dxa"/>
            <w:vAlign w:val="bottom"/>
          </w:tcPr>
          <w:p>
            <w:pPr>
              <w:spacing w:after="0"/>
              <w:rPr>
                <w:sz w:val="1"/>
                <w:szCs w:val="1"/>
                <w:color w:val="auto"/>
              </w:rPr>
            </w:pPr>
          </w:p>
        </w:tc>
      </w:tr>
      <w:tr>
        <w:trPr>
          <w:trHeight w:val="56"/>
        </w:trPr>
        <w:tc>
          <w:tcPr>
            <w:tcW w:w="54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gridSpan w:val="2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54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Tier 1 ratio</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gridSpan w:val="2"/>
            <w:vMerge w:val="restart"/>
          </w:tcPr>
          <w:p>
            <w:pPr>
              <w:spacing w:after="0" w:line="142" w:lineRule="exact"/>
              <w:rPr>
                <w:sz w:val="20"/>
                <w:szCs w:val="20"/>
                <w:color w:val="auto"/>
              </w:rPr>
            </w:pPr>
            <w:r>
              <w:rPr>
                <w:rFonts w:ascii="Arial" w:cs="Arial" w:eastAsia="Arial" w:hAnsi="Arial"/>
                <w:sz w:val="14"/>
                <w:szCs w:val="14"/>
                <w:color w:val="auto"/>
              </w:rPr>
              <w:t>Tier 1</w:t>
            </w:r>
          </w:p>
        </w:tc>
        <w:tc>
          <w:tcPr>
            <w:tcW w:w="1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8"/>
                <w:szCs w:val="8"/>
                <w:color w:val="auto"/>
                <w:w w:val="81"/>
              </w:rPr>
              <w:t>(2)</w:t>
            </w:r>
          </w:p>
        </w:tc>
        <w:tc>
          <w:tcPr>
            <w:tcW w:w="920" w:type="dxa"/>
            <w:vAlign w:val="bottom"/>
            <w:gridSpan w:val="5"/>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740" w:type="dxa"/>
            <w:vAlign w:val="bottom"/>
            <w:gridSpan w:val="4"/>
            <w:vMerge w:val="restart"/>
          </w:tcPr>
          <w:p>
            <w:pPr>
              <w:spacing w:after="0"/>
              <w:rPr>
                <w:sz w:val="8"/>
                <w:szCs w:val="8"/>
                <w:color w:val="auto"/>
              </w:rPr>
            </w:pPr>
          </w:p>
        </w:tc>
        <w:tc>
          <w:tcPr>
            <w:tcW w:w="580" w:type="dxa"/>
            <w:vAlign w:val="bottom"/>
            <w:tcBorders>
              <w:right w:val="single" w:sz="8" w:color="auto"/>
            </w:tcBorders>
            <w:gridSpan w:val="6"/>
            <w:vMerge w:val="restart"/>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54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2540" w:type="dxa"/>
            <w:vAlign w:val="bottom"/>
            <w:tcBorders>
              <w:right w:val="single" w:sz="8" w:color="auto"/>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40" w:type="dxa"/>
            <w:vAlign w:val="bottom"/>
            <w:gridSpan w:val="4"/>
            <w:vMerge w:val="continue"/>
          </w:tcPr>
          <w:p>
            <w:pPr>
              <w:spacing w:after="0" w:line="20" w:lineRule="exact"/>
              <w:rPr>
                <w:sz w:val="1"/>
                <w:szCs w:val="1"/>
                <w:color w:val="auto"/>
              </w:rPr>
            </w:pPr>
          </w:p>
        </w:tc>
        <w:tc>
          <w:tcPr>
            <w:tcW w:w="580" w:type="dxa"/>
            <w:vAlign w:val="bottom"/>
            <w:tcBorders>
              <w:right w:val="single" w:sz="8" w:color="auto"/>
            </w:tcBorders>
            <w:gridSpan w:val="6"/>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54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254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360" w:type="dxa"/>
            <w:vAlign w:val="bottom"/>
            <w:tcBorders>
              <w:right w:val="single" w:sz="8" w:color="auto"/>
            </w:tcBorders>
            <w:gridSpan w:val="23"/>
            <w:vMerge w:val="restart"/>
          </w:tcPr>
          <w:p>
            <w:pPr>
              <w:jc w:val="center"/>
              <w:ind w:right="1880"/>
              <w:spacing w:after="0" w:line="155" w:lineRule="exact"/>
              <w:rPr>
                <w:sz w:val="20"/>
                <w:szCs w:val="20"/>
                <w:color w:val="auto"/>
              </w:rPr>
            </w:pPr>
            <w:r>
              <w:rPr>
                <w:rFonts w:ascii="Arial" w:cs="Arial" w:eastAsia="Arial" w:hAnsi="Arial"/>
                <w:sz w:val="14"/>
                <w:szCs w:val="14"/>
                <w:color w:val="auto"/>
              </w:rPr>
              <w:t>Risk -weighted assets</w:t>
            </w:r>
          </w:p>
        </w:tc>
        <w:tc>
          <w:tcPr>
            <w:tcW w:w="0" w:type="dxa"/>
            <w:vAlign w:val="bottom"/>
          </w:tcPr>
          <w:p>
            <w:pPr>
              <w:spacing w:after="0"/>
              <w:rPr>
                <w:sz w:val="1"/>
                <w:szCs w:val="1"/>
                <w:color w:val="auto"/>
              </w:rPr>
            </w:pPr>
          </w:p>
        </w:tc>
      </w:tr>
      <w:tr>
        <w:trPr>
          <w:trHeight w:val="56"/>
        </w:trPr>
        <w:tc>
          <w:tcPr>
            <w:tcW w:w="54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gridSpan w:val="2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54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25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20" w:type="dxa"/>
            <w:vAlign w:val="bottom"/>
            <w:gridSpan w:val="19"/>
            <w:vMerge w:val="restart"/>
          </w:tcPr>
          <w:p>
            <w:pPr>
              <w:ind w:left="100"/>
              <w:spacing w:after="0"/>
              <w:rPr>
                <w:sz w:val="20"/>
                <w:szCs w:val="20"/>
                <w:color w:val="auto"/>
              </w:rPr>
            </w:pPr>
            <w:r>
              <w:rPr>
                <w:rFonts w:ascii="Arial" w:cs="Arial" w:eastAsia="Arial" w:hAnsi="Arial"/>
                <w:sz w:val="14"/>
                <w:szCs w:val="14"/>
                <w:color w:val="auto"/>
              </w:rPr>
              <w:t>Capital+Reserves -100% of applicable deductions</w:t>
            </w:r>
          </w:p>
        </w:tc>
        <w:tc>
          <w:tcPr>
            <w:tcW w:w="14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10"/>
                <w:szCs w:val="10"/>
                <w:color w:val="auto"/>
                <w:w w:val="97"/>
              </w:rPr>
              <w:t>(4)</w:t>
            </w:r>
          </w:p>
        </w:tc>
        <w:tc>
          <w:tcPr>
            <w:tcW w:w="1320" w:type="dxa"/>
            <w:vAlign w:val="bottom"/>
            <w:tcBorders>
              <w:right w:val="single" w:sz="8" w:color="auto"/>
            </w:tcBorders>
            <w:gridSpan w:val="10"/>
            <w:vMerge w:val="restart"/>
          </w:tcPr>
          <w:p>
            <w:pPr>
              <w:spacing w:after="0"/>
              <w:rPr>
                <w:sz w:val="20"/>
                <w:szCs w:val="20"/>
                <w:color w:val="auto"/>
              </w:rPr>
            </w:pPr>
            <w:r>
              <w:rPr>
                <w:rFonts w:ascii="Arial" w:cs="Arial" w:eastAsia="Arial" w:hAnsi="Arial"/>
                <w:sz w:val="14"/>
                <w:szCs w:val="14"/>
                <w:color w:val="auto"/>
              </w:rPr>
              <w:t>+ Retained</w:t>
            </w:r>
          </w:p>
        </w:tc>
        <w:tc>
          <w:tcPr>
            <w:tcW w:w="0" w:type="dxa"/>
            <w:vAlign w:val="bottom"/>
          </w:tcPr>
          <w:p>
            <w:pPr>
              <w:spacing w:after="0"/>
              <w:rPr>
                <w:sz w:val="1"/>
                <w:szCs w:val="1"/>
                <w:color w:val="auto"/>
              </w:rPr>
            </w:pPr>
          </w:p>
        </w:tc>
      </w:tr>
      <w:tr>
        <w:trPr>
          <w:trHeight w:val="74"/>
        </w:trPr>
        <w:tc>
          <w:tcPr>
            <w:tcW w:w="540" w:type="dxa"/>
            <w:vAlign w:val="bottom"/>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2540" w:type="dxa"/>
            <w:vAlign w:val="bottom"/>
            <w:tcBorders>
              <w:right w:val="single" w:sz="8" w:color="auto"/>
            </w:tcBorders>
            <w:vMerge w:val="restart"/>
          </w:tcPr>
          <w:p>
            <w:pPr>
              <w:spacing w:after="0" w:line="236" w:lineRule="exact"/>
              <w:rPr>
                <w:sz w:val="20"/>
                <w:szCs w:val="20"/>
                <w:color w:val="auto"/>
              </w:rPr>
            </w:pPr>
            <w:r>
              <w:rPr>
                <w:rFonts w:ascii="Arial" w:cs="Arial" w:eastAsia="Arial" w:hAnsi="Arial"/>
                <w:sz w:val="14"/>
                <w:szCs w:val="14"/>
                <w:b w:val="1"/>
                <w:bCs w:val="1"/>
                <w:color w:val="auto"/>
              </w:rPr>
              <w:t xml:space="preserve">Common Equity Tier 1 ratio </w:t>
            </w:r>
            <w:r>
              <w:rPr>
                <w:rFonts w:ascii="Arial" w:cs="Arial" w:eastAsia="Arial" w:hAnsi="Arial"/>
                <w:sz w:val="23"/>
                <w:szCs w:val="23"/>
                <w:b w:val="1"/>
                <w:bCs w:val="1"/>
                <w:color w:val="auto"/>
                <w:vertAlign w:val="superscript"/>
              </w:rPr>
              <w:t>(3)</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320" w:type="dxa"/>
            <w:vAlign w:val="bottom"/>
            <w:gridSpan w:val="19"/>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Borders>
              <w:right w:val="single" w:sz="8" w:color="auto"/>
            </w:tcBorders>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15"/>
          </w:tcPr>
          <w:p>
            <w:pPr>
              <w:jc w:val="center"/>
              <w:ind w:left="88"/>
              <w:spacing w:after="0" w:line="142" w:lineRule="exact"/>
              <w:rPr>
                <w:sz w:val="20"/>
                <w:szCs w:val="20"/>
                <w:color w:val="auto"/>
              </w:rPr>
            </w:pPr>
            <w:r>
              <w:rPr>
                <w:rFonts w:ascii="Arial" w:cs="Arial" w:eastAsia="Arial" w:hAnsi="Arial"/>
                <w:sz w:val="14"/>
                <w:szCs w:val="14"/>
                <w:color w:val="auto"/>
              </w:rPr>
              <w:t>Earnings+Unrealized gains or losses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gridSpan w:val="4"/>
          </w:tcPr>
          <w:p>
            <w:pPr>
              <w:spacing w:after="0"/>
              <w:rPr>
                <w:sz w:val="12"/>
                <w:szCs w:val="12"/>
                <w:color w:val="auto"/>
              </w:rPr>
            </w:pPr>
          </w:p>
        </w:tc>
        <w:tc>
          <w:tcPr>
            <w:tcW w:w="580" w:type="dxa"/>
            <w:vAlign w:val="bottom"/>
            <w:tcBorders>
              <w:right w:val="single" w:sz="8" w:color="auto"/>
            </w:tcBorders>
            <w:gridSpan w:val="6"/>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920" w:type="dxa"/>
            <w:vAlign w:val="bottom"/>
            <w:tcBorders>
              <w:top w:val="single" w:sz="8" w:color="auto"/>
              <w:bottom w:val="single" w:sz="8" w:color="auto"/>
            </w:tcBorders>
            <w:gridSpan w:val="12"/>
          </w:tcPr>
          <w:p>
            <w:pPr>
              <w:jc w:val="center"/>
              <w:ind w:right="392"/>
              <w:spacing w:after="0" w:line="155" w:lineRule="exact"/>
              <w:rPr>
                <w:sz w:val="20"/>
                <w:szCs w:val="20"/>
                <w:color w:val="auto"/>
              </w:rPr>
            </w:pPr>
            <w:r>
              <w:rPr>
                <w:rFonts w:ascii="Arial" w:cs="Arial" w:eastAsia="Arial" w:hAnsi="Arial"/>
                <w:sz w:val="14"/>
                <w:szCs w:val="14"/>
                <w:color w:val="auto"/>
              </w:rPr>
              <w:t>Risk -weighted assets</w:t>
            </w:r>
          </w:p>
        </w:tc>
        <w:tc>
          <w:tcPr>
            <w:tcW w:w="1440" w:type="dxa"/>
            <w:vAlign w:val="bottom"/>
            <w:tcBorders>
              <w:bottom w:val="single" w:sz="8" w:color="auto"/>
              <w:right w:val="single" w:sz="8" w:color="auto"/>
            </w:tcBorders>
            <w:gridSpan w:val="11"/>
          </w:tcPr>
          <w:p>
            <w:pPr>
              <w:spacing w:after="0"/>
              <w:rPr>
                <w:sz w:val="13"/>
                <w:szCs w:val="1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220" w:hanging="212"/>
        <w:spacing w:after="0"/>
        <w:tabs>
          <w:tab w:leader="none" w:pos="2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Averages are determined as the average of period-beginning and period-ending balances.</w:t>
      </w:r>
    </w:p>
    <w:p>
      <w:pPr>
        <w:spacing w:after="0" w:line="7" w:lineRule="exact"/>
        <w:rPr>
          <w:rFonts w:ascii="Arial" w:cs="Arial" w:eastAsia="Arial" w:hAnsi="Arial"/>
          <w:sz w:val="12"/>
          <w:szCs w:val="12"/>
          <w:color w:val="auto"/>
        </w:rPr>
      </w:pPr>
    </w:p>
    <w:p>
      <w:pPr>
        <w:ind w:left="220" w:hanging="212"/>
        <w:spacing w:after="0" w:line="234" w:lineRule="auto"/>
        <w:tabs>
          <w:tab w:leader="none" w:pos="2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Includes investment in subsidiaries, goodwill, intangibles, and deferred tax that rely on future profitability.</w:t>
      </w:r>
    </w:p>
    <w:p>
      <w:pPr>
        <w:ind w:left="220" w:right="120" w:hanging="212"/>
        <w:spacing w:after="0" w:line="234" w:lineRule="auto"/>
        <w:tabs>
          <w:tab w:leader="none" w:pos="2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Common Equity Tier 1 = Capital Stock + Reserves + Accumulated earnings – Unrealized profits or losses - 100% deductions (investment in subsidiaries, goodwill, intangible assets, and deferred tax assets based on future returns).</w:t>
      </w:r>
    </w:p>
    <w:p>
      <w:pPr>
        <w:ind w:left="220" w:hanging="212"/>
        <w:spacing w:after="0"/>
        <w:tabs>
          <w:tab w:leader="none" w:pos="2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Includes investment in subsidiaries, goodwill, intangible assets, and deferred taxes based on future returns.</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3" w:name="page74"/>
    <w:bookmarkEnd w:id="73"/>
    <w:p>
      <w:pPr>
        <w:ind w:left="2720"/>
        <w:spacing w:after="0"/>
        <w:tabs>
          <w:tab w:leader="none" w:pos="2960" w:val="left"/>
          <w:tab w:leader="none" w:pos="762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60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w:t>
      </w:r>
      <w:r>
        <w:rPr>
          <w:rFonts w:ascii="Arial" w:cs="Arial" w:eastAsia="Arial" w:hAnsi="Arial"/>
          <w:sz w:val="16"/>
          <w:szCs w:val="16"/>
          <w:color w:val="FFFFFF"/>
        </w:rPr>
        <w:tab/>
        <w:t>Earnings Release 1Q / 2025</w:t>
      </w:r>
      <w:r>
        <w:rPr>
          <w:sz w:val="20"/>
          <w:szCs w:val="20"/>
          <w:color w:val="auto"/>
        </w:rPr>
        <w:tab/>
      </w:r>
      <w:r>
        <w:rPr>
          <w:rFonts w:ascii="Arial" w:cs="Arial" w:eastAsia="Arial" w:hAnsi="Arial"/>
          <w:sz w:val="16"/>
          <w:szCs w:val="16"/>
          <w:color w:val="ED3FA8"/>
        </w:rPr>
        <w:t>Analysis of 1Q25 Consolidated Results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7"/>
          <w:szCs w:val="17"/>
          <w:b w:val="1"/>
          <w:bCs w:val="1"/>
          <w:color w:val="auto"/>
        </w:rPr>
        <w:t>Glossary of terms</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4080" w:type="dxa"/>
            <w:vAlign w:val="bottom"/>
            <w:tcBorders>
              <w:top w:val="single" w:sz="8" w:color="auto"/>
              <w:left w:val="single" w:sz="8" w:color="auto"/>
              <w:bottom w:val="single" w:sz="8" w:color="auto"/>
              <w:right w:val="single" w:sz="8" w:color="auto"/>
            </w:tcBorders>
            <w:shd w:val="clear" w:color="auto" w:fill="33CCCC"/>
          </w:tcPr>
          <w:p>
            <w:pPr>
              <w:ind w:left="1920"/>
              <w:spacing w:after="0" w:line="155" w:lineRule="exact"/>
              <w:rPr>
                <w:sz w:val="20"/>
                <w:szCs w:val="20"/>
                <w:color w:val="auto"/>
              </w:rPr>
            </w:pPr>
            <w:r>
              <w:rPr>
                <w:rFonts w:ascii="Arial" w:cs="Arial" w:eastAsia="Arial" w:hAnsi="Arial"/>
                <w:sz w:val="14"/>
                <w:szCs w:val="14"/>
                <w:b w:val="1"/>
                <w:bCs w:val="1"/>
                <w:color w:val="FFFFFF"/>
              </w:rPr>
              <w:t>Term</w:t>
            </w:r>
          </w:p>
        </w:tc>
        <w:tc>
          <w:tcPr>
            <w:tcW w:w="7160" w:type="dxa"/>
            <w:vAlign w:val="bottom"/>
            <w:tcBorders>
              <w:top w:val="single" w:sz="8" w:color="auto"/>
              <w:bottom w:val="single" w:sz="8" w:color="auto"/>
              <w:right w:val="single" w:sz="8" w:color="auto"/>
            </w:tcBorders>
            <w:shd w:val="clear" w:color="auto" w:fill="33CCCC"/>
          </w:tcPr>
          <w:p>
            <w:pPr>
              <w:ind w:left="3280"/>
              <w:spacing w:after="0" w:line="155" w:lineRule="exact"/>
              <w:rPr>
                <w:sz w:val="20"/>
                <w:szCs w:val="20"/>
                <w:color w:val="auto"/>
              </w:rPr>
            </w:pPr>
            <w:r>
              <w:rPr>
                <w:rFonts w:ascii="Arial" w:cs="Arial" w:eastAsia="Arial" w:hAnsi="Arial"/>
                <w:sz w:val="14"/>
                <w:szCs w:val="14"/>
                <w:b w:val="1"/>
                <w:bCs w:val="1"/>
                <w:color w:val="FFFFFF"/>
              </w:rPr>
              <w:t>Definition</w:t>
            </w:r>
          </w:p>
        </w:tc>
        <w:tc>
          <w:tcPr>
            <w:tcW w:w="0" w:type="dxa"/>
            <w:vAlign w:val="bottom"/>
          </w:tcPr>
          <w:p>
            <w:pPr>
              <w:spacing w:after="0"/>
              <w:rPr>
                <w:sz w:val="1"/>
                <w:szCs w:val="1"/>
                <w:color w:val="auto"/>
              </w:rPr>
            </w:pPr>
          </w:p>
        </w:tc>
      </w:tr>
      <w:tr>
        <w:trPr>
          <w:trHeight w:val="156"/>
        </w:trPr>
        <w:tc>
          <w:tcPr>
            <w:tcW w:w="408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AFP</w:t>
            </w:r>
          </w:p>
        </w:tc>
        <w:tc>
          <w:tcPr>
            <w:tcW w:w="7160" w:type="dxa"/>
            <w:vAlign w:val="bottom"/>
            <w:tcBorders>
              <w:bottom w:val="single" w:sz="8" w:color="auto"/>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Administradora de Fondo de Pensiones or Private Pension Funds Administrators</w:t>
            </w:r>
          </w:p>
        </w:tc>
        <w:tc>
          <w:tcPr>
            <w:tcW w:w="0" w:type="dxa"/>
            <w:vAlign w:val="bottom"/>
          </w:tcPr>
          <w:p>
            <w:pPr>
              <w:spacing w:after="0"/>
              <w:rPr>
                <w:sz w:val="1"/>
                <w:szCs w:val="1"/>
                <w:color w:val="auto"/>
              </w:rPr>
            </w:pPr>
          </w:p>
        </w:tc>
      </w:tr>
      <w:tr>
        <w:trPr>
          <w:trHeight w:val="155"/>
        </w:trPr>
        <w:tc>
          <w:tcPr>
            <w:tcW w:w="408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BCRP</w:t>
            </w:r>
          </w:p>
        </w:tc>
        <w:tc>
          <w:tcPr>
            <w:tcW w:w="7160" w:type="dxa"/>
            <w:vAlign w:val="bottom"/>
            <w:tcBorders>
              <w:bottom w:val="single" w:sz="8" w:color="auto"/>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Banco Central de Reserva del Perú or Peruvian Central Bank</w:t>
            </w:r>
          </w:p>
        </w:tc>
        <w:tc>
          <w:tcPr>
            <w:tcW w:w="0" w:type="dxa"/>
            <w:vAlign w:val="bottom"/>
          </w:tcPr>
          <w:p>
            <w:pPr>
              <w:spacing w:after="0"/>
              <w:rPr>
                <w:sz w:val="1"/>
                <w:szCs w:val="1"/>
                <w:color w:val="auto"/>
              </w:rPr>
            </w:pPr>
          </w:p>
        </w:tc>
      </w:tr>
      <w:tr>
        <w:trPr>
          <w:trHeight w:val="146"/>
        </w:trPr>
        <w:tc>
          <w:tcPr>
            <w:tcW w:w="4080" w:type="dxa"/>
            <w:vAlign w:val="bottom"/>
            <w:tcBorders>
              <w:left w:val="single" w:sz="8" w:color="auto"/>
              <w:right w:val="single" w:sz="8" w:color="auto"/>
            </w:tcBorders>
          </w:tcPr>
          <w:p>
            <w:pPr>
              <w:spacing w:after="0"/>
              <w:rPr>
                <w:sz w:val="12"/>
                <w:szCs w:val="12"/>
                <w:color w:val="auto"/>
              </w:rPr>
            </w:pPr>
          </w:p>
        </w:tc>
        <w:tc>
          <w:tcPr>
            <w:tcW w:w="7160" w:type="dxa"/>
            <w:vAlign w:val="bottom"/>
            <w:tcBorders>
              <w:right w:val="single" w:sz="8" w:color="auto"/>
            </w:tcBorders>
          </w:tcPr>
          <w:p>
            <w:pPr>
              <w:ind w:left="80"/>
              <w:spacing w:after="0" w:line="147" w:lineRule="exact"/>
              <w:rPr>
                <w:sz w:val="20"/>
                <w:szCs w:val="20"/>
                <w:color w:val="auto"/>
              </w:rPr>
            </w:pPr>
            <w:r>
              <w:rPr>
                <w:rFonts w:ascii="Arial" w:cs="Arial" w:eastAsia="Arial" w:hAnsi="Arial"/>
                <w:sz w:val="14"/>
                <w:szCs w:val="14"/>
                <w:color w:val="auto"/>
              </w:rPr>
              <w:t>Stock of financially included clients through BCP since 2020. New clients with BCP</w:t>
            </w:r>
          </w:p>
        </w:tc>
        <w:tc>
          <w:tcPr>
            <w:tcW w:w="0" w:type="dxa"/>
            <w:vAlign w:val="bottom"/>
          </w:tcPr>
          <w:p>
            <w:pPr>
              <w:spacing w:after="0"/>
              <w:rPr>
                <w:sz w:val="1"/>
                <w:szCs w:val="1"/>
                <w:color w:val="auto"/>
              </w:rPr>
            </w:pPr>
          </w:p>
        </w:tc>
      </w:tr>
      <w:tr>
        <w:trPr>
          <w:trHeight w:val="162"/>
        </w:trPr>
        <w:tc>
          <w:tcPr>
            <w:tcW w:w="4080" w:type="dxa"/>
            <w:vAlign w:val="bottom"/>
            <w:tcBorders>
              <w:left w:val="single" w:sz="8" w:color="auto"/>
              <w:right w:val="single" w:sz="8" w:color="auto"/>
            </w:tcBorders>
          </w:tcPr>
          <w:p>
            <w:pPr>
              <w:spacing w:after="0"/>
              <w:rPr>
                <w:sz w:val="14"/>
                <w:szCs w:val="14"/>
                <w:color w:val="auto"/>
              </w:rPr>
            </w:pP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savings accounts or new Yape affiliates that: (i) Do not have debt in the financial system nor other BCP</w:t>
            </w:r>
          </w:p>
        </w:tc>
        <w:tc>
          <w:tcPr>
            <w:tcW w:w="0" w:type="dxa"/>
            <w:vAlign w:val="bottom"/>
          </w:tcPr>
          <w:p>
            <w:pPr>
              <w:spacing w:after="0"/>
              <w:rPr>
                <w:sz w:val="1"/>
                <w:szCs w:val="1"/>
                <w:color w:val="auto"/>
              </w:rPr>
            </w:pPr>
          </w:p>
        </w:tc>
      </w:tr>
      <w:tr>
        <w:trPr>
          <w:trHeight w:val="162"/>
        </w:trPr>
        <w:tc>
          <w:tcPr>
            <w:tcW w:w="4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Financially Included</w:t>
            </w: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products in the 12 months prior to their inclusion,</w:t>
            </w:r>
          </w:p>
        </w:tc>
        <w:tc>
          <w:tcPr>
            <w:tcW w:w="0" w:type="dxa"/>
            <w:vAlign w:val="bottom"/>
          </w:tcPr>
          <w:p>
            <w:pPr>
              <w:spacing w:after="0"/>
              <w:rPr>
                <w:sz w:val="1"/>
                <w:szCs w:val="1"/>
                <w:color w:val="auto"/>
              </w:rPr>
            </w:pPr>
          </w:p>
        </w:tc>
      </w:tr>
      <w:tr>
        <w:trPr>
          <w:trHeight w:val="162"/>
        </w:trPr>
        <w:tc>
          <w:tcPr>
            <w:tcW w:w="4080" w:type="dxa"/>
            <w:vAlign w:val="bottom"/>
            <w:tcBorders>
              <w:left w:val="single" w:sz="8" w:color="auto"/>
              <w:right w:val="single" w:sz="8" w:color="auto"/>
            </w:tcBorders>
          </w:tcPr>
          <w:p>
            <w:pPr>
              <w:spacing w:after="0"/>
              <w:rPr>
                <w:sz w:val="14"/>
                <w:szCs w:val="14"/>
                <w:color w:val="auto"/>
              </w:rPr>
            </w:pP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and (ii) Have performed at least 3 monthly transactions on average through any BCP channel in the last 3</w:t>
            </w:r>
          </w:p>
        </w:tc>
        <w:tc>
          <w:tcPr>
            <w:tcW w:w="0" w:type="dxa"/>
            <w:vAlign w:val="bottom"/>
          </w:tcPr>
          <w:p>
            <w:pPr>
              <w:spacing w:after="0"/>
              <w:rPr>
                <w:sz w:val="1"/>
                <w:szCs w:val="1"/>
                <w:color w:val="auto"/>
              </w:rPr>
            </w:pPr>
          </w:p>
        </w:tc>
      </w:tr>
      <w:tr>
        <w:trPr>
          <w:trHeight w:val="171"/>
        </w:trPr>
        <w:tc>
          <w:tcPr>
            <w:tcW w:w="4080" w:type="dxa"/>
            <w:vAlign w:val="bottom"/>
            <w:tcBorders>
              <w:left w:val="single" w:sz="8" w:color="auto"/>
              <w:bottom w:val="single" w:sz="8" w:color="auto"/>
              <w:right w:val="single" w:sz="8" w:color="auto"/>
            </w:tcBorders>
          </w:tcPr>
          <w:p>
            <w:pPr>
              <w:spacing w:after="0"/>
              <w:rPr>
                <w:sz w:val="14"/>
                <w:szCs w:val="14"/>
                <w:color w:val="auto"/>
              </w:rPr>
            </w:pPr>
          </w:p>
        </w:tc>
        <w:tc>
          <w:tcPr>
            <w:tcW w:w="7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56"/>
        </w:trPr>
        <w:tc>
          <w:tcPr>
            <w:tcW w:w="408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GMV</w:t>
            </w:r>
          </w:p>
        </w:tc>
        <w:tc>
          <w:tcPr>
            <w:tcW w:w="7160" w:type="dxa"/>
            <w:vAlign w:val="bottom"/>
            <w:tcBorders>
              <w:bottom w:val="single" w:sz="8" w:color="auto"/>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Gross Merchant Volume</w:t>
            </w:r>
          </w:p>
        </w:tc>
        <w:tc>
          <w:tcPr>
            <w:tcW w:w="0" w:type="dxa"/>
            <w:vAlign w:val="bottom"/>
          </w:tcPr>
          <w:p>
            <w:pPr>
              <w:spacing w:after="0"/>
              <w:rPr>
                <w:sz w:val="1"/>
                <w:szCs w:val="1"/>
                <w:color w:val="auto"/>
              </w:rPr>
            </w:pPr>
          </w:p>
        </w:tc>
      </w:tr>
      <w:tr>
        <w:trPr>
          <w:trHeight w:val="146"/>
        </w:trPr>
        <w:tc>
          <w:tcPr>
            <w:tcW w:w="4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Government Program Loans (“GP” or “GP Loans”)</w:t>
            </w:r>
          </w:p>
        </w:tc>
        <w:tc>
          <w:tcPr>
            <w:tcW w:w="7160" w:type="dxa"/>
            <w:vAlign w:val="bottom"/>
            <w:tcBorders>
              <w:right w:val="single" w:sz="8" w:color="auto"/>
            </w:tcBorders>
          </w:tcPr>
          <w:p>
            <w:pPr>
              <w:ind w:left="80"/>
              <w:spacing w:after="0" w:line="147" w:lineRule="exact"/>
              <w:rPr>
                <w:sz w:val="20"/>
                <w:szCs w:val="20"/>
                <w:color w:val="auto"/>
              </w:rPr>
            </w:pPr>
            <w:r>
              <w:rPr>
                <w:rFonts w:ascii="Arial" w:cs="Arial" w:eastAsia="Arial" w:hAnsi="Arial"/>
                <w:sz w:val="14"/>
                <w:szCs w:val="14"/>
                <w:color w:val="auto"/>
              </w:rPr>
              <w:t>Loan Portfolio related to Reactiva Peru, FAE-Mype and Impulso Myperu programs to respond quickly and</w:t>
            </w:r>
          </w:p>
        </w:tc>
        <w:tc>
          <w:tcPr>
            <w:tcW w:w="0" w:type="dxa"/>
            <w:vAlign w:val="bottom"/>
          </w:tcPr>
          <w:p>
            <w:pPr>
              <w:spacing w:after="0"/>
              <w:rPr>
                <w:sz w:val="1"/>
                <w:szCs w:val="1"/>
                <w:color w:val="auto"/>
              </w:rPr>
            </w:pPr>
          </w:p>
        </w:tc>
      </w:tr>
      <w:tr>
        <w:trPr>
          <w:trHeight w:val="115"/>
        </w:trPr>
        <w:tc>
          <w:tcPr>
            <w:tcW w:w="4080" w:type="dxa"/>
            <w:vAlign w:val="bottom"/>
            <w:tcBorders>
              <w:left w:val="single" w:sz="8" w:color="auto"/>
              <w:right w:val="single" w:sz="8" w:color="auto"/>
            </w:tcBorders>
            <w:vMerge w:val="continue"/>
          </w:tcPr>
          <w:p>
            <w:pPr>
              <w:spacing w:after="0"/>
              <w:rPr>
                <w:sz w:val="10"/>
                <w:szCs w:val="10"/>
                <w:color w:val="auto"/>
              </w:rPr>
            </w:pPr>
          </w:p>
        </w:tc>
        <w:tc>
          <w:tcPr>
            <w:tcW w:w="716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effectively to liquidity needs and maintain the payment chain</w:t>
            </w:r>
          </w:p>
        </w:tc>
        <w:tc>
          <w:tcPr>
            <w:tcW w:w="0" w:type="dxa"/>
            <w:vAlign w:val="bottom"/>
          </w:tcPr>
          <w:p>
            <w:pPr>
              <w:spacing w:after="0"/>
              <w:rPr>
                <w:sz w:val="1"/>
                <w:szCs w:val="1"/>
                <w:color w:val="auto"/>
              </w:rPr>
            </w:pPr>
          </w:p>
        </w:tc>
      </w:tr>
      <w:tr>
        <w:trPr>
          <w:trHeight w:val="56"/>
        </w:trPr>
        <w:tc>
          <w:tcPr>
            <w:tcW w:w="4080" w:type="dxa"/>
            <w:vAlign w:val="bottom"/>
            <w:tcBorders>
              <w:left w:val="single" w:sz="8" w:color="auto"/>
              <w:bottom w:val="single" w:sz="8" w:color="auto"/>
              <w:right w:val="single" w:sz="8" w:color="auto"/>
            </w:tcBorders>
          </w:tcPr>
          <w:p>
            <w:pPr>
              <w:spacing w:after="0"/>
              <w:rPr>
                <w:sz w:val="4"/>
                <w:szCs w:val="4"/>
                <w:color w:val="auto"/>
              </w:rPr>
            </w:pPr>
          </w:p>
        </w:tc>
        <w:tc>
          <w:tcPr>
            <w:tcW w:w="71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08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MAU</w:t>
            </w:r>
          </w:p>
        </w:tc>
        <w:tc>
          <w:tcPr>
            <w:tcW w:w="7160" w:type="dxa"/>
            <w:vAlign w:val="bottom"/>
            <w:tcBorders>
              <w:bottom w:val="single" w:sz="8" w:color="auto"/>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Monthly Active Users</w:t>
            </w:r>
          </w:p>
        </w:tc>
        <w:tc>
          <w:tcPr>
            <w:tcW w:w="0" w:type="dxa"/>
            <w:vAlign w:val="bottom"/>
          </w:tcPr>
          <w:p>
            <w:pPr>
              <w:spacing w:after="0"/>
              <w:rPr>
                <w:sz w:val="1"/>
                <w:szCs w:val="1"/>
                <w:color w:val="auto"/>
              </w:rPr>
            </w:pPr>
          </w:p>
        </w:tc>
      </w:tr>
      <w:tr>
        <w:trPr>
          <w:trHeight w:val="156"/>
        </w:trPr>
        <w:tc>
          <w:tcPr>
            <w:tcW w:w="408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MEF</w:t>
            </w:r>
          </w:p>
        </w:tc>
        <w:tc>
          <w:tcPr>
            <w:tcW w:w="7160" w:type="dxa"/>
            <w:vAlign w:val="bottom"/>
            <w:tcBorders>
              <w:bottom w:val="single" w:sz="8" w:color="auto"/>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Ministry of Economy and Finance of Peru</w:t>
            </w:r>
          </w:p>
        </w:tc>
        <w:tc>
          <w:tcPr>
            <w:tcW w:w="0" w:type="dxa"/>
            <w:vAlign w:val="bottom"/>
          </w:tcPr>
          <w:p>
            <w:pPr>
              <w:spacing w:after="0"/>
              <w:rPr>
                <w:sz w:val="1"/>
                <w:szCs w:val="1"/>
                <w:color w:val="auto"/>
              </w:rPr>
            </w:pPr>
          </w:p>
        </w:tc>
      </w:tr>
      <w:tr>
        <w:trPr>
          <w:trHeight w:val="156"/>
        </w:trPr>
        <w:tc>
          <w:tcPr>
            <w:tcW w:w="408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TPV</w:t>
            </w:r>
          </w:p>
        </w:tc>
        <w:tc>
          <w:tcPr>
            <w:tcW w:w="7160" w:type="dxa"/>
            <w:vAlign w:val="bottom"/>
            <w:tcBorders>
              <w:bottom w:val="single" w:sz="8" w:color="auto"/>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Total Payment Volume</w:t>
            </w:r>
          </w:p>
        </w:tc>
        <w:tc>
          <w:tcPr>
            <w:tcW w:w="0" w:type="dxa"/>
            <w:vAlign w:val="bottom"/>
          </w:tcPr>
          <w:p>
            <w:pPr>
              <w:spacing w:after="0"/>
              <w:rPr>
                <w:sz w:val="1"/>
                <w:szCs w:val="1"/>
                <w:color w:val="auto"/>
              </w:rPr>
            </w:pPr>
          </w:p>
        </w:tc>
      </w:tr>
    </w:tbl>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o"/>
      <w:numFmt w:val="bullet"/>
      <w:start w:val="1"/>
    </w:lvl>
  </w:abstractNum>
  <w:abstractNum w:abstractNumId="9">
    <w:nsid w:val="5C482A97"/>
    <w:multiLevelType w:val="hybridMultilevel"/>
    <w:lvl w:ilvl="0">
      <w:lvlJc w:val="left"/>
      <w:lvlText w:val="o"/>
      <w:numFmt w:val="bullet"/>
      <w:start w:val="1"/>
    </w:lvl>
  </w:abstractNum>
  <w:abstractNum w:abstractNumId="10">
    <w:nsid w:val="2463B9EA"/>
    <w:multiLevelType w:val="hybridMultilevel"/>
    <w:lvl w:ilvl="0">
      <w:lvlJc w:val="left"/>
      <w:lvlText w:val="o"/>
      <w:numFmt w:val="bullet"/>
      <w:start w:val="1"/>
    </w:lvl>
  </w:abstractNum>
  <w:abstractNum w:abstractNumId="11">
    <w:nsid w:val="5E884ADC"/>
    <w:multiLevelType w:val="hybridMultilevel"/>
    <w:lvl w:ilvl="0">
      <w:lvlJc w:val="left"/>
      <w:lvlText w:val="1"/>
      <w:numFmt w:val="bullet"/>
      <w:start w:val="1"/>
    </w:lvl>
  </w:abstractNum>
  <w:abstractNum w:abstractNumId="12">
    <w:nsid w:val="51EAD36B"/>
    <w:multiLevelType w:val="hybridMultilevel"/>
    <w:lvl w:ilvl="0">
      <w:lvlJc w:val="left"/>
      <w:lvlText w:val="2"/>
      <w:numFmt w:val="bullet"/>
      <w:start w:val="1"/>
    </w:lvl>
  </w:abstractNum>
  <w:abstractNum w:abstractNumId="13">
    <w:nsid w:val="2D517796"/>
    <w:multiLevelType w:val="hybridMultilevel"/>
    <w:lvl w:ilvl="0">
      <w:lvlJc w:val="left"/>
      <w:lvlText w:val="(%1)"/>
      <w:numFmt w:val="decimal"/>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bullet"/>
      <w:start w:val="1"/>
    </w:lvl>
  </w:abstractNum>
  <w:abstractNum w:abstractNumId="28">
    <w:nsid w:val="38437FDB"/>
    <w:multiLevelType w:val="hybridMultilevel"/>
    <w:lvl w:ilvl="0">
      <w:lvlJc w:val="left"/>
      <w:lvlText w:val="%1)"/>
      <w:numFmt w:val="lowerRoman"/>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decimal"/>
    </w:lvl>
    <w:lvl w:ilvl="1">
      <w:lvlJc w:val="left"/>
      <w:lvlText w:val="(*)"/>
      <w:numFmt w:val="bullet"/>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amp;"/>
      <w:numFmt w:val="bullet"/>
      <w:start w:val="1"/>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
      <w:numFmt w:val="bullet"/>
      <w:start w:val="1"/>
    </w:lvl>
    <w:lvl w:ilvl="1">
      <w:lvlJc w:val="left"/>
      <w:lvlText w:val="•"/>
      <w:numFmt w:val="bullet"/>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1"/>
    </w:lvl>
  </w:abstractNum>
  <w:abstractNum w:abstractNumId="64">
    <w:nsid w:val="25A70BF7"/>
    <w:multiLevelType w:val="hybridMultilevel"/>
    <w:lvl w:ilvl="0">
      <w:lvlJc w:val="left"/>
      <w:lvlText w:val="(%1)"/>
      <w:numFmt w:val="lowerRoman"/>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2025-05-19T14:58:45Z</dcterms:created>
  <dcterms:modified xsi:type="dcterms:W3CDTF">2025-05-19T14:58:45Z</dcterms:modified>
</cp:coreProperties>
</file>