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20-F/A</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w:t>
      </w:r>
    </w:p>
    <w:p>
      <w:pPr>
        <w:spacing w:after="0" w:line="236" w:lineRule="exact"/>
        <w:rPr>
          <w:sz w:val="24"/>
          <w:szCs w:val="24"/>
          <w:color w:val="auto"/>
        </w:rPr>
      </w:pPr>
    </w:p>
    <w:p>
      <w:pPr>
        <w:ind w:left="4060" w:right="2460" w:hanging="1590"/>
        <w:spacing w:after="0" w:line="258" w:lineRule="auto"/>
        <w:tabs>
          <w:tab w:leader="none" w:pos="2682"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REGISTRATION STATEMENT PURSUANT TO SECTION 12(b) OR (g) OF THE SECURITIES EXCHANGE ACT OF 1934</w:t>
      </w:r>
    </w:p>
    <w:p>
      <w:pPr>
        <w:spacing w:after="0" w:line="1"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9" w:lineRule="exact"/>
        <w:rPr>
          <w:rFonts w:ascii="MS PGothic" w:cs="MS PGothic" w:eastAsia="MS PGothic" w:hAnsi="MS PGothic"/>
          <w:sz w:val="18"/>
          <w:szCs w:val="18"/>
          <w:color w:val="auto"/>
        </w:rPr>
      </w:pPr>
    </w:p>
    <w:p>
      <w:pPr>
        <w:jc w:val="center"/>
        <w:ind w:left="4580" w:right="2380" w:hanging="2185"/>
        <w:spacing w:after="0" w:line="260" w:lineRule="auto"/>
        <w:tabs>
          <w:tab w:leader="none" w:pos="259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200" w:lineRule="exact"/>
        <w:rPr>
          <w:sz w:val="24"/>
          <w:szCs w:val="24"/>
          <w:color w:val="auto"/>
        </w:rPr>
      </w:pPr>
    </w:p>
    <w:p>
      <w:pPr>
        <w:spacing w:after="0" w:line="201" w:lineRule="exact"/>
        <w:rPr>
          <w:sz w:val="24"/>
          <w:szCs w:val="24"/>
          <w:color w:val="auto"/>
        </w:rPr>
      </w:pPr>
    </w:p>
    <w:p>
      <w:pPr>
        <w:jc w:val="center"/>
        <w:ind w:left="4580" w:right="2220" w:hanging="2345"/>
        <w:spacing w:after="0" w:line="258" w:lineRule="auto"/>
        <w:tabs>
          <w:tab w:leader="none" w:pos="2435"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9" w:lineRule="exact"/>
        <w:rPr>
          <w:rFonts w:ascii="MS PGothic" w:cs="MS PGothic" w:eastAsia="MS PGothic" w:hAnsi="MS PGothic"/>
          <w:sz w:val="18"/>
          <w:szCs w:val="18"/>
          <w:color w:val="auto"/>
        </w:rPr>
      </w:pPr>
    </w:p>
    <w:p>
      <w:pPr>
        <w:jc w:val="center"/>
        <w:ind w:left="4580" w:right="2000" w:hanging="2571"/>
        <w:spacing w:after="0" w:line="250" w:lineRule="auto"/>
        <w:tabs>
          <w:tab w:leader="none" w:pos="2209"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SHELL COMPANY REPORT PURSUANT TO SECTION 13 OR 15 (d) OF THE SECURITIES EXCHANGE ACT OF 1934</w:t>
      </w:r>
    </w:p>
    <w:p>
      <w:pPr>
        <w:spacing w:after="0" w:line="1" w:lineRule="exact"/>
        <w:rPr>
          <w:sz w:val="24"/>
          <w:szCs w:val="24"/>
          <w:color w:val="auto"/>
        </w:rPr>
      </w:pPr>
    </w:p>
    <w:p>
      <w:pPr>
        <w:ind w:left="3200"/>
        <w:spacing w:after="0"/>
        <w:rPr>
          <w:sz w:val="20"/>
          <w:szCs w:val="20"/>
          <w:color w:val="auto"/>
        </w:rPr>
      </w:pPr>
      <w:r>
        <w:rPr>
          <w:rFonts w:ascii="Arial" w:cs="Arial" w:eastAsia="Arial" w:hAnsi="Arial"/>
          <w:sz w:val="18"/>
          <w:szCs w:val="18"/>
          <w:color w:val="auto"/>
        </w:rPr>
        <w:t>Date of event requiring this shell company report ______________</w:t>
      </w:r>
    </w:p>
    <w:p>
      <w:pPr>
        <w:spacing w:after="0" w:line="9"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For the transition period from ________ to 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1-14014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CREDICORP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charter)</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Bermuda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(Jurisdiction of incorporation or organization)</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Lima 12, Peru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Cesar Rios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Credicorp Ltd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Lima 12, Peru</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Phone (+511) 313 2014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Facsimile (+511) 313 2121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 w:lineRule="exact"/>
        <w:rPr>
          <w:sz w:val="24"/>
          <w:szCs w:val="24"/>
          <w:color w:val="auto"/>
        </w:rPr>
      </w:pPr>
    </w:p>
    <w:p>
      <w:pPr>
        <w:ind w:left="2240"/>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6"/>
        </w:trPr>
        <w:tc>
          <w:tcPr>
            <w:tcW w:w="4460" w:type="dxa"/>
            <w:vAlign w:val="bottom"/>
            <w:gridSpan w:val="3"/>
          </w:tcPr>
          <w:p>
            <w:pPr>
              <w:jc w:val="center"/>
              <w:ind w:left="190"/>
              <w:spacing w:after="0"/>
              <w:rPr>
                <w:sz w:val="20"/>
                <w:szCs w:val="20"/>
                <w:color w:val="auto"/>
              </w:rPr>
            </w:pPr>
            <w:r>
              <w:rPr>
                <w:rFonts w:ascii="Arial" w:cs="Arial" w:eastAsia="Arial" w:hAnsi="Arial"/>
                <w:sz w:val="18"/>
                <w:szCs w:val="18"/>
                <w:b w:val="1"/>
                <w:bCs w:val="1"/>
                <w:color w:val="auto"/>
                <w:w w:val="89"/>
              </w:rPr>
              <w:t>Common Shares, par value $5.00 per share</w:t>
            </w:r>
          </w:p>
        </w:tc>
        <w:tc>
          <w:tcPr>
            <w:tcW w:w="440" w:type="dxa"/>
            <w:vAlign w:val="bottom"/>
          </w:tcPr>
          <w:p>
            <w:pPr>
              <w:spacing w:after="0"/>
              <w:rPr>
                <w:sz w:val="20"/>
                <w:szCs w:val="20"/>
                <w:color w:val="auto"/>
              </w:rPr>
            </w:pPr>
          </w:p>
        </w:tc>
        <w:tc>
          <w:tcPr>
            <w:tcW w:w="14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BAP</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r>
      <w:tr>
        <w:trPr>
          <w:trHeight w:val="459"/>
        </w:trPr>
        <w:tc>
          <w:tcPr>
            <w:tcW w:w="6360" w:type="dxa"/>
            <w:vAlign w:val="bottom"/>
            <w:gridSpan w:val="6"/>
          </w:tcPr>
          <w:p>
            <w:pPr>
              <w:spacing w:after="0"/>
              <w:rPr>
                <w:sz w:val="20"/>
                <w:szCs w:val="20"/>
                <w:color w:val="auto"/>
              </w:rPr>
            </w:pPr>
            <w:r>
              <w:rPr>
                <w:rFonts w:ascii="Arial" w:cs="Arial" w:eastAsia="Arial" w:hAnsi="Arial"/>
                <w:sz w:val="18"/>
                <w:szCs w:val="18"/>
                <w:b w:val="1"/>
                <w:bCs w:val="1"/>
                <w:color w:val="auto"/>
                <w:w w:val="96"/>
              </w:rPr>
              <w:t>Securities registered or to be registered pursuant to Section 12(g) of the Act.</w:t>
            </w:r>
          </w:p>
        </w:tc>
        <w:tc>
          <w:tcPr>
            <w:tcW w:w="580" w:type="dxa"/>
            <w:vAlign w:val="bottom"/>
          </w:tcPr>
          <w:p>
            <w:pPr>
              <w:spacing w:after="0"/>
              <w:rPr>
                <w:sz w:val="20"/>
                <w:szCs w:val="20"/>
                <w:color w:val="auto"/>
              </w:rPr>
            </w:pPr>
            <w:r>
              <w:rPr>
                <w:rFonts w:ascii="Arial" w:cs="Arial" w:eastAsia="Arial" w:hAnsi="Arial"/>
                <w:sz w:val="18"/>
                <w:szCs w:val="18"/>
                <w:color w:val="auto"/>
              </w:rPr>
              <w:t>None</w:t>
            </w:r>
          </w:p>
        </w:tc>
        <w:tc>
          <w:tcPr>
            <w:tcW w:w="2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459"/>
        </w:trPr>
        <w:tc>
          <w:tcPr>
            <w:tcW w:w="6940" w:type="dxa"/>
            <w:vAlign w:val="bottom"/>
            <w:gridSpan w:val="7"/>
          </w:tcPr>
          <w:p>
            <w:pPr>
              <w:spacing w:after="0"/>
              <w:rPr>
                <w:sz w:val="20"/>
                <w:szCs w:val="20"/>
                <w:color w:val="auto"/>
              </w:rPr>
            </w:pPr>
            <w:r>
              <w:rPr>
                <w:rFonts w:ascii="Arial" w:cs="Arial" w:eastAsia="Arial" w:hAnsi="Arial"/>
                <w:sz w:val="18"/>
                <w:szCs w:val="18"/>
                <w:b w:val="1"/>
                <w:bCs w:val="1"/>
                <w:color w:val="auto"/>
                <w:w w:val="92"/>
              </w:rPr>
              <w:t>Securities for which there is a reporting obligation pursuant to Section 15(d) of the Act.</w:t>
            </w:r>
          </w:p>
        </w:tc>
        <w:tc>
          <w:tcPr>
            <w:tcW w:w="3600" w:type="dxa"/>
            <w:vAlign w:val="bottom"/>
            <w:gridSpan w:val="2"/>
          </w:tcPr>
          <w:p>
            <w:pPr>
              <w:ind w:left="200"/>
              <w:spacing w:after="0"/>
              <w:rPr>
                <w:sz w:val="20"/>
                <w:szCs w:val="20"/>
                <w:color w:val="auto"/>
              </w:rPr>
            </w:pPr>
            <w:r>
              <w:rPr>
                <w:rFonts w:ascii="Arial" w:cs="Arial" w:eastAsia="Arial" w:hAnsi="Arial"/>
                <w:sz w:val="18"/>
                <w:szCs w:val="18"/>
                <w:color w:val="auto"/>
              </w:rPr>
              <w:t>None</w:t>
            </w:r>
          </w:p>
        </w:tc>
      </w:tr>
    </w:tbl>
    <w:p>
      <w:pPr>
        <w:spacing w:after="0" w:line="225" w:lineRule="exact"/>
        <w:rPr>
          <w:sz w:val="24"/>
          <w:szCs w:val="24"/>
          <w:color w:val="auto"/>
        </w:rPr>
      </w:pPr>
    </w:p>
    <w:p>
      <w:pPr>
        <w:spacing w:after="0" w:line="282" w:lineRule="auto"/>
        <w:rPr>
          <w:sz w:val="20"/>
          <w:szCs w:val="20"/>
          <w:color w:val="auto"/>
        </w:rPr>
      </w:pPr>
      <w:r>
        <w:rPr>
          <w:rFonts w:ascii="Arial" w:cs="Arial" w:eastAsia="Arial" w:hAnsi="Arial"/>
          <w:sz w:val="18"/>
          <w:szCs w:val="18"/>
          <w:b w:val="1"/>
          <w:bCs w:val="1"/>
          <w:color w:val="auto"/>
        </w:rPr>
        <w:t>Indicate the number of outstanding shares of each of the issuer’s classes of capital or common stock as of the close of the period covered by the annual report.</w:t>
      </w:r>
    </w:p>
    <w:p>
      <w:pPr>
        <w:spacing w:after="0" w:line="193" w:lineRule="exact"/>
        <w:rPr>
          <w:sz w:val="24"/>
          <w:szCs w:val="24"/>
          <w:color w:val="auto"/>
        </w:rPr>
      </w:pPr>
    </w:p>
    <w:p>
      <w:pPr>
        <w:spacing w:after="0"/>
        <w:tabs>
          <w:tab w:leader="none" w:pos="3400" w:val="left"/>
        </w:tabs>
        <w:rPr>
          <w:sz w:val="20"/>
          <w:szCs w:val="20"/>
          <w:color w:val="auto"/>
        </w:rPr>
      </w:pPr>
      <w:r>
        <w:rPr>
          <w:rFonts w:ascii="Arial" w:cs="Arial" w:eastAsia="Arial" w:hAnsi="Arial"/>
          <w:sz w:val="18"/>
          <w:szCs w:val="18"/>
          <w:color w:val="auto"/>
        </w:rPr>
        <w:t>Common Shares, par value $5.00 per share</w:t>
      </w:r>
      <w:r>
        <w:rPr>
          <w:sz w:val="20"/>
          <w:szCs w:val="20"/>
          <w:color w:val="auto"/>
        </w:rPr>
        <w:tab/>
      </w:r>
      <w:r>
        <w:rPr>
          <w:rFonts w:ascii="Arial" w:cs="Arial" w:eastAsia="Arial" w:hAnsi="Arial"/>
          <w:sz w:val="16"/>
          <w:szCs w:val="16"/>
          <w:color w:val="auto"/>
        </w:rPr>
        <w:t>94,382,317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Indicate by check mark if the registrant is a well-known seasoned issuer, as defined in Rule 405 of the Securities Act.</w:t>
      </w:r>
    </w:p>
    <w:p>
      <w:pPr>
        <w:spacing w:after="0" w:line="223" w:lineRule="exact"/>
        <w:rPr>
          <w:sz w:val="20"/>
          <w:szCs w:val="20"/>
          <w:color w:val="auto"/>
        </w:rPr>
      </w:pPr>
    </w:p>
    <w:p>
      <w:pPr>
        <w:ind w:left="4240"/>
        <w:spacing w:after="0" w:line="207" w:lineRule="exact"/>
        <w:tabs>
          <w:tab w:leader="none" w:pos="5060" w:val="left"/>
          <w:tab w:leader="none" w:pos="6180" w:val="left"/>
          <w:tab w:leader="none" w:pos="68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this report is an annual or transition report, indicate by check mark if the registrant is not required to file reports pursuant to Section 13 or 15(d) of the Securities Exchange Act of 1934.</w:t>
      </w:r>
    </w:p>
    <w:p>
      <w:pPr>
        <w:spacing w:after="0" w:line="160" w:lineRule="exact"/>
        <w:rPr>
          <w:sz w:val="20"/>
          <w:szCs w:val="20"/>
          <w:color w:val="auto"/>
        </w:rPr>
      </w:pPr>
    </w:p>
    <w:p>
      <w:pPr>
        <w:ind w:left="4200"/>
        <w:spacing w:after="0" w:line="207" w:lineRule="exact"/>
        <w:tabs>
          <w:tab w:leader="none" w:pos="5060" w:val="left"/>
          <w:tab w:leader="none" w:pos="6180" w:val="left"/>
          <w:tab w:leader="none" w:pos="68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4" w:lineRule="exact"/>
        <w:rPr>
          <w:sz w:val="20"/>
          <w:szCs w:val="20"/>
          <w:color w:val="auto"/>
        </w:rPr>
      </w:pPr>
    </w:p>
    <w:p>
      <w:pPr>
        <w:ind w:left="4240"/>
        <w:spacing w:after="0" w:line="207" w:lineRule="exact"/>
        <w:tabs>
          <w:tab w:leader="none" w:pos="5060" w:val="left"/>
          <w:tab w:leader="none" w:pos="6180" w:val="left"/>
          <w:tab w:leader="none" w:pos="68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74" w:lineRule="exact"/>
        <w:rPr>
          <w:sz w:val="20"/>
          <w:szCs w:val="20"/>
          <w:color w:val="auto"/>
        </w:rPr>
      </w:pPr>
    </w:p>
    <w:p>
      <w:pPr>
        <w:ind w:left="4240"/>
        <w:spacing w:after="0" w:line="207" w:lineRule="exact"/>
        <w:tabs>
          <w:tab w:leader="none" w:pos="5060" w:val="left"/>
          <w:tab w:leader="none" w:pos="6180" w:val="left"/>
          <w:tab w:leader="none" w:pos="68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4"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114" w:lineRule="exact"/>
        <w:rPr>
          <w:sz w:val="20"/>
          <w:szCs w:val="20"/>
          <w:color w:val="auto"/>
        </w:rPr>
      </w:pPr>
    </w:p>
    <w:p>
      <w:pPr>
        <w:ind w:left="2820"/>
        <w:spacing w:after="0" w:line="207" w:lineRule="exact"/>
        <w:tabs>
          <w:tab w:leader="none" w:pos="5060" w:val="left"/>
          <w:tab w:leader="none" w:pos="6180" w:val="left"/>
          <w:tab w:leader="none" w:pos="842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w:t>
      </w:r>
    </w:p>
    <w:p>
      <w:pPr>
        <w:spacing w:after="0" w:line="225" w:lineRule="exact"/>
        <w:rPr>
          <w:sz w:val="20"/>
          <w:szCs w:val="20"/>
          <w:color w:val="auto"/>
        </w:rPr>
      </w:pPr>
    </w:p>
    <w:p>
      <w:pPr>
        <w:ind w:left="2820"/>
        <w:spacing w:after="0" w:line="207" w:lineRule="exact"/>
        <w:tabs>
          <w:tab w:leader="none" w:pos="5060" w:val="left"/>
          <w:tab w:leader="none" w:pos="6180" w:val="left"/>
          <w:tab w:leader="none" w:pos="842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0"/>
          <w:szCs w:val="20"/>
          <w:color w:val="auto"/>
        </w:rPr>
      </w:pPr>
    </w:p>
    <w:p>
      <w:pPr>
        <w:jc w:val="both"/>
        <w:spacing w:after="0" w:line="229" w:lineRule="exact"/>
        <w:rPr>
          <w:sz w:val="20"/>
          <w:szCs w:val="20"/>
          <w:color w:val="auto"/>
        </w:rPr>
      </w:pPr>
      <w:r>
        <w:rPr>
          <w:rFonts w:ascii="Arial" w:cs="Arial" w:eastAsia="Arial" w:hAnsi="Arial"/>
          <w:sz w:val="18"/>
          <w:szCs w:val="18"/>
          <w:b w:val="1"/>
          <w:bCs w:val="1"/>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w:t>
      </w:r>
      <w:r>
        <w:rPr>
          <w:rFonts w:ascii="Arial" w:cs="Arial" w:eastAsia="Arial" w:hAnsi="Arial"/>
          <w:sz w:val="18"/>
          <w:szCs w:val="18"/>
          <w:color w:val="auto"/>
        </w:rPr>
        <w:t>†</w:t>
      </w:r>
      <w:r>
        <w:rPr>
          <w:rFonts w:ascii="Arial" w:cs="Arial" w:eastAsia="Arial" w:hAnsi="Arial"/>
          <w:sz w:val="18"/>
          <w:szCs w:val="18"/>
          <w:b w:val="1"/>
          <w:bCs w:val="1"/>
          <w:color w:val="auto"/>
        </w:rPr>
        <w:t xml:space="preserve"> provided pursuant to Section 13(a) of the Exchange Act </w:t>
      </w:r>
      <w:r>
        <w:rPr>
          <w:rFonts w:ascii="MS PGothic" w:cs="MS PGothic" w:eastAsia="MS PGothic" w:hAnsi="MS PGothic"/>
          <w:sz w:val="18"/>
          <w:szCs w:val="18"/>
          <w:color w:val="auto"/>
          <w:highlight w:val="black"/>
        </w:rPr>
        <w:t>☐</w:t>
      </w:r>
    </w:p>
    <w:p>
      <w:pPr>
        <w:spacing w:after="0" w:line="209" w:lineRule="exact"/>
        <w:rPr>
          <w:sz w:val="20"/>
          <w:szCs w:val="20"/>
          <w:color w:val="auto"/>
        </w:rPr>
      </w:pPr>
    </w:p>
    <w:p>
      <w:pPr>
        <w:ind w:firstLine="8"/>
        <w:spacing w:after="0" w:line="277" w:lineRule="auto"/>
        <w:tabs>
          <w:tab w:leader="none" w:pos="17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 “new or revised financial accounting standard” refers to any update issued by the Financial Accounting Standards Board to its Accounting Standards Codification after April 5, 2012.</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74" w:lineRule="exact"/>
        <w:rPr>
          <w:sz w:val="20"/>
          <w:szCs w:val="20"/>
          <w:color w:val="auto"/>
        </w:rPr>
      </w:pPr>
    </w:p>
    <w:p>
      <w:pPr>
        <w:ind w:left="2820"/>
        <w:spacing w:after="0" w:line="207" w:lineRule="exact"/>
        <w:tabs>
          <w:tab w:leader="none" w:pos="5060" w:val="left"/>
          <w:tab w:leader="none" w:pos="6180" w:val="left"/>
          <w:tab w:leader="none" w:pos="842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47" w:lineRule="exact"/>
        <w:rPr>
          <w:sz w:val="20"/>
          <w:szCs w:val="20"/>
          <w:color w:val="auto"/>
        </w:rPr>
      </w:pPr>
    </w:p>
    <w:p>
      <w:pPr>
        <w:jc w:val="center"/>
        <w:spacing w:after="0" w:line="207" w:lineRule="exact"/>
        <w:tabs>
          <w:tab w:leader="none" w:pos="340" w:val="left"/>
          <w:tab w:leader="none" w:pos="340" w:val="left"/>
          <w:tab w:leader="none" w:pos="3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Indicate by check mark which basis of accounting the registrant has used to prepare the financial statements included in this filing:</w:t>
      </w:r>
    </w:p>
    <w:p>
      <w:pPr>
        <w:spacing w:after="0" w:line="235" w:lineRule="exact"/>
        <w:rPr>
          <w:sz w:val="20"/>
          <w:szCs w:val="20"/>
          <w:color w:val="auto"/>
        </w:rPr>
      </w:pPr>
    </w:p>
    <w:p>
      <w:pPr>
        <w:spacing w:after="0" w:line="207" w:lineRule="exact"/>
        <w:tabs>
          <w:tab w:leader="none" w:pos="3680" w:val="left"/>
          <w:tab w:leader="none" w:pos="9720" w:val="left"/>
        </w:tabs>
        <w:rPr>
          <w:sz w:val="20"/>
          <w:szCs w:val="20"/>
          <w:color w:val="auto"/>
        </w:rPr>
      </w:pPr>
      <w:r>
        <w:rPr>
          <w:rFonts w:ascii="Arial" w:cs="Arial" w:eastAsia="Arial" w:hAnsi="Arial"/>
          <w:sz w:val="18"/>
          <w:szCs w:val="18"/>
          <w:color w:val="auto"/>
        </w:rPr>
        <w:t xml:space="preserve">U.S. GAAP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International Financial Reporting Standards as issued</w:t>
      </w:r>
      <w:r>
        <w:rPr>
          <w:sz w:val="20"/>
          <w:szCs w:val="20"/>
          <w:color w:val="auto"/>
        </w:rPr>
        <w:tab/>
      </w:r>
      <w:r>
        <w:rPr>
          <w:rFonts w:ascii="Arial" w:cs="Arial" w:eastAsia="Arial" w:hAnsi="Arial"/>
          <w:sz w:val="17"/>
          <w:szCs w:val="17"/>
          <w:color w:val="auto"/>
        </w:rPr>
        <w:t xml:space="preserve">Other </w:t>
      </w:r>
      <w:r>
        <w:rPr>
          <w:rFonts w:ascii="MS PGothic" w:cs="MS PGothic" w:eastAsia="MS PGothic" w:hAnsi="MS PGothic"/>
          <w:sz w:val="17"/>
          <w:szCs w:val="17"/>
          <w:color w:val="auto"/>
        </w:rPr>
        <w:t>☐</w:t>
      </w:r>
    </w:p>
    <w:p>
      <w:pPr>
        <w:spacing w:after="0" w:line="51" w:lineRule="exact"/>
        <w:rPr>
          <w:sz w:val="20"/>
          <w:szCs w:val="20"/>
          <w:color w:val="auto"/>
        </w:rPr>
      </w:pPr>
    </w:p>
    <w:p>
      <w:pPr>
        <w:jc w:val="center"/>
        <w:ind w:right="-19"/>
        <w:spacing w:after="0" w:line="207" w:lineRule="exact"/>
        <w:rPr>
          <w:sz w:val="20"/>
          <w:szCs w:val="20"/>
          <w:color w:val="auto"/>
        </w:rPr>
      </w:pPr>
      <w:r>
        <w:rPr>
          <w:rFonts w:ascii="Arial" w:cs="Arial" w:eastAsia="Arial" w:hAnsi="Arial"/>
          <w:sz w:val="18"/>
          <w:szCs w:val="18"/>
          <w:color w:val="auto"/>
        </w:rPr>
        <w:t xml:space="preserve">by the International Accounting Standards Board </w:t>
      </w:r>
      <w:r>
        <w:rPr>
          <w:rFonts w:ascii="MS PGothic" w:cs="MS PGothic" w:eastAsia="MS PGothic" w:hAnsi="MS PGothic"/>
          <w:sz w:val="18"/>
          <w:szCs w:val="18"/>
          <w:color w:val="auto"/>
        </w:rPr>
        <w:t>☒</w:t>
      </w:r>
    </w:p>
    <w:p>
      <w:pPr>
        <w:spacing w:after="0" w:line="21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If “Other” has been checked in response to the previous question, indicate by check mark which financial statement item the registrant has elected to follow.</w:t>
      </w:r>
    </w:p>
    <w:p>
      <w:pPr>
        <w:spacing w:after="0" w:line="160" w:lineRule="exact"/>
        <w:rPr>
          <w:sz w:val="20"/>
          <w:szCs w:val="20"/>
          <w:color w:val="auto"/>
        </w:rPr>
      </w:pPr>
    </w:p>
    <w:p>
      <w:pPr>
        <w:ind w:left="4080"/>
        <w:spacing w:after="0" w:line="207" w:lineRule="exact"/>
        <w:tabs>
          <w:tab w:leader="none" w:pos="4840" w:val="left"/>
          <w:tab w:leader="none" w:pos="5840" w:val="left"/>
          <w:tab w:leader="none" w:pos="6620" w:val="left"/>
        </w:tabs>
        <w:rPr>
          <w:sz w:val="20"/>
          <w:szCs w:val="20"/>
          <w:color w:val="auto"/>
        </w:rPr>
      </w:pPr>
      <w:r>
        <w:rPr>
          <w:rFonts w:ascii="Arial" w:cs="Arial" w:eastAsia="Arial" w:hAnsi="Arial"/>
          <w:sz w:val="18"/>
          <w:szCs w:val="18"/>
          <w:color w:val="auto"/>
        </w:rPr>
        <w:t>Item 17</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Item 18</w:t>
      </w:r>
      <w:r>
        <w:rPr>
          <w:sz w:val="20"/>
          <w:szCs w:val="20"/>
          <w:color w:val="auto"/>
        </w:rPr>
        <w:tab/>
      </w:r>
      <w:r>
        <w:rPr>
          <w:rFonts w:ascii="MS PGothic" w:cs="MS PGothic" w:eastAsia="MS PGothic" w:hAnsi="MS PGothic"/>
          <w:sz w:val="16"/>
          <w:szCs w:val="16"/>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this is an annual report, indicate by check mark whether the registrant is a shell company (as defined in Rule 12b-2 of the Exchange Act).</w:t>
      </w:r>
    </w:p>
    <w:p>
      <w:pPr>
        <w:spacing w:after="0" w:line="235" w:lineRule="exact"/>
        <w:rPr>
          <w:sz w:val="20"/>
          <w:szCs w:val="20"/>
          <w:color w:val="auto"/>
        </w:rPr>
      </w:pPr>
    </w:p>
    <w:p>
      <w:pPr>
        <w:ind w:left="4240"/>
        <w:spacing w:after="0" w:line="207" w:lineRule="exact"/>
        <w:tabs>
          <w:tab w:leader="none" w:pos="5060" w:val="left"/>
          <w:tab w:leader="none" w:pos="6180" w:val="left"/>
          <w:tab w:leader="none" w:pos="68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81" w:lineRule="exact"/>
        <w:rPr>
          <w:sz w:val="20"/>
          <w:szCs w:val="20"/>
          <w:color w:val="auto"/>
        </w:rPr>
      </w:pPr>
    </w:p>
    <w:p>
      <w:pPr>
        <w:ind w:left="20"/>
        <w:spacing w:after="0"/>
        <w:tabs>
          <w:tab w:leader="none" w:pos="4840" w:val="left"/>
          <w:tab w:leader="none" w:pos="8600" w:val="left"/>
        </w:tabs>
        <w:rPr>
          <w:sz w:val="20"/>
          <w:szCs w:val="20"/>
          <w:color w:val="auto"/>
        </w:rPr>
      </w:pPr>
      <w:r>
        <w:rPr>
          <w:rFonts w:ascii="Arial" w:cs="Arial" w:eastAsia="Arial" w:hAnsi="Arial"/>
          <w:sz w:val="18"/>
          <w:szCs w:val="18"/>
          <w:b w:val="1"/>
          <w:bCs w:val="1"/>
          <w:color w:val="auto"/>
        </w:rPr>
        <w:t xml:space="preserve">Auditor Name: </w:t>
      </w:r>
      <w:r>
        <w:rPr>
          <w:rFonts w:ascii="Arial" w:cs="Arial" w:eastAsia="Arial" w:hAnsi="Arial"/>
          <w:sz w:val="18"/>
          <w:szCs w:val="18"/>
          <w:color w:val="auto"/>
        </w:rPr>
        <w:t>Gaveglio, Aparicio y Asociados S.C.R.L.</w:t>
      </w:r>
      <w:r>
        <w:rPr>
          <w:sz w:val="20"/>
          <w:szCs w:val="20"/>
          <w:color w:val="auto"/>
        </w:rPr>
        <w:tab/>
      </w:r>
      <w:r>
        <w:rPr>
          <w:rFonts w:ascii="Arial" w:cs="Arial" w:eastAsia="Arial" w:hAnsi="Arial"/>
          <w:sz w:val="18"/>
          <w:szCs w:val="18"/>
          <w:b w:val="1"/>
          <w:bCs w:val="1"/>
          <w:color w:val="auto"/>
        </w:rPr>
        <w:t xml:space="preserve">Auditor Location: </w:t>
      </w:r>
      <w:r>
        <w:rPr>
          <w:rFonts w:ascii="Arial" w:cs="Arial" w:eastAsia="Arial" w:hAnsi="Arial"/>
          <w:sz w:val="18"/>
          <w:szCs w:val="18"/>
          <w:color w:val="auto"/>
        </w:rPr>
        <w:t>Lima, Perú</w:t>
      </w:r>
      <w:r>
        <w:rPr>
          <w:sz w:val="20"/>
          <w:szCs w:val="20"/>
          <w:color w:val="auto"/>
        </w:rPr>
        <w:tab/>
      </w:r>
      <w:r>
        <w:rPr>
          <w:rFonts w:ascii="Arial" w:cs="Arial" w:eastAsia="Arial" w:hAnsi="Arial"/>
          <w:sz w:val="17"/>
          <w:szCs w:val="17"/>
          <w:b w:val="1"/>
          <w:bCs w:val="1"/>
          <w:color w:val="auto"/>
        </w:rPr>
        <w:t xml:space="preserve">Auditor Firm ID: </w:t>
      </w:r>
      <w:r>
        <w:rPr>
          <w:rFonts w:ascii="Arial" w:cs="Arial" w:eastAsia="Arial" w:hAnsi="Arial"/>
          <w:sz w:val="17"/>
          <w:szCs w:val="17"/>
          <w:color w:val="auto"/>
        </w:rPr>
        <w:t>1316</w:t>
      </w:r>
    </w:p>
    <w:p>
      <w:pPr>
        <w:sectPr>
          <w:pgSz w:w="11900" w:h="16838" w:orient="portrait"/>
          <w:cols w:equalWidth="0" w:num="1">
            <w:col w:w="11240"/>
          </w:cols>
          <w:pgMar w:left="320" w:top="121"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We are filing this Amendment No. 1 (“Form 20-F/A”) to our Annual Report on Form 20-F for the Fiscal Year Ended December 31, 2021, originally filed with the Securities and Exchange Commission (the “SEC”) on April 26, 2022 (the “Form 20-F”), to re-file Section 6.E Share Ownership to include the share ownership of Irzio Pinasco M., a member of The Board of Director and The Audit Committee. This amendment does not contain other changes to data presented in this section.</w:t>
      </w:r>
    </w:p>
    <w:p>
      <w:pPr>
        <w:spacing w:after="0" w:line="214"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Except as expressly set forth in this Form 20-F/A, we are not amending any other part of the Form 20-F. This Form 20-F/A does not reflect events occurring after the filing of the Form 20-F or modify or update any related or other disclosures, including forward-looking statements, unless expressly noted otherwise. Accordingly, this Form 20-F /A should be read in conjunction with the Form 20-F.</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 E</w:t>
      </w:r>
      <w:r>
        <w:rPr>
          <w:sz w:val="20"/>
          <w:szCs w:val="20"/>
          <w:color w:val="auto"/>
        </w:rPr>
        <w:tab/>
      </w:r>
      <w:r>
        <w:rPr>
          <w:rFonts w:ascii="Arial" w:cs="Arial" w:eastAsia="Arial" w:hAnsi="Arial"/>
          <w:sz w:val="16"/>
          <w:szCs w:val="16"/>
          <w:b w:val="1"/>
          <w:bCs w:val="1"/>
          <w:color w:val="auto"/>
        </w:rPr>
        <w:t>Share Ownership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52" w:lineRule="exact"/>
        <w:rPr>
          <w:sz w:val="20"/>
          <w:szCs w:val="20"/>
          <w:color w:val="auto"/>
        </w:rPr>
      </w:pPr>
    </w:p>
    <w:p>
      <w:pPr>
        <w:jc w:val="both"/>
        <w:ind w:firstLine="510"/>
        <w:spacing w:after="0" w:line="277" w:lineRule="auto"/>
        <w:rPr>
          <w:sz w:val="20"/>
          <w:szCs w:val="20"/>
          <w:color w:val="auto"/>
        </w:rPr>
      </w:pPr>
      <w:r>
        <w:rPr>
          <w:rFonts w:ascii="Arial" w:cs="Arial" w:eastAsia="Arial" w:hAnsi="Arial"/>
          <w:sz w:val="18"/>
          <w:szCs w:val="18"/>
          <w:color w:val="auto"/>
        </w:rPr>
        <w:t>The following persons were beneficial owners of the listed numbers of common shares of Credicorp Ltd. (as the term “beneficial owner” is defined in Form 20-F) as of December 31, 2021.</w:t>
      </w:r>
    </w:p>
    <w:p>
      <w:pPr>
        <w:spacing w:after="0" w:line="180"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Director</w:t>
            </w:r>
          </w:p>
        </w:tc>
        <w:tc>
          <w:tcPr>
            <w:tcW w:w="3040" w:type="dxa"/>
            <w:vAlign w:val="bottom"/>
            <w:gridSpan w:val="3"/>
          </w:tcPr>
          <w:p>
            <w:pPr>
              <w:ind w:left="1360"/>
              <w:spacing w:after="0"/>
              <w:rPr>
                <w:sz w:val="20"/>
                <w:szCs w:val="20"/>
                <w:color w:val="auto"/>
              </w:rPr>
            </w:pPr>
            <w:r>
              <w:rPr>
                <w:rFonts w:ascii="Arial" w:cs="Arial" w:eastAsia="Arial" w:hAnsi="Arial"/>
                <w:sz w:val="18"/>
                <w:szCs w:val="18"/>
                <w:b w:val="1"/>
                <w:bCs w:val="1"/>
                <w:color w:val="auto"/>
              </w:rPr>
              <w:t>Share Ownership</w:t>
            </w:r>
          </w:p>
        </w:tc>
        <w:tc>
          <w:tcPr>
            <w:tcW w:w="170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w w:val="86"/>
              </w:rPr>
              <w:t>Percentage</w:t>
            </w:r>
          </w:p>
        </w:tc>
      </w:tr>
      <w:tr>
        <w:trPr>
          <w:trHeight w:val="28"/>
        </w:trPr>
        <w:tc>
          <w:tcPr>
            <w:tcW w:w="640" w:type="dxa"/>
            <w:vAlign w:val="bottom"/>
            <w:tcBorders>
              <w:top w:val="single" w:sz="8" w:color="auto"/>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Luis Enrique Romero B.</w:t>
            </w:r>
          </w:p>
        </w:tc>
        <w:tc>
          <w:tcPr>
            <w:tcW w:w="3040" w:type="dxa"/>
            <w:vAlign w:val="bottom"/>
            <w:gridSpan w:val="3"/>
            <w:shd w:val="clear" w:color="auto" w:fill="CCEEFF"/>
          </w:tcPr>
          <w:p>
            <w:pPr>
              <w:jc w:val="center"/>
              <w:ind w:left="1270"/>
              <w:spacing w:after="0" w:line="256" w:lineRule="exact"/>
              <w:rPr>
                <w:sz w:val="20"/>
                <w:szCs w:val="20"/>
                <w:color w:val="auto"/>
              </w:rPr>
            </w:pPr>
            <w:r>
              <w:rPr>
                <w:rFonts w:ascii="Arial" w:cs="Arial" w:eastAsia="Arial" w:hAnsi="Arial"/>
                <w:sz w:val="18"/>
                <w:szCs w:val="18"/>
                <w:color w:val="auto"/>
                <w:w w:val="87"/>
              </w:rPr>
              <w:t xml:space="preserve">11,800,147 </w:t>
            </w:r>
            <w:r>
              <w:rPr>
                <w:rFonts w:ascii="Arial" w:cs="Arial" w:eastAsia="Arial" w:hAnsi="Arial"/>
                <w:sz w:val="29"/>
                <w:szCs w:val="29"/>
                <w:color w:val="auto"/>
                <w:w w:val="87"/>
                <w:vertAlign w:val="superscript"/>
              </w:rPr>
              <w:t>(1)</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Raimundo Morales D.</w:t>
            </w:r>
          </w:p>
        </w:tc>
        <w:tc>
          <w:tcPr>
            <w:tcW w:w="2700" w:type="dxa"/>
            <w:vAlign w:val="bottom"/>
            <w:gridSpan w:val="2"/>
          </w:tcPr>
          <w:p>
            <w:pPr>
              <w:jc w:val="center"/>
              <w:ind w:left="163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Fernando Fort M.</w:t>
            </w:r>
          </w:p>
        </w:tc>
        <w:tc>
          <w:tcPr>
            <w:tcW w:w="2700" w:type="dxa"/>
            <w:vAlign w:val="bottom"/>
            <w:gridSpan w:val="2"/>
            <w:shd w:val="clear" w:color="auto" w:fill="CCEEFF"/>
          </w:tcPr>
          <w:p>
            <w:pPr>
              <w:jc w:val="center"/>
              <w:ind w:left="163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Patricia Lizarraga G.</w:t>
            </w:r>
          </w:p>
        </w:tc>
        <w:tc>
          <w:tcPr>
            <w:tcW w:w="2700" w:type="dxa"/>
            <w:vAlign w:val="bottom"/>
            <w:gridSpan w:val="2"/>
          </w:tcPr>
          <w:p>
            <w:pPr>
              <w:jc w:val="center"/>
              <w:ind w:left="163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Antonio Abruña P.</w:t>
            </w:r>
          </w:p>
        </w:tc>
        <w:tc>
          <w:tcPr>
            <w:tcW w:w="2700" w:type="dxa"/>
            <w:vAlign w:val="bottom"/>
            <w:gridSpan w:val="2"/>
            <w:shd w:val="clear" w:color="auto" w:fill="CCEEFF"/>
          </w:tcPr>
          <w:p>
            <w:pPr>
              <w:jc w:val="center"/>
              <w:ind w:left="163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Maite Aranzábal H.</w:t>
            </w:r>
          </w:p>
        </w:tc>
        <w:tc>
          <w:tcPr>
            <w:tcW w:w="2700" w:type="dxa"/>
            <w:vAlign w:val="bottom"/>
            <w:gridSpan w:val="2"/>
          </w:tcPr>
          <w:p>
            <w:pPr>
              <w:jc w:val="center"/>
              <w:ind w:left="1630"/>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Alexandre Gouvea</w:t>
            </w:r>
          </w:p>
        </w:tc>
        <w:tc>
          <w:tcPr>
            <w:tcW w:w="2700" w:type="dxa"/>
            <w:vAlign w:val="bottom"/>
            <w:gridSpan w:val="2"/>
            <w:shd w:val="clear" w:color="auto" w:fill="CCEEFF"/>
          </w:tcPr>
          <w:p>
            <w:pPr>
              <w:jc w:val="center"/>
              <w:ind w:left="163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1700"/>
        <w:spacing w:after="0" w:line="185" w:lineRule="auto"/>
        <w:rPr>
          <w:sz w:val="20"/>
          <w:szCs w:val="20"/>
          <w:color w:val="auto"/>
        </w:rPr>
      </w:pPr>
      <w:r>
        <w:rPr>
          <w:rFonts w:ascii="Arial" w:cs="Arial" w:eastAsia="Arial" w:hAnsi="Arial"/>
          <w:sz w:val="18"/>
          <w:szCs w:val="18"/>
          <w:color w:val="auto"/>
        </w:rPr>
        <w:t xml:space="preserve">Irzio Pinasco M. </w:t>
      </w:r>
      <w:r>
        <w:rPr>
          <w:rFonts w:ascii="Arial" w:cs="Arial" w:eastAsia="Arial" w:hAnsi="Arial"/>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0</wp:posOffset>
            </wp:positionV>
            <wp:extent cx="498919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89195" cy="137160"/>
                    </a:xfrm>
                    <a:prstGeom prst="rect">
                      <a:avLst/>
                    </a:prstGeom>
                    <a:noFill/>
                  </pic:spPr>
                </pic:pic>
              </a:graphicData>
            </a:graphic>
          </wp:anchor>
        </w:drawing>
      </w:r>
    </w:p>
    <w:p>
      <w:pPr>
        <w:ind w:left="1700"/>
        <w:spacing w:after="0"/>
        <w:rPr>
          <w:sz w:val="20"/>
          <w:szCs w:val="20"/>
          <w:color w:val="auto"/>
        </w:rPr>
      </w:pPr>
      <w:r>
        <w:rPr>
          <w:rFonts w:ascii="Arial" w:cs="Arial" w:eastAsia="Arial" w:hAnsi="Arial"/>
          <w:sz w:val="18"/>
          <w:szCs w:val="18"/>
          <w:color w:val="auto"/>
        </w:rPr>
        <w:t>Leslie Pierce D.</w:t>
      </w:r>
    </w:p>
    <w:p>
      <w:pPr>
        <w:spacing w:after="0" w:line="7" w:lineRule="exact"/>
        <w:rPr>
          <w:sz w:val="20"/>
          <w:szCs w:val="20"/>
          <w:color w:val="auto"/>
        </w:rPr>
      </w:pPr>
    </w:p>
    <w:p>
      <w:pPr>
        <w:ind w:left="1700" w:hanging="5"/>
        <w:spacing w:after="0" w:line="250" w:lineRule="auto"/>
        <w:tabs>
          <w:tab w:leader="none" w:pos="1962"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beneficially owned shares of the Romero family or companies owned or controlled by them).</w:t>
      </w:r>
    </w:p>
    <w:p>
      <w:pPr>
        <w:ind w:left="1960" w:hanging="265"/>
        <w:spacing w:after="0"/>
        <w:tabs>
          <w:tab w:leader="none" w:pos="1960" w:val="left"/>
        </w:tabs>
        <w:numPr>
          <w:ilvl w:val="0"/>
          <w:numId w:val="4"/>
        </w:numPr>
        <w:rPr>
          <w:rFonts w:ascii="Arial" w:cs="Arial" w:eastAsia="Arial" w:hAnsi="Arial"/>
          <w:sz w:val="17"/>
          <w:szCs w:val="17"/>
          <w:color w:val="auto"/>
        </w:rPr>
      </w:pPr>
      <w:r>
        <w:rPr>
          <w:rFonts w:ascii="Arial" w:cs="Arial" w:eastAsia="Arial" w:hAnsi="Arial"/>
          <w:sz w:val="17"/>
          <w:szCs w:val="17"/>
          <w:color w:val="auto"/>
        </w:rPr>
        <w:t>Beneficially owns less than one percent of the class.</w:t>
      </w:r>
    </w:p>
    <w:p>
      <w:pPr>
        <w:spacing w:after="0" w:line="20" w:lineRule="exact"/>
        <w:rPr>
          <w:sz w:val="20"/>
          <w:szCs w:val="20"/>
          <w:color w:val="auto"/>
        </w:rPr>
      </w:pPr>
      <w:r>
        <w:rPr>
          <w:sz w:val="20"/>
          <w:szCs w:val="20"/>
          <w:color w:val="auto"/>
        </w:rPr>
        <w:br w:type="column"/>
      </w:r>
    </w:p>
    <w:p>
      <w:pPr>
        <w:jc w:val="both"/>
        <w:ind w:left="800"/>
        <w:spacing w:after="0"/>
        <w:tabs>
          <w:tab w:leader="none" w:pos="3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35" w:lineRule="exact"/>
        <w:rPr>
          <w:sz w:val="20"/>
          <w:szCs w:val="20"/>
          <w:color w:val="auto"/>
        </w:rPr>
      </w:pPr>
    </w:p>
    <w:p>
      <w:pPr>
        <w:jc w:val="both"/>
        <w:ind w:left="820"/>
        <w:spacing w:after="0"/>
        <w:tabs>
          <w:tab w:leader="none" w:pos="33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(Mr. Luis Enrique Romero B. and their family</w:t>
      </w:r>
    </w:p>
    <w:p>
      <w:pPr>
        <w:spacing w:after="0" w:line="631" w:lineRule="exact"/>
        <w:rPr>
          <w:sz w:val="20"/>
          <w:szCs w:val="20"/>
          <w:color w:val="auto"/>
        </w:rPr>
      </w:pPr>
    </w:p>
    <w:p>
      <w:pPr>
        <w:sectPr>
          <w:pgSz w:w="11900" w:h="16838" w:orient="portrait"/>
          <w:cols w:equalWidth="0" w:num="2">
            <w:col w:w="6120" w:space="60"/>
            <w:col w:w="5060"/>
          </w:cols>
          <w:pgMar w:left="320" w:top="121" w:right="339" w:bottom="1440" w:gutter="0" w:footer="0" w:header="0"/>
          <w:type w:val="continuous"/>
        </w:sectPr>
      </w:pPr>
    </w:p>
    <w:p>
      <w:pPr>
        <w:spacing w:after="0" w:line="49" w:lineRule="exact"/>
        <w:rPr>
          <w:sz w:val="20"/>
          <w:szCs w:val="20"/>
          <w:color w:val="auto"/>
        </w:rPr>
      </w:pPr>
    </w:p>
    <w:p>
      <w:pPr>
        <w:jc w:val="both"/>
        <w:ind w:firstLine="510"/>
        <w:spacing w:after="0" w:line="308" w:lineRule="auto"/>
        <w:rPr>
          <w:sz w:val="20"/>
          <w:szCs w:val="20"/>
          <w:color w:val="auto"/>
        </w:rPr>
      </w:pPr>
      <w:r>
        <w:rPr>
          <w:rFonts w:ascii="Arial" w:cs="Arial" w:eastAsia="Arial" w:hAnsi="Arial"/>
          <w:sz w:val="17"/>
          <w:szCs w:val="17"/>
          <w:color w:val="auto"/>
        </w:rPr>
        <w:t>Common shares held by our Directors and our senior management do not have voting rights different from shares held by our other shareholders. As of December 31, 2021, there are no stock options granted by Credicorp to acquire any of Credicorp’s outstanding common shares.</w:t>
      </w:r>
    </w:p>
    <w:p>
      <w:pPr>
        <w:spacing w:after="0" w:line="1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Senior Management</w:t>
      </w:r>
    </w:p>
    <w:p>
      <w:pPr>
        <w:spacing w:after="0" w:line="252"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Excluding Mr. Luis Romero Belismelis, our Executive Chairman, whose share ownership is set forth above, as of December 31, 2021, members of our senior management, as defined in “ITEM 6. DIRECTORS, SENIOR MANAGEMENT AND EMPLOYEES” own 128,111 Credicorp shares, which represents 0.14% of our total outstanding shares. While each member of our senior management owns Credicorp shares, none (other than our Executive Chairman) owns more than 1% of our total outstanding shares.</w:t>
      </w: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ind w:left="520"/>
        <w:spacing w:after="0"/>
        <w:rPr>
          <w:sz w:val="20"/>
          <w:szCs w:val="20"/>
          <w:color w:val="auto"/>
        </w:rPr>
      </w:pPr>
      <w:r>
        <w:rPr>
          <w:rFonts w:ascii="Arial" w:cs="Arial" w:eastAsia="Arial" w:hAnsi="Arial"/>
          <w:sz w:val="18"/>
          <w:szCs w:val="18"/>
          <w:b w:val="1"/>
          <w:bCs w:val="1"/>
          <w:i w:val="1"/>
          <w:iCs w:val="1"/>
          <w:color w:val="auto"/>
        </w:rPr>
        <w:t>Employees</w:t>
      </w:r>
    </w:p>
    <w:p>
      <w:pPr>
        <w:spacing w:after="0" w:line="252"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As of December 31, 2021, Credicorp’s employees, excluding the senior management, own 677,969 Credicorp shares (granted by Credicorp as part of Credicorp’s long-term compensation program for its key employees and purchased by Credicorp’s employees), which represents 0.72% of our total outstanding shares.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2022-05-19T15:11:18Z</dcterms:created>
  <dcterms:modified xsi:type="dcterms:W3CDTF">2022-05-19T15:11:18Z</dcterms:modified>
</cp:coreProperties>
</file>