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6-K/A</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Report of Foreign Private Issuer</w:t>
      </w:r>
    </w:p>
    <w:p>
      <w:pPr>
        <w:jc w:val="center"/>
        <w:spacing w:after="0" w:line="238" w:lineRule="auto"/>
        <w:rPr>
          <w:sz w:val="20"/>
          <w:szCs w:val="20"/>
          <w:color w:val="auto"/>
        </w:rPr>
      </w:pPr>
      <w:r>
        <w:rPr>
          <w:rFonts w:ascii="Arial" w:cs="Arial" w:eastAsia="Arial" w:hAnsi="Arial"/>
          <w:sz w:val="22"/>
          <w:szCs w:val="22"/>
          <w:color w:val="auto"/>
        </w:rPr>
        <w:t>Pursuant to Rule 13a-16 or 15d-16 of the</w:t>
      </w:r>
    </w:p>
    <w:p>
      <w:pPr>
        <w:jc w:val="center"/>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ind w:left="4100"/>
        <w:spacing w:after="0"/>
        <w:rPr>
          <w:sz w:val="20"/>
          <w:szCs w:val="20"/>
          <w:color w:val="auto"/>
        </w:rPr>
      </w:pPr>
      <w:r>
        <w:rPr>
          <w:rFonts w:ascii="Arial" w:cs="Arial" w:eastAsia="Arial" w:hAnsi="Arial"/>
          <w:sz w:val="22"/>
          <w:szCs w:val="22"/>
          <w:b w:val="1"/>
          <w:bCs w:val="1"/>
          <w:color w:val="auto"/>
        </w:rPr>
        <w:t>For the month of February, 2005</w:t>
      </w:r>
    </w:p>
    <w:p>
      <w:pPr>
        <w:spacing w:after="0" w:line="206" w:lineRule="exact"/>
        <w:rPr>
          <w:sz w:val="24"/>
          <w:szCs w:val="24"/>
          <w:color w:val="auto"/>
        </w:rPr>
      </w:pPr>
    </w:p>
    <w:p>
      <w:pPr>
        <w:ind w:left="4040"/>
        <w:spacing w:after="0"/>
        <w:rPr>
          <w:sz w:val="20"/>
          <w:szCs w:val="20"/>
          <w:color w:val="auto"/>
        </w:rPr>
      </w:pPr>
      <w:r>
        <w:rPr>
          <w:rFonts w:ascii="Arial" w:cs="Arial" w:eastAsia="Arial" w:hAnsi="Arial"/>
          <w:sz w:val="22"/>
          <w:szCs w:val="22"/>
          <w:b w:val="1"/>
          <w:bCs w:val="1"/>
          <w:color w:val="auto"/>
        </w:rPr>
        <w:t>Commission File Number 1-14014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2795270</wp:posOffset>
            </wp:positionH>
            <wp:positionV relativeFrom="paragraph">
              <wp:posOffset>172085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35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Church Street</w:t>
      </w:r>
    </w:p>
    <w:p>
      <w:pPr>
        <w:jc w:val="center"/>
        <w:spacing w:after="0"/>
        <w:rPr>
          <w:sz w:val="20"/>
          <w:szCs w:val="20"/>
          <w:color w:val="auto"/>
        </w:rPr>
      </w:pPr>
      <w:r>
        <w:rPr>
          <w:rFonts w:ascii="Arial" w:cs="Arial" w:eastAsia="Arial" w:hAnsi="Arial"/>
          <w:sz w:val="22"/>
          <w:szCs w:val="22"/>
          <w:b w:val="1"/>
          <w:bCs w:val="1"/>
          <w:color w:val="auto"/>
        </w:rPr>
        <w:t>Hamilton HM 11 Bermuda</w:t>
      </w:r>
    </w:p>
    <w:p>
      <w:pPr>
        <w:jc w:val="center"/>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06" w:lineRule="exact"/>
        <w:rPr>
          <w:sz w:val="24"/>
          <w:szCs w:val="24"/>
          <w:color w:val="auto"/>
        </w:rPr>
      </w:pPr>
    </w:p>
    <w:p>
      <w:pPr>
        <w:ind w:left="382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 ____</w:t>
      </w: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 ____</w:t>
      </w:r>
    </w:p>
    <w:p>
      <w:pPr>
        <w:spacing w:after="0" w:line="241" w:lineRule="exact"/>
        <w:rPr>
          <w:sz w:val="24"/>
          <w:szCs w:val="24"/>
          <w:color w:val="auto"/>
        </w:rPr>
      </w:pPr>
    </w:p>
    <w:p>
      <w:pPr>
        <w:ind w:left="1100" w:right="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400"/>
        <w:spacing w:after="0"/>
        <w:rPr>
          <w:sz w:val="20"/>
          <w:szCs w:val="20"/>
          <w:color w:val="auto"/>
        </w:rPr>
      </w:pPr>
      <w:r>
        <w:rPr>
          <w:rFonts w:ascii="Arial" w:cs="Arial" w:eastAsia="Arial" w:hAnsi="Arial"/>
          <w:sz w:val="22"/>
          <w:szCs w:val="22"/>
          <w:color w:val="auto"/>
        </w:rPr>
        <w:t>Yes _______ No ___X____</w:t>
      </w:r>
    </w:p>
    <w:p>
      <w:pPr>
        <w:spacing w:after="0" w:line="206" w:lineRule="exact"/>
        <w:rPr>
          <w:sz w:val="24"/>
          <w:szCs w:val="24"/>
          <w:color w:val="auto"/>
        </w:rPr>
      </w:pPr>
    </w:p>
    <w:p>
      <w:pPr>
        <w:ind w:left="160"/>
        <w:spacing w:after="0"/>
        <w:rPr>
          <w:sz w:val="20"/>
          <w:szCs w:val="20"/>
          <w:color w:val="auto"/>
        </w:rPr>
      </w:pPr>
      <w:r>
        <w:rPr>
          <w:rFonts w:ascii="Arial" w:cs="Arial" w:eastAsia="Arial" w:hAnsi="Arial"/>
          <w:sz w:val="19"/>
          <w:szCs w:val="19"/>
          <w:color w:val="auto"/>
        </w:rPr>
        <w:t>If "Yes" is marked, indicate below the file number assigned to the registrant in connection with Rule 12g3-2(b): 82- 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-59690</wp:posOffset>
            </wp:positionH>
            <wp:positionV relativeFrom="paragraph">
              <wp:posOffset>164465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340" w:top="517" w:right="339" w:bottom="1440" w:gutter="0" w:footer="0" w:header="0"/>
        </w:sectPr>
      </w:pPr>
    </w:p>
    <w:bookmarkStart w:id="1" w:name="page2"/>
    <w:bookmarkEnd w:id="1"/>
    <w:p>
      <w:pPr>
        <w:jc w:val="both"/>
        <w:spacing w:after="0" w:line="255" w:lineRule="auto"/>
        <w:rPr>
          <w:sz w:val="20"/>
          <w:szCs w:val="20"/>
          <w:color w:val="auto"/>
        </w:rPr>
      </w:pPr>
      <w:r>
        <w:rPr>
          <w:rFonts w:ascii="Arial" w:cs="Arial" w:eastAsia="Arial" w:hAnsi="Arial"/>
          <w:sz w:val="18"/>
          <w:szCs w:val="18"/>
          <w:color w:val="auto"/>
        </w:rPr>
        <w:t>On February 17, 2005, Credicorp Ltd. (the “Company”) filed a Report of Foreign Private Issuer on Form 6-K with the Securities and Exchange Commission regarding an English translation of a letter sent to the Peruvian securities commission (Comision Nacional Supervisora de Empresas y Valores – CONASEV) regarding the declaration of a cash dividend to Credicorp’s shareholders. The Company is filing this Form 6-K/A in order to amend the Form 6-K to correct the Record Date indicated in the translation. The correct Record Date is April 19, 2005. This Report on Form 6-K/A replaces in its entirety the Report on Form 6-K filed on February 17, 2005.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February 17,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Messrs.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COMISIÓN NACIONAL SUPERVISORA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 EMPRESAS Y VALORES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CONASEV</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LTD., in accordance with article 28 of the Capital Markets Law and CONASEV Resolution for Material Events and Reserved Information and Other Communications number 107-2002-EF/94.10, as modified by CONASEV Resolution number 009-2003-EF/94.10, complies with notifying you of the following Material Event:</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 session held on February 17, 2005, Credicorp’s Board of Directors agreed to pay its shareholders a cash dividend of US$75,505,853.60, to a total of 94,382,317 outstanding common shares, which amount to US$0.80 per share.</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Board declares this dividend in accordance with the company’s Bye-laws and considering that consolidated net income reached US$130.7 million during fiscal year 2004.</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This dividend will be payable on May 2, 2005 to shareholders who are registered as shareholders of the Company on April 19, 2005 (“Record Date”), for which shares should be acquired on or before April 14,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ectPr>
          <w:pgSz w:w="11900" w:h="16838" w:orient="portrait"/>
          <w:cols w:equalWidth="0" w:num="1">
            <w:col w:w="11420"/>
          </w:cols>
          <w:pgMar w:left="240" w:top="806"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Fernando Palao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ectPr>
          <w:pgSz w:w="11900" w:h="16838" w:orient="portrait"/>
          <w:cols w:equalWidth="0" w:num="2">
            <w:col w:w="180" w:space="440"/>
            <w:col w:w="10800"/>
          </w:cols>
          <w:pgMar w:left="240" w:top="806" w:right="239" w:bottom="1440" w:gutter="0" w:footer="0" w:header="0"/>
          <w:type w:val="continuous"/>
        </w:sectPr>
      </w:pPr>
    </w:p>
    <w:bookmarkStart w:id="2" w:name="page3"/>
    <w:bookmarkEnd w:id="2"/>
    <w:p>
      <w:pPr>
        <w:jc w:val="center"/>
        <w:ind w:right="-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18,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622300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360"/>
      </w:cols>
      <w:pgMar w:left="240" w:top="855"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2019-12-14T06:45:23Z</dcterms:created>
  <dcterms:modified xsi:type="dcterms:W3CDTF">2019-12-14T06:45:23Z</dcterms:modified>
</cp:coreProperties>
</file>