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04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040"/>
        <w:spacing w:after="0"/>
        <w:rPr>
          <w:sz w:val="20"/>
          <w:szCs w:val="20"/>
          <w:color w:val="auto"/>
        </w:rPr>
      </w:pPr>
      <w:r>
        <w:rPr>
          <w:rFonts w:ascii="Arial" w:cs="Arial" w:eastAsia="Arial" w:hAnsi="Arial"/>
          <w:sz w:val="32"/>
          <w:szCs w:val="32"/>
          <w:b w:val="1"/>
          <w:bCs w:val="1"/>
          <w:color w:val="auto"/>
        </w:rPr>
        <w:t>FORM 6-K</w:t>
      </w:r>
    </w:p>
    <w:p>
      <w:pPr>
        <w:spacing w:after="0" w:line="23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For the month of February 2023</w:t>
      </w:r>
    </w:p>
    <w:p>
      <w:pPr>
        <w:spacing w:after="0" w:line="22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Commission File Number: 001-14014</w:t>
      </w:r>
    </w:p>
    <w:p>
      <w:pPr>
        <w:spacing w:after="0" w:line="196" w:lineRule="exact"/>
        <w:rPr>
          <w:sz w:val="24"/>
          <w:szCs w:val="24"/>
          <w:color w:val="auto"/>
        </w:rPr>
      </w:pPr>
    </w:p>
    <w:p>
      <w:pPr>
        <w:jc w:val="center"/>
        <w:ind w:right="-1040"/>
        <w:spacing w:after="0"/>
        <w:rPr>
          <w:sz w:val="20"/>
          <w:szCs w:val="20"/>
          <w:color w:val="auto"/>
        </w:rPr>
      </w:pPr>
      <w:r>
        <w:rPr>
          <w:rFonts w:ascii="Arial" w:cs="Arial" w:eastAsia="Arial" w:hAnsi="Arial"/>
          <w:sz w:val="43"/>
          <w:szCs w:val="43"/>
          <w:b w:val="1"/>
          <w:bCs w:val="1"/>
          <w:color w:val="auto"/>
        </w:rPr>
        <w:t>CREDICORP LTD.</w:t>
      </w:r>
    </w:p>
    <w:p>
      <w:pPr>
        <w:spacing w:after="0" w:line="50"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La Molina 15026</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Lima, Peru</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58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219075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313690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450850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35"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25625"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25625" cy="342900"/>
                    </a:xfrm>
                    <a:prstGeom prst="rect">
                      <a:avLst/>
                    </a:prstGeom>
                    <a:noFill/>
                  </pic:spPr>
                </pic:pic>
              </a:graphicData>
            </a:graphic>
          </wp:anchor>
        </w:drawing>
        <w:t>February 27,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Credicorp Ltd. (‘Credicorp’) notifies you, as a Material Event, that in its session held on February 23, 2023, the company’s Board of Directors agreed unanimously on the following matters:</w:t>
      </w:r>
    </w:p>
    <w:p>
      <w:pPr>
        <w:spacing w:after="0" w:line="170" w:lineRule="exact"/>
        <w:rPr>
          <w:sz w:val="20"/>
          <w:szCs w:val="20"/>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Annual and Sustainability Report of Credicorp for the financial year ended December 31, 2022, that the Chairman will present at the Annual General Meeting of Shareholders on March 27, 2023, at 3:00 p. m. (Peru time) (the ‘AGM’).</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audited consolidated financial statements of Credicorp and its subsidiaries for the financial year ended December 31, 2022, including the report of the external auditors Gaveglio Aparicio y Asociados Sociedad de Responsabilidad Limitada, members of PricewaterhouseCoopers in Peru, that the Chairman will present at the AGM.</w:t>
      </w:r>
    </w:p>
    <w:p>
      <w:pPr>
        <w:spacing w:after="0" w:line="183" w:lineRule="exact"/>
        <w:rPr>
          <w:rFonts w:ascii="Arial" w:cs="Arial" w:eastAsia="Arial" w:hAnsi="Arial"/>
          <w:sz w:val="18"/>
          <w:szCs w:val="18"/>
          <w:color w:val="auto"/>
        </w:rPr>
      </w:pPr>
    </w:p>
    <w:p>
      <w:pPr>
        <w:ind w:left="340" w:right="20" w:hanging="332"/>
        <w:spacing w:after="0" w:line="25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to present for approval to the AGM: (i) the list of proposed candidates that will hold office for the period 2023 – 2026, and (ii) their remuneration. The proposed candidates are: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Antonio Abruña Puyol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Nuria Aliño Pérez</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María Teresa Aranzábal Harreguy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Alexandre Gouvêa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Patricia Lizárraga Guthertz</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Raimundo Morales Dasso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Leslie Pierce Diez-Canseco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Luis Romero Belismelis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Pedro Rubio Feijóo</w:t>
      </w:r>
    </w:p>
    <w:p>
      <w:pPr>
        <w:spacing w:after="0" w:line="21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Agreed to recommend for consideration of the AGM (i) the appointment of Tanaka, Valdivia &amp; Asociados S. Civil de R.L., members of Ernst &amp; Young Global in Peru, as the external auditors of Credicorp and its subsidiaries for the financial year 2023, with the previous authorization of the Audit Committee; and (ii) the delegation of the power to set and approve fees for such audit services to the Board of Directors (for further delegation to the Audit Committee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Documents mentioned above are available through the following hyperlink: </w:t>
      </w:r>
      <w:r>
        <w:rPr>
          <w:rFonts w:ascii="Arial" w:cs="Arial" w:eastAsia="Arial" w:hAnsi="Arial"/>
          <w:sz w:val="18"/>
          <w:szCs w:val="18"/>
          <w:u w:val="single" w:color="auto"/>
          <w:color w:val="auto"/>
        </w:rPr>
        <w:t>https://credicorp.gcs-web.com/annual-materials.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and any information available through the hyperlink above)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February 27, 2023</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25203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0315" cy="17145"/>
                    </a:xfrm>
                    <a:prstGeom prst="rect">
                      <a:avLst/>
                    </a:prstGeom>
                    <a:noFill/>
                  </pic:spPr>
                </pic:pic>
              </a:graphicData>
            </a:graphic>
          </wp:anchor>
        </w:drawing>
      </w:r>
    </w:p>
    <w:p>
      <w:pPr>
        <w:spacing w:after="0" w:line="12"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Miriam Böttger</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21"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2023-02-27T05:18:18Z</dcterms:created>
  <dcterms:modified xsi:type="dcterms:W3CDTF">2023-02-27T05:18:18Z</dcterms:modified>
</cp:coreProperties>
</file>