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March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March 31</w:t>
      </w:r>
      <w:r>
        <w:rPr>
          <w:rFonts w:ascii="Arial" w:cs="Arial" w:eastAsia="Arial" w:hAnsi="Arial"/>
          <w:sz w:val="30"/>
          <w:szCs w:val="30"/>
          <w:color w:val="auto"/>
          <w:vertAlign w:val="superscript"/>
        </w:rPr>
        <w:t>st</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Credicorp’s Annual General Meeting of Shareholders, in its session held on March 31</w:t>
      </w:r>
      <w:r>
        <w:rPr>
          <w:rFonts w:ascii="Arial" w:cs="Arial" w:eastAsia="Arial" w:hAnsi="Arial"/>
          <w:sz w:val="30"/>
          <w:szCs w:val="30"/>
          <w:color w:val="auto"/>
          <w:vertAlign w:val="superscript"/>
        </w:rPr>
        <w:t>st</w:t>
      </w:r>
      <w:r>
        <w:rPr>
          <w:rFonts w:ascii="Arial" w:cs="Arial" w:eastAsia="Arial" w:hAnsi="Arial"/>
          <w:sz w:val="18"/>
          <w:szCs w:val="18"/>
          <w:color w:val="auto"/>
        </w:rPr>
        <w:t>, 2017, agreed on the following matters:</w:t>
      </w:r>
    </w:p>
    <w:p>
      <w:pPr>
        <w:spacing w:after="0" w:line="344" w:lineRule="exact"/>
        <w:rPr>
          <w:sz w:val="20"/>
          <w:szCs w:val="20"/>
          <w:color w:val="auto"/>
        </w:rPr>
      </w:pPr>
    </w:p>
    <w:p>
      <w:pPr>
        <w:jc w:val="both"/>
        <w:ind w:left="960" w:hanging="317"/>
        <w:spacing w:after="0" w:line="214" w:lineRule="auto"/>
        <w:tabs>
          <w:tab w:leader="none" w:pos="96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To approve the audited consolidated financial statements of the Company and its subsidiaries for the financial year ended December 31</w:t>
      </w:r>
      <w:r>
        <w:rPr>
          <w:rFonts w:ascii="Arial" w:cs="Arial" w:eastAsia="Arial" w:hAnsi="Arial"/>
          <w:sz w:val="28"/>
          <w:szCs w:val="28"/>
          <w:color w:val="auto"/>
          <w:vertAlign w:val="superscript"/>
        </w:rPr>
        <w:t>st</w:t>
      </w:r>
      <w:r>
        <w:rPr>
          <w:rFonts w:ascii="Arial" w:cs="Arial" w:eastAsia="Arial" w:hAnsi="Arial"/>
          <w:sz w:val="17"/>
          <w:szCs w:val="17"/>
          <w:color w:val="auto"/>
        </w:rPr>
        <w:t>, 2016, including the report of the independent external auditors of the Company thereon Gaveglio, Aparicio y Asociados Sociedad de Responsabilidad Limitada, a member firm of PricewaterhouseCoopers.</w:t>
      </w:r>
    </w:p>
    <w:p>
      <w:pPr>
        <w:spacing w:after="0" w:line="203" w:lineRule="exact"/>
        <w:rPr>
          <w:rFonts w:ascii="Arial" w:cs="Arial" w:eastAsia="Arial" w:hAnsi="Arial"/>
          <w:sz w:val="34"/>
          <w:szCs w:val="34"/>
          <w:color w:val="auto"/>
          <w:vertAlign w:val="superscript"/>
        </w:rPr>
      </w:pPr>
    </w:p>
    <w:p>
      <w:pPr>
        <w:ind w:left="960" w:right="20" w:hanging="317"/>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Directors of the Company who will hold office until the Annual General Meeting of Shareholders in the third successive year of the year of their appointment, which is the Annual General Meeting of Shareholders of 2020:</w:t>
      </w:r>
    </w:p>
    <w:p>
      <w:pPr>
        <w:spacing w:after="0" w:line="170"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Benedicto Cigüeñas Guevara</w:t>
      </w:r>
    </w:p>
    <w:p>
      <w:pPr>
        <w:spacing w:after="0" w:line="23"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Martín Pérez Monteverde</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Dionisio Romero Paoletti</w:t>
      </w:r>
    </w:p>
    <w:p>
      <w:pPr>
        <w:spacing w:after="0" w:line="9" w:lineRule="exact"/>
        <w:rPr>
          <w:rFonts w:ascii="Arial" w:cs="Arial" w:eastAsia="Arial" w:hAnsi="Arial"/>
          <w:sz w:val="18"/>
          <w:szCs w:val="18"/>
          <w:color w:val="auto"/>
        </w:rPr>
      </w:pPr>
    </w:p>
    <w:p>
      <w:pPr>
        <w:ind w:left="1080" w:hanging="111"/>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Juan Carlos Verme Giannoni</w:t>
      </w:r>
    </w:p>
    <w:p>
      <w:pPr>
        <w:spacing w:after="0" w:line="210" w:lineRule="exact"/>
        <w:rPr>
          <w:rFonts w:ascii="Arial" w:cs="Arial" w:eastAsia="Arial" w:hAnsi="Arial"/>
          <w:sz w:val="18"/>
          <w:szCs w:val="18"/>
          <w:color w:val="auto"/>
        </w:rPr>
      </w:pPr>
    </w:p>
    <w:p>
      <w:pPr>
        <w:jc w:val="both"/>
        <w:ind w:left="960" w:right="20" w:hanging="317"/>
        <w:spacing w:after="0" w:line="31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pay an annual remuneration of US$130,000 to each of Credicorp’s directors that serves on our Board of Directors and to pay a remuneration of US$1,500 for each session attended by each director who serves on the Executive Committee of Credicorp. This additional compensation will not be paid to directors of Credicorp who receive compensation for attending sessions of the Executive Committee of Banco de Credito del Peru.</w:t>
      </w:r>
    </w:p>
    <w:p>
      <w:pPr>
        <w:spacing w:after="0" w:line="146" w:lineRule="exact"/>
        <w:rPr>
          <w:rFonts w:ascii="Arial" w:cs="Arial" w:eastAsia="Arial" w:hAnsi="Arial"/>
          <w:sz w:val="16"/>
          <w:szCs w:val="16"/>
          <w:color w:val="auto"/>
        </w:rPr>
      </w:pPr>
    </w:p>
    <w:p>
      <w:pPr>
        <w:ind w:left="960"/>
        <w:spacing w:after="0" w:line="277" w:lineRule="auto"/>
        <w:rPr>
          <w:rFonts w:ascii="Arial" w:cs="Arial" w:eastAsia="Arial" w:hAnsi="Arial"/>
          <w:sz w:val="16"/>
          <w:szCs w:val="16"/>
          <w:color w:val="auto"/>
        </w:rPr>
      </w:pPr>
      <w:r>
        <w:rPr>
          <w:rFonts w:ascii="Arial" w:cs="Arial" w:eastAsia="Arial" w:hAnsi="Arial"/>
          <w:sz w:val="18"/>
          <w:szCs w:val="18"/>
          <w:color w:val="auto"/>
        </w:rPr>
        <w:t>To maintain the additional annual remuneration of US$40,000 to each director who participates in the Audit Committee and to each director of Credicorp’s subsidiaries who serves as an advisor to the Audit Committee.</w:t>
      </w:r>
    </w:p>
    <w:p>
      <w:pPr>
        <w:spacing w:after="0" w:line="170"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These are gross amounts and have been determined following the recommendations of our Compensations Committee.</w:t>
      </w:r>
    </w:p>
    <w:p>
      <w:pPr>
        <w:spacing w:after="0" w:line="225" w:lineRule="exact"/>
        <w:rPr>
          <w:rFonts w:ascii="Arial" w:cs="Arial" w:eastAsia="Arial" w:hAnsi="Arial"/>
          <w:sz w:val="16"/>
          <w:szCs w:val="16"/>
          <w:color w:val="auto"/>
        </w:rPr>
      </w:pPr>
    </w:p>
    <w:p>
      <w:pPr>
        <w:jc w:val="both"/>
        <w:ind w:left="960" w:hanging="317"/>
        <w:spacing w:after="0" w:line="264"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Gaveglio, Aparicio y Asociados Sociedad de Responsabilidad Limitada, a member firm of PricewaterhouseCoopers, as the independent external auditors of the Company to hold office for the financial year 2017, and to delegate the approval of the independent external auditor’s annual fees to its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31</w:t>
      </w:r>
      <w:r>
        <w:rPr>
          <w:rFonts w:ascii="Arial" w:cs="Arial" w:eastAsia="Arial" w:hAnsi="Arial"/>
          <w:sz w:val="30"/>
          <w:szCs w:val="30"/>
          <w:color w:val="auto"/>
          <w:vertAlign w:val="superscript"/>
        </w:rPr>
        <w:t>st</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2019-12-06T02:51:47Z</dcterms:created>
  <dcterms:modified xsi:type="dcterms:W3CDTF">2019-12-06T02:51:47Z</dcterms:modified>
</cp:coreProperties>
</file>