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202565</wp:posOffset>
            </wp:positionH>
            <wp:positionV relativeFrom="page">
              <wp:posOffset>151765</wp:posOffset>
            </wp:positionV>
            <wp:extent cx="7143750" cy="311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3750" cy="31115"/>
                    </a:xfrm>
                    <a:prstGeom prst="rect">
                      <a:avLst/>
                    </a:prstGeom>
                    <a:noFill/>
                  </pic:spPr>
                </pic:pic>
              </a:graphicData>
            </a:graphic>
          </wp:anchor>
        </w:drawing>
        <w:drawing>
          <wp:anchor simplePos="0" relativeHeight="251657728" behindDoc="1" locked="0" layoutInCell="0" allowOverlap="1">
            <wp:simplePos x="0" y="0"/>
            <wp:positionH relativeFrom="page">
              <wp:posOffset>202565</wp:posOffset>
            </wp:positionH>
            <wp:positionV relativeFrom="page">
              <wp:posOffset>261620</wp:posOffset>
            </wp:positionV>
            <wp:extent cx="714375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3750" cy="7620"/>
                    </a:xfrm>
                    <a:prstGeom prst="rect">
                      <a:avLst/>
                    </a:prstGeom>
                    <a:noFill/>
                  </pic:spPr>
                </pic:pic>
              </a:graphicData>
            </a:graphic>
          </wp:anchor>
        </w:drawing>
        <w:t>SECURITIES AND EXCHANGE COMMISSION</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FORM 6-K</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Report of Foreign Private Issuer</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Pursuant to Rule 13a-16 or 15d-16 under the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Exchange Act of 1934</w:t>
      </w:r>
    </w:p>
    <w:p>
      <w:pPr>
        <w:spacing w:after="0" w:line="19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month of Nov 2023</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Commission File Number: 001-14014</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CREDICORP LTD.</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(Translation of registrant’s name into English)</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Of our subsidiary</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Banco de Credito del Peru:</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Calle Centenario 156</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La Molina</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Lima 12, Peru</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w:t>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170" w:lineRule="exact"/>
        <w:rPr>
          <w:sz w:val="24"/>
          <w:szCs w:val="24"/>
          <w:color w:val="auto"/>
        </w:rPr>
      </w:pPr>
    </w:p>
    <w:p>
      <w:pPr>
        <w:jc w:val="center"/>
        <w:spacing w:after="0" w:line="184" w:lineRule="exact"/>
        <w:rPr>
          <w:sz w:val="20"/>
          <w:szCs w:val="20"/>
          <w:color w:val="auto"/>
        </w:rPr>
      </w:pPr>
      <w:r>
        <w:rPr>
          <w:rFonts w:ascii="Arial" w:cs="Arial" w:eastAsia="Arial" w:hAnsi="Arial"/>
          <w:sz w:val="16"/>
          <w:szCs w:val="16"/>
          <w:color w:val="auto"/>
        </w:rPr>
        <w:t xml:space="preserve">Form 20-F </w:t>
      </w:r>
      <w:r>
        <w:rPr>
          <w:rFonts w:ascii="MS PGothic" w:cs="MS PGothic" w:eastAsia="MS PGothic" w:hAnsi="MS PGothic"/>
          <w:sz w:val="16"/>
          <w:szCs w:val="16"/>
          <w:color w:val="auto"/>
        </w:rPr>
        <w:t>☒</w:t>
      </w:r>
      <w:r>
        <w:rPr>
          <w:rFonts w:ascii="Arial" w:cs="Arial" w:eastAsia="Arial" w:hAnsi="Arial"/>
          <w:sz w:val="16"/>
          <w:szCs w:val="16"/>
          <w:color w:val="auto"/>
        </w:rPr>
        <w:t xml:space="preserve"> Form 40-F </w:t>
      </w:r>
      <w:r>
        <w:rPr>
          <w:rFonts w:ascii="MS PGothic" w:cs="MS PGothic" w:eastAsia="MS PGothic" w:hAnsi="MS PGothic"/>
          <w:sz w:val="16"/>
          <w:szCs w:val="16"/>
          <w:color w:val="auto"/>
        </w:rPr>
        <w:t>☐</w:t>
      </w:r>
    </w:p>
    <w:p>
      <w:pPr>
        <w:spacing w:after="0" w:line="254" w:lineRule="exact"/>
        <w:rPr>
          <w:sz w:val="24"/>
          <w:szCs w:val="24"/>
          <w:color w:val="auto"/>
        </w:rPr>
      </w:pPr>
    </w:p>
    <w:p>
      <w:pPr>
        <w:ind w:left="4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w:t>
      </w:r>
    </w:p>
    <w:p>
      <w:pPr>
        <w:spacing w:after="0" w:line="212" w:lineRule="exact"/>
        <w:rPr>
          <w:sz w:val="24"/>
          <w:szCs w:val="24"/>
          <w:color w:val="auto"/>
        </w:rPr>
      </w:pPr>
    </w:p>
    <w:p>
      <w:pPr>
        <w:ind w:left="4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w:t>
      </w:r>
    </w:p>
    <w:p>
      <w:pPr>
        <w:spacing w:after="0" w:line="212" w:lineRule="exact"/>
        <w:rPr>
          <w:sz w:val="24"/>
          <w:szCs w:val="24"/>
          <w:color w:val="auto"/>
        </w:rPr>
      </w:pPr>
    </w:p>
    <w:p>
      <w:pPr>
        <w:jc w:val="both"/>
        <w:spacing w:after="0" w:line="274" w:lineRule="auto"/>
        <w:rPr>
          <w:sz w:val="20"/>
          <w:szCs w:val="20"/>
          <w:color w:val="auto"/>
        </w:rPr>
      </w:pPr>
      <w:r>
        <w:rPr>
          <w:rFonts w:ascii="Arial" w:cs="Arial" w:eastAsia="Arial" w:hAnsi="Arial"/>
          <w:sz w:val="16"/>
          <w:szCs w:val="16"/>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157480</wp:posOffset>
            </wp:positionV>
            <wp:extent cx="714375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375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243840</wp:posOffset>
            </wp:positionV>
            <wp:extent cx="7143750" cy="311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3750" cy="311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369570</wp:posOffset>
            </wp:positionV>
            <wp:extent cx="7143750" cy="15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477" w:right="339" w:bottom="1440" w:gutter="0" w:footer="0" w:header="0"/>
        </w:sectPr>
      </w:pPr>
    </w:p>
    <w:bookmarkStart w:id="1" w:name="page2"/>
    <w:bookmarkEnd w:id="1"/>
    <w:p>
      <w:pPr>
        <w:jc w:val="center"/>
        <w:ind w:right="-459"/>
        <w:spacing w:after="0"/>
        <w:rPr>
          <w:sz w:val="20"/>
          <w:szCs w:val="20"/>
          <w:color w:val="auto"/>
        </w:rPr>
      </w:pPr>
      <w:r>
        <w:rPr>
          <w:rFonts w:ascii="Arial" w:cs="Arial" w:eastAsia="Arial" w:hAnsi="Arial"/>
          <w:sz w:val="16"/>
          <w:szCs w:val="16"/>
          <w:b w:val="1"/>
          <w:bCs w:val="1"/>
          <w:color w:val="auto"/>
        </w:rPr>
        <w:t>SIGNATURE</w:t>
      </w:r>
    </w:p>
    <w:p>
      <w:pPr>
        <w:spacing w:after="0" w:line="216" w:lineRule="exact"/>
        <w:rPr>
          <w:sz w:val="20"/>
          <w:szCs w:val="20"/>
          <w:color w:val="auto"/>
        </w:rPr>
      </w:pPr>
    </w:p>
    <w:p>
      <w:pPr>
        <w:ind w:firstLine="489"/>
        <w:spacing w:after="0" w:line="29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38" w:lineRule="exact"/>
        <w:rPr>
          <w:sz w:val="20"/>
          <w:szCs w:val="20"/>
          <w:color w:val="auto"/>
        </w:rPr>
      </w:pPr>
    </w:p>
    <w:p>
      <w:pPr>
        <w:ind w:left="480"/>
        <w:spacing w:after="0"/>
        <w:rPr>
          <w:sz w:val="20"/>
          <w:szCs w:val="20"/>
          <w:color w:val="auto"/>
        </w:rPr>
      </w:pPr>
      <w:r>
        <w:rPr>
          <w:rFonts w:ascii="Arial" w:cs="Arial" w:eastAsia="Arial" w:hAnsi="Arial"/>
          <w:sz w:val="16"/>
          <w:szCs w:val="16"/>
          <w:color w:val="auto"/>
        </w:rPr>
        <w:t>Date: November 3</w:t>
      </w:r>
      <w:r>
        <w:rPr>
          <w:rFonts w:ascii="Arial" w:cs="Arial" w:eastAsia="Arial" w:hAnsi="Arial"/>
          <w:sz w:val="27"/>
          <w:szCs w:val="27"/>
          <w:color w:val="auto"/>
          <w:vertAlign w:val="superscript"/>
        </w:rPr>
        <w:t>rd</w:t>
      </w:r>
      <w:r>
        <w:rPr>
          <w:rFonts w:ascii="Arial" w:cs="Arial" w:eastAsia="Arial" w:hAnsi="Arial"/>
          <w:sz w:val="16"/>
          <w:szCs w:val="16"/>
          <w:color w:val="auto"/>
        </w:rPr>
        <w:t>, 2023</w:t>
      </w:r>
    </w:p>
    <w:p>
      <w:pPr>
        <w:spacing w:after="0" w:line="96"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CREDICORP LTD.</w:t>
      </w:r>
    </w:p>
    <w:p>
      <w:pPr>
        <w:spacing w:after="0" w:line="25"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(Registrant)</w:t>
      </w:r>
    </w:p>
    <w:p>
      <w:pPr>
        <w:spacing w:after="0" w:line="201"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By: /s/ Guillermo Morales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3767455</wp:posOffset>
            </wp:positionH>
            <wp:positionV relativeFrom="paragraph">
              <wp:posOffset>16510</wp:posOffset>
            </wp:positionV>
            <wp:extent cx="2150745" cy="15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50745" cy="15875"/>
                    </a:xfrm>
                    <a:prstGeom prst="rect">
                      <a:avLst/>
                    </a:prstGeom>
                    <a:noFill/>
                  </pic:spPr>
                </pic:pic>
              </a:graphicData>
            </a:graphic>
          </wp:anchor>
        </w:drawing>
      </w:r>
    </w:p>
    <w:p>
      <w:pPr>
        <w:spacing w:after="0" w:line="15" w:lineRule="exact"/>
        <w:rPr>
          <w:sz w:val="20"/>
          <w:szCs w:val="20"/>
          <w:color w:val="auto"/>
        </w:rPr>
      </w:pPr>
    </w:p>
    <w:p>
      <w:pPr>
        <w:ind w:left="5940"/>
        <w:spacing w:after="0"/>
        <w:rPr>
          <w:sz w:val="20"/>
          <w:szCs w:val="20"/>
          <w:color w:val="auto"/>
        </w:rPr>
      </w:pPr>
      <w:r>
        <w:rPr>
          <w:rFonts w:ascii="Arial" w:cs="Arial" w:eastAsia="Arial" w:hAnsi="Arial"/>
          <w:sz w:val="16"/>
          <w:szCs w:val="16"/>
          <w:b w:val="1"/>
          <w:bCs w:val="1"/>
          <w:color w:val="auto"/>
        </w:rPr>
        <w:t>Guillermo Morales</w:t>
      </w:r>
    </w:p>
    <w:p>
      <w:pPr>
        <w:spacing w:after="0" w:line="29" w:lineRule="exact"/>
        <w:rPr>
          <w:sz w:val="20"/>
          <w:szCs w:val="20"/>
          <w:color w:val="auto"/>
        </w:rPr>
      </w:pPr>
    </w:p>
    <w:p>
      <w:pPr>
        <w:ind w:left="5940"/>
        <w:spacing w:after="0"/>
        <w:rPr>
          <w:sz w:val="20"/>
          <w:szCs w:val="20"/>
          <w:color w:val="auto"/>
        </w:rPr>
      </w:pPr>
      <w:r>
        <w:rPr>
          <w:rFonts w:ascii="Arial" w:cs="Arial" w:eastAsia="Arial" w:hAnsi="Arial"/>
          <w:sz w:val="16"/>
          <w:szCs w:val="16"/>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307975</wp:posOffset>
            </wp:positionV>
            <wp:extent cx="7143750" cy="15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0780"/>
          </w:cols>
          <w:pgMar w:left="320" w:top="123" w:right="799" w:bottom="1440" w:gutter="0" w:footer="0" w:header="0"/>
        </w:sectPr>
      </w:pPr>
    </w:p>
    <w:bookmarkStart w:id="2" w:name="page3"/>
    <w:bookmarkEnd w:id="2"/>
    <w:p>
      <w:pPr>
        <w:ind w:left="92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202565</wp:posOffset>
            </wp:positionH>
            <wp:positionV relativeFrom="page">
              <wp:posOffset>88900</wp:posOffset>
            </wp:positionV>
            <wp:extent cx="7143750" cy="311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3750" cy="3111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-711200</wp:posOffset>
            </wp:positionH>
            <wp:positionV relativeFrom="paragraph">
              <wp:posOffset>132080</wp:posOffset>
            </wp:positionV>
            <wp:extent cx="7143750" cy="79914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3750" cy="7991475"/>
                    </a:xfrm>
                    <a:prstGeom prst="rect">
                      <a:avLst/>
                    </a:prstGeom>
                    <a:noFill/>
                  </pic:spPr>
                </pic:pic>
              </a:graphicData>
            </a:graphic>
          </wp:anchor>
        </w:drawing>
      </w:r>
    </w:p>
    <w:p>
      <w:pPr>
        <w:sectPr>
          <w:pgSz w:w="11900" w:h="16838" w:orient="portrait"/>
          <w:cols w:equalWidth="0" w:num="1">
            <w:col w:w="10120"/>
          </w:cols>
          <w:pgMar w:left="1440" w:top="242" w:right="339" w:bottom="1440" w:gutter="0" w:footer="0" w:header="0"/>
        </w:sectPr>
      </w:pPr>
    </w:p>
    <w:bookmarkStart w:id="3" w:name="page4"/>
    <w:bookmarkEnd w:id="3"/>
    <w:p>
      <w:pPr>
        <w:ind w:left="2960"/>
        <w:spacing w:after="0"/>
        <w:tabs>
          <w:tab w:leader="none" w:pos="3140" w:val="left"/>
        </w:tabs>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202565</wp:posOffset>
            </wp:positionH>
            <wp:positionV relativeFrom="page">
              <wp:posOffset>88900</wp:posOffset>
            </wp:positionV>
            <wp:extent cx="7143750" cy="3848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3750" cy="384810"/>
                    </a:xfrm>
                    <a:prstGeom prst="rect">
                      <a:avLst/>
                    </a:prstGeom>
                    <a:noFill/>
                  </pic:spPr>
                </pic:pic>
              </a:graphicData>
            </a:graphic>
          </wp:anchor>
        </w:drawing>
        <w:t>|</w:t>
      </w:r>
      <w:r>
        <w:rPr>
          <w:sz w:val="20"/>
          <w:szCs w:val="20"/>
          <w:color w:val="auto"/>
        </w:rPr>
        <w:tab/>
      </w:r>
      <w:r>
        <w:rPr>
          <w:rFonts w:ascii="Arial" w:cs="Arial" w:eastAsia="Arial" w:hAnsi="Arial"/>
          <w:sz w:val="16"/>
          <w:szCs w:val="16"/>
          <w:b w:val="1"/>
          <w:bCs w:val="1"/>
          <w:color w:val="FFFFFF"/>
        </w:rPr>
        <w:t>Earnings Release 3Q / 2023</w:t>
      </w:r>
    </w:p>
    <w:p>
      <w:pPr>
        <w:spacing w:after="0" w:line="198" w:lineRule="exact"/>
        <w:rPr>
          <w:sz w:val="20"/>
          <w:szCs w:val="20"/>
          <w:color w:val="auto"/>
        </w:rPr>
      </w:pPr>
    </w:p>
    <w:p>
      <w:pPr>
        <w:spacing w:after="0"/>
        <w:rPr>
          <w:sz w:val="20"/>
          <w:szCs w:val="20"/>
          <w:color w:val="auto"/>
        </w:rPr>
      </w:pPr>
      <w:r>
        <w:rPr>
          <w:rFonts w:ascii="Arial" w:cs="Arial" w:eastAsia="Arial" w:hAnsi="Arial"/>
          <w:sz w:val="45"/>
          <w:szCs w:val="45"/>
          <w:b w:val="1"/>
          <w:bCs w:val="1"/>
          <w:color w:val="2AD2C8"/>
        </w:rPr>
        <w:t>Table of Contents</w:t>
      </w:r>
    </w:p>
    <w:p>
      <w:pPr>
        <w:spacing w:after="0" w:line="196"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6A6A6"/>
        </w:rPr>
        <w:t>Operating and 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-126365</wp:posOffset>
            </wp:positionV>
            <wp:extent cx="102235" cy="102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2235" cy="102235"/>
                    </a:xfrm>
                    <a:prstGeom prst="rect">
                      <a:avLst/>
                    </a:prstGeom>
                    <a:noFill/>
                  </pic:spPr>
                </pic:pic>
              </a:graphicData>
            </a:graphic>
          </wp:anchor>
        </w:drawing>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6A6A6"/>
        </w:rPr>
        <w:t>Senior Management Quotes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-126365</wp:posOffset>
            </wp:positionV>
            <wp:extent cx="102235" cy="102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2235" cy="102235"/>
                    </a:xfrm>
                    <a:prstGeom prst="rect">
                      <a:avLst/>
                    </a:prstGeom>
                    <a:noFill/>
                  </pic:spPr>
                </pic:pic>
              </a:graphicData>
            </a:graphic>
          </wp:anchor>
        </w:drawing>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6A6A6"/>
        </w:rPr>
        <w:t>Third Quarter 2023 Earnings Conference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-126365</wp:posOffset>
            </wp:positionV>
            <wp:extent cx="102235" cy="102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2235" cy="102235"/>
                    </a:xfrm>
                    <a:prstGeom prst="rect">
                      <a:avLst/>
                    </a:prstGeom>
                    <a:noFill/>
                  </pic:spPr>
                </pic:pic>
              </a:graphicData>
            </a:graphic>
          </wp:anchor>
        </w:drawing>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6A6A6"/>
        </w:rPr>
        <w:t>Summary of Financial Performance and Outlook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-126365</wp:posOffset>
            </wp:positionV>
            <wp:extent cx="102235" cy="102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2235" cy="102235"/>
                    </a:xfrm>
                    <a:prstGeom prst="rect">
                      <a:avLst/>
                    </a:prstGeom>
                    <a:noFill/>
                  </pic:spPr>
                </pic:pic>
              </a:graphicData>
            </a:graphic>
          </wp:anchor>
        </w:drawing>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6A6A6"/>
        </w:rPr>
        <w:t>Financial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-126365</wp:posOffset>
            </wp:positionV>
            <wp:extent cx="102235" cy="102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2235" cy="102235"/>
                    </a:xfrm>
                    <a:prstGeom prst="rect">
                      <a:avLst/>
                    </a:prstGeom>
                    <a:noFill/>
                  </pic:spPr>
                </pic:pic>
              </a:graphicData>
            </a:graphic>
          </wp:anchor>
        </w:drawing>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6A6A6"/>
        </w:rPr>
        <w:t>Credicorp’s Strategy Update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-126365</wp:posOffset>
            </wp:positionV>
            <wp:extent cx="102235" cy="102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2235" cy="102235"/>
                    </a:xfrm>
                    <a:prstGeom prst="rect">
                      <a:avLst/>
                    </a:prstGeom>
                    <a:noFill/>
                  </pic:spPr>
                </pic:pic>
              </a:graphicData>
            </a:graphic>
          </wp:anchor>
        </w:drawing>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20"/>
          <w:szCs w:val="20"/>
          <w:b w:val="1"/>
          <w:bCs w:val="1"/>
          <w:color w:val="A6A6A6"/>
        </w:rPr>
        <w:t>Analysis of 3Q23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-126365</wp:posOffset>
            </wp:positionV>
            <wp:extent cx="102235" cy="102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2235" cy="102235"/>
                    </a:xfrm>
                    <a:prstGeom prst="rect">
                      <a:avLst/>
                    </a:prstGeom>
                    <a:noFill/>
                  </pic:spPr>
                </pic:pic>
              </a:graphicData>
            </a:graphic>
          </wp:anchor>
        </w:drawing>
      </w:r>
    </w:p>
    <w:tbl>
      <w:tblPr>
        <w:tblLayout w:type="fixed"/>
        <w:tblInd w:w="560" w:type="dxa"/>
        <w:tblCellMar>
          <w:top w:w="0" w:type="dxa"/>
          <w:left w:w="0" w:type="dxa"/>
          <w:bottom w:w="0" w:type="dxa"/>
          <w:right w:w="0" w:type="dxa"/>
        </w:tblCellMar>
      </w:tblPr>
      <w:tr>
        <w:trPr>
          <w:trHeight w:val="460"/>
        </w:trPr>
        <w:tc>
          <w:tcPr>
            <w:tcW w:w="680" w:type="dxa"/>
            <w:vAlign w:val="bottom"/>
          </w:tcPr>
          <w:p>
            <w:pPr>
              <w:spacing w:after="0"/>
              <w:rPr>
                <w:sz w:val="20"/>
                <w:szCs w:val="20"/>
                <w:color w:val="auto"/>
              </w:rPr>
            </w:pPr>
            <w:r>
              <w:rPr>
                <w:rFonts w:ascii="Arial" w:cs="Arial" w:eastAsia="Arial" w:hAnsi="Arial"/>
                <w:sz w:val="40"/>
                <w:szCs w:val="40"/>
                <w:b w:val="1"/>
                <w:bCs w:val="1"/>
                <w:color w:val="E93BAC"/>
              </w:rPr>
              <w:t>01</w:t>
            </w:r>
          </w:p>
        </w:tc>
        <w:tc>
          <w:tcPr>
            <w:tcW w:w="3420" w:type="dxa"/>
            <w:vAlign w:val="bottom"/>
            <w:vMerge w:val="restart"/>
          </w:tcPr>
          <w:p>
            <w:pPr>
              <w:ind w:left="240"/>
              <w:spacing w:after="0"/>
              <w:rPr>
                <w:sz w:val="20"/>
                <w:szCs w:val="20"/>
                <w:color w:val="auto"/>
              </w:rPr>
            </w:pPr>
            <w:r>
              <w:rPr>
                <w:rFonts w:ascii="Arial" w:cs="Arial" w:eastAsia="Arial" w:hAnsi="Arial"/>
                <w:sz w:val="20"/>
                <w:szCs w:val="20"/>
                <w:color w:val="E93BAC"/>
              </w:rPr>
              <w:t>Loans and Portfolio Quality</w:t>
            </w:r>
          </w:p>
        </w:tc>
        <w:tc>
          <w:tcPr>
            <w:tcW w:w="0" w:type="dxa"/>
            <w:vAlign w:val="bottom"/>
          </w:tcPr>
          <w:p>
            <w:pPr>
              <w:spacing w:after="0"/>
              <w:rPr>
                <w:sz w:val="1"/>
                <w:szCs w:val="1"/>
                <w:color w:val="auto"/>
              </w:rPr>
            </w:pPr>
          </w:p>
        </w:tc>
      </w:tr>
      <w:tr>
        <w:trPr>
          <w:trHeight w:val="58"/>
        </w:trPr>
        <w:tc>
          <w:tcPr>
            <w:tcW w:w="680" w:type="dxa"/>
            <w:vAlign w:val="bottom"/>
          </w:tcPr>
          <w:p>
            <w:pPr>
              <w:spacing w:after="0"/>
              <w:rPr>
                <w:sz w:val="5"/>
                <w:szCs w:val="5"/>
                <w:color w:val="auto"/>
              </w:rPr>
            </w:pPr>
          </w:p>
        </w:tc>
        <w:tc>
          <w:tcPr>
            <w:tcW w:w="3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73"/>
        </w:trPr>
        <w:tc>
          <w:tcPr>
            <w:tcW w:w="680" w:type="dxa"/>
            <w:vAlign w:val="bottom"/>
          </w:tcPr>
          <w:p>
            <w:pPr>
              <w:spacing w:after="0"/>
              <w:rPr>
                <w:sz w:val="20"/>
                <w:szCs w:val="20"/>
                <w:color w:val="auto"/>
              </w:rPr>
            </w:pPr>
            <w:r>
              <w:rPr>
                <w:rFonts w:ascii="Arial" w:cs="Arial" w:eastAsia="Arial" w:hAnsi="Arial"/>
                <w:sz w:val="40"/>
                <w:szCs w:val="40"/>
                <w:b w:val="1"/>
                <w:bCs w:val="1"/>
                <w:color w:val="E93BAC"/>
              </w:rPr>
              <w:t>02</w:t>
            </w:r>
          </w:p>
        </w:tc>
        <w:tc>
          <w:tcPr>
            <w:tcW w:w="3420" w:type="dxa"/>
            <w:vAlign w:val="bottom"/>
            <w:vMerge w:val="restart"/>
          </w:tcPr>
          <w:p>
            <w:pPr>
              <w:ind w:left="240"/>
              <w:spacing w:after="0"/>
              <w:rPr>
                <w:sz w:val="20"/>
                <w:szCs w:val="20"/>
                <w:color w:val="auto"/>
              </w:rPr>
            </w:pPr>
            <w:r>
              <w:rPr>
                <w:rFonts w:ascii="Arial" w:cs="Arial" w:eastAsia="Arial" w:hAnsi="Arial"/>
                <w:sz w:val="20"/>
                <w:szCs w:val="20"/>
                <w:color w:val="E93BAC"/>
              </w:rPr>
              <w:t>Deposits</w:t>
            </w:r>
          </w:p>
        </w:tc>
        <w:tc>
          <w:tcPr>
            <w:tcW w:w="0" w:type="dxa"/>
            <w:vAlign w:val="bottom"/>
          </w:tcPr>
          <w:p>
            <w:pPr>
              <w:spacing w:after="0"/>
              <w:rPr>
                <w:sz w:val="1"/>
                <w:szCs w:val="1"/>
                <w:color w:val="auto"/>
              </w:rPr>
            </w:pPr>
          </w:p>
        </w:tc>
      </w:tr>
      <w:tr>
        <w:trPr>
          <w:trHeight w:val="58"/>
        </w:trPr>
        <w:tc>
          <w:tcPr>
            <w:tcW w:w="680" w:type="dxa"/>
            <w:vAlign w:val="bottom"/>
          </w:tcPr>
          <w:p>
            <w:pPr>
              <w:spacing w:after="0"/>
              <w:rPr>
                <w:sz w:val="5"/>
                <w:szCs w:val="5"/>
                <w:color w:val="auto"/>
              </w:rPr>
            </w:pPr>
          </w:p>
        </w:tc>
        <w:tc>
          <w:tcPr>
            <w:tcW w:w="3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73"/>
        </w:trPr>
        <w:tc>
          <w:tcPr>
            <w:tcW w:w="680" w:type="dxa"/>
            <w:vAlign w:val="bottom"/>
          </w:tcPr>
          <w:p>
            <w:pPr>
              <w:spacing w:after="0"/>
              <w:rPr>
                <w:sz w:val="20"/>
                <w:szCs w:val="20"/>
                <w:color w:val="auto"/>
              </w:rPr>
            </w:pPr>
            <w:r>
              <w:rPr>
                <w:rFonts w:ascii="Arial" w:cs="Arial" w:eastAsia="Arial" w:hAnsi="Arial"/>
                <w:sz w:val="40"/>
                <w:szCs w:val="40"/>
                <w:b w:val="1"/>
                <w:bCs w:val="1"/>
                <w:color w:val="E93BAC"/>
              </w:rPr>
              <w:t>03</w:t>
            </w:r>
          </w:p>
        </w:tc>
        <w:tc>
          <w:tcPr>
            <w:tcW w:w="3420" w:type="dxa"/>
            <w:vAlign w:val="bottom"/>
            <w:vMerge w:val="restart"/>
          </w:tcPr>
          <w:p>
            <w:pPr>
              <w:ind w:left="240"/>
              <w:spacing w:after="0"/>
              <w:rPr>
                <w:sz w:val="20"/>
                <w:szCs w:val="20"/>
                <w:color w:val="auto"/>
              </w:rPr>
            </w:pPr>
            <w:r>
              <w:rPr>
                <w:rFonts w:ascii="Arial" w:cs="Arial" w:eastAsia="Arial" w:hAnsi="Arial"/>
                <w:sz w:val="20"/>
                <w:szCs w:val="20"/>
                <w:color w:val="E93BAC"/>
                <w:w w:val="97"/>
              </w:rPr>
              <w:t>Interest Earning Assets and Funding</w:t>
            </w:r>
          </w:p>
        </w:tc>
        <w:tc>
          <w:tcPr>
            <w:tcW w:w="0" w:type="dxa"/>
            <w:vAlign w:val="bottom"/>
          </w:tcPr>
          <w:p>
            <w:pPr>
              <w:spacing w:after="0"/>
              <w:rPr>
                <w:sz w:val="1"/>
                <w:szCs w:val="1"/>
                <w:color w:val="auto"/>
              </w:rPr>
            </w:pPr>
          </w:p>
        </w:tc>
      </w:tr>
      <w:tr>
        <w:trPr>
          <w:trHeight w:val="58"/>
        </w:trPr>
        <w:tc>
          <w:tcPr>
            <w:tcW w:w="680" w:type="dxa"/>
            <w:vAlign w:val="bottom"/>
          </w:tcPr>
          <w:p>
            <w:pPr>
              <w:spacing w:after="0"/>
              <w:rPr>
                <w:sz w:val="5"/>
                <w:szCs w:val="5"/>
                <w:color w:val="auto"/>
              </w:rPr>
            </w:pPr>
          </w:p>
        </w:tc>
        <w:tc>
          <w:tcPr>
            <w:tcW w:w="3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73"/>
        </w:trPr>
        <w:tc>
          <w:tcPr>
            <w:tcW w:w="680" w:type="dxa"/>
            <w:vAlign w:val="bottom"/>
          </w:tcPr>
          <w:p>
            <w:pPr>
              <w:spacing w:after="0"/>
              <w:rPr>
                <w:sz w:val="20"/>
                <w:szCs w:val="20"/>
                <w:color w:val="auto"/>
              </w:rPr>
            </w:pPr>
            <w:r>
              <w:rPr>
                <w:rFonts w:ascii="Arial" w:cs="Arial" w:eastAsia="Arial" w:hAnsi="Arial"/>
                <w:sz w:val="40"/>
                <w:szCs w:val="40"/>
                <w:b w:val="1"/>
                <w:bCs w:val="1"/>
                <w:color w:val="E93BAC"/>
              </w:rPr>
              <w:t>04</w:t>
            </w:r>
          </w:p>
        </w:tc>
        <w:tc>
          <w:tcPr>
            <w:tcW w:w="3420" w:type="dxa"/>
            <w:vAlign w:val="bottom"/>
            <w:vMerge w:val="restart"/>
          </w:tcPr>
          <w:p>
            <w:pPr>
              <w:ind w:left="240"/>
              <w:spacing w:after="0"/>
              <w:rPr>
                <w:sz w:val="20"/>
                <w:szCs w:val="20"/>
                <w:color w:val="auto"/>
              </w:rPr>
            </w:pPr>
            <w:r>
              <w:rPr>
                <w:rFonts w:ascii="Arial" w:cs="Arial" w:eastAsia="Arial" w:hAnsi="Arial"/>
                <w:sz w:val="20"/>
                <w:szCs w:val="20"/>
                <w:color w:val="E93BAC"/>
              </w:rPr>
              <w:t>Net Interest Income (NII)</w:t>
            </w:r>
          </w:p>
        </w:tc>
        <w:tc>
          <w:tcPr>
            <w:tcW w:w="0" w:type="dxa"/>
            <w:vAlign w:val="bottom"/>
          </w:tcPr>
          <w:p>
            <w:pPr>
              <w:spacing w:after="0"/>
              <w:rPr>
                <w:sz w:val="1"/>
                <w:szCs w:val="1"/>
                <w:color w:val="auto"/>
              </w:rPr>
            </w:pPr>
          </w:p>
        </w:tc>
      </w:tr>
      <w:tr>
        <w:trPr>
          <w:trHeight w:val="58"/>
        </w:trPr>
        <w:tc>
          <w:tcPr>
            <w:tcW w:w="680" w:type="dxa"/>
            <w:vAlign w:val="bottom"/>
          </w:tcPr>
          <w:p>
            <w:pPr>
              <w:spacing w:after="0"/>
              <w:rPr>
                <w:sz w:val="5"/>
                <w:szCs w:val="5"/>
                <w:color w:val="auto"/>
              </w:rPr>
            </w:pPr>
          </w:p>
        </w:tc>
        <w:tc>
          <w:tcPr>
            <w:tcW w:w="3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73"/>
        </w:trPr>
        <w:tc>
          <w:tcPr>
            <w:tcW w:w="680" w:type="dxa"/>
            <w:vAlign w:val="bottom"/>
          </w:tcPr>
          <w:p>
            <w:pPr>
              <w:spacing w:after="0"/>
              <w:rPr>
                <w:sz w:val="20"/>
                <w:szCs w:val="20"/>
                <w:color w:val="auto"/>
              </w:rPr>
            </w:pPr>
            <w:r>
              <w:rPr>
                <w:rFonts w:ascii="Arial" w:cs="Arial" w:eastAsia="Arial" w:hAnsi="Arial"/>
                <w:sz w:val="40"/>
                <w:szCs w:val="40"/>
                <w:b w:val="1"/>
                <w:bCs w:val="1"/>
                <w:color w:val="E93BAC"/>
              </w:rPr>
              <w:t>05</w:t>
            </w:r>
          </w:p>
        </w:tc>
        <w:tc>
          <w:tcPr>
            <w:tcW w:w="3420" w:type="dxa"/>
            <w:vAlign w:val="bottom"/>
            <w:vMerge w:val="restart"/>
          </w:tcPr>
          <w:p>
            <w:pPr>
              <w:ind w:left="240"/>
              <w:spacing w:after="0"/>
              <w:rPr>
                <w:sz w:val="20"/>
                <w:szCs w:val="20"/>
                <w:color w:val="auto"/>
              </w:rPr>
            </w:pPr>
            <w:r>
              <w:rPr>
                <w:rFonts w:ascii="Arial" w:cs="Arial" w:eastAsia="Arial" w:hAnsi="Arial"/>
                <w:sz w:val="20"/>
                <w:szCs w:val="20"/>
                <w:color w:val="E93BAC"/>
              </w:rPr>
              <w:t>Provisions</w:t>
            </w:r>
          </w:p>
        </w:tc>
        <w:tc>
          <w:tcPr>
            <w:tcW w:w="0" w:type="dxa"/>
            <w:vAlign w:val="bottom"/>
          </w:tcPr>
          <w:p>
            <w:pPr>
              <w:spacing w:after="0"/>
              <w:rPr>
                <w:sz w:val="1"/>
                <w:szCs w:val="1"/>
                <w:color w:val="auto"/>
              </w:rPr>
            </w:pPr>
          </w:p>
        </w:tc>
      </w:tr>
      <w:tr>
        <w:trPr>
          <w:trHeight w:val="58"/>
        </w:trPr>
        <w:tc>
          <w:tcPr>
            <w:tcW w:w="680" w:type="dxa"/>
            <w:vAlign w:val="bottom"/>
          </w:tcPr>
          <w:p>
            <w:pPr>
              <w:spacing w:after="0"/>
              <w:rPr>
                <w:sz w:val="5"/>
                <w:szCs w:val="5"/>
                <w:color w:val="auto"/>
              </w:rPr>
            </w:pPr>
          </w:p>
        </w:tc>
        <w:tc>
          <w:tcPr>
            <w:tcW w:w="3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73"/>
        </w:trPr>
        <w:tc>
          <w:tcPr>
            <w:tcW w:w="680" w:type="dxa"/>
            <w:vAlign w:val="bottom"/>
          </w:tcPr>
          <w:p>
            <w:pPr>
              <w:spacing w:after="0"/>
              <w:rPr>
                <w:sz w:val="20"/>
                <w:szCs w:val="20"/>
                <w:color w:val="auto"/>
              </w:rPr>
            </w:pPr>
            <w:r>
              <w:rPr>
                <w:rFonts w:ascii="Arial" w:cs="Arial" w:eastAsia="Arial" w:hAnsi="Arial"/>
                <w:sz w:val="40"/>
                <w:szCs w:val="40"/>
                <w:b w:val="1"/>
                <w:bCs w:val="1"/>
                <w:color w:val="E93BAC"/>
              </w:rPr>
              <w:t>06</w:t>
            </w:r>
          </w:p>
        </w:tc>
        <w:tc>
          <w:tcPr>
            <w:tcW w:w="3420" w:type="dxa"/>
            <w:vAlign w:val="bottom"/>
            <w:vMerge w:val="restart"/>
          </w:tcPr>
          <w:p>
            <w:pPr>
              <w:ind w:left="240"/>
              <w:spacing w:after="0"/>
              <w:rPr>
                <w:sz w:val="20"/>
                <w:szCs w:val="20"/>
                <w:color w:val="auto"/>
              </w:rPr>
            </w:pPr>
            <w:r>
              <w:rPr>
                <w:rFonts w:ascii="Arial" w:cs="Arial" w:eastAsia="Arial" w:hAnsi="Arial"/>
                <w:sz w:val="20"/>
                <w:szCs w:val="20"/>
                <w:color w:val="E93BAC"/>
              </w:rPr>
              <w:t>Other Income</w:t>
            </w:r>
          </w:p>
        </w:tc>
        <w:tc>
          <w:tcPr>
            <w:tcW w:w="0" w:type="dxa"/>
            <w:vAlign w:val="bottom"/>
          </w:tcPr>
          <w:p>
            <w:pPr>
              <w:spacing w:after="0"/>
              <w:rPr>
                <w:sz w:val="1"/>
                <w:szCs w:val="1"/>
                <w:color w:val="auto"/>
              </w:rPr>
            </w:pPr>
          </w:p>
        </w:tc>
      </w:tr>
      <w:tr>
        <w:trPr>
          <w:trHeight w:val="58"/>
        </w:trPr>
        <w:tc>
          <w:tcPr>
            <w:tcW w:w="680" w:type="dxa"/>
            <w:vAlign w:val="bottom"/>
          </w:tcPr>
          <w:p>
            <w:pPr>
              <w:spacing w:after="0"/>
              <w:rPr>
                <w:sz w:val="5"/>
                <w:szCs w:val="5"/>
                <w:color w:val="auto"/>
              </w:rPr>
            </w:pPr>
          </w:p>
        </w:tc>
        <w:tc>
          <w:tcPr>
            <w:tcW w:w="3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73"/>
        </w:trPr>
        <w:tc>
          <w:tcPr>
            <w:tcW w:w="680" w:type="dxa"/>
            <w:vAlign w:val="bottom"/>
          </w:tcPr>
          <w:p>
            <w:pPr>
              <w:spacing w:after="0"/>
              <w:rPr>
                <w:sz w:val="20"/>
                <w:szCs w:val="20"/>
                <w:color w:val="auto"/>
              </w:rPr>
            </w:pPr>
            <w:r>
              <w:rPr>
                <w:rFonts w:ascii="Arial" w:cs="Arial" w:eastAsia="Arial" w:hAnsi="Arial"/>
                <w:sz w:val="40"/>
                <w:szCs w:val="40"/>
                <w:b w:val="1"/>
                <w:bCs w:val="1"/>
                <w:color w:val="E93BAC"/>
              </w:rPr>
              <w:t>07</w:t>
            </w:r>
          </w:p>
        </w:tc>
        <w:tc>
          <w:tcPr>
            <w:tcW w:w="3420" w:type="dxa"/>
            <w:vAlign w:val="bottom"/>
            <w:vMerge w:val="restart"/>
          </w:tcPr>
          <w:p>
            <w:pPr>
              <w:ind w:left="240"/>
              <w:spacing w:after="0"/>
              <w:rPr>
                <w:sz w:val="20"/>
                <w:szCs w:val="20"/>
                <w:color w:val="auto"/>
              </w:rPr>
            </w:pPr>
            <w:r>
              <w:rPr>
                <w:rFonts w:ascii="Arial" w:cs="Arial" w:eastAsia="Arial" w:hAnsi="Arial"/>
                <w:sz w:val="20"/>
                <w:szCs w:val="20"/>
                <w:color w:val="E93BAC"/>
              </w:rPr>
              <w:t>Insurance Underwriting Results</w:t>
            </w:r>
          </w:p>
        </w:tc>
        <w:tc>
          <w:tcPr>
            <w:tcW w:w="0" w:type="dxa"/>
            <w:vAlign w:val="bottom"/>
          </w:tcPr>
          <w:p>
            <w:pPr>
              <w:spacing w:after="0"/>
              <w:rPr>
                <w:sz w:val="1"/>
                <w:szCs w:val="1"/>
                <w:color w:val="auto"/>
              </w:rPr>
            </w:pPr>
          </w:p>
        </w:tc>
      </w:tr>
      <w:tr>
        <w:trPr>
          <w:trHeight w:val="58"/>
        </w:trPr>
        <w:tc>
          <w:tcPr>
            <w:tcW w:w="680" w:type="dxa"/>
            <w:vAlign w:val="bottom"/>
          </w:tcPr>
          <w:p>
            <w:pPr>
              <w:spacing w:after="0"/>
              <w:rPr>
                <w:sz w:val="5"/>
                <w:szCs w:val="5"/>
                <w:color w:val="auto"/>
              </w:rPr>
            </w:pPr>
          </w:p>
        </w:tc>
        <w:tc>
          <w:tcPr>
            <w:tcW w:w="3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73"/>
        </w:trPr>
        <w:tc>
          <w:tcPr>
            <w:tcW w:w="680" w:type="dxa"/>
            <w:vAlign w:val="bottom"/>
          </w:tcPr>
          <w:p>
            <w:pPr>
              <w:spacing w:after="0"/>
              <w:rPr>
                <w:sz w:val="20"/>
                <w:szCs w:val="20"/>
                <w:color w:val="auto"/>
              </w:rPr>
            </w:pPr>
            <w:r>
              <w:rPr>
                <w:rFonts w:ascii="Arial" w:cs="Arial" w:eastAsia="Arial" w:hAnsi="Arial"/>
                <w:sz w:val="40"/>
                <w:szCs w:val="40"/>
                <w:b w:val="1"/>
                <w:bCs w:val="1"/>
                <w:color w:val="E93BAC"/>
              </w:rPr>
              <w:t>08</w:t>
            </w:r>
          </w:p>
        </w:tc>
        <w:tc>
          <w:tcPr>
            <w:tcW w:w="3420" w:type="dxa"/>
            <w:vAlign w:val="bottom"/>
            <w:vMerge w:val="restart"/>
          </w:tcPr>
          <w:p>
            <w:pPr>
              <w:ind w:left="240"/>
              <w:spacing w:after="0"/>
              <w:rPr>
                <w:sz w:val="20"/>
                <w:szCs w:val="20"/>
                <w:color w:val="auto"/>
              </w:rPr>
            </w:pPr>
            <w:r>
              <w:rPr>
                <w:rFonts w:ascii="Arial" w:cs="Arial" w:eastAsia="Arial" w:hAnsi="Arial"/>
                <w:sz w:val="20"/>
                <w:szCs w:val="20"/>
                <w:color w:val="E93BAC"/>
              </w:rPr>
              <w:t>Operating Expenses</w:t>
            </w:r>
          </w:p>
        </w:tc>
        <w:tc>
          <w:tcPr>
            <w:tcW w:w="0" w:type="dxa"/>
            <w:vAlign w:val="bottom"/>
          </w:tcPr>
          <w:p>
            <w:pPr>
              <w:spacing w:after="0"/>
              <w:rPr>
                <w:sz w:val="1"/>
                <w:szCs w:val="1"/>
                <w:color w:val="auto"/>
              </w:rPr>
            </w:pPr>
          </w:p>
        </w:tc>
      </w:tr>
      <w:tr>
        <w:trPr>
          <w:trHeight w:val="58"/>
        </w:trPr>
        <w:tc>
          <w:tcPr>
            <w:tcW w:w="680" w:type="dxa"/>
            <w:vAlign w:val="bottom"/>
          </w:tcPr>
          <w:p>
            <w:pPr>
              <w:spacing w:after="0"/>
              <w:rPr>
                <w:sz w:val="5"/>
                <w:szCs w:val="5"/>
                <w:color w:val="auto"/>
              </w:rPr>
            </w:pPr>
          </w:p>
        </w:tc>
        <w:tc>
          <w:tcPr>
            <w:tcW w:w="3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73"/>
        </w:trPr>
        <w:tc>
          <w:tcPr>
            <w:tcW w:w="680" w:type="dxa"/>
            <w:vAlign w:val="bottom"/>
          </w:tcPr>
          <w:p>
            <w:pPr>
              <w:spacing w:after="0"/>
              <w:rPr>
                <w:sz w:val="20"/>
                <w:szCs w:val="20"/>
                <w:color w:val="auto"/>
              </w:rPr>
            </w:pPr>
            <w:r>
              <w:rPr>
                <w:rFonts w:ascii="Arial" w:cs="Arial" w:eastAsia="Arial" w:hAnsi="Arial"/>
                <w:sz w:val="40"/>
                <w:szCs w:val="40"/>
                <w:b w:val="1"/>
                <w:bCs w:val="1"/>
                <w:color w:val="E93BAC"/>
              </w:rPr>
              <w:t>09</w:t>
            </w:r>
          </w:p>
        </w:tc>
        <w:tc>
          <w:tcPr>
            <w:tcW w:w="3420" w:type="dxa"/>
            <w:vAlign w:val="bottom"/>
            <w:vMerge w:val="restart"/>
          </w:tcPr>
          <w:p>
            <w:pPr>
              <w:ind w:left="240"/>
              <w:spacing w:after="0"/>
              <w:rPr>
                <w:sz w:val="20"/>
                <w:szCs w:val="20"/>
                <w:color w:val="auto"/>
              </w:rPr>
            </w:pPr>
            <w:r>
              <w:rPr>
                <w:rFonts w:ascii="Arial" w:cs="Arial" w:eastAsia="Arial" w:hAnsi="Arial"/>
                <w:sz w:val="20"/>
                <w:szCs w:val="20"/>
                <w:color w:val="E93BAC"/>
              </w:rPr>
              <w:t>Operating Efficiency</w:t>
            </w:r>
          </w:p>
        </w:tc>
        <w:tc>
          <w:tcPr>
            <w:tcW w:w="0" w:type="dxa"/>
            <w:vAlign w:val="bottom"/>
          </w:tcPr>
          <w:p>
            <w:pPr>
              <w:spacing w:after="0"/>
              <w:rPr>
                <w:sz w:val="1"/>
                <w:szCs w:val="1"/>
                <w:color w:val="auto"/>
              </w:rPr>
            </w:pPr>
          </w:p>
        </w:tc>
      </w:tr>
      <w:tr>
        <w:trPr>
          <w:trHeight w:val="58"/>
        </w:trPr>
        <w:tc>
          <w:tcPr>
            <w:tcW w:w="680" w:type="dxa"/>
            <w:vAlign w:val="bottom"/>
          </w:tcPr>
          <w:p>
            <w:pPr>
              <w:spacing w:after="0"/>
              <w:rPr>
                <w:sz w:val="5"/>
                <w:szCs w:val="5"/>
                <w:color w:val="auto"/>
              </w:rPr>
            </w:pPr>
          </w:p>
        </w:tc>
        <w:tc>
          <w:tcPr>
            <w:tcW w:w="3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73"/>
        </w:trPr>
        <w:tc>
          <w:tcPr>
            <w:tcW w:w="680" w:type="dxa"/>
            <w:vAlign w:val="bottom"/>
          </w:tcPr>
          <w:p>
            <w:pPr>
              <w:spacing w:after="0"/>
              <w:rPr>
                <w:sz w:val="20"/>
                <w:szCs w:val="20"/>
                <w:color w:val="auto"/>
              </w:rPr>
            </w:pPr>
            <w:r>
              <w:rPr>
                <w:rFonts w:ascii="Arial" w:cs="Arial" w:eastAsia="Arial" w:hAnsi="Arial"/>
                <w:sz w:val="40"/>
                <w:szCs w:val="40"/>
                <w:b w:val="1"/>
                <w:bCs w:val="1"/>
                <w:color w:val="E93BAC"/>
              </w:rPr>
              <w:t>10</w:t>
            </w:r>
          </w:p>
        </w:tc>
        <w:tc>
          <w:tcPr>
            <w:tcW w:w="3420" w:type="dxa"/>
            <w:vAlign w:val="bottom"/>
            <w:vMerge w:val="restart"/>
          </w:tcPr>
          <w:p>
            <w:pPr>
              <w:ind w:left="240"/>
              <w:spacing w:after="0"/>
              <w:rPr>
                <w:sz w:val="20"/>
                <w:szCs w:val="20"/>
                <w:color w:val="auto"/>
              </w:rPr>
            </w:pPr>
            <w:r>
              <w:rPr>
                <w:rFonts w:ascii="Arial" w:cs="Arial" w:eastAsia="Arial" w:hAnsi="Arial"/>
                <w:sz w:val="20"/>
                <w:szCs w:val="20"/>
                <w:color w:val="E93BAC"/>
              </w:rPr>
              <w:t>Regulatory Capital</w:t>
            </w:r>
          </w:p>
        </w:tc>
        <w:tc>
          <w:tcPr>
            <w:tcW w:w="0" w:type="dxa"/>
            <w:vAlign w:val="bottom"/>
          </w:tcPr>
          <w:p>
            <w:pPr>
              <w:spacing w:after="0"/>
              <w:rPr>
                <w:sz w:val="1"/>
                <w:szCs w:val="1"/>
                <w:color w:val="auto"/>
              </w:rPr>
            </w:pPr>
          </w:p>
        </w:tc>
      </w:tr>
      <w:tr>
        <w:trPr>
          <w:trHeight w:val="58"/>
        </w:trPr>
        <w:tc>
          <w:tcPr>
            <w:tcW w:w="680" w:type="dxa"/>
            <w:vAlign w:val="bottom"/>
          </w:tcPr>
          <w:p>
            <w:pPr>
              <w:spacing w:after="0"/>
              <w:rPr>
                <w:sz w:val="5"/>
                <w:szCs w:val="5"/>
                <w:color w:val="auto"/>
              </w:rPr>
            </w:pPr>
          </w:p>
        </w:tc>
        <w:tc>
          <w:tcPr>
            <w:tcW w:w="3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73"/>
        </w:trPr>
        <w:tc>
          <w:tcPr>
            <w:tcW w:w="680" w:type="dxa"/>
            <w:vAlign w:val="bottom"/>
          </w:tcPr>
          <w:p>
            <w:pPr>
              <w:spacing w:after="0"/>
              <w:rPr>
                <w:sz w:val="20"/>
                <w:szCs w:val="20"/>
                <w:color w:val="auto"/>
              </w:rPr>
            </w:pPr>
            <w:r>
              <w:rPr>
                <w:rFonts w:ascii="Arial" w:cs="Arial" w:eastAsia="Arial" w:hAnsi="Arial"/>
                <w:sz w:val="40"/>
                <w:szCs w:val="40"/>
                <w:b w:val="1"/>
                <w:bCs w:val="1"/>
                <w:color w:val="E93BAC"/>
              </w:rPr>
              <w:t>11</w:t>
            </w:r>
          </w:p>
        </w:tc>
        <w:tc>
          <w:tcPr>
            <w:tcW w:w="3420" w:type="dxa"/>
            <w:vAlign w:val="bottom"/>
            <w:vMerge w:val="restart"/>
          </w:tcPr>
          <w:p>
            <w:pPr>
              <w:ind w:left="240"/>
              <w:spacing w:after="0"/>
              <w:rPr>
                <w:sz w:val="20"/>
                <w:szCs w:val="20"/>
                <w:color w:val="auto"/>
              </w:rPr>
            </w:pPr>
            <w:r>
              <w:rPr>
                <w:rFonts w:ascii="Arial" w:cs="Arial" w:eastAsia="Arial" w:hAnsi="Arial"/>
                <w:sz w:val="20"/>
                <w:szCs w:val="20"/>
                <w:color w:val="E93BAC"/>
              </w:rPr>
              <w:t>Economic Outlook</w:t>
            </w:r>
          </w:p>
        </w:tc>
        <w:tc>
          <w:tcPr>
            <w:tcW w:w="0" w:type="dxa"/>
            <w:vAlign w:val="bottom"/>
          </w:tcPr>
          <w:p>
            <w:pPr>
              <w:spacing w:after="0"/>
              <w:rPr>
                <w:sz w:val="1"/>
                <w:szCs w:val="1"/>
                <w:color w:val="auto"/>
              </w:rPr>
            </w:pPr>
          </w:p>
        </w:tc>
      </w:tr>
      <w:tr>
        <w:trPr>
          <w:trHeight w:val="58"/>
        </w:trPr>
        <w:tc>
          <w:tcPr>
            <w:tcW w:w="680" w:type="dxa"/>
            <w:vAlign w:val="bottom"/>
          </w:tcPr>
          <w:p>
            <w:pPr>
              <w:spacing w:after="0"/>
              <w:rPr>
                <w:sz w:val="5"/>
                <w:szCs w:val="5"/>
                <w:color w:val="auto"/>
              </w:rPr>
            </w:pPr>
          </w:p>
        </w:tc>
        <w:tc>
          <w:tcPr>
            <w:tcW w:w="3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73"/>
        </w:trPr>
        <w:tc>
          <w:tcPr>
            <w:tcW w:w="680" w:type="dxa"/>
            <w:vAlign w:val="bottom"/>
          </w:tcPr>
          <w:p>
            <w:pPr>
              <w:spacing w:after="0"/>
              <w:rPr>
                <w:sz w:val="20"/>
                <w:szCs w:val="20"/>
                <w:color w:val="auto"/>
              </w:rPr>
            </w:pPr>
            <w:r>
              <w:rPr>
                <w:rFonts w:ascii="Arial" w:cs="Arial" w:eastAsia="Arial" w:hAnsi="Arial"/>
                <w:sz w:val="40"/>
                <w:szCs w:val="40"/>
                <w:b w:val="1"/>
                <w:bCs w:val="1"/>
                <w:color w:val="E93BAC"/>
              </w:rPr>
              <w:t>12</w:t>
            </w:r>
          </w:p>
        </w:tc>
        <w:tc>
          <w:tcPr>
            <w:tcW w:w="3420" w:type="dxa"/>
            <w:vAlign w:val="bottom"/>
            <w:vMerge w:val="restart"/>
          </w:tcPr>
          <w:p>
            <w:pPr>
              <w:ind w:left="240"/>
              <w:spacing w:after="0"/>
              <w:rPr>
                <w:sz w:val="20"/>
                <w:szCs w:val="20"/>
                <w:color w:val="auto"/>
              </w:rPr>
            </w:pPr>
            <w:r>
              <w:rPr>
                <w:rFonts w:ascii="Arial" w:cs="Arial" w:eastAsia="Arial" w:hAnsi="Arial"/>
                <w:sz w:val="20"/>
                <w:szCs w:val="20"/>
                <w:color w:val="E93BAC"/>
              </w:rPr>
              <w:t>Appendix</w:t>
            </w:r>
          </w:p>
        </w:tc>
        <w:tc>
          <w:tcPr>
            <w:tcW w:w="0" w:type="dxa"/>
            <w:vAlign w:val="bottom"/>
          </w:tcPr>
          <w:p>
            <w:pPr>
              <w:spacing w:after="0"/>
              <w:rPr>
                <w:sz w:val="1"/>
                <w:szCs w:val="1"/>
                <w:color w:val="auto"/>
              </w:rPr>
            </w:pPr>
          </w:p>
        </w:tc>
      </w:tr>
      <w:tr>
        <w:trPr>
          <w:trHeight w:val="58"/>
        </w:trPr>
        <w:tc>
          <w:tcPr>
            <w:tcW w:w="680" w:type="dxa"/>
            <w:vAlign w:val="bottom"/>
          </w:tcPr>
          <w:p>
            <w:pPr>
              <w:spacing w:after="0"/>
              <w:rPr>
                <w:sz w:val="5"/>
                <w:szCs w:val="5"/>
                <w:color w:val="auto"/>
              </w:rPr>
            </w:pPr>
          </w:p>
        </w:tc>
        <w:tc>
          <w:tcPr>
            <w:tcW w:w="3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402590</wp:posOffset>
            </wp:positionV>
            <wp:extent cx="7143750" cy="15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color w:val="auto"/>
        </w:rPr>
        <w:t>03</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color w:val="auto"/>
        </w:rPr>
        <w:t>05</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color w:val="auto"/>
        </w:rPr>
        <w:t>06</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color w:val="auto"/>
        </w:rPr>
        <w:t>07</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color w:val="auto"/>
        </w:rPr>
        <w:t>12</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color w:val="auto"/>
        </w:rPr>
        <w:t>13</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9"/>
          <w:szCs w:val="19"/>
          <w:color w:val="auto"/>
        </w:rPr>
        <w:t>16</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23</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26</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27</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30</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32</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34</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36</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38</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39</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41</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9"/>
          <w:szCs w:val="19"/>
          <w:color w:val="auto"/>
        </w:rPr>
        <w:t>45</w:t>
      </w:r>
    </w:p>
    <w:p>
      <w:pPr>
        <w:spacing w:after="0" w:line="200" w:lineRule="exact"/>
        <w:rPr>
          <w:sz w:val="20"/>
          <w:szCs w:val="20"/>
          <w:color w:val="auto"/>
        </w:rPr>
      </w:pPr>
    </w:p>
    <w:p>
      <w:pPr>
        <w:spacing w:after="0" w:line="377"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w:t>
      </w:r>
    </w:p>
    <w:p>
      <w:pPr>
        <w:sectPr>
          <w:pgSz w:w="11900" w:h="16838" w:orient="portrait"/>
          <w:cols w:equalWidth="0" w:num="2">
            <w:col w:w="10300" w:space="720"/>
            <w:col w:w="220"/>
          </w:cols>
          <w:pgMar w:left="320" w:top="312" w:right="339" w:bottom="1440" w:gutter="0" w:footer="0" w:header="0"/>
        </w:sectPr>
      </w:pPr>
    </w:p>
    <w:bookmarkStart w:id="4" w:name="page5"/>
    <w:bookmarkEnd w:id="4"/>
    <w:p>
      <w:pPr>
        <w:ind w:left="2960"/>
        <w:spacing w:after="0"/>
        <w:tabs>
          <w:tab w:leader="none" w:pos="3140" w:val="left"/>
        </w:tabs>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202565</wp:posOffset>
            </wp:positionH>
            <wp:positionV relativeFrom="page">
              <wp:posOffset>88900</wp:posOffset>
            </wp:positionV>
            <wp:extent cx="7143750" cy="3848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3750" cy="384810"/>
                    </a:xfrm>
                    <a:prstGeom prst="rect">
                      <a:avLst/>
                    </a:prstGeom>
                    <a:noFill/>
                  </pic:spPr>
                </pic:pic>
              </a:graphicData>
            </a:graphic>
          </wp:anchor>
        </w:drawing>
        <w:t>|</w:t>
      </w:r>
      <w:r>
        <w:rPr>
          <w:sz w:val="20"/>
          <w:szCs w:val="20"/>
          <w:color w:val="auto"/>
        </w:rPr>
        <w:tab/>
      </w:r>
      <w:r>
        <w:rPr>
          <w:rFonts w:ascii="Arial" w:cs="Arial" w:eastAsia="Arial" w:hAnsi="Arial"/>
          <w:sz w:val="16"/>
          <w:szCs w:val="16"/>
          <w:b w:val="1"/>
          <w:bCs w:val="1"/>
          <w:color w:val="FFFFFF"/>
        </w:rPr>
        <w:t>Earnings Release 3Q /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158115</wp:posOffset>
            </wp:positionV>
            <wp:extent cx="7143750"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3750" cy="18859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Operating and Financial Highlights</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Credicorp Ltd. Reports Third Quarter 2023 Financial and Operating Results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ROE at 16.2% in 3Q23 and 17.8% in 9M23 despite Macro Downturn, Supported by Universal Banking and Insurance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Resilient Risk-Adjusted NIM stood at 4.45%</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Diverse Income Streams with QoQ growth of 1.6% in NII and Fees; 11.6% in Insurance Underwriting Results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Prudent Risk Management with Cost of Risk up 28 bps QoQ to 2.5% Amid Difficult Economic Context</w:t>
      </w:r>
    </w:p>
    <w:p>
      <w:pPr>
        <w:spacing w:after="0" w:line="154" w:lineRule="exact"/>
        <w:rPr>
          <w:sz w:val="20"/>
          <w:szCs w:val="20"/>
          <w:color w:val="auto"/>
        </w:rPr>
      </w:pPr>
    </w:p>
    <w:p>
      <w:pPr>
        <w:jc w:val="both"/>
        <w:ind w:left="500" w:right="480"/>
        <w:spacing w:after="0" w:line="236" w:lineRule="auto"/>
        <w:rPr>
          <w:sz w:val="20"/>
          <w:szCs w:val="20"/>
          <w:color w:val="auto"/>
        </w:rPr>
      </w:pPr>
      <w:r>
        <w:rPr>
          <w:rFonts w:ascii="Arial" w:cs="Arial" w:eastAsia="Arial" w:hAnsi="Arial"/>
          <w:sz w:val="18"/>
          <w:szCs w:val="18"/>
          <w:b w:val="1"/>
          <w:bCs w:val="1"/>
          <w:color w:val="auto"/>
        </w:rPr>
        <w:t xml:space="preserve">Lima, Peru – November 02, 2023 – Credicorp Ltd. (“Credicorp” or “the Company”) (NYSE: BAP | BVL: BAP), </w:t>
      </w:r>
      <w:r>
        <w:rPr>
          <w:rFonts w:ascii="Arial" w:cs="Arial" w:eastAsia="Arial" w:hAnsi="Arial"/>
          <w:sz w:val="18"/>
          <w:szCs w:val="18"/>
          <w:color w:val="auto"/>
        </w:rPr>
        <w:t>the leading</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services holding company in Peru with a presence in Chile, Colombia, Bolivia and Panama today reported its unaudited results for the quarter ended September 30, 2023. Financial results are expressed in Soles and are presented in accordance with International Financial Reporting Standards (IFRS). Effective 1Q23, the Company reports under IFRS 17 accounting standards for insurance contracts. While the impact on consolidated net income is not material, the reclassification of line items in the P&amp;L has impacted the efficiency ratio. To facilitate comparability, figures for 3Q22 and 9M22 have been restated to reflect IFRS 17.</w:t>
      </w:r>
    </w:p>
    <w:p>
      <w:pPr>
        <w:spacing w:after="0" w:line="9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3Q23 OPERATING AND FINANCIAL HIGHLIGHTS</w:t>
      </w:r>
    </w:p>
    <w:p>
      <w:pPr>
        <w:spacing w:after="0" w:line="139" w:lineRule="exact"/>
        <w:rPr>
          <w:sz w:val="20"/>
          <w:szCs w:val="20"/>
          <w:color w:val="auto"/>
        </w:rPr>
      </w:pPr>
    </w:p>
    <w:p>
      <w:pPr>
        <w:jc w:val="both"/>
        <w:ind w:left="780" w:hanging="299"/>
        <w:spacing w:after="0" w:line="248" w:lineRule="auto"/>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Net Income </w:t>
      </w:r>
      <w:r>
        <w:rPr>
          <w:rFonts w:ascii="Arial" w:cs="Arial" w:eastAsia="Arial" w:hAnsi="Arial"/>
          <w:sz w:val="18"/>
          <w:szCs w:val="18"/>
          <w:color w:val="auto"/>
        </w:rPr>
        <w:t>attributable to Credicorp declined 6.4% YoY to S/1,238 million while navigating a prolonged recessive and high-inflationary environment that resulted in higher provisions at Mibanco and BCP, while Pacifico continues to report overall strong performance. This resulted in ROE of 16.2% compared to 19.8% in 3Q22. YTD ROE was 17.8% compared to 18.0% in 9M22.</w:t>
      </w:r>
    </w:p>
    <w:p>
      <w:pPr>
        <w:spacing w:after="0" w:line="137" w:lineRule="exact"/>
        <w:rPr>
          <w:rFonts w:ascii="Arial" w:cs="Arial" w:eastAsia="Arial" w:hAnsi="Arial"/>
          <w:sz w:val="18"/>
          <w:szCs w:val="18"/>
          <w:color w:val="auto"/>
        </w:rPr>
      </w:pPr>
    </w:p>
    <w:p>
      <w:pPr>
        <w:jc w:val="both"/>
        <w:ind w:left="760" w:hanging="279"/>
        <w:spacing w:after="0" w:line="242" w:lineRule="auto"/>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Structural Loans </w:t>
      </w:r>
      <w:r>
        <w:rPr>
          <w:rFonts w:ascii="Arial" w:cs="Arial" w:eastAsia="Arial" w:hAnsi="Arial"/>
          <w:sz w:val="18"/>
          <w:szCs w:val="18"/>
          <w:color w:val="auto"/>
        </w:rPr>
        <w:t>measured in average daily balances increased 1.0% QoQ and 1.2% YoY, driven mainly by Retail Banking at</w:t>
      </w:r>
      <w:r>
        <w:rPr>
          <w:rFonts w:ascii="Arial" w:cs="Arial" w:eastAsia="Arial" w:hAnsi="Arial"/>
          <w:sz w:val="18"/>
          <w:szCs w:val="18"/>
          <w:b w:val="1"/>
          <w:bCs w:val="1"/>
          <w:color w:val="auto"/>
        </w:rPr>
        <w:t xml:space="preserve"> </w:t>
      </w:r>
      <w:r>
        <w:rPr>
          <w:rFonts w:ascii="Arial" w:cs="Arial" w:eastAsia="Arial" w:hAnsi="Arial"/>
          <w:sz w:val="18"/>
          <w:szCs w:val="18"/>
          <w:color w:val="auto"/>
        </w:rPr>
        <w:t>BCP and primarily through SMEs and partly offset by a drop in activity in Wholesale Banking in a context marked by lower private investment and an active “El Niño Costero”. Mibanco saw a QoQ contraction in average daily balances but contributed to structural loan growth YoY.</w:t>
      </w:r>
    </w:p>
    <w:p>
      <w:pPr>
        <w:spacing w:after="0" w:line="129" w:lineRule="exact"/>
        <w:rPr>
          <w:rFonts w:ascii="Arial" w:cs="Arial" w:eastAsia="Arial" w:hAnsi="Arial"/>
          <w:sz w:val="18"/>
          <w:szCs w:val="18"/>
          <w:color w:val="auto"/>
        </w:rPr>
      </w:pPr>
    </w:p>
    <w:p>
      <w:pPr>
        <w:jc w:val="both"/>
        <w:ind w:left="780" w:hanging="299"/>
        <w:spacing w:after="0" w:line="242" w:lineRule="auto"/>
        <w:tabs>
          <w:tab w:leader="none" w:pos="7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Total Deposits </w:t>
      </w:r>
      <w:r>
        <w:rPr>
          <w:rFonts w:ascii="Arial" w:cs="Arial" w:eastAsia="Arial" w:hAnsi="Arial"/>
          <w:sz w:val="18"/>
          <w:szCs w:val="18"/>
          <w:color w:val="auto"/>
        </w:rPr>
        <w:t>at quarter-end increased 3.5% QoQ, mainly led by Time and Demand Deposits and partially offset by a decline in</w:t>
      </w:r>
      <w:r>
        <w:rPr>
          <w:rFonts w:ascii="Arial" w:cs="Arial" w:eastAsia="Arial" w:hAnsi="Arial"/>
          <w:sz w:val="18"/>
          <w:szCs w:val="18"/>
          <w:b w:val="1"/>
          <w:bCs w:val="1"/>
          <w:color w:val="auto"/>
        </w:rPr>
        <w:t xml:space="preserve"> </w:t>
      </w:r>
      <w:r>
        <w:rPr>
          <w:rFonts w:ascii="Arial" w:cs="Arial" w:eastAsia="Arial" w:hAnsi="Arial"/>
          <w:sz w:val="18"/>
          <w:szCs w:val="18"/>
          <w:color w:val="auto"/>
        </w:rPr>
        <w:t>Savings Deposits. YoY, deposits declined 2.8% as continued migration to Time Deposits in a high-interest rate environment led to a system-wide drop in Demand and Savings deposits. Low-cost deposits accounted for 63.7% of total deposits mix, positioning Credicorp as the market leader with a 40.3% market share.</w:t>
      </w:r>
    </w:p>
    <w:p>
      <w:pPr>
        <w:spacing w:after="0" w:line="141" w:lineRule="exact"/>
        <w:rPr>
          <w:rFonts w:ascii="Arial" w:cs="Arial" w:eastAsia="Arial" w:hAnsi="Arial"/>
          <w:sz w:val="18"/>
          <w:szCs w:val="18"/>
          <w:color w:val="auto"/>
        </w:rPr>
      </w:pPr>
    </w:p>
    <w:p>
      <w:pPr>
        <w:jc w:val="both"/>
        <w:ind w:left="780" w:hanging="299"/>
        <w:spacing w:after="0" w:line="239" w:lineRule="auto"/>
        <w:tabs>
          <w:tab w:leader="none" w:pos="780" w:val="left"/>
        </w:tabs>
        <w:numPr>
          <w:ilvl w:val="0"/>
          <w:numId w:val="1"/>
        </w:numPr>
        <w:rPr>
          <w:rFonts w:ascii="Arial" w:cs="Arial" w:eastAsia="Arial" w:hAnsi="Arial"/>
          <w:sz w:val="17"/>
          <w:szCs w:val="17"/>
          <w:color w:val="auto"/>
        </w:rPr>
      </w:pPr>
      <w:r>
        <w:rPr>
          <w:rFonts w:ascii="Arial" w:cs="Arial" w:eastAsia="Arial" w:hAnsi="Arial"/>
          <w:sz w:val="18"/>
          <w:szCs w:val="18"/>
          <w:b w:val="1"/>
          <w:bCs w:val="1"/>
          <w:color w:val="auto"/>
        </w:rPr>
        <w:t xml:space="preserve">The Structural NPL ratio </w:t>
      </w:r>
      <w:r>
        <w:rPr>
          <w:rFonts w:ascii="Arial" w:cs="Arial" w:eastAsia="Arial" w:hAnsi="Arial"/>
          <w:sz w:val="18"/>
          <w:szCs w:val="18"/>
          <w:color w:val="auto"/>
        </w:rPr>
        <w:t>increased 29 bps QoQ and 64 bps YoY to 5.6%, as client payment performance remains impacted by</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contraction in GDP and internal demand, together with high inflation and interest rates. At BCP, the key drivers behind the increase in structural non-performing loans were wholesale banking customers as well as consumer &amp; credit card clients in vulnerable segments facing lower payment capacity due to over-indebtedness and unstable employment. SME-Pyme and Mibanco clients in lower-ticket, higher-risk segments also reported an uptick in delinquency.</w:t>
      </w:r>
    </w:p>
    <w:p>
      <w:pPr>
        <w:spacing w:after="0" w:line="131" w:lineRule="exact"/>
        <w:rPr>
          <w:rFonts w:ascii="Arial" w:cs="Arial" w:eastAsia="Arial" w:hAnsi="Arial"/>
          <w:sz w:val="17"/>
          <w:szCs w:val="17"/>
          <w:color w:val="auto"/>
        </w:rPr>
      </w:pPr>
    </w:p>
    <w:p>
      <w:pPr>
        <w:jc w:val="both"/>
        <w:ind w:left="780" w:hanging="299"/>
        <w:spacing w:after="0" w:line="242" w:lineRule="auto"/>
        <w:tabs>
          <w:tab w:leader="none" w:pos="780" w:val="left"/>
        </w:tabs>
        <w:numPr>
          <w:ilvl w:val="0"/>
          <w:numId w:val="1"/>
        </w:numPr>
        <w:rPr>
          <w:rFonts w:ascii="Arial" w:cs="Arial" w:eastAsia="Arial" w:hAnsi="Arial"/>
          <w:sz w:val="17"/>
          <w:szCs w:val="17"/>
          <w:color w:val="auto"/>
        </w:rPr>
      </w:pPr>
      <w:r>
        <w:rPr>
          <w:rFonts w:ascii="Arial" w:cs="Arial" w:eastAsia="Arial" w:hAnsi="Arial"/>
          <w:sz w:val="18"/>
          <w:szCs w:val="18"/>
          <w:b w:val="1"/>
          <w:bCs w:val="1"/>
          <w:color w:val="auto"/>
        </w:rPr>
        <w:t xml:space="preserve">Provisions </w:t>
      </w:r>
      <w:r>
        <w:rPr>
          <w:rFonts w:ascii="Arial" w:cs="Arial" w:eastAsia="Arial" w:hAnsi="Arial"/>
          <w:sz w:val="18"/>
          <w:szCs w:val="18"/>
          <w:color w:val="auto"/>
        </w:rPr>
        <w:t>increased 13.8% QoQ and 85.0% YoY. Provisions from Individuals at BCP and at Mibanco remained at elevates after</w:t>
      </w:r>
      <w:r>
        <w:rPr>
          <w:rFonts w:ascii="Arial" w:cs="Arial" w:eastAsia="Arial" w:hAnsi="Arial"/>
          <w:sz w:val="18"/>
          <w:szCs w:val="18"/>
          <w:b w:val="1"/>
          <w:bCs w:val="1"/>
          <w:color w:val="auto"/>
        </w:rPr>
        <w:t xml:space="preserve"> </w:t>
      </w:r>
      <w:r>
        <w:rPr>
          <w:rFonts w:ascii="Arial" w:cs="Arial" w:eastAsia="Arial" w:hAnsi="Arial"/>
          <w:sz w:val="18"/>
          <w:szCs w:val="18"/>
          <w:color w:val="auto"/>
        </w:rPr>
        <w:t>a recessive, high-inflation environment affected client payment capacity, while provisions at SME- Pyme at BCP increased driven by higher-risk - low-ticket customers. Cost of Risk increased 28 bps sequentially to 2.5%. The Structural Cost of Risk increased 23 bps sequentially to 2.6%, while Structural NPL Coverage ratio stood at 101.4%.</w:t>
      </w:r>
    </w:p>
    <w:p>
      <w:pPr>
        <w:spacing w:after="0" w:line="29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43750" cy="15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312" w:right="339" w:bottom="1440" w:gutter="0" w:footer="0" w:header="0"/>
        </w:sectPr>
      </w:pPr>
    </w:p>
    <w:bookmarkStart w:id="5" w:name="page6"/>
    <w:bookmarkEnd w:id="5"/>
    <w:p>
      <w:pPr>
        <w:ind w:left="2960"/>
        <w:spacing w:after="0"/>
        <w:tabs>
          <w:tab w:leader="none" w:pos="3140" w:val="left"/>
        </w:tabs>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202565</wp:posOffset>
            </wp:positionH>
            <wp:positionV relativeFrom="page">
              <wp:posOffset>88900</wp:posOffset>
            </wp:positionV>
            <wp:extent cx="7143750" cy="3848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3750" cy="384810"/>
                    </a:xfrm>
                    <a:prstGeom prst="rect">
                      <a:avLst/>
                    </a:prstGeom>
                    <a:noFill/>
                  </pic:spPr>
                </pic:pic>
              </a:graphicData>
            </a:graphic>
          </wp:anchor>
        </w:drawing>
        <w:t>|</w:t>
      </w:r>
      <w:r>
        <w:rPr>
          <w:sz w:val="20"/>
          <w:szCs w:val="20"/>
          <w:color w:val="auto"/>
        </w:rPr>
        <w:tab/>
      </w:r>
      <w:r>
        <w:rPr>
          <w:rFonts w:ascii="Arial" w:cs="Arial" w:eastAsia="Arial" w:hAnsi="Arial"/>
          <w:sz w:val="16"/>
          <w:szCs w:val="16"/>
          <w:b w:val="1"/>
          <w:bCs w:val="1"/>
          <w:color w:val="FFFFFF"/>
        </w:rPr>
        <w:t>Earnings Release 3Q /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158115</wp:posOffset>
            </wp:positionV>
            <wp:extent cx="7143750" cy="1885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3750" cy="18859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Operating and Financial Highlights</w:t>
      </w:r>
    </w:p>
    <w:p>
      <w:pPr>
        <w:spacing w:after="0" w:line="226" w:lineRule="exact"/>
        <w:rPr>
          <w:sz w:val="20"/>
          <w:szCs w:val="20"/>
          <w:color w:val="auto"/>
        </w:rPr>
      </w:pPr>
    </w:p>
    <w:p>
      <w:pPr>
        <w:jc w:val="both"/>
        <w:ind w:left="780" w:hanging="299"/>
        <w:spacing w:after="0" w:line="242" w:lineRule="auto"/>
        <w:tabs>
          <w:tab w:leader="none" w:pos="780" w:val="left"/>
        </w:tabs>
        <w:numPr>
          <w:ilvl w:val="0"/>
          <w:numId w:val="2"/>
        </w:numPr>
        <w:rPr>
          <w:rFonts w:ascii="Arial" w:cs="Arial" w:eastAsia="Arial" w:hAnsi="Arial"/>
          <w:sz w:val="17"/>
          <w:szCs w:val="17"/>
          <w:color w:val="auto"/>
        </w:rPr>
      </w:pPr>
      <w:r>
        <w:rPr>
          <w:rFonts w:ascii="Arial" w:cs="Arial" w:eastAsia="Arial" w:hAnsi="Arial"/>
          <w:sz w:val="18"/>
          <w:szCs w:val="18"/>
          <w:b w:val="1"/>
          <w:bCs w:val="1"/>
          <w:color w:val="auto"/>
        </w:rPr>
        <w:t xml:space="preserve">Core Income </w:t>
      </w:r>
      <w:r>
        <w:rPr>
          <w:rFonts w:ascii="Arial" w:cs="Arial" w:eastAsia="Arial" w:hAnsi="Arial"/>
          <w:sz w:val="18"/>
          <w:szCs w:val="18"/>
          <w:color w:val="auto"/>
        </w:rPr>
        <w:t>increased 1.4% QoQ driven mainly by: i) a higher yielding interest-earnings asset mix and adept interest rate</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which drove a 1.6% increase in Net Interest Income (NII) and ii) a 1.6% uptick in fee income, which reflects higher transactional levels relative to debit cards, collection services and bill payments. YoY, Core Income increased 8.8%, supported by NII.</w:t>
      </w:r>
    </w:p>
    <w:p>
      <w:pPr>
        <w:spacing w:after="0" w:line="129" w:lineRule="exact"/>
        <w:rPr>
          <w:rFonts w:ascii="Arial" w:cs="Arial" w:eastAsia="Arial" w:hAnsi="Arial"/>
          <w:sz w:val="17"/>
          <w:szCs w:val="17"/>
          <w:color w:val="auto"/>
        </w:rPr>
      </w:pPr>
    </w:p>
    <w:p>
      <w:pPr>
        <w:ind w:left="780" w:hanging="299"/>
        <w:spacing w:after="0" w:line="267" w:lineRule="auto"/>
        <w:tabs>
          <w:tab w:leader="none" w:pos="780" w:val="left"/>
        </w:tabs>
        <w:numPr>
          <w:ilvl w:val="0"/>
          <w:numId w:val="2"/>
        </w:numPr>
        <w:rPr>
          <w:rFonts w:ascii="Arial" w:cs="Arial" w:eastAsia="Arial" w:hAnsi="Arial"/>
          <w:sz w:val="17"/>
          <w:szCs w:val="17"/>
          <w:color w:val="auto"/>
        </w:rPr>
      </w:pPr>
      <w:r>
        <w:rPr>
          <w:rFonts w:ascii="Arial" w:cs="Arial" w:eastAsia="Arial" w:hAnsi="Arial"/>
          <w:sz w:val="18"/>
          <w:szCs w:val="18"/>
          <w:b w:val="1"/>
          <w:bCs w:val="1"/>
          <w:color w:val="auto"/>
        </w:rPr>
        <w:t xml:space="preserve">Net Interest Margin (NIM) </w:t>
      </w:r>
      <w:r>
        <w:rPr>
          <w:rFonts w:ascii="Arial" w:cs="Arial" w:eastAsia="Arial" w:hAnsi="Arial"/>
          <w:sz w:val="18"/>
          <w:szCs w:val="18"/>
          <w:color w:val="auto"/>
        </w:rPr>
        <w:t>increased 9 bps QoQ and 78 bps YoY to 6.11% as growth in the yield of IEA outpaced the expansion in</w:t>
      </w:r>
      <w:r>
        <w:rPr>
          <w:rFonts w:ascii="Arial" w:cs="Arial" w:eastAsia="Arial" w:hAnsi="Arial"/>
          <w:sz w:val="18"/>
          <w:szCs w:val="18"/>
          <w:b w:val="1"/>
          <w:bCs w:val="1"/>
          <w:color w:val="auto"/>
        </w:rPr>
        <w:t xml:space="preserve"> </w:t>
      </w:r>
      <w:r>
        <w:rPr>
          <w:rFonts w:ascii="Arial" w:cs="Arial" w:eastAsia="Arial" w:hAnsi="Arial"/>
          <w:sz w:val="18"/>
          <w:szCs w:val="18"/>
          <w:color w:val="auto"/>
        </w:rPr>
        <w:t>the funding cost. Risk-Adjusted NIM stood at 4.45%.</w:t>
      </w:r>
    </w:p>
    <w:p>
      <w:pPr>
        <w:spacing w:after="0" w:line="120" w:lineRule="exact"/>
        <w:rPr>
          <w:rFonts w:ascii="Arial" w:cs="Arial" w:eastAsia="Arial" w:hAnsi="Arial"/>
          <w:sz w:val="17"/>
          <w:szCs w:val="17"/>
          <w:color w:val="auto"/>
        </w:rPr>
      </w:pPr>
    </w:p>
    <w:p>
      <w:pPr>
        <w:ind w:left="780" w:hanging="299"/>
        <w:spacing w:after="0" w:line="267" w:lineRule="auto"/>
        <w:tabs>
          <w:tab w:leader="none" w:pos="780" w:val="left"/>
        </w:tabs>
        <w:numPr>
          <w:ilvl w:val="0"/>
          <w:numId w:val="2"/>
        </w:numPr>
        <w:rPr>
          <w:rFonts w:ascii="Arial" w:cs="Arial" w:eastAsia="Arial" w:hAnsi="Arial"/>
          <w:sz w:val="17"/>
          <w:szCs w:val="17"/>
          <w:color w:val="auto"/>
        </w:rPr>
      </w:pPr>
      <w:r>
        <w:rPr>
          <w:rFonts w:ascii="Arial" w:cs="Arial" w:eastAsia="Arial" w:hAnsi="Arial"/>
          <w:sz w:val="18"/>
          <w:szCs w:val="18"/>
          <w:b w:val="1"/>
          <w:bCs w:val="1"/>
          <w:color w:val="auto"/>
        </w:rPr>
        <w:t xml:space="preserve">Insurance Underwriting Results </w:t>
      </w:r>
      <w:r>
        <w:rPr>
          <w:rFonts w:ascii="Arial" w:cs="Arial" w:eastAsia="Arial" w:hAnsi="Arial"/>
          <w:sz w:val="18"/>
          <w:szCs w:val="18"/>
          <w:color w:val="auto"/>
        </w:rPr>
        <w:t>remained unusually high, up 8.9% YoY driven primarily by positive pricing and volume dynamics</w:t>
      </w:r>
      <w:r>
        <w:rPr>
          <w:rFonts w:ascii="Arial" w:cs="Arial" w:eastAsia="Arial" w:hAnsi="Arial"/>
          <w:sz w:val="18"/>
          <w:szCs w:val="18"/>
          <w:b w:val="1"/>
          <w:bCs w:val="1"/>
          <w:color w:val="auto"/>
        </w:rPr>
        <w:t xml:space="preserve"> </w:t>
      </w:r>
      <w:r>
        <w:rPr>
          <w:rFonts w:ascii="Arial" w:cs="Arial" w:eastAsia="Arial" w:hAnsi="Arial"/>
          <w:sz w:val="18"/>
          <w:szCs w:val="18"/>
          <w:color w:val="auto"/>
        </w:rPr>
        <w:t>in the Life Business.</w:t>
      </w:r>
    </w:p>
    <w:p>
      <w:pPr>
        <w:spacing w:after="0" w:line="108" w:lineRule="exact"/>
        <w:rPr>
          <w:rFonts w:ascii="Arial" w:cs="Arial" w:eastAsia="Arial" w:hAnsi="Arial"/>
          <w:sz w:val="17"/>
          <w:szCs w:val="17"/>
          <w:color w:val="auto"/>
        </w:rPr>
      </w:pPr>
    </w:p>
    <w:p>
      <w:pPr>
        <w:ind w:left="780" w:hanging="299"/>
        <w:spacing w:after="0" w:line="267" w:lineRule="auto"/>
        <w:tabs>
          <w:tab w:leader="none" w:pos="780" w:val="left"/>
        </w:tabs>
        <w:numPr>
          <w:ilvl w:val="0"/>
          <w:numId w:val="2"/>
        </w:numPr>
        <w:rPr>
          <w:rFonts w:ascii="Arial" w:cs="Arial" w:eastAsia="Arial" w:hAnsi="Arial"/>
          <w:sz w:val="17"/>
          <w:szCs w:val="17"/>
          <w:color w:val="auto"/>
        </w:rPr>
      </w:pPr>
      <w:r>
        <w:rPr>
          <w:rFonts w:ascii="Arial" w:cs="Arial" w:eastAsia="Arial" w:hAnsi="Arial"/>
          <w:sz w:val="18"/>
          <w:szCs w:val="18"/>
          <w:b w:val="1"/>
          <w:bCs w:val="1"/>
          <w:color w:val="auto"/>
        </w:rPr>
        <w:t xml:space="preserve">Efficiency Ratio </w:t>
      </w:r>
      <w:r>
        <w:rPr>
          <w:rFonts w:ascii="Arial" w:cs="Arial" w:eastAsia="Arial" w:hAnsi="Arial"/>
          <w:sz w:val="18"/>
          <w:szCs w:val="18"/>
          <w:color w:val="auto"/>
        </w:rPr>
        <w:t>improved 160 bps in 9M23 to 45.1% as Operating Income growth at BCP and Pacífico more than offset higher</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for core business at BCP and disruptive initiatives at Credicorp to support long-term market leadership.</w:t>
      </w:r>
    </w:p>
    <w:p>
      <w:pPr>
        <w:spacing w:after="0" w:line="127" w:lineRule="exact"/>
        <w:rPr>
          <w:rFonts w:ascii="Arial" w:cs="Arial" w:eastAsia="Arial" w:hAnsi="Arial"/>
          <w:sz w:val="17"/>
          <w:szCs w:val="17"/>
          <w:color w:val="auto"/>
        </w:rPr>
      </w:pPr>
    </w:p>
    <w:p>
      <w:pPr>
        <w:ind w:left="780" w:right="100" w:hanging="299"/>
        <w:spacing w:after="0" w:line="239" w:lineRule="auto"/>
        <w:tabs>
          <w:tab w:leader="none" w:pos="78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 xml:space="preserve">Yape </w:t>
      </w:r>
      <w:r>
        <w:rPr>
          <w:rFonts w:ascii="Arial" w:cs="Arial" w:eastAsia="Arial" w:hAnsi="Arial"/>
          <w:sz w:val="18"/>
          <w:szCs w:val="18"/>
          <w:color w:val="auto"/>
        </w:rPr>
        <w:t>continues to move towards cashflow break-even in 2024 as new features are added. Revenue per monthly active user</w:t>
      </w:r>
      <w:r>
        <w:rPr>
          <w:rFonts w:ascii="Arial" w:cs="Arial" w:eastAsia="Arial" w:hAnsi="Arial"/>
          <w:sz w:val="17"/>
          <w:szCs w:val="17"/>
          <w:b w:val="1"/>
          <w:bCs w:val="1"/>
          <w:color w:val="auto"/>
        </w:rPr>
        <w:t xml:space="preserve"> </w:t>
      </w:r>
      <w:r>
        <w:rPr>
          <w:rFonts w:ascii="Arial" w:cs="Arial" w:eastAsia="Arial" w:hAnsi="Arial"/>
          <w:sz w:val="18"/>
          <w:szCs w:val="18"/>
          <w:color w:val="auto"/>
        </w:rPr>
        <w:t>(MAU) increased 26% QoQ to s/2.9 in the quarter, moving closer to cash-costs per MAU of S/4.3. Yape, which has become the primary payment network in Peru and boasts the highest awareness level of any digital brand in the country, is firmly advancing in its quest to drive financial inclusion.</w:t>
      </w:r>
    </w:p>
    <w:p>
      <w:pPr>
        <w:spacing w:after="0" w:line="132" w:lineRule="exact"/>
        <w:rPr>
          <w:rFonts w:ascii="Arial" w:cs="Arial" w:eastAsia="Arial" w:hAnsi="Arial"/>
          <w:sz w:val="17"/>
          <w:szCs w:val="17"/>
          <w:color w:val="auto"/>
        </w:rPr>
      </w:pPr>
    </w:p>
    <w:p>
      <w:pPr>
        <w:ind w:left="780" w:right="140" w:hanging="299"/>
        <w:spacing w:after="0" w:line="267" w:lineRule="auto"/>
        <w:tabs>
          <w:tab w:leader="none" w:pos="780" w:val="left"/>
        </w:tabs>
        <w:numPr>
          <w:ilvl w:val="0"/>
          <w:numId w:val="2"/>
        </w:numPr>
        <w:rPr>
          <w:rFonts w:ascii="Arial" w:cs="Arial" w:eastAsia="Arial" w:hAnsi="Arial"/>
          <w:sz w:val="17"/>
          <w:szCs w:val="17"/>
          <w:color w:val="auto"/>
        </w:rPr>
      </w:pPr>
      <w:r>
        <w:rPr>
          <w:rFonts w:ascii="Arial" w:cs="Arial" w:eastAsia="Arial" w:hAnsi="Arial"/>
          <w:sz w:val="18"/>
          <w:szCs w:val="18"/>
          <w:color w:val="auto"/>
        </w:rPr>
        <w:t xml:space="preserve">Credicorp maintains a solid capital base, with a </w:t>
      </w:r>
      <w:r>
        <w:rPr>
          <w:rFonts w:ascii="Arial" w:cs="Arial" w:eastAsia="Arial" w:hAnsi="Arial"/>
          <w:sz w:val="18"/>
          <w:szCs w:val="18"/>
          <w:b w:val="1"/>
          <w:bCs w:val="1"/>
          <w:color w:val="auto"/>
        </w:rPr>
        <w:t>CET1 Ratio</w:t>
      </w:r>
      <w:r>
        <w:rPr>
          <w:rFonts w:ascii="Arial" w:cs="Arial" w:eastAsia="Arial" w:hAnsi="Arial"/>
          <w:sz w:val="18"/>
          <w:szCs w:val="18"/>
          <w:color w:val="auto"/>
        </w:rPr>
        <w:t xml:space="preserve"> for BCP of 13.1%, up 25 bps QoQ. At Mibanco, CET1 Ratio reached 17.6%, up 96 bps QoQ.</w:t>
      </w:r>
    </w:p>
    <w:p>
      <w:pPr>
        <w:spacing w:after="0" w:line="108" w:lineRule="exact"/>
        <w:rPr>
          <w:rFonts w:ascii="Arial" w:cs="Arial" w:eastAsia="Arial" w:hAnsi="Arial"/>
          <w:sz w:val="17"/>
          <w:szCs w:val="17"/>
          <w:color w:val="auto"/>
        </w:rPr>
      </w:pPr>
    </w:p>
    <w:p>
      <w:pPr>
        <w:jc w:val="both"/>
        <w:ind w:left="780" w:hanging="299"/>
        <w:spacing w:after="0" w:line="248" w:lineRule="auto"/>
        <w:tabs>
          <w:tab w:leader="none" w:pos="780" w:val="left"/>
        </w:tabs>
        <w:numPr>
          <w:ilvl w:val="0"/>
          <w:numId w:val="2"/>
        </w:numPr>
        <w:rPr>
          <w:rFonts w:ascii="Arial" w:cs="Arial" w:eastAsia="Arial" w:hAnsi="Arial"/>
          <w:sz w:val="17"/>
          <w:szCs w:val="17"/>
          <w:color w:val="auto"/>
        </w:rPr>
      </w:pPr>
      <w:r>
        <w:rPr>
          <w:rFonts w:ascii="Arial" w:cs="Arial" w:eastAsia="Arial" w:hAnsi="Arial"/>
          <w:sz w:val="18"/>
          <w:szCs w:val="18"/>
          <w:color w:val="auto"/>
        </w:rPr>
        <w:t xml:space="preserve">At BCP stand-alone, 30-day local currency </w:t>
      </w:r>
      <w:r>
        <w:rPr>
          <w:rFonts w:ascii="Arial" w:cs="Arial" w:eastAsia="Arial" w:hAnsi="Arial"/>
          <w:sz w:val="18"/>
          <w:szCs w:val="18"/>
          <w:b w:val="1"/>
          <w:bCs w:val="1"/>
          <w:color w:val="auto"/>
        </w:rPr>
        <w:t>Liquidity Coverage Ratio (LCR)</w:t>
      </w:r>
      <w:r>
        <w:rPr>
          <w:rFonts w:ascii="Arial" w:cs="Arial" w:eastAsia="Arial" w:hAnsi="Arial"/>
          <w:sz w:val="18"/>
          <w:szCs w:val="18"/>
          <w:color w:val="auto"/>
        </w:rPr>
        <w:t xml:space="preserve"> currency stood at 150.6% under regulatory standards and 124.7% based on more stringent internal standards, while USD 30-day LCR stood at 191.8% and 110.8% under regulatory and more stringent internal standards, respectively.</w:t>
      </w:r>
    </w:p>
    <w:p>
      <w:pPr>
        <w:spacing w:after="0" w:line="29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43750" cy="158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312" w:right="339" w:bottom="1440" w:gutter="0" w:footer="0" w:header="0"/>
        </w:sectPr>
      </w:pPr>
    </w:p>
    <w:bookmarkStart w:id="6" w:name="page7"/>
    <w:bookmarkEnd w:id="6"/>
    <w:p>
      <w:pPr>
        <w:ind w:left="2960"/>
        <w:spacing w:after="0"/>
        <w:tabs>
          <w:tab w:leader="none" w:pos="3140" w:val="left"/>
        </w:tabs>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202565</wp:posOffset>
            </wp:positionH>
            <wp:positionV relativeFrom="page">
              <wp:posOffset>88900</wp:posOffset>
            </wp:positionV>
            <wp:extent cx="7143750" cy="3848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3750" cy="384810"/>
                    </a:xfrm>
                    <a:prstGeom prst="rect">
                      <a:avLst/>
                    </a:prstGeom>
                    <a:noFill/>
                  </pic:spPr>
                </pic:pic>
              </a:graphicData>
            </a:graphic>
          </wp:anchor>
        </w:drawing>
        <w:t>|</w:t>
      </w:r>
      <w:r>
        <w:rPr>
          <w:sz w:val="20"/>
          <w:szCs w:val="20"/>
          <w:color w:val="auto"/>
        </w:rPr>
        <w:tab/>
      </w:r>
      <w:r>
        <w:rPr>
          <w:rFonts w:ascii="Arial" w:cs="Arial" w:eastAsia="Arial" w:hAnsi="Arial"/>
          <w:sz w:val="16"/>
          <w:szCs w:val="16"/>
          <w:b w:val="1"/>
          <w:bCs w:val="1"/>
          <w:color w:val="FFFFFF"/>
        </w:rPr>
        <w:t>Earnings Release 3Q /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158115</wp:posOffset>
            </wp:positionV>
            <wp:extent cx="7143750" cy="1885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3750" cy="18859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Senior Management Quotes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MANAGEMENT QUOTES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760730</wp:posOffset>
            </wp:positionH>
            <wp:positionV relativeFrom="paragraph">
              <wp:posOffset>128270</wp:posOffset>
            </wp:positionV>
            <wp:extent cx="5628640" cy="42786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28640" cy="427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43750" cy="15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312" w:right="339" w:bottom="1440" w:gutter="0" w:footer="0" w:header="0"/>
        </w:sectPr>
      </w:pPr>
    </w:p>
    <w:bookmarkStart w:id="7" w:name="page8"/>
    <w:bookmarkEnd w:id="7"/>
    <w:p>
      <w:pPr>
        <w:ind w:left="2960"/>
        <w:spacing w:after="0"/>
        <w:tabs>
          <w:tab w:leader="none" w:pos="7300" w:val="left"/>
        </w:tabs>
        <w:rPr>
          <w:sz w:val="20"/>
          <w:szCs w:val="20"/>
          <w:color w:val="auto"/>
        </w:rPr>
      </w:pPr>
      <w:r>
        <w:rPr>
          <w:rFonts w:ascii="Arial" w:cs="Arial" w:eastAsia="Arial" w:hAnsi="Arial"/>
          <w:sz w:val="32"/>
          <w:szCs w:val="32"/>
          <w:color w:val="FFFFFF"/>
          <w:vertAlign w:val="superscript"/>
        </w:rPr>
        <w:drawing>
          <wp:anchor simplePos="0" relativeHeight="251657728" behindDoc="1" locked="0" layoutInCell="0" allowOverlap="1">
            <wp:simplePos x="0" y="0"/>
            <wp:positionH relativeFrom="page">
              <wp:posOffset>202565</wp:posOffset>
            </wp:positionH>
            <wp:positionV relativeFrom="page">
              <wp:posOffset>88900</wp:posOffset>
            </wp:positionV>
            <wp:extent cx="7143750" cy="400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3750" cy="400050"/>
                    </a:xfrm>
                    <a:prstGeom prst="rect">
                      <a:avLst/>
                    </a:prstGeom>
                    <a:noFill/>
                  </pic:spPr>
                </pic:pic>
              </a:graphicData>
            </a:graphic>
          </wp:anchor>
        </w:drawing>
        <w:t>|</w:t>
      </w:r>
      <w:r>
        <w:rPr>
          <w:rFonts w:ascii="Arial" w:cs="Arial" w:eastAsia="Arial" w:hAnsi="Arial"/>
          <w:sz w:val="18"/>
          <w:szCs w:val="18"/>
          <w:b w:val="1"/>
          <w:bCs w:val="1"/>
          <w:color w:val="E93CAC"/>
        </w:rPr>
        <w:t xml:space="preserve">  </w:t>
      </w:r>
      <w:r>
        <w:rPr>
          <w:rFonts w:ascii="Arial" w:cs="Arial" w:eastAsia="Arial" w:hAnsi="Arial"/>
          <w:sz w:val="32"/>
          <w:szCs w:val="32"/>
          <w:b w:val="1"/>
          <w:bCs w:val="1"/>
          <w:color w:val="FFFFFF"/>
          <w:vertAlign w:val="superscript"/>
        </w:rPr>
        <w:t>Earnings Release 3Q / 2023</w:t>
      </w:r>
      <w:r>
        <w:rPr>
          <w:sz w:val="20"/>
          <w:szCs w:val="20"/>
          <w:color w:val="auto"/>
        </w:rPr>
        <w:tab/>
      </w:r>
      <w:r>
        <w:rPr>
          <w:rFonts w:ascii="Arial" w:cs="Arial" w:eastAsia="Arial" w:hAnsi="Arial"/>
          <w:sz w:val="18"/>
          <w:szCs w:val="18"/>
          <w:b w:val="1"/>
          <w:bCs w:val="1"/>
          <w:color w:val="E93CAC"/>
        </w:rPr>
        <w:t>Analysis of 3Q23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57150</wp:posOffset>
            </wp:positionV>
            <wp:extent cx="7143750" cy="1885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3750" cy="188595"/>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Third Quarter 2023 Earnings Conference Call</w:t>
      </w:r>
    </w:p>
    <w:p>
      <w:pPr>
        <w:spacing w:after="0" w:line="24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THIRD QUARTER 2023 EARNINGS CONFERENCE CALL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121212"/>
        </w:rPr>
        <w:t xml:space="preserve">Date: </w:t>
      </w:r>
      <w:r>
        <w:rPr>
          <w:rFonts w:ascii="Arial" w:cs="Arial" w:eastAsia="Arial" w:hAnsi="Arial"/>
          <w:sz w:val="18"/>
          <w:szCs w:val="18"/>
          <w:color w:val="121212"/>
        </w:rPr>
        <w:t>Friday November 3</w:t>
      </w:r>
      <w:r>
        <w:rPr>
          <w:rFonts w:ascii="Arial" w:cs="Arial" w:eastAsia="Arial" w:hAnsi="Arial"/>
          <w:sz w:val="30"/>
          <w:szCs w:val="30"/>
          <w:color w:val="121212"/>
          <w:vertAlign w:val="superscript"/>
        </w:rPr>
        <w:t>rd</w:t>
      </w:r>
      <w:r>
        <w:rPr>
          <w:rFonts w:ascii="Arial" w:cs="Arial" w:eastAsia="Arial" w:hAnsi="Arial"/>
          <w:sz w:val="18"/>
          <w:szCs w:val="18"/>
          <w:color w:val="121212"/>
        </w:rPr>
        <w:t>, 2023</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121212"/>
        </w:rPr>
        <w:t xml:space="preserve">Time: </w:t>
      </w:r>
      <w:r>
        <w:rPr>
          <w:rFonts w:ascii="Arial" w:cs="Arial" w:eastAsia="Arial" w:hAnsi="Arial"/>
          <w:sz w:val="18"/>
          <w:szCs w:val="18"/>
          <w:color w:val="121212"/>
        </w:rPr>
        <w:t>10:30 am ET (9:30 am Lima, Perú)</w:t>
      </w:r>
    </w:p>
    <w:p>
      <w:pPr>
        <w:spacing w:after="0" w:line="15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color w:val="121212"/>
        </w:rPr>
        <w:t xml:space="preserve">Hosts: </w:t>
      </w:r>
      <w:r>
        <w:rPr>
          <w:rFonts w:ascii="Arial" w:cs="Arial" w:eastAsia="Arial" w:hAnsi="Arial"/>
          <w:sz w:val="18"/>
          <w:szCs w:val="18"/>
          <w:color w:val="121212"/>
        </w:rPr>
        <w:t>Cesar Rios - Chief Financial Officer, Francesca Raffo – Chief Innovation Officer, Reynaldo Llosa - Chief Risk Officer, Diego Cavero –</w:t>
      </w:r>
      <w:r>
        <w:rPr>
          <w:rFonts w:ascii="Arial" w:cs="Arial" w:eastAsia="Arial" w:hAnsi="Arial"/>
          <w:sz w:val="18"/>
          <w:szCs w:val="18"/>
          <w:b w:val="1"/>
          <w:bCs w:val="1"/>
          <w:color w:val="121212"/>
        </w:rPr>
        <w:t xml:space="preserve"> </w:t>
      </w:r>
      <w:r>
        <w:rPr>
          <w:rFonts w:ascii="Arial" w:cs="Arial" w:eastAsia="Arial" w:hAnsi="Arial"/>
          <w:sz w:val="18"/>
          <w:szCs w:val="18"/>
          <w:color w:val="121212"/>
        </w:rPr>
        <w:t>Head of Universal Banking, Cesar Rivera - Head of Insurance and Pensions, Carlos Sotelo - Mibanco CFO, Raimundo Morales – Yape CEO; and the Investor Relations Team.</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To pre-register for the listen-only webcast presentation use the following link:</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https://dpregister.com/DiamondPassRegistration/register?confirmationNumber=10183417&amp;linkSecurityString=fab422 2fc1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5940425</wp:posOffset>
            </wp:positionH>
            <wp:positionV relativeFrom="paragraph">
              <wp:posOffset>-19050</wp:posOffset>
            </wp:positionV>
            <wp:extent cx="3175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1750" cy="7620"/>
                    </a:xfrm>
                    <a:prstGeom prst="rect">
                      <a:avLst/>
                    </a:prstGeom>
                    <a:noFill/>
                  </pic:spPr>
                </pic:pic>
              </a:graphicData>
            </a:graphic>
          </wp:anchor>
        </w:drawing>
      </w:r>
    </w:p>
    <w:p>
      <w:pPr>
        <w:spacing w:after="0" w:line="181" w:lineRule="exact"/>
        <w:rPr>
          <w:sz w:val="20"/>
          <w:szCs w:val="20"/>
          <w:color w:val="auto"/>
        </w:rPr>
      </w:pPr>
    </w:p>
    <w:p>
      <w:pPr>
        <w:ind w:right="540"/>
        <w:spacing w:after="0" w:line="256" w:lineRule="auto"/>
        <w:rPr>
          <w:sz w:val="20"/>
          <w:szCs w:val="20"/>
          <w:color w:val="auto"/>
        </w:rPr>
      </w:pPr>
      <w:r>
        <w:rPr>
          <w:rFonts w:ascii="Arial" w:cs="Arial" w:eastAsia="Arial" w:hAnsi="Arial"/>
          <w:sz w:val="18"/>
          <w:szCs w:val="18"/>
          <w:color w:val="121212"/>
        </w:rPr>
        <w:t>Callers who pre-register will be given a conference passcode and unique PIN to gain immediate access to the call and bypass the live operator. Participants may pre-register at any time, including up to and after the call start time.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121212"/>
        </w:rPr>
        <w:t>Those unable to pre-register may dial in by calling:</w:t>
      </w:r>
    </w:p>
    <w:p>
      <w:pPr>
        <w:spacing w:after="0" w:line="232" w:lineRule="auto"/>
        <w:rPr>
          <w:sz w:val="20"/>
          <w:szCs w:val="20"/>
          <w:color w:val="auto"/>
        </w:rPr>
      </w:pPr>
      <w:r>
        <w:rPr>
          <w:rFonts w:ascii="Arial" w:cs="Arial" w:eastAsia="Arial" w:hAnsi="Arial"/>
          <w:sz w:val="18"/>
          <w:szCs w:val="18"/>
          <w:color w:val="121212"/>
        </w:rPr>
        <w:t>1 844 435 0321 (U.S. toll free)</w:t>
      </w:r>
    </w:p>
    <w:p>
      <w:pPr>
        <w:spacing w:after="0" w:line="229" w:lineRule="auto"/>
        <w:rPr>
          <w:sz w:val="20"/>
          <w:szCs w:val="20"/>
          <w:color w:val="auto"/>
        </w:rPr>
      </w:pPr>
      <w:r>
        <w:rPr>
          <w:rFonts w:ascii="Arial" w:cs="Arial" w:eastAsia="Arial" w:hAnsi="Arial"/>
          <w:sz w:val="18"/>
          <w:szCs w:val="18"/>
          <w:color w:val="121212"/>
        </w:rPr>
        <w:t>1 412 317 5615 (International)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121212"/>
        </w:rPr>
        <w:t>Conference ID: Credicorp Conference Call</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121212"/>
        </w:rPr>
        <w:t>The webcast will be archived for one year on our investor relations website at:</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https://credicorp.gcs-web.com/events-and-presentations/upcoming-events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121212"/>
        </w:rPr>
        <w:t>For a full version of Credicorp´s Second Quarter 2023 Earnings Release, please visit:</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https://credicorp.gcs-web.com/financial-information/quarterly-results</w:t>
      </w:r>
    </w:p>
    <w:p>
      <w:pPr>
        <w:spacing w:after="0" w:line="38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43750" cy="15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312" w:right="339" w:bottom="1440" w:gutter="0" w:footer="0" w:header="0"/>
        </w:sectPr>
      </w:pPr>
    </w:p>
    <w:bookmarkStart w:id="8" w:name="page9"/>
    <w:bookmarkEnd w:id="8"/>
    <w:p>
      <w:pPr>
        <w:ind w:left="2960"/>
        <w:spacing w:after="0"/>
        <w:tabs>
          <w:tab w:leader="none" w:pos="3140" w:val="left"/>
        </w:tabs>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202565</wp:posOffset>
            </wp:positionH>
            <wp:positionV relativeFrom="page">
              <wp:posOffset>88900</wp:posOffset>
            </wp:positionV>
            <wp:extent cx="7143750" cy="3848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3750" cy="384810"/>
                    </a:xfrm>
                    <a:prstGeom prst="rect">
                      <a:avLst/>
                    </a:prstGeom>
                    <a:noFill/>
                  </pic:spPr>
                </pic:pic>
              </a:graphicData>
            </a:graphic>
          </wp:anchor>
        </w:drawing>
        <w:t>|</w:t>
      </w:r>
      <w:r>
        <w:rPr>
          <w:sz w:val="20"/>
          <w:szCs w:val="20"/>
          <w:color w:val="auto"/>
        </w:rPr>
        <w:tab/>
      </w:r>
      <w:r>
        <w:rPr>
          <w:rFonts w:ascii="Arial" w:cs="Arial" w:eastAsia="Arial" w:hAnsi="Arial"/>
          <w:sz w:val="16"/>
          <w:szCs w:val="16"/>
          <w:b w:val="1"/>
          <w:bCs w:val="1"/>
          <w:color w:val="FFFFFF"/>
        </w:rPr>
        <w:t>Earnings Release 3Q /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158115</wp:posOffset>
            </wp:positionV>
            <wp:extent cx="7143750" cy="1885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3750" cy="18859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Summary of Financial Performance and Outlook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3963670</wp:posOffset>
            </wp:positionH>
            <wp:positionV relativeFrom="paragraph">
              <wp:posOffset>159385</wp:posOffset>
            </wp:positionV>
            <wp:extent cx="2936240" cy="20173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936240" cy="201739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23"/>
          <w:szCs w:val="23"/>
          <w:b w:val="1"/>
          <w:bCs w:val="1"/>
          <w:color w:val="2AD2C8"/>
        </w:rPr>
        <w:t>Loans in Average Daily Balances (ADB)</w:t>
      </w:r>
    </w:p>
    <w:p>
      <w:pPr>
        <w:spacing w:after="0" w:line="244" w:lineRule="exact"/>
        <w:rPr>
          <w:sz w:val="20"/>
          <w:szCs w:val="20"/>
          <w:color w:val="auto"/>
        </w:rPr>
      </w:pPr>
    </w:p>
    <w:p>
      <w:pPr>
        <w:jc w:val="both"/>
        <w:ind w:right="5840"/>
        <w:spacing w:after="0" w:line="247" w:lineRule="auto"/>
        <w:rPr>
          <w:sz w:val="20"/>
          <w:szCs w:val="20"/>
          <w:color w:val="auto"/>
        </w:rPr>
      </w:pPr>
      <w:r>
        <w:rPr>
          <w:rFonts w:ascii="Arial" w:cs="Arial" w:eastAsia="Arial" w:hAnsi="Arial"/>
          <w:sz w:val="16"/>
          <w:szCs w:val="16"/>
          <w:color w:val="auto"/>
        </w:rPr>
        <w:t>Structural loans measured in ADB rose 1.0% QoQ (+0.3%, neutral exchange rate) to total S/137,745 million. This growth was primarily attributable to Retail Banking at BCP, and to SME-Pyme in particular, and was partially offset by a decrease in the pace of loan growth in Wholesale Banking, which reflects the impact of a drop in private investment and the cancellation of the first fishing season due to the “El Niño Costero” phenomenon.</w:t>
      </w:r>
    </w:p>
    <w:p>
      <w:pPr>
        <w:spacing w:after="0" w:line="109" w:lineRule="exact"/>
        <w:rPr>
          <w:sz w:val="20"/>
          <w:szCs w:val="20"/>
          <w:color w:val="auto"/>
        </w:rPr>
      </w:pPr>
    </w:p>
    <w:p>
      <w:pPr>
        <w:jc w:val="both"/>
        <w:ind w:right="5840"/>
        <w:spacing w:after="0" w:line="250" w:lineRule="auto"/>
        <w:rPr>
          <w:sz w:val="20"/>
          <w:szCs w:val="20"/>
          <w:color w:val="auto"/>
        </w:rPr>
      </w:pPr>
      <w:r>
        <w:rPr>
          <w:rFonts w:ascii="Arial" w:cs="Arial" w:eastAsia="Arial" w:hAnsi="Arial"/>
          <w:sz w:val="16"/>
          <w:szCs w:val="16"/>
          <w:color w:val="auto"/>
        </w:rPr>
        <w:t>YoY, structural loan growth stood at 1.2%, driven primarily by Retail Banking at BCP, and by SME-Pyme and Individuals in particular, and secondarily by growth at Mibanco. As was the case QoQ, growth was partially offset by Wholesale Banking; the drivers were the same across both periods.</w:t>
      </w:r>
    </w:p>
    <w:p>
      <w:pPr>
        <w:spacing w:after="0" w:line="93" w:lineRule="exact"/>
        <w:rPr>
          <w:sz w:val="20"/>
          <w:szCs w:val="20"/>
          <w:color w:val="auto"/>
        </w:rPr>
      </w:pPr>
    </w:p>
    <w:p>
      <w:pPr>
        <w:jc w:val="both"/>
        <w:ind w:right="5840"/>
        <w:spacing w:after="0" w:line="274" w:lineRule="auto"/>
        <w:rPr>
          <w:sz w:val="20"/>
          <w:szCs w:val="20"/>
          <w:color w:val="auto"/>
        </w:rPr>
      </w:pPr>
      <w:r>
        <w:rPr>
          <w:rFonts w:ascii="Arial" w:cs="Arial" w:eastAsia="Arial" w:hAnsi="Arial"/>
          <w:sz w:val="16"/>
          <w:szCs w:val="16"/>
          <w:color w:val="auto"/>
        </w:rPr>
        <w:t>Government Loans (GP) represented 3.1% of total loans in average daily balances (2.9% in quarter-end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4018915</wp:posOffset>
            </wp:positionH>
            <wp:positionV relativeFrom="paragraph">
              <wp:posOffset>63500</wp:posOffset>
            </wp:positionV>
            <wp:extent cx="2818130" cy="1946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18130" cy="1946910"/>
                    </a:xfrm>
                    <a:prstGeom prst="rect">
                      <a:avLst/>
                    </a:prstGeom>
                    <a:noFill/>
                  </pic:spPr>
                </pic:pic>
              </a:graphicData>
            </a:graphic>
          </wp:anchor>
        </w:drawing>
      </w:r>
    </w:p>
    <w:p>
      <w:pPr>
        <w:spacing w:after="0" w:line="90" w:lineRule="exact"/>
        <w:rPr>
          <w:sz w:val="20"/>
          <w:szCs w:val="20"/>
          <w:color w:val="auto"/>
        </w:rPr>
      </w:pPr>
    </w:p>
    <w:p>
      <w:pPr>
        <w:spacing w:after="0"/>
        <w:rPr>
          <w:sz w:val="20"/>
          <w:szCs w:val="20"/>
          <w:color w:val="auto"/>
        </w:rPr>
      </w:pPr>
      <w:r>
        <w:rPr>
          <w:rFonts w:ascii="Arial" w:cs="Arial" w:eastAsia="Arial" w:hAnsi="Arial"/>
          <w:sz w:val="23"/>
          <w:szCs w:val="23"/>
          <w:b w:val="1"/>
          <w:bCs w:val="1"/>
          <w:color w:val="2AD2C8"/>
        </w:rPr>
        <w:t>Deposits</w:t>
      </w:r>
    </w:p>
    <w:p>
      <w:pPr>
        <w:spacing w:after="0" w:line="207" w:lineRule="exact"/>
        <w:rPr>
          <w:sz w:val="20"/>
          <w:szCs w:val="20"/>
          <w:color w:val="auto"/>
        </w:rPr>
      </w:pPr>
    </w:p>
    <w:p>
      <w:pPr>
        <w:jc w:val="both"/>
        <w:ind w:right="5840"/>
        <w:spacing w:after="0" w:line="248" w:lineRule="auto"/>
        <w:rPr>
          <w:sz w:val="20"/>
          <w:szCs w:val="20"/>
          <w:color w:val="auto"/>
        </w:rPr>
      </w:pPr>
      <w:r>
        <w:rPr>
          <w:rFonts w:ascii="Arial" w:cs="Arial" w:eastAsia="Arial" w:hAnsi="Arial"/>
          <w:sz w:val="16"/>
          <w:szCs w:val="16"/>
          <w:color w:val="auto"/>
        </w:rPr>
        <w:t>Our deposit base measured in quarter-end balances resumed growth and increased 3.5% QoQ (+1.3% with Neutral FX). This uptick was mainly driven by an increase in Time Deposits and secondarily by growth in Demand Deposits, which was fueled by campaigns to capture more funding through digital products and by disbursements for Christmas campaigns.</w:t>
      </w:r>
    </w:p>
    <w:p>
      <w:pPr>
        <w:spacing w:after="0" w:line="286" w:lineRule="exact"/>
        <w:rPr>
          <w:sz w:val="20"/>
          <w:szCs w:val="20"/>
          <w:color w:val="auto"/>
        </w:rPr>
      </w:pPr>
    </w:p>
    <w:p>
      <w:pPr>
        <w:jc w:val="both"/>
        <w:ind w:right="5840"/>
        <w:spacing w:after="0" w:line="258" w:lineRule="auto"/>
        <w:rPr>
          <w:sz w:val="20"/>
          <w:szCs w:val="20"/>
          <w:color w:val="auto"/>
        </w:rPr>
      </w:pPr>
      <w:r>
        <w:rPr>
          <w:rFonts w:ascii="Arial" w:cs="Arial" w:eastAsia="Arial" w:hAnsi="Arial"/>
          <w:sz w:val="16"/>
          <w:szCs w:val="16"/>
          <w:color w:val="auto"/>
        </w:rPr>
        <w:t>In the YoY comparison, the deposit base dropped 2.8% (-0.5%, Neutral FX). Low-cost deposits, which represented 63.7% of our total deposit at quarter-end, continued to play a preponderant role in our funding mix.</w:t>
      </w:r>
    </w:p>
    <w:p>
      <w:pPr>
        <w:spacing w:after="0" w:line="271" w:lineRule="exact"/>
        <w:rPr>
          <w:sz w:val="20"/>
          <w:szCs w:val="20"/>
          <w:color w:val="auto"/>
        </w:rPr>
      </w:pPr>
    </w:p>
    <w:p>
      <w:pPr>
        <w:spacing w:after="0"/>
        <w:rPr>
          <w:sz w:val="20"/>
          <w:szCs w:val="20"/>
          <w:color w:val="auto"/>
        </w:rPr>
      </w:pPr>
      <w:r>
        <w:rPr>
          <w:rFonts w:ascii="Arial" w:cs="Arial" w:eastAsia="Arial" w:hAnsi="Arial"/>
          <w:sz w:val="23"/>
          <w:szCs w:val="23"/>
          <w:b w:val="1"/>
          <w:bCs w:val="1"/>
          <w:color w:val="2AD2C8"/>
        </w:rPr>
        <w:t>Net Interest Income (NII) and Margin (NIM)</w:t>
      </w:r>
    </w:p>
    <w:p>
      <w:pPr>
        <w:spacing w:after="0" w:line="170" w:lineRule="exact"/>
        <w:rPr>
          <w:sz w:val="20"/>
          <w:szCs w:val="20"/>
          <w:color w:val="auto"/>
        </w:rPr>
      </w:pPr>
    </w:p>
    <w:p>
      <w:pPr>
        <w:jc w:val="both"/>
        <w:ind w:right="5840"/>
        <w:spacing w:after="0" w:line="246" w:lineRule="auto"/>
        <w:rPr>
          <w:sz w:val="20"/>
          <w:szCs w:val="20"/>
          <w:color w:val="auto"/>
        </w:rPr>
      </w:pPr>
      <w:r>
        <w:rPr>
          <w:rFonts w:ascii="Arial" w:cs="Arial" w:eastAsia="Arial" w:hAnsi="Arial"/>
          <w:sz w:val="16"/>
          <w:szCs w:val="16"/>
          <w:color w:val="auto"/>
        </w:rPr>
        <w:t>NII grew 1.6% QoQ to stand at S/3,254 million. This evolution was driven by a recomposition of the loan mix, which veered toward an increase in the weight of retail loans (SME-Pyme loans in particular) and by an increase in the investment balance. These dynamics were partially offset by an uptick in interest expenses, which were impacted by the deposit dynamics described above. In this context, the increase reported in the IEA Yield outstripped the growth registered in the Funding Cost. Consequently, NIM stood at 6.11%.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3979545</wp:posOffset>
            </wp:positionH>
            <wp:positionV relativeFrom="paragraph">
              <wp:posOffset>-586105</wp:posOffset>
            </wp:positionV>
            <wp:extent cx="2896870" cy="15151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96870" cy="1515110"/>
                    </a:xfrm>
                    <a:prstGeom prst="rect">
                      <a:avLst/>
                    </a:prstGeom>
                    <a:noFill/>
                  </pic:spPr>
                </pic:pic>
              </a:graphicData>
            </a:graphic>
          </wp:anchor>
        </w:drawing>
      </w:r>
    </w:p>
    <w:p>
      <w:pPr>
        <w:spacing w:after="0" w:line="242" w:lineRule="exact"/>
        <w:rPr>
          <w:sz w:val="20"/>
          <w:szCs w:val="20"/>
          <w:color w:val="auto"/>
        </w:rPr>
      </w:pPr>
    </w:p>
    <w:p>
      <w:pPr>
        <w:jc w:val="both"/>
        <w:ind w:right="5840"/>
        <w:spacing w:after="0" w:line="258" w:lineRule="auto"/>
        <w:rPr>
          <w:sz w:val="20"/>
          <w:szCs w:val="20"/>
          <w:color w:val="auto"/>
        </w:rPr>
      </w:pPr>
      <w:r>
        <w:rPr>
          <w:rFonts w:ascii="Arial" w:cs="Arial" w:eastAsia="Arial" w:hAnsi="Arial"/>
          <w:sz w:val="16"/>
          <w:szCs w:val="16"/>
          <w:color w:val="auto"/>
        </w:rPr>
        <w:t>YoY, Net Interest Income rose 12.9%. This evolution was driven primarily by the recomposition of the portfolio mix, which was heavier in retail loans, and by the evolution of interest rates in both currencies.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43750" cy="158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312" w:right="339" w:bottom="1440" w:gutter="0" w:footer="0" w:header="0"/>
        </w:sectPr>
      </w:pPr>
    </w:p>
    <w:bookmarkStart w:id="9" w:name="page10"/>
    <w:bookmarkEnd w:id="9"/>
    <w:p>
      <w:pPr>
        <w:ind w:left="2960"/>
        <w:spacing w:after="0"/>
        <w:tabs>
          <w:tab w:leader="none" w:pos="3140" w:val="left"/>
        </w:tabs>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202565</wp:posOffset>
            </wp:positionH>
            <wp:positionV relativeFrom="page">
              <wp:posOffset>88900</wp:posOffset>
            </wp:positionV>
            <wp:extent cx="7143750" cy="3848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3750" cy="384810"/>
                    </a:xfrm>
                    <a:prstGeom prst="rect">
                      <a:avLst/>
                    </a:prstGeom>
                    <a:noFill/>
                  </pic:spPr>
                </pic:pic>
              </a:graphicData>
            </a:graphic>
          </wp:anchor>
        </w:drawing>
        <w:t>|</w:t>
      </w:r>
      <w:r>
        <w:rPr>
          <w:sz w:val="20"/>
          <w:szCs w:val="20"/>
          <w:color w:val="auto"/>
        </w:rPr>
        <w:tab/>
      </w:r>
      <w:r>
        <w:rPr>
          <w:rFonts w:ascii="Arial" w:cs="Arial" w:eastAsia="Arial" w:hAnsi="Arial"/>
          <w:sz w:val="16"/>
          <w:szCs w:val="16"/>
          <w:b w:val="1"/>
          <w:bCs w:val="1"/>
          <w:color w:val="FFFFFF"/>
        </w:rPr>
        <w:t>Earnings Release 3Q /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158115</wp:posOffset>
            </wp:positionV>
            <wp:extent cx="7143750" cy="1885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3750" cy="18859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Summary of Financial Performance and Outlook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3947795</wp:posOffset>
            </wp:positionH>
            <wp:positionV relativeFrom="paragraph">
              <wp:posOffset>261620</wp:posOffset>
            </wp:positionV>
            <wp:extent cx="2990850" cy="18529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990850" cy="185293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3"/>
          <w:szCs w:val="23"/>
          <w:b w:val="1"/>
          <w:bCs w:val="1"/>
          <w:color w:val="2AD2C8"/>
        </w:rPr>
        <w:t>Portfolio Quality and Structural Cost of Risk</w:t>
      </w:r>
    </w:p>
    <w:p>
      <w:pPr>
        <w:spacing w:after="0" w:line="207" w:lineRule="exact"/>
        <w:rPr>
          <w:sz w:val="20"/>
          <w:szCs w:val="20"/>
          <w:color w:val="auto"/>
        </w:rPr>
      </w:pPr>
    </w:p>
    <w:p>
      <w:pPr>
        <w:ind w:right="5920"/>
        <w:spacing w:after="0" w:line="248" w:lineRule="auto"/>
        <w:rPr>
          <w:sz w:val="20"/>
          <w:szCs w:val="20"/>
          <w:color w:val="auto"/>
        </w:rPr>
      </w:pPr>
      <w:r>
        <w:rPr>
          <w:rFonts w:ascii="Arial" w:cs="Arial" w:eastAsia="Arial" w:hAnsi="Arial"/>
          <w:sz w:val="16"/>
          <w:szCs w:val="16"/>
          <w:color w:val="auto"/>
        </w:rPr>
        <w:t>QoQ, the Structural NPL portfolio increased 7.8%. This growth was concentrated in: (i) Wholesale, given that some clients from the hotel and commercial real estate sector were included in the overdue portfolio (ii) Consumer and Credit Cards, mainly via sub-segments that registered overindebtedness; and (iii) SME-Pyme, due to a deterioration in the payment behavior of lower-ticket segments.</w:t>
      </w:r>
    </w:p>
    <w:p>
      <w:pPr>
        <w:spacing w:after="0" w:line="157" w:lineRule="exact"/>
        <w:rPr>
          <w:sz w:val="20"/>
          <w:szCs w:val="20"/>
          <w:color w:val="auto"/>
        </w:rPr>
      </w:pPr>
    </w:p>
    <w:p>
      <w:pPr>
        <w:ind w:right="6080"/>
        <w:spacing w:after="0" w:line="274" w:lineRule="auto"/>
        <w:rPr>
          <w:sz w:val="20"/>
          <w:szCs w:val="20"/>
          <w:color w:val="auto"/>
        </w:rPr>
      </w:pPr>
      <w:r>
        <w:rPr>
          <w:rFonts w:ascii="Arial" w:cs="Arial" w:eastAsia="Arial" w:hAnsi="Arial"/>
          <w:sz w:val="16"/>
          <w:szCs w:val="16"/>
          <w:color w:val="auto"/>
        </w:rPr>
        <w:t>In this context, the structural NPL ratio stand at 5.6% and the structural coverage ratio for NPL loans stood at 101.4%.</w:t>
      </w:r>
    </w:p>
    <w:p>
      <w:pPr>
        <w:spacing w:after="0" w:line="136" w:lineRule="exact"/>
        <w:rPr>
          <w:sz w:val="20"/>
          <w:szCs w:val="20"/>
          <w:color w:val="auto"/>
        </w:rPr>
      </w:pPr>
    </w:p>
    <w:p>
      <w:pPr>
        <w:ind w:right="5840"/>
        <w:spacing w:after="0" w:line="246" w:lineRule="auto"/>
        <w:rPr>
          <w:sz w:val="20"/>
          <w:szCs w:val="20"/>
          <w:color w:val="auto"/>
        </w:rPr>
      </w:pPr>
      <w:r>
        <w:rPr>
          <w:rFonts w:ascii="Arial" w:cs="Arial" w:eastAsia="Arial" w:hAnsi="Arial"/>
          <w:sz w:val="16"/>
          <w:szCs w:val="16"/>
          <w:color w:val="auto"/>
        </w:rPr>
        <w:t>Structural provisions remained high in Individuals and SME- Pyme and at Mibanco, where clients have been hard hit by an adverse macroeconomic environment marked by low demand, elevated inflation and high interest rates. The portfolio that was the most affected in Individuals corresponds to vulnerable sub- segments (which are more leveraged and have less job stability), while lower ticket segments were the most impacted in SME-Pyme. At Mibanco, the hardest hit clients were those with higher debt levels and those affected by climate and social anomalies.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3909060</wp:posOffset>
            </wp:positionH>
            <wp:positionV relativeFrom="paragraph">
              <wp:posOffset>-454660</wp:posOffset>
            </wp:positionV>
            <wp:extent cx="3046095" cy="18840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046095" cy="1884045"/>
                    </a:xfrm>
                    <a:prstGeom prst="rect">
                      <a:avLst/>
                    </a:prstGeom>
                    <a:noFill/>
                  </pic:spPr>
                </pic:pic>
              </a:graphicData>
            </a:graphic>
          </wp:anchor>
        </w:drawing>
      </w:r>
    </w:p>
    <w:p>
      <w:pPr>
        <w:spacing w:after="0" w:line="140" w:lineRule="exact"/>
        <w:rPr>
          <w:sz w:val="20"/>
          <w:szCs w:val="20"/>
          <w:color w:val="auto"/>
        </w:rPr>
      </w:pPr>
    </w:p>
    <w:p>
      <w:pPr>
        <w:ind w:right="6100"/>
        <w:spacing w:after="0" w:line="274" w:lineRule="auto"/>
        <w:rPr>
          <w:sz w:val="20"/>
          <w:szCs w:val="20"/>
          <w:color w:val="auto"/>
        </w:rPr>
      </w:pPr>
      <w:r>
        <w:rPr>
          <w:rFonts w:ascii="Arial" w:cs="Arial" w:eastAsia="Arial" w:hAnsi="Arial"/>
          <w:sz w:val="16"/>
          <w:szCs w:val="16"/>
          <w:color w:val="auto"/>
        </w:rPr>
        <w:t>In this context, the Structural Cost of Risk stood at 2.6%. While Cost of Risk stood at 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43750" cy="158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312" w:right="339" w:bottom="1440" w:gutter="0" w:footer="0" w:header="0"/>
        </w:sectPr>
      </w:pPr>
    </w:p>
    <w:bookmarkStart w:id="10" w:name="page11"/>
    <w:bookmarkEnd w:id="10"/>
    <w:p>
      <w:pPr>
        <w:ind w:left="2961"/>
        <w:spacing w:after="0"/>
        <w:tabs>
          <w:tab w:leader="none" w:pos="3141" w:val="left"/>
        </w:tabs>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202565</wp:posOffset>
            </wp:positionH>
            <wp:positionV relativeFrom="page">
              <wp:posOffset>88900</wp:posOffset>
            </wp:positionV>
            <wp:extent cx="7143750" cy="3848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3750" cy="384810"/>
                    </a:xfrm>
                    <a:prstGeom prst="rect">
                      <a:avLst/>
                    </a:prstGeom>
                    <a:noFill/>
                  </pic:spPr>
                </pic:pic>
              </a:graphicData>
            </a:graphic>
          </wp:anchor>
        </w:drawing>
        <w:t>|</w:t>
      </w:r>
      <w:r>
        <w:rPr>
          <w:sz w:val="20"/>
          <w:szCs w:val="20"/>
          <w:color w:val="auto"/>
        </w:rPr>
        <w:tab/>
      </w:r>
      <w:r>
        <w:rPr>
          <w:rFonts w:ascii="Arial" w:cs="Arial" w:eastAsia="Arial" w:hAnsi="Arial"/>
          <w:sz w:val="16"/>
          <w:szCs w:val="16"/>
          <w:b w:val="1"/>
          <w:bCs w:val="1"/>
          <w:color w:val="FFFFFF"/>
        </w:rPr>
        <w:t>Earnings Release 3Q /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158115</wp:posOffset>
            </wp:positionV>
            <wp:extent cx="7143750" cy="1885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3750" cy="188595"/>
                    </a:xfrm>
                    <a:prstGeom prst="rect">
                      <a:avLst/>
                    </a:prstGeom>
                    <a:noFill/>
                  </pic:spPr>
                </pic:pic>
              </a:graphicData>
            </a:graphic>
          </wp:anchor>
        </w:drawing>
      </w:r>
    </w:p>
    <w:p>
      <w:pPr>
        <w:spacing w:after="0" w:line="253"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FFFFFF"/>
        </w:rPr>
        <w:t>Summary of Financial Performance and Outlook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4003675</wp:posOffset>
            </wp:positionH>
            <wp:positionV relativeFrom="paragraph">
              <wp:posOffset>261620</wp:posOffset>
            </wp:positionV>
            <wp:extent cx="2880995" cy="21431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80995" cy="214312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1"/>
        <w:spacing w:after="0"/>
        <w:rPr>
          <w:sz w:val="20"/>
          <w:szCs w:val="20"/>
          <w:color w:val="auto"/>
        </w:rPr>
      </w:pPr>
      <w:r>
        <w:rPr>
          <w:rFonts w:ascii="Arial" w:cs="Arial" w:eastAsia="Arial" w:hAnsi="Arial"/>
          <w:sz w:val="23"/>
          <w:szCs w:val="23"/>
          <w:b w:val="1"/>
          <w:bCs w:val="1"/>
          <w:color w:val="2AD2C8"/>
        </w:rPr>
        <w:t>Other Income</w:t>
      </w:r>
    </w:p>
    <w:p>
      <w:pPr>
        <w:spacing w:after="0" w:line="200" w:lineRule="exact"/>
        <w:rPr>
          <w:sz w:val="20"/>
          <w:szCs w:val="20"/>
          <w:color w:val="auto"/>
        </w:rPr>
      </w:pPr>
    </w:p>
    <w:p>
      <w:pPr>
        <w:spacing w:after="0" w:line="293" w:lineRule="exact"/>
        <w:rPr>
          <w:sz w:val="20"/>
          <w:szCs w:val="20"/>
          <w:color w:val="auto"/>
        </w:rPr>
      </w:pPr>
    </w:p>
    <w:p>
      <w:pPr>
        <w:jc w:val="both"/>
        <w:ind w:left="1" w:right="5840"/>
        <w:spacing w:after="0" w:line="226" w:lineRule="auto"/>
        <w:rPr>
          <w:sz w:val="20"/>
          <w:szCs w:val="20"/>
          <w:color w:val="auto"/>
        </w:rPr>
      </w:pPr>
      <w:r>
        <w:rPr>
          <w:rFonts w:ascii="Arial" w:cs="Arial" w:eastAsia="Arial" w:hAnsi="Arial"/>
          <w:sz w:val="16"/>
          <w:szCs w:val="16"/>
          <w:color w:val="auto"/>
        </w:rPr>
        <w:t>Other Core Income</w:t>
      </w:r>
      <w:r>
        <w:rPr>
          <w:rFonts w:ascii="Arial" w:cs="Arial" w:eastAsia="Arial" w:hAnsi="Arial"/>
          <w:sz w:val="27"/>
          <w:szCs w:val="27"/>
          <w:color w:val="auto"/>
          <w:vertAlign w:val="superscript"/>
        </w:rPr>
        <w:t>1</w:t>
      </w:r>
      <w:r>
        <w:rPr>
          <w:rFonts w:ascii="Arial" w:cs="Arial" w:eastAsia="Arial" w:hAnsi="Arial"/>
          <w:sz w:val="16"/>
          <w:szCs w:val="16"/>
          <w:color w:val="auto"/>
        </w:rPr>
        <w:t xml:space="preserve"> (Fees + Net gain on foreign Exchange transactions), excluding BCP Bolivia, rose 1.7% QoQ. This evolution was driven by an increase in total banking fees, which was partially offset by a drop in FX transactions. YoY, excluding BCP Bolivia, the -1.2% decline was attributable to a reduction in Fee income (-1.9%), associated to lower income in Prima, Credicorp Capital and BCP. Other Core Income dropped 1.9% YTD, driven by the same factors that drove the YoY evolution.</w:t>
      </w:r>
    </w:p>
    <w:p>
      <w:pPr>
        <w:spacing w:after="0" w:line="200" w:lineRule="exact"/>
        <w:rPr>
          <w:sz w:val="20"/>
          <w:szCs w:val="20"/>
          <w:color w:val="auto"/>
        </w:rPr>
      </w:pPr>
    </w:p>
    <w:p>
      <w:pPr>
        <w:spacing w:after="0" w:line="271" w:lineRule="exact"/>
        <w:rPr>
          <w:sz w:val="20"/>
          <w:szCs w:val="20"/>
          <w:color w:val="auto"/>
        </w:rPr>
      </w:pPr>
    </w:p>
    <w:p>
      <w:pPr>
        <w:jc w:val="both"/>
        <w:ind w:left="1" w:right="5840"/>
        <w:spacing w:after="0" w:line="252" w:lineRule="auto"/>
        <w:rPr>
          <w:sz w:val="20"/>
          <w:szCs w:val="20"/>
          <w:color w:val="auto"/>
        </w:rPr>
      </w:pPr>
      <w:r>
        <w:rPr>
          <w:rFonts w:ascii="Arial" w:cs="Arial" w:eastAsia="Arial" w:hAnsi="Arial"/>
          <w:sz w:val="16"/>
          <w:szCs w:val="16"/>
          <w:color w:val="auto"/>
        </w:rPr>
        <w:t>Other Non-core Income dropped 16.7% QoQ. This result was spurred by a reduction in Other Non-Operating Income, which was attributable to the fact that a gain was reported last quarter for a portfolio sale. YoY and YTD, growth was driven by an increase in the Gain on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4129405</wp:posOffset>
            </wp:positionH>
            <wp:positionV relativeFrom="paragraph">
              <wp:posOffset>153035</wp:posOffset>
            </wp:positionV>
            <wp:extent cx="2606040" cy="32581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606040" cy="3258185"/>
                    </a:xfrm>
                    <a:prstGeom prst="rect">
                      <a:avLst/>
                    </a:prstGeom>
                    <a:noFill/>
                  </pic:spPr>
                </pic:pic>
              </a:graphicData>
            </a:graphic>
          </wp:anchor>
        </w:drawing>
      </w:r>
    </w:p>
    <w:p>
      <w:pPr>
        <w:spacing w:after="0" w:line="393" w:lineRule="exact"/>
        <w:rPr>
          <w:sz w:val="20"/>
          <w:szCs w:val="20"/>
          <w:color w:val="auto"/>
        </w:rPr>
      </w:pPr>
    </w:p>
    <w:p>
      <w:pPr>
        <w:jc w:val="both"/>
        <w:ind w:left="1" w:right="5840" w:hanging="1"/>
        <w:spacing w:after="0" w:line="228" w:lineRule="auto"/>
        <w:tabs>
          <w:tab w:leader="none" w:pos="181" w:val="left"/>
        </w:tabs>
        <w:numPr>
          <w:ilvl w:val="0"/>
          <w:numId w:val="3"/>
        </w:numPr>
        <w:rPr>
          <w:rFonts w:ascii="Arial" w:cs="Arial" w:eastAsia="Arial" w:hAnsi="Arial"/>
          <w:sz w:val="12"/>
          <w:szCs w:val="12"/>
          <w:color w:val="auto"/>
        </w:rPr>
      </w:pPr>
      <w:r>
        <w:rPr>
          <w:rFonts w:ascii="Arial" w:cs="Arial" w:eastAsia="Arial" w:hAnsi="Arial"/>
          <w:sz w:val="12"/>
          <w:szCs w:val="12"/>
          <w:color w:val="auto"/>
        </w:rPr>
        <w:t>When analyzing the results for fee income and FX transactions, it is important to note that both lines have been affected by our operation in BCP Bolivia, where we charge fees to FX clients to offset losses on buy-sell FX transactions.</w:t>
      </w:r>
    </w:p>
    <w:p>
      <w:pPr>
        <w:spacing w:after="0" w:line="348" w:lineRule="exact"/>
        <w:rPr>
          <w:sz w:val="20"/>
          <w:szCs w:val="20"/>
          <w:color w:val="auto"/>
        </w:rPr>
      </w:pPr>
    </w:p>
    <w:p>
      <w:pPr>
        <w:ind w:left="1"/>
        <w:spacing w:after="0"/>
        <w:rPr>
          <w:sz w:val="20"/>
          <w:szCs w:val="20"/>
          <w:color w:val="auto"/>
        </w:rPr>
      </w:pPr>
      <w:r>
        <w:rPr>
          <w:rFonts w:ascii="Arial" w:cs="Arial" w:eastAsia="Arial" w:hAnsi="Arial"/>
          <w:sz w:val="23"/>
          <w:szCs w:val="23"/>
          <w:b w:val="1"/>
          <w:bCs w:val="1"/>
          <w:color w:val="2AD2C8"/>
        </w:rPr>
        <w:t>Insurance Underwriting Result</w:t>
      </w:r>
    </w:p>
    <w:p>
      <w:pPr>
        <w:spacing w:after="0" w:line="207" w:lineRule="exact"/>
        <w:rPr>
          <w:sz w:val="20"/>
          <w:szCs w:val="20"/>
          <w:color w:val="auto"/>
        </w:rPr>
      </w:pPr>
    </w:p>
    <w:p>
      <w:pPr>
        <w:jc w:val="both"/>
        <w:ind w:left="1" w:right="5840"/>
        <w:spacing w:after="0" w:line="246" w:lineRule="auto"/>
        <w:rPr>
          <w:sz w:val="20"/>
          <w:szCs w:val="20"/>
          <w:color w:val="auto"/>
        </w:rPr>
      </w:pPr>
      <w:r>
        <w:rPr>
          <w:rFonts w:ascii="Arial" w:cs="Arial" w:eastAsia="Arial" w:hAnsi="Arial"/>
          <w:sz w:val="16"/>
          <w:szCs w:val="16"/>
          <w:color w:val="auto"/>
        </w:rPr>
        <w:t>The Insurance Underwriting Result rose 11.6% QoQ. This evolution was driven by improvements in the results in Life via Group Life and Credit Life, which registered lower insurance service expenses this quarter. YoY, the underwriting result rose 8.9%, driven primarily by the Life Business, which reported noteworthy performance for its Pensions line via positive price and volume dynamics. YTD, the Underwriting Result rose 31.1%, driven mainly by the Life Business via the Pensions line and to a lesser extent, through Credit Life and Group Life.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43750" cy="158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312" w:right="339" w:bottom="1440" w:gutter="0" w:footer="0" w:header="0"/>
        </w:sectPr>
      </w:pPr>
    </w:p>
    <w:bookmarkStart w:id="11" w:name="page12"/>
    <w:bookmarkEnd w:id="11"/>
    <w:p>
      <w:pPr>
        <w:ind w:left="2961"/>
        <w:spacing w:after="0"/>
        <w:tabs>
          <w:tab w:leader="none" w:pos="3141" w:val="left"/>
        </w:tabs>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202565</wp:posOffset>
            </wp:positionH>
            <wp:positionV relativeFrom="page">
              <wp:posOffset>88900</wp:posOffset>
            </wp:positionV>
            <wp:extent cx="7143750" cy="3848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3750" cy="384810"/>
                    </a:xfrm>
                    <a:prstGeom prst="rect">
                      <a:avLst/>
                    </a:prstGeom>
                    <a:noFill/>
                  </pic:spPr>
                </pic:pic>
              </a:graphicData>
            </a:graphic>
          </wp:anchor>
        </w:drawing>
        <w:t>|</w:t>
      </w:r>
      <w:r>
        <w:rPr>
          <w:sz w:val="20"/>
          <w:szCs w:val="20"/>
          <w:color w:val="auto"/>
        </w:rPr>
        <w:tab/>
      </w:r>
      <w:r>
        <w:rPr>
          <w:rFonts w:ascii="Arial" w:cs="Arial" w:eastAsia="Arial" w:hAnsi="Arial"/>
          <w:sz w:val="16"/>
          <w:szCs w:val="16"/>
          <w:b w:val="1"/>
          <w:bCs w:val="1"/>
          <w:color w:val="FFFFFF"/>
        </w:rPr>
        <w:t>Earnings Release 3Q /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158115</wp:posOffset>
            </wp:positionV>
            <wp:extent cx="7143750" cy="1885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3750" cy="188595"/>
                    </a:xfrm>
                    <a:prstGeom prst="rect">
                      <a:avLst/>
                    </a:prstGeom>
                    <a:noFill/>
                  </pic:spPr>
                </pic:pic>
              </a:graphicData>
            </a:graphic>
          </wp:anchor>
        </w:drawing>
      </w:r>
    </w:p>
    <w:p>
      <w:pPr>
        <w:spacing w:after="0" w:line="253"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FFFFFF"/>
        </w:rPr>
        <w:t>Summary of Financial Performance and Outlook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151765</wp:posOffset>
            </wp:positionV>
            <wp:extent cx="2543810" cy="1656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43810" cy="1656715"/>
                    </a:xfrm>
                    <a:prstGeom prst="rect">
                      <a:avLst/>
                    </a:prstGeom>
                    <a:noFill/>
                  </pic:spPr>
                </pic:pic>
              </a:graphicData>
            </a:graphic>
          </wp:anchor>
        </w:drawing>
      </w:r>
    </w:p>
    <w:p>
      <w:pPr>
        <w:spacing w:after="0" w:line="229" w:lineRule="exact"/>
        <w:rPr>
          <w:sz w:val="20"/>
          <w:szCs w:val="20"/>
          <w:color w:val="auto"/>
        </w:rPr>
      </w:pPr>
    </w:p>
    <w:p>
      <w:pPr>
        <w:ind w:left="1"/>
        <w:spacing w:after="0"/>
        <w:rPr>
          <w:sz w:val="20"/>
          <w:szCs w:val="20"/>
          <w:color w:val="auto"/>
        </w:rPr>
      </w:pPr>
      <w:r>
        <w:rPr>
          <w:rFonts w:ascii="Arial" w:cs="Arial" w:eastAsia="Arial" w:hAnsi="Arial"/>
          <w:sz w:val="23"/>
          <w:szCs w:val="23"/>
          <w:b w:val="1"/>
          <w:bCs w:val="1"/>
          <w:color w:val="2AD2C8"/>
        </w:rPr>
        <w:t>Efficiency</w:t>
      </w:r>
    </w:p>
    <w:p>
      <w:pPr>
        <w:spacing w:after="0" w:line="194" w:lineRule="exact"/>
        <w:rPr>
          <w:sz w:val="20"/>
          <w:szCs w:val="20"/>
          <w:color w:val="auto"/>
        </w:rPr>
      </w:pPr>
    </w:p>
    <w:p>
      <w:pPr>
        <w:jc w:val="both"/>
        <w:ind w:left="1" w:right="5840"/>
        <w:spacing w:after="0" w:line="258" w:lineRule="auto"/>
        <w:rPr>
          <w:sz w:val="20"/>
          <w:szCs w:val="20"/>
          <w:color w:val="auto"/>
        </w:rPr>
      </w:pPr>
      <w:r>
        <w:rPr>
          <w:rFonts w:ascii="Arial" w:cs="Arial" w:eastAsia="Arial" w:hAnsi="Arial"/>
          <w:sz w:val="16"/>
          <w:szCs w:val="16"/>
          <w:color w:val="auto"/>
        </w:rPr>
        <w:t>In 9M23, the Efficiency ratio stood at 45.1%, which represents an improvement of 160 bps compared to 9M22. This dynamic was driven by significant growth in income at BCP and Pacifico.</w:t>
      </w:r>
    </w:p>
    <w:p>
      <w:pPr>
        <w:spacing w:after="0" w:line="99" w:lineRule="exact"/>
        <w:rPr>
          <w:sz w:val="20"/>
          <w:szCs w:val="20"/>
          <w:color w:val="auto"/>
        </w:rPr>
      </w:pPr>
    </w:p>
    <w:p>
      <w:pPr>
        <w:jc w:val="both"/>
        <w:ind w:left="1" w:right="5840"/>
        <w:spacing w:after="0" w:line="258" w:lineRule="auto"/>
        <w:rPr>
          <w:sz w:val="20"/>
          <w:szCs w:val="20"/>
          <w:color w:val="auto"/>
        </w:rPr>
      </w:pPr>
      <w:r>
        <w:rPr>
          <w:rFonts w:ascii="Arial" w:cs="Arial" w:eastAsia="Arial" w:hAnsi="Arial"/>
          <w:sz w:val="16"/>
          <w:szCs w:val="16"/>
          <w:color w:val="auto"/>
        </w:rPr>
        <w:t>It is important to note that operating expenses rose 11.0% YTD, spurred mainly by BCP’s core businesses (without disruption) at BCP and disruptive initiatives at Credicorp.</w:t>
      </w:r>
    </w:p>
    <w:p>
      <w:pPr>
        <w:spacing w:after="0" w:line="86" w:lineRule="exact"/>
        <w:rPr>
          <w:sz w:val="20"/>
          <w:szCs w:val="20"/>
          <w:color w:val="auto"/>
        </w:rPr>
      </w:pPr>
    </w:p>
    <w:p>
      <w:pPr>
        <w:jc w:val="both"/>
        <w:ind w:left="1" w:right="6000" w:hanging="1"/>
        <w:spacing w:after="0" w:line="290" w:lineRule="auto"/>
        <w:tabs>
          <w:tab w:leader="none" w:pos="78" w:val="left"/>
        </w:tabs>
        <w:numPr>
          <w:ilvl w:val="0"/>
          <w:numId w:val="4"/>
        </w:numPr>
        <w:rPr>
          <w:rFonts w:ascii="Arial" w:cs="Arial" w:eastAsia="Arial" w:hAnsi="Arial"/>
          <w:sz w:val="10"/>
          <w:szCs w:val="10"/>
          <w:color w:val="auto"/>
        </w:rPr>
      </w:pPr>
      <w:r>
        <w:rPr>
          <w:rFonts w:ascii="Arial" w:cs="Arial" w:eastAsia="Arial" w:hAnsi="Arial"/>
          <w:sz w:val="10"/>
          <w:szCs w:val="10"/>
          <w:color w:val="auto"/>
        </w:rPr>
        <w:t>Operating Expenses and Income have been reformulated due to the application of IFRS 17 and as such, are reported differently than seen in earlier reports. This reformulation has led to a subsequent change in the way that the Efficiency Ratio is calculated. For more detail, please refer to appendix 12.1</w:t>
      </w:r>
    </w:p>
    <w:p>
      <w:pPr>
        <w:spacing w:after="0" w:line="262" w:lineRule="exact"/>
        <w:rPr>
          <w:sz w:val="20"/>
          <w:szCs w:val="20"/>
          <w:color w:val="auto"/>
        </w:rPr>
      </w:pPr>
    </w:p>
    <w:p>
      <w:pPr>
        <w:ind w:left="1"/>
        <w:spacing w:after="0"/>
        <w:rPr>
          <w:sz w:val="20"/>
          <w:szCs w:val="20"/>
          <w:color w:val="auto"/>
        </w:rPr>
      </w:pPr>
      <w:r>
        <w:rPr>
          <w:rFonts w:ascii="Arial" w:cs="Arial" w:eastAsia="Arial" w:hAnsi="Arial"/>
          <w:sz w:val="23"/>
          <w:szCs w:val="23"/>
          <w:b w:val="1"/>
          <w:bCs w:val="1"/>
          <w:color w:val="2AD2C8"/>
        </w:rPr>
        <w:t>Net earnings attributable to Credicorp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3972560</wp:posOffset>
            </wp:positionH>
            <wp:positionV relativeFrom="paragraph">
              <wp:posOffset>21590</wp:posOffset>
            </wp:positionV>
            <wp:extent cx="2912745" cy="16173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912745" cy="1617345"/>
                    </a:xfrm>
                    <a:prstGeom prst="rect">
                      <a:avLst/>
                    </a:prstGeom>
                    <a:noFill/>
                  </pic:spPr>
                </pic:pic>
              </a:graphicData>
            </a:graphic>
          </wp:anchor>
        </w:drawing>
      </w:r>
    </w:p>
    <w:p>
      <w:pPr>
        <w:spacing w:after="0" w:line="174" w:lineRule="exact"/>
        <w:rPr>
          <w:sz w:val="20"/>
          <w:szCs w:val="20"/>
          <w:color w:val="auto"/>
        </w:rPr>
      </w:pPr>
    </w:p>
    <w:p>
      <w:pPr>
        <w:ind w:left="1" w:right="6120"/>
        <w:spacing w:after="0" w:line="252" w:lineRule="auto"/>
        <w:rPr>
          <w:sz w:val="20"/>
          <w:szCs w:val="20"/>
          <w:color w:val="auto"/>
        </w:rPr>
      </w:pPr>
      <w:r>
        <w:rPr>
          <w:rFonts w:ascii="Arial" w:cs="Arial" w:eastAsia="Arial" w:hAnsi="Arial"/>
          <w:sz w:val="16"/>
          <w:szCs w:val="16"/>
          <w:color w:val="auto"/>
        </w:rPr>
        <w:t>In 3Q23, net earnings attributable to Credicorp totaled S/1,238 million, which represented a variation of -11.6% QoQ and -6.4% YoY. Net shareholders’ equity totaled S/31,268 million (+4.1% QoQ and +14.6% YoY). Consequently, ROE stood at 16.2%.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2AD2C8"/>
        </w:rPr>
        <w:t>Contributions</w:t>
      </w:r>
      <w:r>
        <w:rPr>
          <w:rFonts w:ascii="Arial" w:cs="Arial" w:eastAsia="Arial" w:hAnsi="Arial"/>
          <w:sz w:val="38"/>
          <w:szCs w:val="38"/>
          <w:b w:val="1"/>
          <w:bCs w:val="1"/>
          <w:color w:val="2AD2C8"/>
          <w:vertAlign w:val="superscript"/>
        </w:rPr>
        <w:t>*</w:t>
      </w:r>
      <w:r>
        <w:rPr>
          <w:rFonts w:ascii="Arial" w:cs="Arial" w:eastAsia="Arial" w:hAnsi="Arial"/>
          <w:sz w:val="23"/>
          <w:szCs w:val="23"/>
          <w:b w:val="1"/>
          <w:bCs w:val="1"/>
          <w:color w:val="2AD2C8"/>
        </w:rPr>
        <w:t xml:space="preserve"> and ROE by subsidiary in 3Q23</w:t>
      </w:r>
    </w:p>
    <w:p>
      <w:pPr>
        <w:jc w:val="center"/>
        <w:spacing w:after="0"/>
        <w:rPr>
          <w:sz w:val="20"/>
          <w:szCs w:val="20"/>
          <w:color w:val="auto"/>
        </w:rPr>
      </w:pPr>
      <w:r>
        <w:rPr>
          <w:rFonts w:ascii="Arial" w:cs="Arial" w:eastAsia="Arial" w:hAnsi="Arial"/>
          <w:sz w:val="15"/>
          <w:szCs w:val="15"/>
          <w:b w:val="1"/>
          <w:bCs w:val="1"/>
          <w:color w:val="2AD2C8"/>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949960</wp:posOffset>
            </wp:positionH>
            <wp:positionV relativeFrom="paragraph">
              <wp:posOffset>109220</wp:posOffset>
            </wp:positionV>
            <wp:extent cx="5243830" cy="21590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243830" cy="215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
        <w:spacing w:after="0"/>
        <w:rPr>
          <w:sz w:val="20"/>
          <w:szCs w:val="20"/>
          <w:color w:val="auto"/>
        </w:rPr>
      </w:pPr>
      <w:r>
        <w:rPr>
          <w:rFonts w:ascii="Arial" w:cs="Arial" w:eastAsia="Arial" w:hAnsi="Arial"/>
          <w:sz w:val="12"/>
          <w:szCs w:val="12"/>
          <w:color w:val="auto"/>
        </w:rPr>
        <w:t>*Contributions to Credicorp reflect eliminations for consolidation purposes (eliminations for transactions among Credicorp’s subsidiaries or between Credicorp and its subsidiaries.</w:t>
      </w:r>
    </w:p>
    <w:p>
      <w:pPr>
        <w:ind w:left="101" w:hanging="101"/>
        <w:spacing w:after="0" w:line="215" w:lineRule="auto"/>
        <w:tabs>
          <w:tab w:leader="none" w:pos="101" w:val="left"/>
        </w:tabs>
        <w:numPr>
          <w:ilvl w:val="0"/>
          <w:numId w:val="5"/>
        </w:numPr>
        <w:rPr>
          <w:rFonts w:ascii="Arial" w:cs="Arial" w:eastAsia="Arial" w:hAnsi="Arial"/>
          <w:sz w:val="12"/>
          <w:szCs w:val="12"/>
          <w:color w:val="auto"/>
        </w:rPr>
      </w:pPr>
      <w:r>
        <w:rPr>
          <w:rFonts w:ascii="Arial" w:cs="Arial" w:eastAsia="Arial" w:hAnsi="Arial"/>
          <w:sz w:val="12"/>
          <w:szCs w:val="12"/>
          <w:color w:val="auto"/>
        </w:rPr>
        <w:t>At BCP Stand Alone, the figure is lower than net income because it does not include gains on investments in other Credicorp subsidiaries (Mibanco).</w:t>
      </w:r>
    </w:p>
    <w:p>
      <w:pPr>
        <w:ind w:left="81" w:hanging="81"/>
        <w:spacing w:after="0" w:line="215" w:lineRule="auto"/>
        <w:tabs>
          <w:tab w:leader="none" w:pos="81" w:val="left"/>
        </w:tabs>
        <w:numPr>
          <w:ilvl w:val="0"/>
          <w:numId w:val="5"/>
        </w:numPr>
        <w:rPr>
          <w:rFonts w:ascii="Arial" w:cs="Arial" w:eastAsia="Arial" w:hAnsi="Arial"/>
          <w:sz w:val="12"/>
          <w:szCs w:val="12"/>
          <w:color w:val="auto"/>
        </w:rPr>
      </w:pPr>
      <w:r>
        <w:rPr>
          <w:rFonts w:ascii="Arial" w:cs="Arial" w:eastAsia="Arial" w:hAnsi="Arial"/>
          <w:sz w:val="12"/>
          <w:szCs w:val="12"/>
          <w:color w:val="auto"/>
        </w:rPr>
        <w:t>At Mibanco, the figure is lower than net income because Credicorp owns 99.921% of Mibanco (directly and indirectly).</w:t>
      </w:r>
    </w:p>
    <w:p>
      <w:pPr>
        <w:ind w:left="1"/>
        <w:spacing w:after="0"/>
        <w:rPr>
          <w:rFonts w:ascii="Arial" w:cs="Arial" w:eastAsia="Arial" w:hAnsi="Arial"/>
          <w:sz w:val="12"/>
          <w:szCs w:val="12"/>
          <w:color w:val="auto"/>
        </w:rPr>
      </w:pPr>
      <w:r>
        <w:rPr>
          <w:rFonts w:ascii="Arial" w:cs="Arial" w:eastAsia="Arial" w:hAnsi="Arial"/>
          <w:sz w:val="12"/>
          <w:szCs w:val="12"/>
          <w:color w:val="auto"/>
        </w:rPr>
        <w:t>-The Contribution of Grupo Pacífico presented here is higher than the earnings reported for Pacifico Seguros because it includes 100% of Crediseguros (including 48% under Grupo Credito)</w:t>
      </w:r>
    </w:p>
    <w:p>
      <w:pPr>
        <w:spacing w:after="0" w:line="30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43750" cy="158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312" w:right="339" w:bottom="1440" w:gutter="0" w:footer="0" w:header="0"/>
        </w:sectPr>
      </w:pPr>
    </w:p>
    <w:bookmarkStart w:id="12" w:name="page13"/>
    <w:bookmarkEnd w:id="12"/>
    <w:p>
      <w:pPr>
        <w:ind w:left="2960"/>
        <w:spacing w:after="0"/>
        <w:tabs>
          <w:tab w:leader="none" w:pos="3140" w:val="left"/>
        </w:tabs>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202565</wp:posOffset>
            </wp:positionH>
            <wp:positionV relativeFrom="page">
              <wp:posOffset>88900</wp:posOffset>
            </wp:positionV>
            <wp:extent cx="7143750" cy="3848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3750" cy="384810"/>
                    </a:xfrm>
                    <a:prstGeom prst="rect">
                      <a:avLst/>
                    </a:prstGeom>
                    <a:noFill/>
                  </pic:spPr>
                </pic:pic>
              </a:graphicData>
            </a:graphic>
          </wp:anchor>
        </w:drawing>
        <w:t>|</w:t>
      </w:r>
      <w:r>
        <w:rPr>
          <w:sz w:val="20"/>
          <w:szCs w:val="20"/>
          <w:color w:val="auto"/>
        </w:rPr>
        <w:tab/>
      </w:r>
      <w:r>
        <w:rPr>
          <w:rFonts w:ascii="Arial" w:cs="Arial" w:eastAsia="Arial" w:hAnsi="Arial"/>
          <w:sz w:val="16"/>
          <w:szCs w:val="16"/>
          <w:b w:val="1"/>
          <w:bCs w:val="1"/>
          <w:color w:val="FFFFFF"/>
        </w:rPr>
        <w:t>Earnings Release 3Q /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158115</wp:posOffset>
            </wp:positionV>
            <wp:extent cx="7143750" cy="1885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3750" cy="188595"/>
                    </a:xfrm>
                    <a:prstGeom prst="rect">
                      <a:avLst/>
                    </a:prstGeom>
                    <a:noFill/>
                  </pic:spPr>
                </pic:pic>
              </a:graphicData>
            </a:graphic>
          </wp:anchor>
        </w:drawing>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Summary of Financial Performance and Outlook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1035685</wp:posOffset>
            </wp:positionH>
            <wp:positionV relativeFrom="paragraph">
              <wp:posOffset>151765</wp:posOffset>
            </wp:positionV>
            <wp:extent cx="5071110" cy="64611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071110" cy="6461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43750" cy="158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312" w:right="339" w:bottom="1440" w:gutter="0" w:footer="0" w:header="0"/>
        </w:sectPr>
      </w:pPr>
    </w:p>
    <w:bookmarkStart w:id="13" w:name="page14"/>
    <w:bookmarkEnd w:id="13"/>
    <w:p>
      <w:pPr>
        <w:ind w:left="2961"/>
        <w:spacing w:after="0"/>
        <w:tabs>
          <w:tab w:leader="none" w:pos="3141" w:val="left"/>
        </w:tabs>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202565</wp:posOffset>
            </wp:positionH>
            <wp:positionV relativeFrom="page">
              <wp:posOffset>88900</wp:posOffset>
            </wp:positionV>
            <wp:extent cx="7143750" cy="3848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3750" cy="384810"/>
                    </a:xfrm>
                    <a:prstGeom prst="rect">
                      <a:avLst/>
                    </a:prstGeom>
                    <a:noFill/>
                  </pic:spPr>
                </pic:pic>
              </a:graphicData>
            </a:graphic>
          </wp:anchor>
        </w:drawing>
        <w:t>|</w:t>
      </w:r>
      <w:r>
        <w:rPr>
          <w:sz w:val="20"/>
          <w:szCs w:val="20"/>
          <w:color w:val="auto"/>
        </w:rPr>
        <w:tab/>
      </w:r>
      <w:r>
        <w:rPr>
          <w:rFonts w:ascii="Arial" w:cs="Arial" w:eastAsia="Arial" w:hAnsi="Arial"/>
          <w:sz w:val="16"/>
          <w:szCs w:val="16"/>
          <w:b w:val="1"/>
          <w:bCs w:val="1"/>
          <w:color w:val="FFFFFF"/>
        </w:rPr>
        <w:t>Earnings Release 3Q /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158115</wp:posOffset>
            </wp:positionV>
            <wp:extent cx="7143750" cy="1885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3750" cy="188595"/>
                    </a:xfrm>
                    <a:prstGeom prst="rect">
                      <a:avLst/>
                    </a:prstGeom>
                    <a:noFill/>
                  </pic:spPr>
                </pic:pic>
              </a:graphicData>
            </a:graphic>
          </wp:anchor>
        </w:drawing>
      </w:r>
    </w:p>
    <w:p>
      <w:pPr>
        <w:spacing w:after="0" w:line="253"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FFFFFF"/>
        </w:rPr>
        <w:t>Financial Overview</w:t>
      </w:r>
    </w:p>
    <w:p>
      <w:pPr>
        <w:spacing w:after="0" w:line="219" w:lineRule="exact"/>
        <w:rPr>
          <w:sz w:val="20"/>
          <w:szCs w:val="20"/>
          <w:color w:val="auto"/>
        </w:rPr>
      </w:pPr>
    </w:p>
    <w:tbl>
      <w:tblPr>
        <w:tblLayout w:type="fixed"/>
        <w:tblInd w:w="11" w:type="dxa"/>
        <w:tblCellMar>
          <w:top w:w="0" w:type="dxa"/>
          <w:left w:w="0" w:type="dxa"/>
          <w:bottom w:w="0" w:type="dxa"/>
          <w:right w:w="0" w:type="dxa"/>
        </w:tblCellMar>
      </w:tblPr>
      <w:tr>
        <w:trPr>
          <w:trHeight w:val="177"/>
        </w:trPr>
        <w:tc>
          <w:tcPr>
            <w:tcW w:w="3340" w:type="dxa"/>
            <w:vAlign w:val="bottom"/>
            <w:tcBorders>
              <w:top w:val="single" w:sz="8" w:color="auto"/>
              <w:left w:val="single" w:sz="8" w:color="auto"/>
              <w:right w:val="single" w:sz="8" w:color="auto"/>
            </w:tcBorders>
            <w:shd w:val="clear" w:color="auto" w:fill="2AD2C9"/>
          </w:tcPr>
          <w:p>
            <w:pPr>
              <w:ind w:left="20"/>
              <w:spacing w:after="0" w:line="177" w:lineRule="exact"/>
              <w:rPr>
                <w:sz w:val="20"/>
                <w:szCs w:val="20"/>
                <w:color w:val="auto"/>
              </w:rPr>
            </w:pPr>
            <w:r>
              <w:rPr>
                <w:rFonts w:ascii="Arial" w:cs="Arial" w:eastAsia="Arial" w:hAnsi="Arial"/>
                <w:sz w:val="16"/>
                <w:szCs w:val="16"/>
                <w:b w:val="1"/>
                <w:bCs w:val="1"/>
                <w:color w:val="FFFFFF"/>
              </w:rPr>
              <w:t>Credicorp Ltd.</w:t>
            </w:r>
          </w:p>
        </w:tc>
        <w:tc>
          <w:tcPr>
            <w:tcW w:w="1040" w:type="dxa"/>
            <w:vAlign w:val="bottom"/>
            <w:tcBorders>
              <w:top w:val="single" w:sz="8" w:color="auto"/>
            </w:tcBorders>
            <w:shd w:val="clear" w:color="auto" w:fill="2AD2C9"/>
          </w:tcPr>
          <w:p>
            <w:pPr>
              <w:spacing w:after="0"/>
              <w:rPr>
                <w:sz w:val="15"/>
                <w:szCs w:val="15"/>
                <w:color w:val="auto"/>
              </w:rPr>
            </w:pPr>
          </w:p>
        </w:tc>
        <w:tc>
          <w:tcPr>
            <w:tcW w:w="1040" w:type="dxa"/>
            <w:vAlign w:val="bottom"/>
            <w:tcBorders>
              <w:top w:val="single" w:sz="8" w:color="auto"/>
            </w:tcBorders>
            <w:vMerge w:val="restart"/>
            <w:shd w:val="clear" w:color="auto" w:fill="2AD2C9"/>
          </w:tcPr>
          <w:p>
            <w:pPr>
              <w:jc w:val="right"/>
              <w:ind w:right="178"/>
              <w:spacing w:after="0"/>
              <w:rPr>
                <w:sz w:val="20"/>
                <w:szCs w:val="20"/>
                <w:color w:val="auto"/>
              </w:rPr>
            </w:pPr>
            <w:r>
              <w:rPr>
                <w:rFonts w:ascii="Arial" w:cs="Arial" w:eastAsia="Arial" w:hAnsi="Arial"/>
                <w:sz w:val="16"/>
                <w:szCs w:val="16"/>
                <w:b w:val="1"/>
                <w:bCs w:val="1"/>
                <w:color w:val="FFFFFF"/>
              </w:rPr>
              <w:t>Quarter</w:t>
            </w:r>
          </w:p>
        </w:tc>
        <w:tc>
          <w:tcPr>
            <w:tcW w:w="1000" w:type="dxa"/>
            <w:vAlign w:val="bottom"/>
            <w:tcBorders>
              <w:top w:val="single" w:sz="8" w:color="auto"/>
              <w:right w:val="single" w:sz="8" w:color="auto"/>
            </w:tcBorders>
            <w:shd w:val="clear" w:color="auto" w:fill="2AD2C9"/>
          </w:tcPr>
          <w:p>
            <w:pPr>
              <w:spacing w:after="0"/>
              <w:rPr>
                <w:sz w:val="15"/>
                <w:szCs w:val="15"/>
                <w:color w:val="auto"/>
              </w:rPr>
            </w:pPr>
          </w:p>
        </w:tc>
        <w:tc>
          <w:tcPr>
            <w:tcW w:w="1560" w:type="dxa"/>
            <w:vAlign w:val="bottom"/>
            <w:tcBorders>
              <w:top w:val="single" w:sz="8" w:color="auto"/>
              <w:right w:val="single" w:sz="8" w:color="auto"/>
            </w:tcBorders>
            <w:gridSpan w:val="2"/>
            <w:vMerge w:val="restart"/>
            <w:shd w:val="clear" w:color="auto" w:fill="2AD2C9"/>
          </w:tcPr>
          <w:p>
            <w:pPr>
              <w:ind w:left="380"/>
              <w:spacing w:after="0"/>
              <w:rPr>
                <w:sz w:val="20"/>
                <w:szCs w:val="20"/>
                <w:color w:val="auto"/>
              </w:rPr>
            </w:pPr>
            <w:r>
              <w:rPr>
                <w:rFonts w:ascii="Arial" w:cs="Arial" w:eastAsia="Arial" w:hAnsi="Arial"/>
                <w:sz w:val="16"/>
                <w:szCs w:val="16"/>
                <w:b w:val="1"/>
                <w:bCs w:val="1"/>
                <w:color w:val="FFFFFF"/>
              </w:rPr>
              <w:t>% change</w:t>
            </w:r>
          </w:p>
        </w:tc>
        <w:tc>
          <w:tcPr>
            <w:tcW w:w="2060" w:type="dxa"/>
            <w:vAlign w:val="bottom"/>
            <w:tcBorders>
              <w:top w:val="single" w:sz="8" w:color="auto"/>
              <w:right w:val="single" w:sz="8" w:color="auto"/>
            </w:tcBorders>
            <w:gridSpan w:val="2"/>
            <w:vMerge w:val="restart"/>
            <w:shd w:val="clear" w:color="auto" w:fill="2AD2C9"/>
          </w:tcPr>
          <w:p>
            <w:pPr>
              <w:jc w:val="right"/>
              <w:ind w:right="758"/>
              <w:spacing w:after="0"/>
              <w:rPr>
                <w:sz w:val="20"/>
                <w:szCs w:val="20"/>
                <w:color w:val="auto"/>
              </w:rPr>
            </w:pPr>
            <w:r>
              <w:rPr>
                <w:rFonts w:ascii="Arial" w:cs="Arial" w:eastAsia="Arial" w:hAnsi="Arial"/>
                <w:sz w:val="16"/>
                <w:szCs w:val="16"/>
                <w:b w:val="1"/>
                <w:bCs w:val="1"/>
                <w:color w:val="FFFFFF"/>
              </w:rPr>
              <w:t>As of</w:t>
            </w:r>
          </w:p>
        </w:tc>
        <w:tc>
          <w:tcPr>
            <w:tcW w:w="1220" w:type="dxa"/>
            <w:vAlign w:val="bottom"/>
            <w:tcBorders>
              <w:top w:val="single" w:sz="8" w:color="auto"/>
              <w:right w:val="single" w:sz="8" w:color="auto"/>
            </w:tcBorders>
            <w:vMerge w:val="restart"/>
            <w:shd w:val="clear" w:color="auto" w:fill="2AD2C9"/>
          </w:tcPr>
          <w:p>
            <w:pPr>
              <w:jc w:val="center"/>
              <w:spacing w:after="0"/>
              <w:rPr>
                <w:sz w:val="20"/>
                <w:szCs w:val="20"/>
                <w:color w:val="auto"/>
              </w:rPr>
            </w:pPr>
            <w:r>
              <w:rPr>
                <w:rFonts w:ascii="Arial" w:cs="Arial" w:eastAsia="Arial" w:hAnsi="Arial"/>
                <w:sz w:val="16"/>
                <w:szCs w:val="16"/>
                <w:b w:val="1"/>
                <w:bCs w:val="1"/>
                <w:color w:val="FFFFFF"/>
              </w:rPr>
              <w:t>% change</w:t>
            </w:r>
          </w:p>
        </w:tc>
        <w:tc>
          <w:tcPr>
            <w:tcW w:w="0" w:type="dxa"/>
            <w:vAlign w:val="bottom"/>
          </w:tcPr>
          <w:p>
            <w:pPr>
              <w:spacing w:after="0"/>
              <w:rPr>
                <w:sz w:val="1"/>
                <w:szCs w:val="1"/>
                <w:color w:val="auto"/>
              </w:rPr>
            </w:pPr>
          </w:p>
        </w:tc>
      </w:tr>
      <w:tr>
        <w:trPr>
          <w:trHeight w:val="130"/>
        </w:trPr>
        <w:tc>
          <w:tcPr>
            <w:tcW w:w="3340" w:type="dxa"/>
            <w:vAlign w:val="bottom"/>
            <w:tcBorders>
              <w:left w:val="single" w:sz="8" w:color="auto"/>
              <w:right w:val="single" w:sz="8" w:color="auto"/>
            </w:tcBorders>
            <w:vMerge w:val="restart"/>
            <w:shd w:val="clear" w:color="auto" w:fill="2AD2C9"/>
          </w:tcPr>
          <w:p>
            <w:pPr>
              <w:ind w:left="20"/>
              <w:spacing w:after="0"/>
              <w:rPr>
                <w:sz w:val="20"/>
                <w:szCs w:val="20"/>
                <w:color w:val="auto"/>
              </w:rPr>
            </w:pPr>
            <w:r>
              <w:rPr>
                <w:rFonts w:ascii="Arial" w:cs="Arial" w:eastAsia="Arial" w:hAnsi="Arial"/>
                <w:sz w:val="16"/>
                <w:szCs w:val="16"/>
                <w:b w:val="1"/>
                <w:bCs w:val="1"/>
                <w:color w:val="FFFFFF"/>
              </w:rPr>
              <w:t>S/000</w:t>
            </w:r>
          </w:p>
        </w:tc>
        <w:tc>
          <w:tcPr>
            <w:tcW w:w="1040" w:type="dxa"/>
            <w:vAlign w:val="bottom"/>
            <w:shd w:val="clear" w:color="auto" w:fill="2AD2C9"/>
          </w:tcPr>
          <w:p>
            <w:pPr>
              <w:spacing w:after="0"/>
              <w:rPr>
                <w:sz w:val="11"/>
                <w:szCs w:val="11"/>
                <w:color w:val="auto"/>
              </w:rPr>
            </w:pPr>
          </w:p>
        </w:tc>
        <w:tc>
          <w:tcPr>
            <w:tcW w:w="1040" w:type="dxa"/>
            <w:vAlign w:val="bottom"/>
            <w:vMerge w:val="continue"/>
            <w:shd w:val="clear" w:color="auto" w:fill="2AD2C9"/>
          </w:tcPr>
          <w:p>
            <w:pPr>
              <w:spacing w:after="0"/>
              <w:rPr>
                <w:sz w:val="11"/>
                <w:szCs w:val="11"/>
                <w:color w:val="auto"/>
              </w:rPr>
            </w:pPr>
          </w:p>
        </w:tc>
        <w:tc>
          <w:tcPr>
            <w:tcW w:w="1000" w:type="dxa"/>
            <w:vAlign w:val="bottom"/>
            <w:tcBorders>
              <w:right w:val="single" w:sz="8" w:color="auto"/>
            </w:tcBorders>
            <w:shd w:val="clear" w:color="auto" w:fill="2AD2C9"/>
          </w:tcPr>
          <w:p>
            <w:pPr>
              <w:spacing w:after="0"/>
              <w:rPr>
                <w:sz w:val="11"/>
                <w:szCs w:val="11"/>
                <w:color w:val="auto"/>
              </w:rPr>
            </w:pPr>
          </w:p>
        </w:tc>
        <w:tc>
          <w:tcPr>
            <w:tcW w:w="1560" w:type="dxa"/>
            <w:vAlign w:val="bottom"/>
            <w:tcBorders>
              <w:right w:val="single" w:sz="8" w:color="auto"/>
            </w:tcBorders>
            <w:gridSpan w:val="2"/>
            <w:vMerge w:val="continue"/>
            <w:shd w:val="clear" w:color="auto" w:fill="2AD2C9"/>
          </w:tcPr>
          <w:p>
            <w:pPr>
              <w:spacing w:after="0"/>
              <w:rPr>
                <w:sz w:val="11"/>
                <w:szCs w:val="11"/>
                <w:color w:val="auto"/>
              </w:rPr>
            </w:pPr>
          </w:p>
        </w:tc>
        <w:tc>
          <w:tcPr>
            <w:tcW w:w="2060" w:type="dxa"/>
            <w:vAlign w:val="bottom"/>
            <w:tcBorders>
              <w:right w:val="single" w:sz="8" w:color="auto"/>
            </w:tcBorders>
            <w:gridSpan w:val="2"/>
            <w:vMerge w:val="continue"/>
            <w:shd w:val="clear" w:color="auto" w:fill="2AD2C9"/>
          </w:tcPr>
          <w:p>
            <w:pPr>
              <w:spacing w:after="0"/>
              <w:rPr>
                <w:sz w:val="11"/>
                <w:szCs w:val="11"/>
                <w:color w:val="auto"/>
              </w:rPr>
            </w:pPr>
          </w:p>
        </w:tc>
        <w:tc>
          <w:tcPr>
            <w:tcW w:w="1220" w:type="dxa"/>
            <w:vAlign w:val="bottom"/>
            <w:tcBorders>
              <w:right w:val="single" w:sz="8" w:color="auto"/>
            </w:tcBorders>
            <w:vMerge w:val="continue"/>
            <w:shd w:val="clear" w:color="auto" w:fill="2AD2C9"/>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3340" w:type="dxa"/>
            <w:vAlign w:val="bottom"/>
            <w:tcBorders>
              <w:left w:val="single" w:sz="8" w:color="auto"/>
              <w:right w:val="single" w:sz="8" w:color="auto"/>
            </w:tcBorders>
            <w:vMerge w:val="continue"/>
            <w:shd w:val="clear" w:color="auto" w:fill="2AD2C9"/>
          </w:tcPr>
          <w:p>
            <w:pPr>
              <w:spacing w:after="0"/>
              <w:rPr>
                <w:sz w:val="8"/>
                <w:szCs w:val="8"/>
                <w:color w:val="auto"/>
              </w:rPr>
            </w:pPr>
          </w:p>
        </w:tc>
        <w:tc>
          <w:tcPr>
            <w:tcW w:w="1040" w:type="dxa"/>
            <w:vAlign w:val="bottom"/>
            <w:vMerge w:val="restart"/>
            <w:shd w:val="clear" w:color="auto" w:fill="2AD2C9"/>
          </w:tcPr>
          <w:p>
            <w:pPr>
              <w:jc w:val="center"/>
              <w:spacing w:after="0"/>
              <w:rPr>
                <w:sz w:val="20"/>
                <w:szCs w:val="20"/>
                <w:color w:val="auto"/>
              </w:rPr>
            </w:pPr>
            <w:r>
              <w:rPr>
                <w:rFonts w:ascii="Arial" w:cs="Arial" w:eastAsia="Arial" w:hAnsi="Arial"/>
                <w:sz w:val="16"/>
                <w:szCs w:val="16"/>
                <w:b w:val="1"/>
                <w:bCs w:val="1"/>
                <w:color w:val="FFFFFF"/>
              </w:rPr>
              <w:t>3Q22</w:t>
            </w:r>
          </w:p>
        </w:tc>
        <w:tc>
          <w:tcPr>
            <w:tcW w:w="1040" w:type="dxa"/>
            <w:vAlign w:val="bottom"/>
            <w:vMerge w:val="restart"/>
            <w:shd w:val="clear" w:color="auto" w:fill="2AD2C9"/>
          </w:tcPr>
          <w:p>
            <w:pPr>
              <w:jc w:val="center"/>
              <w:ind w:right="38"/>
              <w:spacing w:after="0"/>
              <w:rPr>
                <w:sz w:val="20"/>
                <w:szCs w:val="20"/>
                <w:color w:val="auto"/>
              </w:rPr>
            </w:pPr>
            <w:r>
              <w:rPr>
                <w:rFonts w:ascii="Arial" w:cs="Arial" w:eastAsia="Arial" w:hAnsi="Arial"/>
                <w:sz w:val="16"/>
                <w:szCs w:val="16"/>
                <w:b w:val="1"/>
                <w:bCs w:val="1"/>
                <w:color w:val="FFFFFF"/>
              </w:rPr>
              <w:t>2Q23</w:t>
            </w:r>
          </w:p>
        </w:tc>
        <w:tc>
          <w:tcPr>
            <w:tcW w:w="1000" w:type="dxa"/>
            <w:vAlign w:val="bottom"/>
            <w:tcBorders>
              <w:right w:val="single" w:sz="8" w:color="auto"/>
            </w:tcBorders>
            <w:vMerge w:val="restart"/>
            <w:shd w:val="clear" w:color="auto" w:fill="2AD2C9"/>
          </w:tcPr>
          <w:p>
            <w:pPr>
              <w:jc w:val="center"/>
              <w:spacing w:after="0"/>
              <w:rPr>
                <w:sz w:val="20"/>
                <w:szCs w:val="20"/>
                <w:color w:val="auto"/>
              </w:rPr>
            </w:pPr>
            <w:r>
              <w:rPr>
                <w:rFonts w:ascii="Arial" w:cs="Arial" w:eastAsia="Arial" w:hAnsi="Arial"/>
                <w:sz w:val="16"/>
                <w:szCs w:val="16"/>
                <w:b w:val="1"/>
                <w:bCs w:val="1"/>
                <w:color w:val="FFFFFF"/>
              </w:rPr>
              <w:t>3Q23</w:t>
            </w:r>
          </w:p>
        </w:tc>
        <w:tc>
          <w:tcPr>
            <w:tcW w:w="780" w:type="dxa"/>
            <w:vAlign w:val="bottom"/>
            <w:vMerge w:val="restart"/>
            <w:shd w:val="clear" w:color="auto" w:fill="2AD2C9"/>
          </w:tcPr>
          <w:p>
            <w:pPr>
              <w:jc w:val="center"/>
              <w:spacing w:after="0"/>
              <w:rPr>
                <w:sz w:val="20"/>
                <w:szCs w:val="20"/>
                <w:color w:val="auto"/>
              </w:rPr>
            </w:pPr>
            <w:r>
              <w:rPr>
                <w:rFonts w:ascii="Arial" w:cs="Arial" w:eastAsia="Arial" w:hAnsi="Arial"/>
                <w:sz w:val="16"/>
                <w:szCs w:val="16"/>
                <w:b w:val="1"/>
                <w:bCs w:val="1"/>
                <w:color w:val="FFFFFF"/>
              </w:rPr>
              <w:t>QoQ</w:t>
            </w:r>
          </w:p>
        </w:tc>
        <w:tc>
          <w:tcPr>
            <w:tcW w:w="780" w:type="dxa"/>
            <w:vAlign w:val="bottom"/>
            <w:tcBorders>
              <w:right w:val="single" w:sz="8" w:color="auto"/>
            </w:tcBorders>
            <w:vMerge w:val="restart"/>
            <w:shd w:val="clear" w:color="auto" w:fill="2AD2C9"/>
          </w:tcPr>
          <w:p>
            <w:pPr>
              <w:jc w:val="center"/>
              <w:spacing w:after="0"/>
              <w:rPr>
                <w:sz w:val="20"/>
                <w:szCs w:val="20"/>
                <w:color w:val="auto"/>
              </w:rPr>
            </w:pPr>
            <w:r>
              <w:rPr>
                <w:rFonts w:ascii="Arial" w:cs="Arial" w:eastAsia="Arial" w:hAnsi="Arial"/>
                <w:sz w:val="16"/>
                <w:szCs w:val="16"/>
                <w:b w:val="1"/>
                <w:bCs w:val="1"/>
                <w:color w:val="FFFFFF"/>
                <w:w w:val="96"/>
              </w:rPr>
              <w:t>YoY</w:t>
            </w:r>
          </w:p>
        </w:tc>
        <w:tc>
          <w:tcPr>
            <w:tcW w:w="1040" w:type="dxa"/>
            <w:vAlign w:val="bottom"/>
            <w:vMerge w:val="restart"/>
            <w:shd w:val="clear" w:color="auto" w:fill="2AD2C9"/>
          </w:tcPr>
          <w:p>
            <w:pPr>
              <w:jc w:val="right"/>
              <w:ind w:right="198"/>
              <w:spacing w:after="0"/>
              <w:rPr>
                <w:sz w:val="20"/>
                <w:szCs w:val="20"/>
                <w:color w:val="auto"/>
              </w:rPr>
            </w:pPr>
            <w:r>
              <w:rPr>
                <w:rFonts w:ascii="Arial" w:cs="Arial" w:eastAsia="Arial" w:hAnsi="Arial"/>
                <w:sz w:val="16"/>
                <w:szCs w:val="16"/>
                <w:b w:val="1"/>
                <w:bCs w:val="1"/>
                <w:color w:val="FFFFFF"/>
              </w:rPr>
              <w:t>Sep 22</w:t>
            </w:r>
          </w:p>
        </w:tc>
        <w:tc>
          <w:tcPr>
            <w:tcW w:w="1020" w:type="dxa"/>
            <w:vAlign w:val="bottom"/>
            <w:tcBorders>
              <w:right w:val="single" w:sz="8" w:color="auto"/>
            </w:tcBorders>
            <w:vMerge w:val="restart"/>
            <w:shd w:val="clear" w:color="auto" w:fill="2AD2C9"/>
          </w:tcPr>
          <w:p>
            <w:pPr>
              <w:jc w:val="right"/>
              <w:ind w:right="198"/>
              <w:spacing w:after="0"/>
              <w:rPr>
                <w:sz w:val="20"/>
                <w:szCs w:val="20"/>
                <w:color w:val="auto"/>
              </w:rPr>
            </w:pPr>
            <w:r>
              <w:rPr>
                <w:rFonts w:ascii="Arial" w:cs="Arial" w:eastAsia="Arial" w:hAnsi="Arial"/>
                <w:sz w:val="16"/>
                <w:szCs w:val="16"/>
                <w:b w:val="1"/>
                <w:bCs w:val="1"/>
                <w:color w:val="FFFFFF"/>
              </w:rPr>
              <w:t>Sep 23</w:t>
            </w:r>
          </w:p>
        </w:tc>
        <w:tc>
          <w:tcPr>
            <w:tcW w:w="1220" w:type="dxa"/>
            <w:vAlign w:val="bottom"/>
            <w:tcBorders>
              <w:right w:val="single" w:sz="8" w:color="auto"/>
            </w:tcBorders>
            <w:vMerge w:val="restart"/>
            <w:shd w:val="clear" w:color="auto" w:fill="2AD2C9"/>
          </w:tcPr>
          <w:p>
            <w:pPr>
              <w:jc w:val="center"/>
              <w:spacing w:after="0"/>
              <w:rPr>
                <w:sz w:val="20"/>
                <w:szCs w:val="20"/>
                <w:color w:val="auto"/>
              </w:rPr>
            </w:pPr>
            <w:r>
              <w:rPr>
                <w:rFonts w:ascii="Arial" w:cs="Arial" w:eastAsia="Arial" w:hAnsi="Arial"/>
                <w:sz w:val="16"/>
                <w:szCs w:val="16"/>
                <w:b w:val="1"/>
                <w:bCs w:val="1"/>
                <w:color w:val="FFFFFF"/>
              </w:rPr>
              <w:t>Sep 23 / Sep 22</w:t>
            </w:r>
          </w:p>
        </w:tc>
        <w:tc>
          <w:tcPr>
            <w:tcW w:w="0" w:type="dxa"/>
            <w:vAlign w:val="bottom"/>
          </w:tcPr>
          <w:p>
            <w:pPr>
              <w:spacing w:after="0"/>
              <w:rPr>
                <w:sz w:val="1"/>
                <w:szCs w:val="1"/>
                <w:color w:val="auto"/>
              </w:rPr>
            </w:pPr>
          </w:p>
        </w:tc>
      </w:tr>
      <w:tr>
        <w:trPr>
          <w:trHeight w:val="163"/>
        </w:trPr>
        <w:tc>
          <w:tcPr>
            <w:tcW w:w="3340" w:type="dxa"/>
            <w:vAlign w:val="bottom"/>
            <w:tcBorders>
              <w:left w:val="single" w:sz="8" w:color="auto"/>
              <w:bottom w:val="single" w:sz="8" w:color="auto"/>
              <w:right w:val="single" w:sz="8" w:color="auto"/>
            </w:tcBorders>
            <w:shd w:val="clear" w:color="auto" w:fill="2AD2C9"/>
          </w:tcPr>
          <w:p>
            <w:pPr>
              <w:spacing w:after="0"/>
              <w:rPr>
                <w:sz w:val="14"/>
                <w:szCs w:val="14"/>
                <w:color w:val="auto"/>
              </w:rPr>
            </w:pPr>
          </w:p>
        </w:tc>
        <w:tc>
          <w:tcPr>
            <w:tcW w:w="1040" w:type="dxa"/>
            <w:vAlign w:val="bottom"/>
            <w:tcBorders>
              <w:bottom w:val="single" w:sz="8" w:color="auto"/>
            </w:tcBorders>
            <w:vMerge w:val="continue"/>
            <w:shd w:val="clear" w:color="auto" w:fill="2AD2C9"/>
          </w:tcPr>
          <w:p>
            <w:pPr>
              <w:spacing w:after="0"/>
              <w:rPr>
                <w:sz w:val="14"/>
                <w:szCs w:val="14"/>
                <w:color w:val="auto"/>
              </w:rPr>
            </w:pPr>
          </w:p>
        </w:tc>
        <w:tc>
          <w:tcPr>
            <w:tcW w:w="1040" w:type="dxa"/>
            <w:vAlign w:val="bottom"/>
            <w:tcBorders>
              <w:bottom w:val="single" w:sz="8" w:color="auto"/>
            </w:tcBorders>
            <w:vMerge w:val="continue"/>
            <w:shd w:val="clear" w:color="auto" w:fill="2AD2C9"/>
          </w:tcPr>
          <w:p>
            <w:pPr>
              <w:spacing w:after="0"/>
              <w:rPr>
                <w:sz w:val="14"/>
                <w:szCs w:val="14"/>
                <w:color w:val="auto"/>
              </w:rPr>
            </w:pPr>
          </w:p>
        </w:tc>
        <w:tc>
          <w:tcPr>
            <w:tcW w:w="1000" w:type="dxa"/>
            <w:vAlign w:val="bottom"/>
            <w:tcBorders>
              <w:bottom w:val="single" w:sz="8" w:color="auto"/>
              <w:right w:val="single" w:sz="8" w:color="auto"/>
            </w:tcBorders>
            <w:vMerge w:val="continue"/>
            <w:shd w:val="clear" w:color="auto" w:fill="2AD2C9"/>
          </w:tcPr>
          <w:p>
            <w:pPr>
              <w:spacing w:after="0"/>
              <w:rPr>
                <w:sz w:val="14"/>
                <w:szCs w:val="14"/>
                <w:color w:val="auto"/>
              </w:rPr>
            </w:pPr>
          </w:p>
        </w:tc>
        <w:tc>
          <w:tcPr>
            <w:tcW w:w="780" w:type="dxa"/>
            <w:vAlign w:val="bottom"/>
            <w:tcBorders>
              <w:bottom w:val="single" w:sz="8" w:color="auto"/>
            </w:tcBorders>
            <w:vMerge w:val="continue"/>
            <w:shd w:val="clear" w:color="auto" w:fill="2AD2C9"/>
          </w:tcPr>
          <w:p>
            <w:pPr>
              <w:spacing w:after="0"/>
              <w:rPr>
                <w:sz w:val="14"/>
                <w:szCs w:val="14"/>
                <w:color w:val="auto"/>
              </w:rPr>
            </w:pPr>
          </w:p>
        </w:tc>
        <w:tc>
          <w:tcPr>
            <w:tcW w:w="780" w:type="dxa"/>
            <w:vAlign w:val="bottom"/>
            <w:tcBorders>
              <w:bottom w:val="single" w:sz="8" w:color="auto"/>
              <w:right w:val="single" w:sz="8" w:color="auto"/>
            </w:tcBorders>
            <w:vMerge w:val="continue"/>
            <w:shd w:val="clear" w:color="auto" w:fill="2AD2C9"/>
          </w:tcPr>
          <w:p>
            <w:pPr>
              <w:spacing w:after="0"/>
              <w:rPr>
                <w:sz w:val="14"/>
                <w:szCs w:val="14"/>
                <w:color w:val="auto"/>
              </w:rPr>
            </w:pPr>
          </w:p>
        </w:tc>
        <w:tc>
          <w:tcPr>
            <w:tcW w:w="1040" w:type="dxa"/>
            <w:vAlign w:val="bottom"/>
            <w:tcBorders>
              <w:bottom w:val="single" w:sz="8" w:color="auto"/>
            </w:tcBorders>
            <w:vMerge w:val="continue"/>
            <w:shd w:val="clear" w:color="auto" w:fill="2AD2C9"/>
          </w:tcPr>
          <w:p>
            <w:pPr>
              <w:spacing w:after="0"/>
              <w:rPr>
                <w:sz w:val="14"/>
                <w:szCs w:val="14"/>
                <w:color w:val="auto"/>
              </w:rPr>
            </w:pPr>
          </w:p>
        </w:tc>
        <w:tc>
          <w:tcPr>
            <w:tcW w:w="1020" w:type="dxa"/>
            <w:vAlign w:val="bottom"/>
            <w:tcBorders>
              <w:bottom w:val="single" w:sz="8" w:color="auto"/>
              <w:right w:val="single" w:sz="8" w:color="auto"/>
            </w:tcBorders>
            <w:vMerge w:val="continue"/>
            <w:shd w:val="clear" w:color="auto" w:fill="2AD2C9"/>
          </w:tcPr>
          <w:p>
            <w:pPr>
              <w:spacing w:after="0"/>
              <w:rPr>
                <w:sz w:val="14"/>
                <w:szCs w:val="14"/>
                <w:color w:val="auto"/>
              </w:rPr>
            </w:pPr>
          </w:p>
        </w:tc>
        <w:tc>
          <w:tcPr>
            <w:tcW w:w="1220" w:type="dxa"/>
            <w:vAlign w:val="bottom"/>
            <w:tcBorders>
              <w:bottom w:val="single" w:sz="8" w:color="auto"/>
              <w:right w:val="single" w:sz="8" w:color="auto"/>
            </w:tcBorders>
            <w:vMerge w:val="continue"/>
            <w:shd w:val="clear" w:color="auto" w:fill="2AD2C9"/>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340" w:type="dxa"/>
            <w:vAlign w:val="bottom"/>
            <w:tcBorders>
              <w:left w:val="single" w:sz="8" w:color="auto"/>
              <w:right w:val="single" w:sz="8" w:color="auto"/>
            </w:tcBorders>
          </w:tcPr>
          <w:p>
            <w:pPr>
              <w:ind w:left="20"/>
              <w:spacing w:after="0" w:line="165" w:lineRule="exact"/>
              <w:rPr>
                <w:sz w:val="20"/>
                <w:szCs w:val="20"/>
                <w:color w:val="auto"/>
              </w:rPr>
            </w:pPr>
            <w:r>
              <w:rPr>
                <w:rFonts w:ascii="Arial" w:cs="Arial" w:eastAsia="Arial" w:hAnsi="Arial"/>
                <w:sz w:val="16"/>
                <w:szCs w:val="16"/>
                <w:color w:val="auto"/>
              </w:rPr>
              <w:t>Net interest, similar income and expenses</w:t>
            </w:r>
          </w:p>
        </w:tc>
        <w:tc>
          <w:tcPr>
            <w:tcW w:w="1040" w:type="dxa"/>
            <w:vAlign w:val="bottom"/>
          </w:tcPr>
          <w:p>
            <w:pPr>
              <w:jc w:val="right"/>
              <w:spacing w:after="0" w:line="165" w:lineRule="exact"/>
              <w:rPr>
                <w:sz w:val="20"/>
                <w:szCs w:val="20"/>
                <w:color w:val="auto"/>
              </w:rPr>
            </w:pPr>
            <w:r>
              <w:rPr>
                <w:rFonts w:ascii="Arial" w:cs="Arial" w:eastAsia="Arial" w:hAnsi="Arial"/>
                <w:sz w:val="16"/>
                <w:szCs w:val="16"/>
                <w:color w:val="auto"/>
              </w:rPr>
              <w:t>2,882,401</w:t>
            </w:r>
          </w:p>
        </w:tc>
        <w:tc>
          <w:tcPr>
            <w:tcW w:w="1040" w:type="dxa"/>
            <w:vAlign w:val="bottom"/>
          </w:tcPr>
          <w:p>
            <w:pPr>
              <w:jc w:val="right"/>
              <w:spacing w:after="0" w:line="165" w:lineRule="exact"/>
              <w:rPr>
                <w:sz w:val="20"/>
                <w:szCs w:val="20"/>
                <w:color w:val="auto"/>
              </w:rPr>
            </w:pPr>
            <w:r>
              <w:rPr>
                <w:rFonts w:ascii="Arial" w:cs="Arial" w:eastAsia="Arial" w:hAnsi="Arial"/>
                <w:sz w:val="16"/>
                <w:szCs w:val="16"/>
                <w:color w:val="auto"/>
              </w:rPr>
              <w:t>3,204,156</w:t>
            </w:r>
          </w:p>
        </w:tc>
        <w:tc>
          <w:tcPr>
            <w:tcW w:w="1000" w:type="dxa"/>
            <w:vAlign w:val="bottom"/>
            <w:tcBorders>
              <w:right w:val="single" w:sz="8" w:color="auto"/>
            </w:tcBorders>
          </w:tcPr>
          <w:p>
            <w:pPr>
              <w:jc w:val="right"/>
              <w:spacing w:after="0" w:line="165" w:lineRule="exact"/>
              <w:rPr>
                <w:sz w:val="20"/>
                <w:szCs w:val="20"/>
                <w:color w:val="auto"/>
              </w:rPr>
            </w:pPr>
            <w:r>
              <w:rPr>
                <w:rFonts w:ascii="Arial" w:cs="Arial" w:eastAsia="Arial" w:hAnsi="Arial"/>
                <w:sz w:val="16"/>
                <w:szCs w:val="16"/>
                <w:color w:val="auto"/>
              </w:rPr>
              <w:t>3,254,043</w:t>
            </w:r>
          </w:p>
        </w:tc>
        <w:tc>
          <w:tcPr>
            <w:tcW w:w="780" w:type="dxa"/>
            <w:vAlign w:val="bottom"/>
          </w:tcPr>
          <w:p>
            <w:pPr>
              <w:jc w:val="center"/>
              <w:spacing w:after="0" w:line="165" w:lineRule="exact"/>
              <w:rPr>
                <w:sz w:val="20"/>
                <w:szCs w:val="20"/>
                <w:color w:val="auto"/>
              </w:rPr>
            </w:pPr>
            <w:r>
              <w:rPr>
                <w:rFonts w:ascii="Arial" w:cs="Arial" w:eastAsia="Arial" w:hAnsi="Arial"/>
                <w:sz w:val="16"/>
                <w:szCs w:val="16"/>
                <w:color w:val="auto"/>
                <w:w w:val="98"/>
              </w:rPr>
              <w:t>1.6%</w:t>
            </w:r>
          </w:p>
        </w:tc>
        <w:tc>
          <w:tcPr>
            <w:tcW w:w="78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6"/>
                <w:szCs w:val="16"/>
                <w:color w:val="auto"/>
              </w:rPr>
              <w:t>12.9%</w:t>
            </w:r>
          </w:p>
        </w:tc>
        <w:tc>
          <w:tcPr>
            <w:tcW w:w="1040" w:type="dxa"/>
            <w:vAlign w:val="bottom"/>
          </w:tcPr>
          <w:p>
            <w:pPr>
              <w:jc w:val="right"/>
              <w:spacing w:after="0" w:line="165" w:lineRule="exact"/>
              <w:rPr>
                <w:sz w:val="20"/>
                <w:szCs w:val="20"/>
                <w:color w:val="auto"/>
              </w:rPr>
            </w:pPr>
            <w:r>
              <w:rPr>
                <w:rFonts w:ascii="Arial" w:cs="Arial" w:eastAsia="Arial" w:hAnsi="Arial"/>
                <w:sz w:val="16"/>
                <w:szCs w:val="16"/>
                <w:color w:val="auto"/>
              </w:rPr>
              <w:t>7,951,214</w:t>
            </w:r>
          </w:p>
        </w:tc>
        <w:tc>
          <w:tcPr>
            <w:tcW w:w="1020" w:type="dxa"/>
            <w:vAlign w:val="bottom"/>
            <w:tcBorders>
              <w:right w:val="single" w:sz="8" w:color="auto"/>
            </w:tcBorders>
          </w:tcPr>
          <w:p>
            <w:pPr>
              <w:jc w:val="right"/>
              <w:spacing w:after="0" w:line="165" w:lineRule="exact"/>
              <w:rPr>
                <w:sz w:val="20"/>
                <w:szCs w:val="20"/>
                <w:color w:val="auto"/>
              </w:rPr>
            </w:pPr>
            <w:r>
              <w:rPr>
                <w:rFonts w:ascii="Arial" w:cs="Arial" w:eastAsia="Arial" w:hAnsi="Arial"/>
                <w:sz w:val="16"/>
                <w:szCs w:val="16"/>
                <w:color w:val="auto"/>
              </w:rPr>
              <w:t>9,590,288</w:t>
            </w:r>
          </w:p>
        </w:tc>
        <w:tc>
          <w:tcPr>
            <w:tcW w:w="122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185"/>
        </w:trPr>
        <w:tc>
          <w:tcPr>
            <w:tcW w:w="3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Provision for credit losses on loan portfolio,</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(459,976)</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(804,251)</w:t>
            </w:r>
          </w:p>
        </w:tc>
        <w:tc>
          <w:tcPr>
            <w:tcW w:w="10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(917,642)</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auto"/>
              </w:rPr>
              <w:t>14.1%</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99.5%</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(1,080,857)</w:t>
            </w:r>
          </w:p>
        </w:tc>
        <w:tc>
          <w:tcPr>
            <w:tcW w:w="10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6"/>
                <w:szCs w:val="16"/>
                <w:color w:val="auto"/>
              </w:rPr>
              <w:t>(2,448,891)</w:t>
            </w:r>
          </w:p>
        </w:tc>
        <w:tc>
          <w:tcPr>
            <w:tcW w:w="1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126.6%</w:t>
            </w:r>
          </w:p>
        </w:tc>
        <w:tc>
          <w:tcPr>
            <w:tcW w:w="0" w:type="dxa"/>
            <w:vAlign w:val="bottom"/>
          </w:tcPr>
          <w:p>
            <w:pPr>
              <w:spacing w:after="0"/>
              <w:rPr>
                <w:sz w:val="1"/>
                <w:szCs w:val="1"/>
                <w:color w:val="auto"/>
              </w:rPr>
            </w:pPr>
          </w:p>
        </w:tc>
      </w:tr>
      <w:tr>
        <w:trPr>
          <w:trHeight w:val="110"/>
        </w:trPr>
        <w:tc>
          <w:tcPr>
            <w:tcW w:w="3340" w:type="dxa"/>
            <w:vAlign w:val="bottom"/>
            <w:tcBorders>
              <w:left w:val="single" w:sz="8" w:color="auto"/>
              <w:right w:val="single" w:sz="8" w:color="auto"/>
            </w:tcBorders>
            <w:vMerge w:val="restart"/>
          </w:tcPr>
          <w:p>
            <w:pPr>
              <w:ind w:left="160"/>
              <w:spacing w:after="0" w:line="178" w:lineRule="exact"/>
              <w:rPr>
                <w:sz w:val="20"/>
                <w:szCs w:val="20"/>
                <w:color w:val="auto"/>
              </w:rPr>
            </w:pPr>
            <w:r>
              <w:rPr>
                <w:rFonts w:ascii="Arial" w:cs="Arial" w:eastAsia="Arial" w:hAnsi="Arial"/>
                <w:sz w:val="16"/>
                <w:szCs w:val="16"/>
                <w:color w:val="auto"/>
              </w:rPr>
              <w:t>net of recoveries</w:t>
            </w:r>
          </w:p>
        </w:tc>
        <w:tc>
          <w:tcPr>
            <w:tcW w:w="104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000" w:type="dxa"/>
            <w:vAlign w:val="bottom"/>
            <w:tcBorders>
              <w:right w:val="single" w:sz="8" w:color="auto"/>
            </w:tcBorders>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80" w:type="dxa"/>
            <w:vAlign w:val="bottom"/>
            <w:tcBorders>
              <w:right w:val="single" w:sz="8" w:color="auto"/>
            </w:tcBorders>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020" w:type="dxa"/>
            <w:vAlign w:val="bottom"/>
            <w:tcBorders>
              <w:right w:val="single" w:sz="8" w:color="auto"/>
            </w:tcBorders>
            <w:vMerge w:val="continue"/>
          </w:tcPr>
          <w:p>
            <w:pPr>
              <w:spacing w:after="0"/>
              <w:rPr>
                <w:sz w:val="9"/>
                <w:szCs w:val="9"/>
                <w:color w:val="auto"/>
              </w:rPr>
            </w:pPr>
          </w:p>
        </w:tc>
        <w:tc>
          <w:tcPr>
            <w:tcW w:w="12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3340" w:type="dxa"/>
            <w:vAlign w:val="bottom"/>
            <w:tcBorders>
              <w:left w:val="single" w:sz="8" w:color="auto"/>
              <w:right w:val="single" w:sz="8" w:color="auto"/>
            </w:tcBorders>
            <w:vMerge w:val="continue"/>
          </w:tcPr>
          <w:p>
            <w:pPr>
              <w:spacing w:after="0"/>
              <w:rPr>
                <w:sz w:val="5"/>
                <w:szCs w:val="5"/>
                <w:color w:val="auto"/>
              </w:rPr>
            </w:pPr>
          </w:p>
        </w:tc>
        <w:tc>
          <w:tcPr>
            <w:tcW w:w="10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0" w:type="dxa"/>
            <w:vAlign w:val="bottom"/>
            <w:tcBorders>
              <w:right w:val="single" w:sz="8" w:color="auto"/>
            </w:tcBorders>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Borders>
              <w:right w:val="single" w:sz="8" w:color="auto"/>
            </w:tcBorders>
          </w:tcPr>
          <w:p>
            <w:pPr>
              <w:spacing w:after="0"/>
              <w:rPr>
                <w:sz w:val="5"/>
                <w:szCs w:val="5"/>
                <w:color w:val="auto"/>
              </w:rPr>
            </w:pPr>
          </w:p>
        </w:tc>
        <w:tc>
          <w:tcPr>
            <w:tcW w:w="1040" w:type="dxa"/>
            <w:vAlign w:val="bottom"/>
          </w:tcPr>
          <w:p>
            <w:pPr>
              <w:spacing w:after="0"/>
              <w:rPr>
                <w:sz w:val="5"/>
                <w:szCs w:val="5"/>
                <w:color w:val="auto"/>
              </w:rPr>
            </w:pPr>
          </w:p>
        </w:tc>
        <w:tc>
          <w:tcPr>
            <w:tcW w:w="1020" w:type="dxa"/>
            <w:vAlign w:val="bottom"/>
            <w:tcBorders>
              <w:right w:val="single" w:sz="8" w:color="auto"/>
            </w:tcBorders>
          </w:tcPr>
          <w:p>
            <w:pPr>
              <w:spacing w:after="0"/>
              <w:rPr>
                <w:sz w:val="5"/>
                <w:szCs w:val="5"/>
                <w:color w:val="auto"/>
              </w:rPr>
            </w:pPr>
          </w:p>
        </w:tc>
        <w:tc>
          <w:tcPr>
            <w:tcW w:w="12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3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Net interest, similar income and</w:t>
            </w:r>
          </w:p>
        </w:tc>
        <w:tc>
          <w:tcPr>
            <w:tcW w:w="10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104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3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b w:val="1"/>
                <w:bCs w:val="1"/>
                <w:color w:val="auto"/>
              </w:rPr>
              <w:t>expenses, after provision for credit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2,422,425</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2,399,905</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2,336,401</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rPr>
              <w:t>-2.6%</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-3.6%</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6,870,357</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7,141,397</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3.9%</w:t>
            </w:r>
          </w:p>
        </w:tc>
        <w:tc>
          <w:tcPr>
            <w:tcW w:w="0" w:type="dxa"/>
            <w:vAlign w:val="bottom"/>
          </w:tcPr>
          <w:p>
            <w:pPr>
              <w:spacing w:after="0"/>
              <w:rPr>
                <w:sz w:val="1"/>
                <w:szCs w:val="1"/>
                <w:color w:val="auto"/>
              </w:rPr>
            </w:pPr>
          </w:p>
        </w:tc>
      </w:tr>
      <w:tr>
        <w:trPr>
          <w:trHeight w:val="193"/>
        </w:trPr>
        <w:tc>
          <w:tcPr>
            <w:tcW w:w="33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b w:val="1"/>
                <w:bCs w:val="1"/>
                <w:color w:val="auto"/>
              </w:rPr>
              <w:t>losses on loan portfolio</w:t>
            </w:r>
          </w:p>
        </w:tc>
        <w:tc>
          <w:tcPr>
            <w:tcW w:w="10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1040" w:type="dxa"/>
            <w:vAlign w:val="bottom"/>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Total other income</w:t>
            </w:r>
          </w:p>
        </w:tc>
        <w:tc>
          <w:tcPr>
            <w:tcW w:w="1040" w:type="dxa"/>
            <w:vAlign w:val="bottom"/>
          </w:tcPr>
          <w:p>
            <w:pPr>
              <w:jc w:val="right"/>
              <w:spacing w:after="0"/>
              <w:rPr>
                <w:sz w:val="20"/>
                <w:szCs w:val="20"/>
                <w:color w:val="auto"/>
              </w:rPr>
            </w:pPr>
            <w:r>
              <w:rPr>
                <w:rFonts w:ascii="Arial" w:cs="Arial" w:eastAsia="Arial" w:hAnsi="Arial"/>
                <w:sz w:val="16"/>
                <w:szCs w:val="16"/>
                <w:color w:val="auto"/>
              </w:rPr>
              <w:t>1,301,252</w:t>
            </w:r>
          </w:p>
        </w:tc>
        <w:tc>
          <w:tcPr>
            <w:tcW w:w="1040" w:type="dxa"/>
            <w:vAlign w:val="bottom"/>
          </w:tcPr>
          <w:p>
            <w:pPr>
              <w:jc w:val="right"/>
              <w:spacing w:after="0"/>
              <w:rPr>
                <w:sz w:val="20"/>
                <w:szCs w:val="20"/>
                <w:color w:val="auto"/>
              </w:rPr>
            </w:pPr>
            <w:r>
              <w:rPr>
                <w:rFonts w:ascii="Arial" w:cs="Arial" w:eastAsia="Arial" w:hAnsi="Arial"/>
                <w:sz w:val="16"/>
                <w:szCs w:val="16"/>
                <w:color w:val="auto"/>
              </w:rPr>
              <w:t>1,433,124</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1,402,603</w:t>
            </w:r>
          </w:p>
        </w:tc>
        <w:tc>
          <w:tcPr>
            <w:tcW w:w="780" w:type="dxa"/>
            <w:vAlign w:val="bottom"/>
          </w:tcPr>
          <w:p>
            <w:pPr>
              <w:jc w:val="center"/>
              <w:spacing w:after="0"/>
              <w:rPr>
                <w:sz w:val="20"/>
                <w:szCs w:val="20"/>
                <w:color w:val="auto"/>
              </w:rPr>
            </w:pPr>
            <w:r>
              <w:rPr>
                <w:rFonts w:ascii="Arial" w:cs="Arial" w:eastAsia="Arial" w:hAnsi="Arial"/>
                <w:sz w:val="16"/>
                <w:szCs w:val="16"/>
                <w:color w:val="auto"/>
              </w:rPr>
              <w:t>-2.1%</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7.8%</w:t>
            </w:r>
          </w:p>
        </w:tc>
        <w:tc>
          <w:tcPr>
            <w:tcW w:w="1040" w:type="dxa"/>
            <w:vAlign w:val="bottom"/>
          </w:tcPr>
          <w:p>
            <w:pPr>
              <w:jc w:val="right"/>
              <w:spacing w:after="0"/>
              <w:rPr>
                <w:sz w:val="20"/>
                <w:szCs w:val="20"/>
                <w:color w:val="auto"/>
              </w:rPr>
            </w:pPr>
            <w:r>
              <w:rPr>
                <w:rFonts w:ascii="Arial" w:cs="Arial" w:eastAsia="Arial" w:hAnsi="Arial"/>
                <w:sz w:val="16"/>
                <w:szCs w:val="16"/>
                <w:color w:val="auto"/>
              </w:rPr>
              <w:t>3,738,234</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4,169,002</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185"/>
        </w:trPr>
        <w:tc>
          <w:tcPr>
            <w:tcW w:w="3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Insurance underwriting result</w:t>
            </w:r>
          </w:p>
        </w:tc>
        <w:tc>
          <w:tcPr>
            <w:tcW w:w="1040" w:type="dxa"/>
            <w:vAlign w:val="bottom"/>
          </w:tcPr>
          <w:p>
            <w:pPr>
              <w:jc w:val="right"/>
              <w:spacing w:after="0"/>
              <w:rPr>
                <w:sz w:val="20"/>
                <w:szCs w:val="20"/>
                <w:color w:val="auto"/>
              </w:rPr>
            </w:pPr>
            <w:r>
              <w:rPr>
                <w:rFonts w:ascii="Arial" w:cs="Arial" w:eastAsia="Arial" w:hAnsi="Arial"/>
                <w:sz w:val="16"/>
                <w:szCs w:val="16"/>
                <w:color w:val="auto"/>
              </w:rPr>
              <w:t>303,760</w:t>
            </w:r>
          </w:p>
        </w:tc>
        <w:tc>
          <w:tcPr>
            <w:tcW w:w="1040" w:type="dxa"/>
            <w:vAlign w:val="bottom"/>
          </w:tcPr>
          <w:p>
            <w:pPr>
              <w:jc w:val="right"/>
              <w:spacing w:after="0"/>
              <w:rPr>
                <w:sz w:val="20"/>
                <w:szCs w:val="20"/>
                <w:color w:val="auto"/>
              </w:rPr>
            </w:pPr>
            <w:r>
              <w:rPr>
                <w:rFonts w:ascii="Arial" w:cs="Arial" w:eastAsia="Arial" w:hAnsi="Arial"/>
                <w:sz w:val="16"/>
                <w:szCs w:val="16"/>
                <w:color w:val="auto"/>
              </w:rPr>
              <w:t>296,564</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330,900</w:t>
            </w:r>
          </w:p>
        </w:tc>
        <w:tc>
          <w:tcPr>
            <w:tcW w:w="780" w:type="dxa"/>
            <w:vAlign w:val="bottom"/>
          </w:tcPr>
          <w:p>
            <w:pPr>
              <w:jc w:val="center"/>
              <w:spacing w:after="0"/>
              <w:rPr>
                <w:sz w:val="20"/>
                <w:szCs w:val="20"/>
                <w:color w:val="auto"/>
              </w:rPr>
            </w:pPr>
            <w:r>
              <w:rPr>
                <w:rFonts w:ascii="Arial" w:cs="Arial" w:eastAsia="Arial" w:hAnsi="Arial"/>
                <w:sz w:val="16"/>
                <w:szCs w:val="16"/>
                <w:color w:val="auto"/>
                <w:w w:val="96"/>
              </w:rPr>
              <w:t>11.6%</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8.9%</w:t>
            </w:r>
          </w:p>
        </w:tc>
        <w:tc>
          <w:tcPr>
            <w:tcW w:w="1040" w:type="dxa"/>
            <w:vAlign w:val="bottom"/>
          </w:tcPr>
          <w:p>
            <w:pPr>
              <w:jc w:val="right"/>
              <w:spacing w:after="0"/>
              <w:rPr>
                <w:sz w:val="20"/>
                <w:szCs w:val="20"/>
                <w:color w:val="auto"/>
              </w:rPr>
            </w:pPr>
            <w:r>
              <w:rPr>
                <w:rFonts w:ascii="Arial" w:cs="Arial" w:eastAsia="Arial" w:hAnsi="Arial"/>
                <w:sz w:val="16"/>
                <w:szCs w:val="16"/>
                <w:color w:val="auto"/>
              </w:rPr>
              <w:t>704,624</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923,805</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31.1%</w:t>
            </w:r>
          </w:p>
        </w:tc>
        <w:tc>
          <w:tcPr>
            <w:tcW w:w="0" w:type="dxa"/>
            <w:vAlign w:val="bottom"/>
          </w:tcPr>
          <w:p>
            <w:pPr>
              <w:spacing w:after="0"/>
              <w:rPr>
                <w:sz w:val="1"/>
                <w:szCs w:val="1"/>
                <w:color w:val="auto"/>
              </w:rPr>
            </w:pPr>
          </w:p>
        </w:tc>
      </w:tr>
      <w:tr>
        <w:trPr>
          <w:trHeight w:val="177"/>
        </w:trPr>
        <w:tc>
          <w:tcPr>
            <w:tcW w:w="3340" w:type="dxa"/>
            <w:vAlign w:val="bottom"/>
            <w:tcBorders>
              <w:left w:val="single" w:sz="8" w:color="auto"/>
              <w:right w:val="single" w:sz="8" w:color="auto"/>
            </w:tcBorders>
          </w:tcPr>
          <w:p>
            <w:pPr>
              <w:ind w:left="20"/>
              <w:spacing w:after="0" w:line="178" w:lineRule="exact"/>
              <w:rPr>
                <w:sz w:val="20"/>
                <w:szCs w:val="20"/>
                <w:color w:val="auto"/>
              </w:rPr>
            </w:pPr>
            <w:r>
              <w:rPr>
                <w:rFonts w:ascii="Arial" w:cs="Arial" w:eastAsia="Arial" w:hAnsi="Arial"/>
                <w:sz w:val="16"/>
                <w:szCs w:val="16"/>
                <w:color w:val="auto"/>
              </w:rPr>
              <w:t>Total other expenses</w:t>
            </w:r>
          </w:p>
        </w:tc>
        <w:tc>
          <w:tcPr>
            <w:tcW w:w="1040" w:type="dxa"/>
            <w:vAlign w:val="bottom"/>
          </w:tcPr>
          <w:p>
            <w:pPr>
              <w:jc w:val="right"/>
              <w:spacing w:after="0" w:line="178" w:lineRule="exact"/>
              <w:rPr>
                <w:sz w:val="20"/>
                <w:szCs w:val="20"/>
                <w:color w:val="auto"/>
              </w:rPr>
            </w:pPr>
            <w:r>
              <w:rPr>
                <w:rFonts w:ascii="Arial" w:cs="Arial" w:eastAsia="Arial" w:hAnsi="Arial"/>
                <w:sz w:val="16"/>
                <w:szCs w:val="16"/>
                <w:color w:val="auto"/>
              </w:rPr>
              <w:t>(2,097,590)</w:t>
            </w:r>
          </w:p>
        </w:tc>
        <w:tc>
          <w:tcPr>
            <w:tcW w:w="1040" w:type="dxa"/>
            <w:vAlign w:val="bottom"/>
          </w:tcPr>
          <w:p>
            <w:pPr>
              <w:jc w:val="right"/>
              <w:spacing w:after="0" w:line="178" w:lineRule="exact"/>
              <w:rPr>
                <w:sz w:val="20"/>
                <w:szCs w:val="20"/>
                <w:color w:val="auto"/>
              </w:rPr>
            </w:pPr>
            <w:r>
              <w:rPr>
                <w:rFonts w:ascii="Arial" w:cs="Arial" w:eastAsia="Arial" w:hAnsi="Arial"/>
                <w:sz w:val="16"/>
                <w:szCs w:val="16"/>
                <w:color w:val="auto"/>
              </w:rPr>
              <w:t>(2,195,304)</w:t>
            </w:r>
          </w:p>
        </w:tc>
        <w:tc>
          <w:tcPr>
            <w:tcW w:w="1000" w:type="dxa"/>
            <w:vAlign w:val="bottom"/>
            <w:tcBorders>
              <w:right w:val="single" w:sz="8" w:color="auto"/>
            </w:tcBorders>
          </w:tcPr>
          <w:p>
            <w:pPr>
              <w:jc w:val="right"/>
              <w:spacing w:after="0" w:line="178" w:lineRule="exact"/>
              <w:rPr>
                <w:sz w:val="20"/>
                <w:szCs w:val="20"/>
                <w:color w:val="auto"/>
              </w:rPr>
            </w:pPr>
            <w:r>
              <w:rPr>
                <w:rFonts w:ascii="Arial" w:cs="Arial" w:eastAsia="Arial" w:hAnsi="Arial"/>
                <w:sz w:val="16"/>
                <w:szCs w:val="16"/>
                <w:color w:val="auto"/>
              </w:rPr>
              <w:t>(2,350,469)</w:t>
            </w:r>
          </w:p>
        </w:tc>
        <w:tc>
          <w:tcPr>
            <w:tcW w:w="780" w:type="dxa"/>
            <w:vAlign w:val="bottom"/>
          </w:tcPr>
          <w:p>
            <w:pPr>
              <w:jc w:val="center"/>
              <w:spacing w:after="0" w:line="178" w:lineRule="exact"/>
              <w:rPr>
                <w:sz w:val="20"/>
                <w:szCs w:val="20"/>
                <w:color w:val="auto"/>
              </w:rPr>
            </w:pPr>
            <w:r>
              <w:rPr>
                <w:rFonts w:ascii="Arial" w:cs="Arial" w:eastAsia="Arial" w:hAnsi="Arial"/>
                <w:sz w:val="16"/>
                <w:szCs w:val="16"/>
                <w:color w:val="auto"/>
                <w:w w:val="98"/>
              </w:rPr>
              <w:t>7.1%</w:t>
            </w:r>
          </w:p>
        </w:tc>
        <w:tc>
          <w:tcPr>
            <w:tcW w:w="78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6"/>
                <w:szCs w:val="16"/>
                <w:color w:val="auto"/>
              </w:rPr>
              <w:t>12.1%</w:t>
            </w:r>
          </w:p>
        </w:tc>
        <w:tc>
          <w:tcPr>
            <w:tcW w:w="1040" w:type="dxa"/>
            <w:vAlign w:val="bottom"/>
          </w:tcPr>
          <w:p>
            <w:pPr>
              <w:jc w:val="right"/>
              <w:spacing w:after="0" w:line="178" w:lineRule="exact"/>
              <w:rPr>
                <w:sz w:val="20"/>
                <w:szCs w:val="20"/>
                <w:color w:val="auto"/>
              </w:rPr>
            </w:pPr>
            <w:r>
              <w:rPr>
                <w:rFonts w:ascii="Arial" w:cs="Arial" w:eastAsia="Arial" w:hAnsi="Arial"/>
                <w:sz w:val="16"/>
                <w:szCs w:val="16"/>
                <w:color w:val="auto"/>
              </w:rPr>
              <w:t>(5,953,226)</w:t>
            </w:r>
          </w:p>
        </w:tc>
        <w:tc>
          <w:tcPr>
            <w:tcW w:w="1020" w:type="dxa"/>
            <w:vAlign w:val="bottom"/>
            <w:tcBorders>
              <w:right w:val="single" w:sz="8" w:color="auto"/>
            </w:tcBorders>
          </w:tcPr>
          <w:p>
            <w:pPr>
              <w:jc w:val="right"/>
              <w:spacing w:after="0" w:line="178" w:lineRule="exact"/>
              <w:rPr>
                <w:sz w:val="20"/>
                <w:szCs w:val="20"/>
                <w:color w:val="auto"/>
              </w:rPr>
            </w:pPr>
            <w:r>
              <w:rPr>
                <w:rFonts w:ascii="Arial" w:cs="Arial" w:eastAsia="Arial" w:hAnsi="Arial"/>
                <w:sz w:val="16"/>
                <w:szCs w:val="16"/>
                <w:color w:val="auto"/>
              </w:rPr>
              <w:t>(6,672,681)</w:t>
            </w:r>
          </w:p>
        </w:tc>
        <w:tc>
          <w:tcPr>
            <w:tcW w:w="122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193"/>
        </w:trPr>
        <w:tc>
          <w:tcPr>
            <w:tcW w:w="3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Profit before income tax</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1,929,847</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1,934,289</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1,719,435</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rPr>
              <w:t>-11.1%</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-10.9%</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5,359,989</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5,561,523</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3.8%</w:t>
            </w:r>
          </w:p>
        </w:tc>
        <w:tc>
          <w:tcPr>
            <w:tcW w:w="0" w:type="dxa"/>
            <w:vAlign w:val="bottom"/>
          </w:tcPr>
          <w:p>
            <w:pPr>
              <w:spacing w:after="0"/>
              <w:rPr>
                <w:sz w:val="1"/>
                <w:szCs w:val="1"/>
                <w:color w:val="auto"/>
              </w:rPr>
            </w:pPr>
          </w:p>
        </w:tc>
      </w:tr>
      <w:tr>
        <w:trPr>
          <w:trHeight w:val="177"/>
        </w:trPr>
        <w:tc>
          <w:tcPr>
            <w:tcW w:w="3340" w:type="dxa"/>
            <w:vAlign w:val="bottom"/>
            <w:tcBorders>
              <w:left w:val="single" w:sz="8" w:color="auto"/>
              <w:right w:val="single" w:sz="8" w:color="auto"/>
            </w:tcBorders>
          </w:tcPr>
          <w:p>
            <w:pPr>
              <w:ind w:left="20"/>
              <w:spacing w:after="0" w:line="178" w:lineRule="exact"/>
              <w:rPr>
                <w:sz w:val="20"/>
                <w:szCs w:val="20"/>
                <w:color w:val="auto"/>
              </w:rPr>
            </w:pPr>
            <w:r>
              <w:rPr>
                <w:rFonts w:ascii="Arial" w:cs="Arial" w:eastAsia="Arial" w:hAnsi="Arial"/>
                <w:sz w:val="16"/>
                <w:szCs w:val="16"/>
                <w:color w:val="auto"/>
              </w:rPr>
              <w:t>Income tax</w:t>
            </w:r>
          </w:p>
        </w:tc>
        <w:tc>
          <w:tcPr>
            <w:tcW w:w="1040" w:type="dxa"/>
            <w:vAlign w:val="bottom"/>
          </w:tcPr>
          <w:p>
            <w:pPr>
              <w:jc w:val="right"/>
              <w:spacing w:after="0" w:line="178" w:lineRule="exact"/>
              <w:rPr>
                <w:sz w:val="20"/>
                <w:szCs w:val="20"/>
                <w:color w:val="auto"/>
              </w:rPr>
            </w:pPr>
            <w:r>
              <w:rPr>
                <w:rFonts w:ascii="Arial" w:cs="Arial" w:eastAsia="Arial" w:hAnsi="Arial"/>
                <w:sz w:val="16"/>
                <w:szCs w:val="16"/>
                <w:color w:val="auto"/>
              </w:rPr>
              <w:t>(575,083)</w:t>
            </w:r>
          </w:p>
        </w:tc>
        <w:tc>
          <w:tcPr>
            <w:tcW w:w="1040" w:type="dxa"/>
            <w:vAlign w:val="bottom"/>
          </w:tcPr>
          <w:p>
            <w:pPr>
              <w:jc w:val="right"/>
              <w:spacing w:after="0" w:line="178" w:lineRule="exact"/>
              <w:rPr>
                <w:sz w:val="20"/>
                <w:szCs w:val="20"/>
                <w:color w:val="auto"/>
              </w:rPr>
            </w:pPr>
            <w:r>
              <w:rPr>
                <w:rFonts w:ascii="Arial" w:cs="Arial" w:eastAsia="Arial" w:hAnsi="Arial"/>
                <w:sz w:val="16"/>
                <w:szCs w:val="16"/>
                <w:color w:val="auto"/>
              </w:rPr>
              <w:t>(504,472)</w:t>
            </w:r>
          </w:p>
        </w:tc>
        <w:tc>
          <w:tcPr>
            <w:tcW w:w="1000" w:type="dxa"/>
            <w:vAlign w:val="bottom"/>
            <w:tcBorders>
              <w:right w:val="single" w:sz="8" w:color="auto"/>
            </w:tcBorders>
          </w:tcPr>
          <w:p>
            <w:pPr>
              <w:jc w:val="right"/>
              <w:spacing w:after="0" w:line="178" w:lineRule="exact"/>
              <w:rPr>
                <w:sz w:val="20"/>
                <w:szCs w:val="20"/>
                <w:color w:val="auto"/>
              </w:rPr>
            </w:pPr>
            <w:r>
              <w:rPr>
                <w:rFonts w:ascii="Arial" w:cs="Arial" w:eastAsia="Arial" w:hAnsi="Arial"/>
                <w:sz w:val="16"/>
                <w:szCs w:val="16"/>
                <w:color w:val="auto"/>
              </w:rPr>
              <w:t>(455,865)</w:t>
            </w:r>
          </w:p>
        </w:tc>
        <w:tc>
          <w:tcPr>
            <w:tcW w:w="780" w:type="dxa"/>
            <w:vAlign w:val="bottom"/>
          </w:tcPr>
          <w:p>
            <w:pPr>
              <w:jc w:val="center"/>
              <w:spacing w:after="0" w:line="178" w:lineRule="exact"/>
              <w:rPr>
                <w:sz w:val="20"/>
                <w:szCs w:val="20"/>
                <w:color w:val="auto"/>
              </w:rPr>
            </w:pPr>
            <w:r>
              <w:rPr>
                <w:rFonts w:ascii="Arial" w:cs="Arial" w:eastAsia="Arial" w:hAnsi="Arial"/>
                <w:sz w:val="16"/>
                <w:szCs w:val="16"/>
                <w:color w:val="auto"/>
              </w:rPr>
              <w:t>-9.6%</w:t>
            </w:r>
          </w:p>
        </w:tc>
        <w:tc>
          <w:tcPr>
            <w:tcW w:w="78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6"/>
                <w:szCs w:val="16"/>
                <w:color w:val="auto"/>
              </w:rPr>
              <w:t>-20.7%</w:t>
            </w:r>
          </w:p>
        </w:tc>
        <w:tc>
          <w:tcPr>
            <w:tcW w:w="1040" w:type="dxa"/>
            <w:vAlign w:val="bottom"/>
          </w:tcPr>
          <w:p>
            <w:pPr>
              <w:jc w:val="right"/>
              <w:spacing w:after="0" w:line="178" w:lineRule="exact"/>
              <w:rPr>
                <w:sz w:val="20"/>
                <w:szCs w:val="20"/>
                <w:color w:val="auto"/>
              </w:rPr>
            </w:pPr>
            <w:r>
              <w:rPr>
                <w:rFonts w:ascii="Arial" w:cs="Arial" w:eastAsia="Arial" w:hAnsi="Arial"/>
                <w:sz w:val="16"/>
                <w:szCs w:val="16"/>
                <w:color w:val="auto"/>
              </w:rPr>
              <w:t>(1,634,265)</w:t>
            </w:r>
          </w:p>
        </w:tc>
        <w:tc>
          <w:tcPr>
            <w:tcW w:w="1020" w:type="dxa"/>
            <w:vAlign w:val="bottom"/>
            <w:tcBorders>
              <w:right w:val="single" w:sz="8" w:color="auto"/>
            </w:tcBorders>
          </w:tcPr>
          <w:p>
            <w:pPr>
              <w:jc w:val="right"/>
              <w:spacing w:after="0" w:line="178" w:lineRule="exact"/>
              <w:rPr>
                <w:sz w:val="20"/>
                <w:szCs w:val="20"/>
                <w:color w:val="auto"/>
              </w:rPr>
            </w:pPr>
            <w:r>
              <w:rPr>
                <w:rFonts w:ascii="Arial" w:cs="Arial" w:eastAsia="Arial" w:hAnsi="Arial"/>
                <w:sz w:val="16"/>
                <w:szCs w:val="16"/>
                <w:color w:val="auto"/>
              </w:rPr>
              <w:t>(1,453,803)</w:t>
            </w:r>
          </w:p>
        </w:tc>
        <w:tc>
          <w:tcPr>
            <w:tcW w:w="122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6"/>
                <w:szCs w:val="16"/>
                <w:color w:val="auto"/>
                <w:w w:val="98"/>
              </w:rPr>
              <w:t>-11.0%</w:t>
            </w:r>
          </w:p>
        </w:tc>
        <w:tc>
          <w:tcPr>
            <w:tcW w:w="0" w:type="dxa"/>
            <w:vAlign w:val="bottom"/>
          </w:tcPr>
          <w:p>
            <w:pPr>
              <w:spacing w:after="0"/>
              <w:rPr>
                <w:sz w:val="1"/>
                <w:szCs w:val="1"/>
                <w:color w:val="auto"/>
              </w:rPr>
            </w:pPr>
          </w:p>
        </w:tc>
      </w:tr>
      <w:tr>
        <w:trPr>
          <w:trHeight w:val="193"/>
        </w:trPr>
        <w:tc>
          <w:tcPr>
            <w:tcW w:w="3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Net profit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1,354,764</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1,429,817</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1,263,570</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rPr>
              <w:t>-11.6%</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-6.7%</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3,725,724</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4,107,720</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10.3%</w:t>
            </w:r>
          </w:p>
        </w:tc>
        <w:tc>
          <w:tcPr>
            <w:tcW w:w="0" w:type="dxa"/>
            <w:vAlign w:val="bottom"/>
          </w:tcPr>
          <w:p>
            <w:pPr>
              <w:spacing w:after="0"/>
              <w:rPr>
                <w:sz w:val="1"/>
                <w:szCs w:val="1"/>
                <w:color w:val="auto"/>
              </w:rPr>
            </w:pPr>
          </w:p>
        </w:tc>
      </w:tr>
      <w:tr>
        <w:trPr>
          <w:trHeight w:val="177"/>
        </w:trPr>
        <w:tc>
          <w:tcPr>
            <w:tcW w:w="3340" w:type="dxa"/>
            <w:vAlign w:val="bottom"/>
            <w:tcBorders>
              <w:left w:val="single" w:sz="8" w:color="auto"/>
              <w:right w:val="single" w:sz="8" w:color="auto"/>
            </w:tcBorders>
          </w:tcPr>
          <w:p>
            <w:pPr>
              <w:ind w:left="20"/>
              <w:spacing w:after="0" w:line="178" w:lineRule="exact"/>
              <w:rPr>
                <w:sz w:val="20"/>
                <w:szCs w:val="20"/>
                <w:color w:val="auto"/>
              </w:rPr>
            </w:pPr>
            <w:r>
              <w:rPr>
                <w:rFonts w:ascii="Arial" w:cs="Arial" w:eastAsia="Arial" w:hAnsi="Arial"/>
                <w:sz w:val="16"/>
                <w:szCs w:val="16"/>
                <w:color w:val="auto"/>
              </w:rPr>
              <w:t>Non-controlling interest</w:t>
            </w:r>
          </w:p>
        </w:tc>
        <w:tc>
          <w:tcPr>
            <w:tcW w:w="1040" w:type="dxa"/>
            <w:vAlign w:val="bottom"/>
          </w:tcPr>
          <w:p>
            <w:pPr>
              <w:jc w:val="right"/>
              <w:spacing w:after="0" w:line="178" w:lineRule="exact"/>
              <w:rPr>
                <w:sz w:val="20"/>
                <w:szCs w:val="20"/>
                <w:color w:val="auto"/>
              </w:rPr>
            </w:pPr>
            <w:r>
              <w:rPr>
                <w:rFonts w:ascii="Arial" w:cs="Arial" w:eastAsia="Arial" w:hAnsi="Arial"/>
                <w:sz w:val="16"/>
                <w:szCs w:val="16"/>
                <w:color w:val="auto"/>
              </w:rPr>
              <w:t>31,855</w:t>
            </w:r>
          </w:p>
        </w:tc>
        <w:tc>
          <w:tcPr>
            <w:tcW w:w="1040" w:type="dxa"/>
            <w:vAlign w:val="bottom"/>
          </w:tcPr>
          <w:p>
            <w:pPr>
              <w:jc w:val="right"/>
              <w:spacing w:after="0" w:line="178" w:lineRule="exact"/>
              <w:rPr>
                <w:sz w:val="20"/>
                <w:szCs w:val="20"/>
                <w:color w:val="auto"/>
              </w:rPr>
            </w:pPr>
            <w:r>
              <w:rPr>
                <w:rFonts w:ascii="Arial" w:cs="Arial" w:eastAsia="Arial" w:hAnsi="Arial"/>
                <w:sz w:val="16"/>
                <w:szCs w:val="16"/>
                <w:color w:val="auto"/>
              </w:rPr>
              <w:t>28,550</w:t>
            </w:r>
          </w:p>
        </w:tc>
        <w:tc>
          <w:tcPr>
            <w:tcW w:w="1000" w:type="dxa"/>
            <w:vAlign w:val="bottom"/>
            <w:tcBorders>
              <w:right w:val="single" w:sz="8" w:color="auto"/>
            </w:tcBorders>
          </w:tcPr>
          <w:p>
            <w:pPr>
              <w:jc w:val="right"/>
              <w:spacing w:after="0" w:line="178" w:lineRule="exact"/>
              <w:rPr>
                <w:sz w:val="20"/>
                <w:szCs w:val="20"/>
                <w:color w:val="auto"/>
              </w:rPr>
            </w:pPr>
            <w:r>
              <w:rPr>
                <w:rFonts w:ascii="Arial" w:cs="Arial" w:eastAsia="Arial" w:hAnsi="Arial"/>
                <w:sz w:val="16"/>
                <w:szCs w:val="16"/>
                <w:color w:val="auto"/>
              </w:rPr>
              <w:t>25,397</w:t>
            </w:r>
          </w:p>
        </w:tc>
        <w:tc>
          <w:tcPr>
            <w:tcW w:w="780" w:type="dxa"/>
            <w:vAlign w:val="bottom"/>
          </w:tcPr>
          <w:p>
            <w:pPr>
              <w:jc w:val="center"/>
              <w:spacing w:after="0" w:line="178" w:lineRule="exact"/>
              <w:rPr>
                <w:sz w:val="20"/>
                <w:szCs w:val="20"/>
                <w:color w:val="auto"/>
              </w:rPr>
            </w:pPr>
            <w:r>
              <w:rPr>
                <w:rFonts w:ascii="Arial" w:cs="Arial" w:eastAsia="Arial" w:hAnsi="Arial"/>
                <w:sz w:val="16"/>
                <w:szCs w:val="16"/>
                <w:color w:val="auto"/>
              </w:rPr>
              <w:t>-11.0%</w:t>
            </w:r>
          </w:p>
        </w:tc>
        <w:tc>
          <w:tcPr>
            <w:tcW w:w="78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6"/>
                <w:szCs w:val="16"/>
                <w:color w:val="auto"/>
              </w:rPr>
              <w:t>-20.3%</w:t>
            </w:r>
          </w:p>
        </w:tc>
        <w:tc>
          <w:tcPr>
            <w:tcW w:w="1040" w:type="dxa"/>
            <w:vAlign w:val="bottom"/>
          </w:tcPr>
          <w:p>
            <w:pPr>
              <w:jc w:val="right"/>
              <w:spacing w:after="0" w:line="178" w:lineRule="exact"/>
              <w:rPr>
                <w:sz w:val="20"/>
                <w:szCs w:val="20"/>
                <w:color w:val="auto"/>
              </w:rPr>
            </w:pPr>
            <w:r>
              <w:rPr>
                <w:rFonts w:ascii="Arial" w:cs="Arial" w:eastAsia="Arial" w:hAnsi="Arial"/>
                <w:sz w:val="16"/>
                <w:szCs w:val="16"/>
                <w:color w:val="auto"/>
              </w:rPr>
              <w:t>88,061</w:t>
            </w:r>
          </w:p>
        </w:tc>
        <w:tc>
          <w:tcPr>
            <w:tcW w:w="1020" w:type="dxa"/>
            <w:vAlign w:val="bottom"/>
            <w:tcBorders>
              <w:right w:val="single" w:sz="8" w:color="auto"/>
            </w:tcBorders>
          </w:tcPr>
          <w:p>
            <w:pPr>
              <w:jc w:val="right"/>
              <w:spacing w:after="0" w:line="178" w:lineRule="exact"/>
              <w:rPr>
                <w:sz w:val="20"/>
                <w:szCs w:val="20"/>
                <w:color w:val="auto"/>
              </w:rPr>
            </w:pPr>
            <w:r>
              <w:rPr>
                <w:rFonts w:ascii="Arial" w:cs="Arial" w:eastAsia="Arial" w:hAnsi="Arial"/>
                <w:sz w:val="16"/>
                <w:szCs w:val="16"/>
                <w:color w:val="auto"/>
              </w:rPr>
              <w:t>84,007</w:t>
            </w:r>
          </w:p>
        </w:tc>
        <w:tc>
          <w:tcPr>
            <w:tcW w:w="122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193"/>
        </w:trPr>
        <w:tc>
          <w:tcPr>
            <w:tcW w:w="3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Net profit attributable to Credicorp</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1,322,909</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1,401,267</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1,238,173</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rPr>
              <w:t>-11.6%</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-6.4%</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3,637,663</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4,023,713</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10.6%</w:t>
            </w:r>
          </w:p>
        </w:tc>
        <w:tc>
          <w:tcPr>
            <w:tcW w:w="0" w:type="dxa"/>
            <w:vAlign w:val="bottom"/>
          </w:tcPr>
          <w:p>
            <w:pPr>
              <w:spacing w:after="0"/>
              <w:rPr>
                <w:sz w:val="1"/>
                <w:szCs w:val="1"/>
                <w:color w:val="auto"/>
              </w:rPr>
            </w:pPr>
          </w:p>
        </w:tc>
      </w:tr>
      <w:tr>
        <w:trPr>
          <w:trHeight w:val="198"/>
        </w:trPr>
        <w:tc>
          <w:tcPr>
            <w:tcW w:w="3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Net income / share (S/)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15.5</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-11.6%</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-6.4%</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50.4</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165"/>
        </w:trPr>
        <w:tc>
          <w:tcPr>
            <w:tcW w:w="3340" w:type="dxa"/>
            <w:vAlign w:val="bottom"/>
            <w:tcBorders>
              <w:left w:val="single" w:sz="8" w:color="auto"/>
              <w:right w:val="single" w:sz="8" w:color="auto"/>
            </w:tcBorders>
          </w:tcPr>
          <w:p>
            <w:pPr>
              <w:ind w:left="20"/>
              <w:spacing w:after="0" w:line="165" w:lineRule="exact"/>
              <w:rPr>
                <w:sz w:val="20"/>
                <w:szCs w:val="20"/>
                <w:color w:val="auto"/>
              </w:rPr>
            </w:pPr>
            <w:r>
              <w:rPr>
                <w:rFonts w:ascii="Arial" w:cs="Arial" w:eastAsia="Arial" w:hAnsi="Arial"/>
                <w:sz w:val="16"/>
                <w:szCs w:val="16"/>
                <w:color w:val="auto"/>
              </w:rPr>
              <w:t>Loans</w:t>
            </w:r>
          </w:p>
        </w:tc>
        <w:tc>
          <w:tcPr>
            <w:tcW w:w="1040" w:type="dxa"/>
            <w:vAlign w:val="bottom"/>
          </w:tcPr>
          <w:p>
            <w:pPr>
              <w:jc w:val="right"/>
              <w:spacing w:after="0" w:line="165" w:lineRule="exact"/>
              <w:rPr>
                <w:sz w:val="20"/>
                <w:szCs w:val="20"/>
                <w:color w:val="auto"/>
              </w:rPr>
            </w:pPr>
            <w:r>
              <w:rPr>
                <w:rFonts w:ascii="Arial" w:cs="Arial" w:eastAsia="Arial" w:hAnsi="Arial"/>
                <w:sz w:val="16"/>
                <w:szCs w:val="16"/>
                <w:color w:val="auto"/>
              </w:rPr>
              <w:t>151,392,202</w:t>
            </w:r>
          </w:p>
        </w:tc>
        <w:tc>
          <w:tcPr>
            <w:tcW w:w="1040" w:type="dxa"/>
            <w:vAlign w:val="bottom"/>
          </w:tcPr>
          <w:p>
            <w:pPr>
              <w:jc w:val="right"/>
              <w:spacing w:after="0" w:line="165" w:lineRule="exact"/>
              <w:rPr>
                <w:sz w:val="20"/>
                <w:szCs w:val="20"/>
                <w:color w:val="auto"/>
              </w:rPr>
            </w:pPr>
            <w:r>
              <w:rPr>
                <w:rFonts w:ascii="Arial" w:cs="Arial" w:eastAsia="Arial" w:hAnsi="Arial"/>
                <w:sz w:val="16"/>
                <w:szCs w:val="16"/>
                <w:color w:val="auto"/>
              </w:rPr>
              <w:t>142,845,549</w:t>
            </w:r>
          </w:p>
        </w:tc>
        <w:tc>
          <w:tcPr>
            <w:tcW w:w="1000" w:type="dxa"/>
            <w:vAlign w:val="bottom"/>
            <w:tcBorders>
              <w:right w:val="single" w:sz="8" w:color="auto"/>
            </w:tcBorders>
          </w:tcPr>
          <w:p>
            <w:pPr>
              <w:jc w:val="right"/>
              <w:spacing w:after="0" w:line="165" w:lineRule="exact"/>
              <w:rPr>
                <w:sz w:val="20"/>
                <w:szCs w:val="20"/>
                <w:color w:val="auto"/>
              </w:rPr>
            </w:pPr>
            <w:r>
              <w:rPr>
                <w:rFonts w:ascii="Arial" w:cs="Arial" w:eastAsia="Arial" w:hAnsi="Arial"/>
                <w:sz w:val="16"/>
                <w:szCs w:val="16"/>
                <w:color w:val="auto"/>
              </w:rPr>
              <w:t>145,129,260</w:t>
            </w:r>
          </w:p>
        </w:tc>
        <w:tc>
          <w:tcPr>
            <w:tcW w:w="780" w:type="dxa"/>
            <w:vAlign w:val="bottom"/>
          </w:tcPr>
          <w:p>
            <w:pPr>
              <w:jc w:val="center"/>
              <w:spacing w:after="0" w:line="165" w:lineRule="exact"/>
              <w:rPr>
                <w:sz w:val="20"/>
                <w:szCs w:val="20"/>
                <w:color w:val="auto"/>
              </w:rPr>
            </w:pPr>
            <w:r>
              <w:rPr>
                <w:rFonts w:ascii="Arial" w:cs="Arial" w:eastAsia="Arial" w:hAnsi="Arial"/>
                <w:sz w:val="16"/>
                <w:szCs w:val="16"/>
                <w:color w:val="auto"/>
                <w:w w:val="98"/>
              </w:rPr>
              <w:t>1.6%</w:t>
            </w:r>
          </w:p>
        </w:tc>
        <w:tc>
          <w:tcPr>
            <w:tcW w:w="78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6"/>
                <w:szCs w:val="16"/>
                <w:color w:val="auto"/>
              </w:rPr>
              <w:t>-4.1%</w:t>
            </w:r>
          </w:p>
        </w:tc>
        <w:tc>
          <w:tcPr>
            <w:tcW w:w="1040" w:type="dxa"/>
            <w:vAlign w:val="bottom"/>
          </w:tcPr>
          <w:p>
            <w:pPr>
              <w:jc w:val="right"/>
              <w:spacing w:after="0" w:line="165" w:lineRule="exact"/>
              <w:rPr>
                <w:sz w:val="20"/>
                <w:szCs w:val="20"/>
                <w:color w:val="auto"/>
              </w:rPr>
            </w:pPr>
            <w:r>
              <w:rPr>
                <w:rFonts w:ascii="Arial" w:cs="Arial" w:eastAsia="Arial" w:hAnsi="Arial"/>
                <w:sz w:val="16"/>
                <w:szCs w:val="16"/>
                <w:color w:val="auto"/>
              </w:rPr>
              <w:t>151,392,202</w:t>
            </w:r>
          </w:p>
        </w:tc>
        <w:tc>
          <w:tcPr>
            <w:tcW w:w="1020" w:type="dxa"/>
            <w:vAlign w:val="bottom"/>
            <w:tcBorders>
              <w:right w:val="single" w:sz="8" w:color="auto"/>
            </w:tcBorders>
          </w:tcPr>
          <w:p>
            <w:pPr>
              <w:jc w:val="right"/>
              <w:spacing w:after="0" w:line="165" w:lineRule="exact"/>
              <w:rPr>
                <w:sz w:val="20"/>
                <w:szCs w:val="20"/>
                <w:color w:val="auto"/>
              </w:rPr>
            </w:pPr>
            <w:r>
              <w:rPr>
                <w:rFonts w:ascii="Arial" w:cs="Arial" w:eastAsia="Arial" w:hAnsi="Arial"/>
                <w:sz w:val="16"/>
                <w:szCs w:val="16"/>
                <w:color w:val="auto"/>
              </w:rPr>
              <w:t>145,129,260</w:t>
            </w:r>
          </w:p>
        </w:tc>
        <w:tc>
          <w:tcPr>
            <w:tcW w:w="122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185"/>
        </w:trPr>
        <w:tc>
          <w:tcPr>
            <w:tcW w:w="3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Deposits and obligations</w:t>
            </w:r>
          </w:p>
        </w:tc>
        <w:tc>
          <w:tcPr>
            <w:tcW w:w="1040" w:type="dxa"/>
            <w:vAlign w:val="bottom"/>
          </w:tcPr>
          <w:p>
            <w:pPr>
              <w:jc w:val="right"/>
              <w:spacing w:after="0"/>
              <w:rPr>
                <w:sz w:val="20"/>
                <w:szCs w:val="20"/>
                <w:color w:val="auto"/>
              </w:rPr>
            </w:pPr>
            <w:r>
              <w:rPr>
                <w:rFonts w:ascii="Arial" w:cs="Arial" w:eastAsia="Arial" w:hAnsi="Arial"/>
                <w:sz w:val="16"/>
                <w:szCs w:val="16"/>
                <w:color w:val="auto"/>
              </w:rPr>
              <w:t>152,792,014</w:t>
            </w:r>
          </w:p>
        </w:tc>
        <w:tc>
          <w:tcPr>
            <w:tcW w:w="1040" w:type="dxa"/>
            <w:vAlign w:val="bottom"/>
          </w:tcPr>
          <w:p>
            <w:pPr>
              <w:jc w:val="right"/>
              <w:spacing w:after="0"/>
              <w:rPr>
                <w:sz w:val="20"/>
                <w:szCs w:val="20"/>
                <w:color w:val="auto"/>
              </w:rPr>
            </w:pPr>
            <w:r>
              <w:rPr>
                <w:rFonts w:ascii="Arial" w:cs="Arial" w:eastAsia="Arial" w:hAnsi="Arial"/>
                <w:sz w:val="16"/>
                <w:szCs w:val="16"/>
                <w:color w:val="auto"/>
              </w:rPr>
              <w:t>143,387,717</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148,471,535</w:t>
            </w:r>
          </w:p>
        </w:tc>
        <w:tc>
          <w:tcPr>
            <w:tcW w:w="780" w:type="dxa"/>
            <w:vAlign w:val="bottom"/>
          </w:tcPr>
          <w:p>
            <w:pPr>
              <w:jc w:val="center"/>
              <w:spacing w:after="0"/>
              <w:rPr>
                <w:sz w:val="20"/>
                <w:szCs w:val="20"/>
                <w:color w:val="auto"/>
              </w:rPr>
            </w:pPr>
            <w:r>
              <w:rPr>
                <w:rFonts w:ascii="Arial" w:cs="Arial" w:eastAsia="Arial" w:hAnsi="Arial"/>
                <w:sz w:val="16"/>
                <w:szCs w:val="16"/>
                <w:color w:val="auto"/>
                <w:w w:val="98"/>
              </w:rPr>
              <w:t>3.5%</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-2.8%</w:t>
            </w:r>
          </w:p>
        </w:tc>
        <w:tc>
          <w:tcPr>
            <w:tcW w:w="1040" w:type="dxa"/>
            <w:vAlign w:val="bottom"/>
          </w:tcPr>
          <w:p>
            <w:pPr>
              <w:jc w:val="right"/>
              <w:spacing w:after="0"/>
              <w:rPr>
                <w:sz w:val="20"/>
                <w:szCs w:val="20"/>
                <w:color w:val="auto"/>
              </w:rPr>
            </w:pPr>
            <w:r>
              <w:rPr>
                <w:rFonts w:ascii="Arial" w:cs="Arial" w:eastAsia="Arial" w:hAnsi="Arial"/>
                <w:sz w:val="16"/>
                <w:szCs w:val="16"/>
                <w:color w:val="auto"/>
              </w:rPr>
              <w:t>152,792,014</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148,471,535</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198"/>
        </w:trPr>
        <w:tc>
          <w:tcPr>
            <w:tcW w:w="3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Net equity</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27,292,658</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30,027,036</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31,267,592</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4.1%</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14.6%</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27,292,658</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31,267,592</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165"/>
        </w:trPr>
        <w:tc>
          <w:tcPr>
            <w:tcW w:w="3340" w:type="dxa"/>
            <w:vAlign w:val="bottom"/>
            <w:tcBorders>
              <w:left w:val="single" w:sz="8" w:color="auto"/>
              <w:right w:val="single" w:sz="8" w:color="auto"/>
            </w:tcBorders>
          </w:tcPr>
          <w:p>
            <w:pPr>
              <w:ind w:left="20"/>
              <w:spacing w:after="0" w:line="165" w:lineRule="exact"/>
              <w:rPr>
                <w:sz w:val="20"/>
                <w:szCs w:val="20"/>
                <w:color w:val="auto"/>
              </w:rPr>
            </w:pPr>
            <w:r>
              <w:rPr>
                <w:rFonts w:ascii="Arial" w:cs="Arial" w:eastAsia="Arial" w:hAnsi="Arial"/>
                <w:sz w:val="16"/>
                <w:szCs w:val="16"/>
                <w:b w:val="1"/>
                <w:bCs w:val="1"/>
                <w:color w:val="auto"/>
              </w:rPr>
              <w:t>Profitability</w:t>
            </w: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Net interest margin</w:t>
            </w:r>
          </w:p>
        </w:tc>
        <w:tc>
          <w:tcPr>
            <w:tcW w:w="1040" w:type="dxa"/>
            <w:vAlign w:val="bottom"/>
          </w:tcPr>
          <w:p>
            <w:pPr>
              <w:jc w:val="right"/>
              <w:spacing w:after="0"/>
              <w:rPr>
                <w:sz w:val="20"/>
                <w:szCs w:val="20"/>
                <w:color w:val="auto"/>
              </w:rPr>
            </w:pPr>
            <w:r>
              <w:rPr>
                <w:rFonts w:ascii="Arial" w:cs="Arial" w:eastAsia="Arial" w:hAnsi="Arial"/>
                <w:sz w:val="16"/>
                <w:szCs w:val="16"/>
                <w:color w:val="auto"/>
              </w:rPr>
              <w:t>5.33%</w:t>
            </w:r>
          </w:p>
        </w:tc>
        <w:tc>
          <w:tcPr>
            <w:tcW w:w="1040" w:type="dxa"/>
            <w:vAlign w:val="bottom"/>
          </w:tcPr>
          <w:p>
            <w:pPr>
              <w:jc w:val="right"/>
              <w:spacing w:after="0"/>
              <w:rPr>
                <w:sz w:val="20"/>
                <w:szCs w:val="20"/>
                <w:color w:val="auto"/>
              </w:rPr>
            </w:pPr>
            <w:r>
              <w:rPr>
                <w:rFonts w:ascii="Arial" w:cs="Arial" w:eastAsia="Arial" w:hAnsi="Arial"/>
                <w:sz w:val="16"/>
                <w:szCs w:val="16"/>
                <w:color w:val="auto"/>
              </w:rPr>
              <w:t>6.02%</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6.11%</w:t>
            </w:r>
          </w:p>
        </w:tc>
        <w:tc>
          <w:tcPr>
            <w:tcW w:w="780" w:type="dxa"/>
            <w:vAlign w:val="bottom"/>
          </w:tcPr>
          <w:p>
            <w:pPr>
              <w:jc w:val="center"/>
              <w:spacing w:after="0"/>
              <w:rPr>
                <w:sz w:val="20"/>
                <w:szCs w:val="20"/>
                <w:color w:val="auto"/>
              </w:rPr>
            </w:pPr>
            <w:r>
              <w:rPr>
                <w:rFonts w:ascii="Arial" w:cs="Arial" w:eastAsia="Arial" w:hAnsi="Arial"/>
                <w:sz w:val="16"/>
                <w:szCs w:val="16"/>
                <w:color w:val="auto"/>
              </w:rPr>
              <w:t>9 bps</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78 bps</w:t>
            </w:r>
          </w:p>
        </w:tc>
        <w:tc>
          <w:tcPr>
            <w:tcW w:w="1040" w:type="dxa"/>
            <w:vAlign w:val="bottom"/>
          </w:tcPr>
          <w:p>
            <w:pPr>
              <w:jc w:val="right"/>
              <w:spacing w:after="0"/>
              <w:rPr>
                <w:sz w:val="20"/>
                <w:szCs w:val="20"/>
                <w:color w:val="auto"/>
              </w:rPr>
            </w:pPr>
            <w:r>
              <w:rPr>
                <w:rFonts w:ascii="Arial" w:cs="Arial" w:eastAsia="Arial" w:hAnsi="Arial"/>
                <w:sz w:val="16"/>
                <w:szCs w:val="16"/>
                <w:color w:val="auto"/>
              </w:rPr>
              <w:t>4.80%</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5.96%</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116 bps</w:t>
            </w:r>
          </w:p>
        </w:tc>
        <w:tc>
          <w:tcPr>
            <w:tcW w:w="0" w:type="dxa"/>
            <w:vAlign w:val="bottom"/>
          </w:tcPr>
          <w:p>
            <w:pPr>
              <w:spacing w:after="0"/>
              <w:rPr>
                <w:sz w:val="1"/>
                <w:szCs w:val="1"/>
                <w:color w:val="auto"/>
              </w:rPr>
            </w:pPr>
          </w:p>
        </w:tc>
      </w:tr>
      <w:tr>
        <w:trPr>
          <w:trHeight w:val="185"/>
        </w:trPr>
        <w:tc>
          <w:tcPr>
            <w:tcW w:w="3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Risk-adjusted Net interest margin</w:t>
            </w:r>
          </w:p>
        </w:tc>
        <w:tc>
          <w:tcPr>
            <w:tcW w:w="1040" w:type="dxa"/>
            <w:vAlign w:val="bottom"/>
          </w:tcPr>
          <w:p>
            <w:pPr>
              <w:jc w:val="right"/>
              <w:spacing w:after="0"/>
              <w:rPr>
                <w:sz w:val="20"/>
                <w:szCs w:val="20"/>
                <w:color w:val="auto"/>
              </w:rPr>
            </w:pPr>
            <w:r>
              <w:rPr>
                <w:rFonts w:ascii="Arial" w:cs="Arial" w:eastAsia="Arial" w:hAnsi="Arial"/>
                <w:sz w:val="16"/>
                <w:szCs w:val="16"/>
                <w:color w:val="auto"/>
              </w:rPr>
              <w:t>4.51%</w:t>
            </w:r>
          </w:p>
        </w:tc>
        <w:tc>
          <w:tcPr>
            <w:tcW w:w="1040" w:type="dxa"/>
            <w:vAlign w:val="bottom"/>
          </w:tcPr>
          <w:p>
            <w:pPr>
              <w:jc w:val="right"/>
              <w:spacing w:after="0"/>
              <w:rPr>
                <w:sz w:val="20"/>
                <w:szCs w:val="20"/>
                <w:color w:val="auto"/>
              </w:rPr>
            </w:pPr>
            <w:r>
              <w:rPr>
                <w:rFonts w:ascii="Arial" w:cs="Arial" w:eastAsia="Arial" w:hAnsi="Arial"/>
                <w:sz w:val="16"/>
                <w:szCs w:val="16"/>
                <w:color w:val="auto"/>
              </w:rPr>
              <w:t>4.56%</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4.45%</w:t>
            </w:r>
          </w:p>
        </w:tc>
        <w:tc>
          <w:tcPr>
            <w:tcW w:w="780" w:type="dxa"/>
            <w:vAlign w:val="bottom"/>
          </w:tcPr>
          <w:p>
            <w:pPr>
              <w:jc w:val="center"/>
              <w:spacing w:after="0"/>
              <w:rPr>
                <w:sz w:val="20"/>
                <w:szCs w:val="20"/>
                <w:color w:val="auto"/>
              </w:rPr>
            </w:pPr>
            <w:r>
              <w:rPr>
                <w:rFonts w:ascii="Arial" w:cs="Arial" w:eastAsia="Arial" w:hAnsi="Arial"/>
                <w:sz w:val="16"/>
                <w:szCs w:val="16"/>
                <w:color w:val="auto"/>
              </w:rPr>
              <w:t>-11 bps</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-6 bps</w:t>
            </w:r>
          </w:p>
        </w:tc>
        <w:tc>
          <w:tcPr>
            <w:tcW w:w="1040" w:type="dxa"/>
            <w:vAlign w:val="bottom"/>
          </w:tcPr>
          <w:p>
            <w:pPr>
              <w:jc w:val="right"/>
              <w:spacing w:after="0"/>
              <w:rPr>
                <w:sz w:val="20"/>
                <w:szCs w:val="20"/>
                <w:color w:val="auto"/>
              </w:rPr>
            </w:pPr>
            <w:r>
              <w:rPr>
                <w:rFonts w:ascii="Arial" w:cs="Arial" w:eastAsia="Arial" w:hAnsi="Arial"/>
                <w:sz w:val="16"/>
                <w:szCs w:val="16"/>
                <w:color w:val="auto"/>
              </w:rPr>
              <w:t>4.17%</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4.49%</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32 bps</w:t>
            </w:r>
          </w:p>
        </w:tc>
        <w:tc>
          <w:tcPr>
            <w:tcW w:w="0" w:type="dxa"/>
            <w:vAlign w:val="bottom"/>
          </w:tcPr>
          <w:p>
            <w:pPr>
              <w:spacing w:after="0"/>
              <w:rPr>
                <w:sz w:val="1"/>
                <w:szCs w:val="1"/>
                <w:color w:val="auto"/>
              </w:rPr>
            </w:pPr>
          </w:p>
        </w:tc>
      </w:tr>
      <w:tr>
        <w:trPr>
          <w:trHeight w:val="185"/>
        </w:trPr>
        <w:tc>
          <w:tcPr>
            <w:tcW w:w="3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Funding cost</w:t>
            </w:r>
          </w:p>
        </w:tc>
        <w:tc>
          <w:tcPr>
            <w:tcW w:w="1040" w:type="dxa"/>
            <w:vAlign w:val="bottom"/>
          </w:tcPr>
          <w:p>
            <w:pPr>
              <w:jc w:val="right"/>
              <w:spacing w:after="0"/>
              <w:rPr>
                <w:sz w:val="20"/>
                <w:szCs w:val="20"/>
                <w:color w:val="auto"/>
              </w:rPr>
            </w:pPr>
            <w:r>
              <w:rPr>
                <w:rFonts w:ascii="Arial" w:cs="Arial" w:eastAsia="Arial" w:hAnsi="Arial"/>
                <w:sz w:val="16"/>
                <w:szCs w:val="16"/>
                <w:color w:val="auto"/>
              </w:rPr>
              <w:t>2.06%</w:t>
            </w:r>
          </w:p>
        </w:tc>
        <w:tc>
          <w:tcPr>
            <w:tcW w:w="1040" w:type="dxa"/>
            <w:vAlign w:val="bottom"/>
          </w:tcPr>
          <w:p>
            <w:pPr>
              <w:jc w:val="right"/>
              <w:spacing w:after="0"/>
              <w:rPr>
                <w:sz w:val="20"/>
                <w:szCs w:val="20"/>
                <w:color w:val="auto"/>
              </w:rPr>
            </w:pPr>
            <w:r>
              <w:rPr>
                <w:rFonts w:ascii="Arial" w:cs="Arial" w:eastAsia="Arial" w:hAnsi="Arial"/>
                <w:sz w:val="16"/>
                <w:szCs w:val="16"/>
                <w:color w:val="auto"/>
              </w:rPr>
              <w:t>2.91%</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3.15%</w:t>
            </w:r>
          </w:p>
        </w:tc>
        <w:tc>
          <w:tcPr>
            <w:tcW w:w="780" w:type="dxa"/>
            <w:vAlign w:val="bottom"/>
          </w:tcPr>
          <w:p>
            <w:pPr>
              <w:jc w:val="center"/>
              <w:spacing w:after="0"/>
              <w:rPr>
                <w:sz w:val="20"/>
                <w:szCs w:val="20"/>
                <w:color w:val="auto"/>
              </w:rPr>
            </w:pPr>
            <w:r>
              <w:rPr>
                <w:rFonts w:ascii="Arial" w:cs="Arial" w:eastAsia="Arial" w:hAnsi="Arial"/>
                <w:sz w:val="16"/>
                <w:szCs w:val="16"/>
                <w:color w:val="auto"/>
                <w:w w:val="99"/>
              </w:rPr>
              <w:t>24 bps</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109 bps</w:t>
            </w:r>
          </w:p>
        </w:tc>
        <w:tc>
          <w:tcPr>
            <w:tcW w:w="1040" w:type="dxa"/>
            <w:vAlign w:val="bottom"/>
          </w:tcPr>
          <w:p>
            <w:pPr>
              <w:jc w:val="right"/>
              <w:spacing w:after="0"/>
              <w:rPr>
                <w:sz w:val="20"/>
                <w:szCs w:val="20"/>
                <w:color w:val="auto"/>
              </w:rPr>
            </w:pPr>
            <w:r>
              <w:rPr>
                <w:rFonts w:ascii="Arial" w:cs="Arial" w:eastAsia="Arial" w:hAnsi="Arial"/>
                <w:sz w:val="16"/>
                <w:szCs w:val="16"/>
                <w:color w:val="auto"/>
              </w:rPr>
              <w:t>1.61%</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2.86%</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125 bps</w:t>
            </w:r>
          </w:p>
        </w:tc>
        <w:tc>
          <w:tcPr>
            <w:tcW w:w="0" w:type="dxa"/>
            <w:vAlign w:val="bottom"/>
          </w:tcPr>
          <w:p>
            <w:pPr>
              <w:spacing w:after="0"/>
              <w:rPr>
                <w:sz w:val="1"/>
                <w:szCs w:val="1"/>
                <w:color w:val="auto"/>
              </w:rPr>
            </w:pPr>
          </w:p>
        </w:tc>
      </w:tr>
      <w:tr>
        <w:trPr>
          <w:trHeight w:val="185"/>
        </w:trPr>
        <w:tc>
          <w:tcPr>
            <w:tcW w:w="3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ROAE</w:t>
            </w:r>
          </w:p>
        </w:tc>
        <w:tc>
          <w:tcPr>
            <w:tcW w:w="1040" w:type="dxa"/>
            <w:vAlign w:val="bottom"/>
          </w:tcPr>
          <w:p>
            <w:pPr>
              <w:jc w:val="right"/>
              <w:spacing w:after="0"/>
              <w:rPr>
                <w:sz w:val="20"/>
                <w:szCs w:val="20"/>
                <w:color w:val="auto"/>
              </w:rPr>
            </w:pPr>
            <w:r>
              <w:rPr>
                <w:rFonts w:ascii="Arial" w:cs="Arial" w:eastAsia="Arial" w:hAnsi="Arial"/>
                <w:sz w:val="16"/>
                <w:szCs w:val="16"/>
                <w:color w:val="auto"/>
              </w:rPr>
              <w:t>19.8%</w:t>
            </w:r>
          </w:p>
        </w:tc>
        <w:tc>
          <w:tcPr>
            <w:tcW w:w="1040" w:type="dxa"/>
            <w:vAlign w:val="bottom"/>
          </w:tcPr>
          <w:p>
            <w:pPr>
              <w:jc w:val="right"/>
              <w:spacing w:after="0"/>
              <w:rPr>
                <w:sz w:val="20"/>
                <w:szCs w:val="20"/>
                <w:color w:val="auto"/>
              </w:rPr>
            </w:pPr>
            <w:r>
              <w:rPr>
                <w:rFonts w:ascii="Arial" w:cs="Arial" w:eastAsia="Arial" w:hAnsi="Arial"/>
                <w:sz w:val="16"/>
                <w:szCs w:val="16"/>
                <w:color w:val="auto"/>
              </w:rPr>
              <w:t>18.6%</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16.2%</w:t>
            </w:r>
          </w:p>
        </w:tc>
        <w:tc>
          <w:tcPr>
            <w:tcW w:w="780" w:type="dxa"/>
            <w:vAlign w:val="bottom"/>
          </w:tcPr>
          <w:p>
            <w:pPr>
              <w:jc w:val="center"/>
              <w:spacing w:after="0"/>
              <w:rPr>
                <w:sz w:val="20"/>
                <w:szCs w:val="20"/>
                <w:color w:val="auto"/>
              </w:rPr>
            </w:pPr>
            <w:r>
              <w:rPr>
                <w:rFonts w:ascii="Arial" w:cs="Arial" w:eastAsia="Arial" w:hAnsi="Arial"/>
                <w:sz w:val="16"/>
                <w:szCs w:val="16"/>
                <w:color w:val="auto"/>
              </w:rPr>
              <w:t>-240 bps</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-360 bps</w:t>
            </w:r>
          </w:p>
        </w:tc>
        <w:tc>
          <w:tcPr>
            <w:tcW w:w="1040" w:type="dxa"/>
            <w:vAlign w:val="bottom"/>
          </w:tcPr>
          <w:p>
            <w:pPr>
              <w:jc w:val="right"/>
              <w:spacing w:after="0"/>
              <w:rPr>
                <w:sz w:val="20"/>
                <w:szCs w:val="20"/>
                <w:color w:val="auto"/>
              </w:rPr>
            </w:pPr>
            <w:r>
              <w:rPr>
                <w:rFonts w:ascii="Arial" w:cs="Arial" w:eastAsia="Arial" w:hAnsi="Arial"/>
                <w:sz w:val="16"/>
                <w:szCs w:val="16"/>
                <w:color w:val="auto"/>
              </w:rPr>
              <w:t>18.0%</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17.8%</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-20 bps</w:t>
            </w:r>
          </w:p>
        </w:tc>
        <w:tc>
          <w:tcPr>
            <w:tcW w:w="0" w:type="dxa"/>
            <w:vAlign w:val="bottom"/>
          </w:tcPr>
          <w:p>
            <w:pPr>
              <w:spacing w:after="0"/>
              <w:rPr>
                <w:sz w:val="1"/>
                <w:szCs w:val="1"/>
                <w:color w:val="auto"/>
              </w:rPr>
            </w:pPr>
          </w:p>
        </w:tc>
      </w:tr>
      <w:tr>
        <w:trPr>
          <w:trHeight w:val="198"/>
        </w:trPr>
        <w:tc>
          <w:tcPr>
            <w:tcW w:w="3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ROAA</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-30 bps</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-10 bps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20 bps</w:t>
            </w:r>
          </w:p>
        </w:tc>
        <w:tc>
          <w:tcPr>
            <w:tcW w:w="0" w:type="dxa"/>
            <w:vAlign w:val="bottom"/>
          </w:tcPr>
          <w:p>
            <w:pPr>
              <w:spacing w:after="0"/>
              <w:rPr>
                <w:sz w:val="1"/>
                <w:szCs w:val="1"/>
                <w:color w:val="auto"/>
              </w:rPr>
            </w:pPr>
          </w:p>
        </w:tc>
      </w:tr>
      <w:tr>
        <w:trPr>
          <w:trHeight w:val="155"/>
        </w:trPr>
        <w:tc>
          <w:tcPr>
            <w:tcW w:w="3340" w:type="dxa"/>
            <w:vAlign w:val="bottom"/>
            <w:tcBorders>
              <w:left w:val="single" w:sz="8" w:color="auto"/>
              <w:right w:val="single" w:sz="8" w:color="auto"/>
            </w:tcBorders>
          </w:tcPr>
          <w:p>
            <w:pPr>
              <w:ind w:left="20"/>
              <w:spacing w:after="0" w:line="155" w:lineRule="exact"/>
              <w:rPr>
                <w:sz w:val="20"/>
                <w:szCs w:val="20"/>
                <w:color w:val="auto"/>
              </w:rPr>
            </w:pPr>
            <w:r>
              <w:rPr>
                <w:rFonts w:ascii="Arial" w:cs="Arial" w:eastAsia="Arial" w:hAnsi="Arial"/>
                <w:sz w:val="16"/>
                <w:szCs w:val="16"/>
                <w:b w:val="1"/>
                <w:bCs w:val="1"/>
                <w:color w:val="auto"/>
              </w:rPr>
              <w:t>Loan portfolio quality</w:t>
            </w: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104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34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4"/>
                <w:szCs w:val="14"/>
                <w:color w:val="auto"/>
              </w:rPr>
              <w:t xml:space="preserve">Internal overdue ratio </w:t>
            </w:r>
            <w:r>
              <w:rPr>
                <w:rFonts w:ascii="Arial" w:cs="Arial" w:eastAsia="Arial" w:hAnsi="Arial"/>
                <w:sz w:val="22"/>
                <w:szCs w:val="22"/>
                <w:color w:val="auto"/>
                <w:vertAlign w:val="superscript"/>
              </w:rPr>
              <w:t>(1)</w:t>
            </w:r>
          </w:p>
        </w:tc>
        <w:tc>
          <w:tcPr>
            <w:tcW w:w="1040" w:type="dxa"/>
            <w:vAlign w:val="bottom"/>
          </w:tcPr>
          <w:p>
            <w:pPr>
              <w:jc w:val="right"/>
              <w:spacing w:after="0"/>
              <w:rPr>
                <w:sz w:val="20"/>
                <w:szCs w:val="20"/>
                <w:color w:val="auto"/>
              </w:rPr>
            </w:pPr>
            <w:r>
              <w:rPr>
                <w:rFonts w:ascii="Arial" w:cs="Arial" w:eastAsia="Arial" w:hAnsi="Arial"/>
                <w:sz w:val="16"/>
                <w:szCs w:val="16"/>
                <w:color w:val="auto"/>
              </w:rPr>
              <w:t>4.1%</w:t>
            </w:r>
          </w:p>
        </w:tc>
        <w:tc>
          <w:tcPr>
            <w:tcW w:w="1040" w:type="dxa"/>
            <w:vAlign w:val="bottom"/>
          </w:tcPr>
          <w:p>
            <w:pPr>
              <w:jc w:val="right"/>
              <w:spacing w:after="0"/>
              <w:rPr>
                <w:sz w:val="20"/>
                <w:szCs w:val="20"/>
                <w:color w:val="auto"/>
              </w:rPr>
            </w:pPr>
            <w:r>
              <w:rPr>
                <w:rFonts w:ascii="Arial" w:cs="Arial" w:eastAsia="Arial" w:hAnsi="Arial"/>
                <w:sz w:val="16"/>
                <w:szCs w:val="16"/>
                <w:color w:val="auto"/>
              </w:rPr>
              <w:t>4.2%</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780" w:type="dxa"/>
            <w:vAlign w:val="bottom"/>
          </w:tcPr>
          <w:p>
            <w:pPr>
              <w:jc w:val="center"/>
              <w:spacing w:after="0"/>
              <w:rPr>
                <w:sz w:val="20"/>
                <w:szCs w:val="20"/>
                <w:color w:val="auto"/>
              </w:rPr>
            </w:pPr>
            <w:r>
              <w:rPr>
                <w:rFonts w:ascii="Arial" w:cs="Arial" w:eastAsia="Arial" w:hAnsi="Arial"/>
                <w:sz w:val="16"/>
                <w:szCs w:val="16"/>
                <w:color w:val="auto"/>
                <w:w w:val="99"/>
              </w:rPr>
              <w:t>22 bps</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28 bps</w:t>
            </w:r>
          </w:p>
        </w:tc>
        <w:tc>
          <w:tcPr>
            <w:tcW w:w="1040" w:type="dxa"/>
            <w:vAlign w:val="bottom"/>
          </w:tcPr>
          <w:p>
            <w:pPr>
              <w:jc w:val="right"/>
              <w:spacing w:after="0"/>
              <w:rPr>
                <w:sz w:val="20"/>
                <w:szCs w:val="20"/>
                <w:color w:val="auto"/>
              </w:rPr>
            </w:pPr>
            <w:r>
              <w:rPr>
                <w:rFonts w:ascii="Arial" w:cs="Arial" w:eastAsia="Arial" w:hAnsi="Arial"/>
                <w:sz w:val="16"/>
                <w:szCs w:val="16"/>
                <w:color w:val="auto"/>
              </w:rPr>
              <w:t>4.1%</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4.4%</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28 bps</w:t>
            </w:r>
          </w:p>
        </w:tc>
        <w:tc>
          <w:tcPr>
            <w:tcW w:w="0" w:type="dxa"/>
            <w:vAlign w:val="bottom"/>
          </w:tcPr>
          <w:p>
            <w:pPr>
              <w:spacing w:after="0"/>
              <w:rPr>
                <w:sz w:val="1"/>
                <w:szCs w:val="1"/>
                <w:color w:val="auto"/>
              </w:rPr>
            </w:pPr>
          </w:p>
        </w:tc>
      </w:tr>
      <w:tr>
        <w:trPr>
          <w:trHeight w:val="175"/>
        </w:trPr>
        <w:tc>
          <w:tcPr>
            <w:tcW w:w="3340" w:type="dxa"/>
            <w:vAlign w:val="bottom"/>
            <w:tcBorders>
              <w:left w:val="single" w:sz="8" w:color="auto"/>
              <w:right w:val="single" w:sz="8" w:color="auto"/>
            </w:tcBorders>
          </w:tcPr>
          <w:p>
            <w:pPr>
              <w:ind w:left="20"/>
              <w:spacing w:after="0" w:line="175" w:lineRule="exact"/>
              <w:rPr>
                <w:sz w:val="20"/>
                <w:szCs w:val="20"/>
                <w:color w:val="auto"/>
              </w:rPr>
            </w:pPr>
            <w:r>
              <w:rPr>
                <w:rFonts w:ascii="Arial" w:cs="Arial" w:eastAsia="Arial" w:hAnsi="Arial"/>
                <w:sz w:val="16"/>
                <w:szCs w:val="16"/>
                <w:color w:val="auto"/>
              </w:rPr>
              <w:t>Internal overdue ratio over 90 days</w:t>
            </w: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3.1%</w:t>
            </w: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3.4%</w:t>
            </w:r>
          </w:p>
        </w:tc>
        <w:tc>
          <w:tcPr>
            <w:tcW w:w="1000" w:type="dxa"/>
            <w:vAlign w:val="bottom"/>
            <w:tcBorders>
              <w:right w:val="single" w:sz="8" w:color="auto"/>
            </w:tcBorders>
          </w:tcPr>
          <w:p>
            <w:pPr>
              <w:jc w:val="right"/>
              <w:spacing w:after="0" w:line="175" w:lineRule="exact"/>
              <w:rPr>
                <w:sz w:val="20"/>
                <w:szCs w:val="20"/>
                <w:color w:val="auto"/>
              </w:rPr>
            </w:pPr>
            <w:r>
              <w:rPr>
                <w:rFonts w:ascii="Arial" w:cs="Arial" w:eastAsia="Arial" w:hAnsi="Arial"/>
                <w:sz w:val="16"/>
                <w:szCs w:val="16"/>
                <w:color w:val="auto"/>
              </w:rPr>
              <w:t>3.5%</w:t>
            </w:r>
          </w:p>
        </w:tc>
        <w:tc>
          <w:tcPr>
            <w:tcW w:w="780" w:type="dxa"/>
            <w:vAlign w:val="bottom"/>
          </w:tcPr>
          <w:p>
            <w:pPr>
              <w:jc w:val="center"/>
              <w:spacing w:after="0" w:line="175" w:lineRule="exact"/>
              <w:rPr>
                <w:sz w:val="20"/>
                <w:szCs w:val="20"/>
                <w:color w:val="auto"/>
              </w:rPr>
            </w:pPr>
            <w:r>
              <w:rPr>
                <w:rFonts w:ascii="Arial" w:cs="Arial" w:eastAsia="Arial" w:hAnsi="Arial"/>
                <w:sz w:val="16"/>
                <w:szCs w:val="16"/>
                <w:color w:val="auto"/>
                <w:w w:val="99"/>
              </w:rPr>
              <w:t>14 bps</w:t>
            </w:r>
          </w:p>
        </w:tc>
        <w:tc>
          <w:tcPr>
            <w:tcW w:w="780" w:type="dxa"/>
            <w:vAlign w:val="bottom"/>
            <w:tcBorders>
              <w:right w:val="single" w:sz="8" w:color="auto"/>
            </w:tcBorders>
          </w:tcPr>
          <w:p>
            <w:pPr>
              <w:jc w:val="center"/>
              <w:spacing w:after="0" w:line="175" w:lineRule="exact"/>
              <w:rPr>
                <w:sz w:val="20"/>
                <w:szCs w:val="20"/>
                <w:color w:val="auto"/>
              </w:rPr>
            </w:pPr>
            <w:r>
              <w:rPr>
                <w:rFonts w:ascii="Arial" w:cs="Arial" w:eastAsia="Arial" w:hAnsi="Arial"/>
                <w:sz w:val="16"/>
                <w:szCs w:val="16"/>
                <w:color w:val="auto"/>
              </w:rPr>
              <w:t>46 bps</w:t>
            </w: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3.1%</w:t>
            </w:r>
          </w:p>
        </w:tc>
        <w:tc>
          <w:tcPr>
            <w:tcW w:w="1020" w:type="dxa"/>
            <w:vAlign w:val="bottom"/>
            <w:tcBorders>
              <w:right w:val="single" w:sz="8" w:color="auto"/>
            </w:tcBorders>
          </w:tcPr>
          <w:p>
            <w:pPr>
              <w:jc w:val="right"/>
              <w:spacing w:after="0" w:line="175" w:lineRule="exact"/>
              <w:rPr>
                <w:sz w:val="20"/>
                <w:szCs w:val="20"/>
                <w:color w:val="auto"/>
              </w:rPr>
            </w:pPr>
            <w:r>
              <w:rPr>
                <w:rFonts w:ascii="Arial" w:cs="Arial" w:eastAsia="Arial" w:hAnsi="Arial"/>
                <w:sz w:val="16"/>
                <w:szCs w:val="16"/>
                <w:color w:val="auto"/>
              </w:rPr>
              <w:t>3.5%</w:t>
            </w:r>
          </w:p>
        </w:tc>
        <w:tc>
          <w:tcPr>
            <w:tcW w:w="1220" w:type="dxa"/>
            <w:vAlign w:val="bottom"/>
            <w:tcBorders>
              <w:right w:val="single" w:sz="8" w:color="auto"/>
            </w:tcBorders>
          </w:tcPr>
          <w:p>
            <w:pPr>
              <w:jc w:val="center"/>
              <w:spacing w:after="0" w:line="175" w:lineRule="exact"/>
              <w:rPr>
                <w:sz w:val="20"/>
                <w:szCs w:val="20"/>
                <w:color w:val="auto"/>
              </w:rPr>
            </w:pPr>
            <w:r>
              <w:rPr>
                <w:rFonts w:ascii="Arial" w:cs="Arial" w:eastAsia="Arial" w:hAnsi="Arial"/>
                <w:sz w:val="16"/>
                <w:szCs w:val="16"/>
                <w:color w:val="auto"/>
              </w:rPr>
              <w:t>46 bps</w:t>
            </w:r>
          </w:p>
        </w:tc>
        <w:tc>
          <w:tcPr>
            <w:tcW w:w="0" w:type="dxa"/>
            <w:vAlign w:val="bottom"/>
          </w:tcPr>
          <w:p>
            <w:pPr>
              <w:spacing w:after="0"/>
              <w:rPr>
                <w:sz w:val="1"/>
                <w:szCs w:val="1"/>
                <w:color w:val="auto"/>
              </w:rPr>
            </w:pPr>
          </w:p>
        </w:tc>
      </w:tr>
      <w:tr>
        <w:trPr>
          <w:trHeight w:val="185"/>
        </w:trPr>
        <w:tc>
          <w:tcPr>
            <w:tcW w:w="3340" w:type="dxa"/>
            <w:vAlign w:val="bottom"/>
            <w:tcBorders>
              <w:left w:val="single" w:sz="8" w:color="auto"/>
              <w:right w:val="single" w:sz="8" w:color="auto"/>
            </w:tcBorders>
          </w:tcPr>
          <w:p>
            <w:pPr>
              <w:ind w:left="20"/>
              <w:spacing w:after="0" w:line="186" w:lineRule="exact"/>
              <w:rPr>
                <w:sz w:val="20"/>
                <w:szCs w:val="20"/>
                <w:color w:val="auto"/>
              </w:rPr>
            </w:pPr>
            <w:r>
              <w:rPr>
                <w:rFonts w:ascii="Arial" w:cs="Arial" w:eastAsia="Arial" w:hAnsi="Arial"/>
                <w:sz w:val="13"/>
                <w:szCs w:val="13"/>
                <w:color w:val="auto"/>
              </w:rPr>
              <w:t xml:space="preserve">NPL ratio </w:t>
            </w:r>
            <w:r>
              <w:rPr>
                <w:rFonts w:ascii="Arial" w:cs="Arial" w:eastAsia="Arial" w:hAnsi="Arial"/>
                <w:sz w:val="21"/>
                <w:szCs w:val="21"/>
                <w:color w:val="auto"/>
                <w:vertAlign w:val="superscript"/>
              </w:rPr>
              <w:t>(2)</w:t>
            </w:r>
          </w:p>
        </w:tc>
        <w:tc>
          <w:tcPr>
            <w:tcW w:w="1040" w:type="dxa"/>
            <w:vAlign w:val="bottom"/>
          </w:tcPr>
          <w:p>
            <w:pPr>
              <w:jc w:val="right"/>
              <w:spacing w:after="0"/>
              <w:rPr>
                <w:sz w:val="20"/>
                <w:szCs w:val="20"/>
                <w:color w:val="auto"/>
              </w:rPr>
            </w:pPr>
            <w:r>
              <w:rPr>
                <w:rFonts w:ascii="Arial" w:cs="Arial" w:eastAsia="Arial" w:hAnsi="Arial"/>
                <w:sz w:val="16"/>
                <w:szCs w:val="16"/>
                <w:color w:val="auto"/>
              </w:rPr>
              <w:t>5.3%</w:t>
            </w:r>
          </w:p>
        </w:tc>
        <w:tc>
          <w:tcPr>
            <w:tcW w:w="1040" w:type="dxa"/>
            <w:vAlign w:val="bottom"/>
          </w:tcPr>
          <w:p>
            <w:pPr>
              <w:jc w:val="right"/>
              <w:spacing w:after="0"/>
              <w:rPr>
                <w:sz w:val="20"/>
                <w:szCs w:val="20"/>
                <w:color w:val="auto"/>
              </w:rPr>
            </w:pPr>
            <w:r>
              <w:rPr>
                <w:rFonts w:ascii="Arial" w:cs="Arial" w:eastAsia="Arial" w:hAnsi="Arial"/>
                <w:sz w:val="16"/>
                <w:szCs w:val="16"/>
                <w:color w:val="auto"/>
              </w:rPr>
              <w:t>5.6%</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780" w:type="dxa"/>
            <w:vAlign w:val="bottom"/>
          </w:tcPr>
          <w:p>
            <w:pPr>
              <w:jc w:val="center"/>
              <w:spacing w:after="0"/>
              <w:rPr>
                <w:sz w:val="20"/>
                <w:szCs w:val="20"/>
                <w:color w:val="auto"/>
              </w:rPr>
            </w:pPr>
            <w:r>
              <w:rPr>
                <w:rFonts w:ascii="Arial" w:cs="Arial" w:eastAsia="Arial" w:hAnsi="Arial"/>
                <w:sz w:val="16"/>
                <w:szCs w:val="16"/>
                <w:color w:val="auto"/>
                <w:w w:val="99"/>
              </w:rPr>
              <w:t>33 bps</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65 bps</w:t>
            </w:r>
          </w:p>
        </w:tc>
        <w:tc>
          <w:tcPr>
            <w:tcW w:w="1040" w:type="dxa"/>
            <w:vAlign w:val="bottom"/>
          </w:tcPr>
          <w:p>
            <w:pPr>
              <w:jc w:val="right"/>
              <w:spacing w:after="0"/>
              <w:rPr>
                <w:sz w:val="20"/>
                <w:szCs w:val="20"/>
                <w:color w:val="auto"/>
              </w:rPr>
            </w:pPr>
            <w:r>
              <w:rPr>
                <w:rFonts w:ascii="Arial" w:cs="Arial" w:eastAsia="Arial" w:hAnsi="Arial"/>
                <w:sz w:val="16"/>
                <w:szCs w:val="16"/>
                <w:color w:val="auto"/>
              </w:rPr>
              <w:t>5.3%</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65 bps</w:t>
            </w:r>
          </w:p>
        </w:tc>
        <w:tc>
          <w:tcPr>
            <w:tcW w:w="0" w:type="dxa"/>
            <w:vAlign w:val="bottom"/>
          </w:tcPr>
          <w:p>
            <w:pPr>
              <w:spacing w:after="0"/>
              <w:rPr>
                <w:sz w:val="1"/>
                <w:szCs w:val="1"/>
                <w:color w:val="auto"/>
              </w:rPr>
            </w:pPr>
          </w:p>
        </w:tc>
      </w:tr>
      <w:tr>
        <w:trPr>
          <w:trHeight w:val="196"/>
        </w:trPr>
        <w:tc>
          <w:tcPr>
            <w:tcW w:w="334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4"/>
                <w:szCs w:val="14"/>
                <w:color w:val="auto"/>
              </w:rPr>
              <w:t xml:space="preserve">Cost of risk </w:t>
            </w:r>
            <w:r>
              <w:rPr>
                <w:rFonts w:ascii="Arial" w:cs="Arial" w:eastAsia="Arial" w:hAnsi="Arial"/>
                <w:sz w:val="22"/>
                <w:szCs w:val="22"/>
                <w:color w:val="auto"/>
                <w:vertAlign w:val="superscript"/>
              </w:rPr>
              <w:t>(3)</w:t>
            </w:r>
          </w:p>
        </w:tc>
        <w:tc>
          <w:tcPr>
            <w:tcW w:w="1040" w:type="dxa"/>
            <w:vAlign w:val="bottom"/>
          </w:tcPr>
          <w:p>
            <w:pPr>
              <w:jc w:val="right"/>
              <w:spacing w:after="0"/>
              <w:rPr>
                <w:sz w:val="20"/>
                <w:szCs w:val="20"/>
                <w:color w:val="auto"/>
              </w:rPr>
            </w:pPr>
            <w:r>
              <w:rPr>
                <w:rFonts w:ascii="Arial" w:cs="Arial" w:eastAsia="Arial" w:hAnsi="Arial"/>
                <w:sz w:val="16"/>
                <w:szCs w:val="16"/>
                <w:color w:val="auto"/>
              </w:rPr>
              <w:t>1.2%</w:t>
            </w:r>
          </w:p>
        </w:tc>
        <w:tc>
          <w:tcPr>
            <w:tcW w:w="1040" w:type="dxa"/>
            <w:vAlign w:val="bottom"/>
          </w:tcPr>
          <w:p>
            <w:pPr>
              <w:jc w:val="right"/>
              <w:spacing w:after="0"/>
              <w:rPr>
                <w:sz w:val="20"/>
                <w:szCs w:val="20"/>
                <w:color w:val="auto"/>
              </w:rPr>
            </w:pPr>
            <w:r>
              <w:rPr>
                <w:rFonts w:ascii="Arial" w:cs="Arial" w:eastAsia="Arial" w:hAnsi="Arial"/>
                <w:sz w:val="16"/>
                <w:szCs w:val="16"/>
                <w:color w:val="auto"/>
              </w:rPr>
              <w:t>2.3%</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780" w:type="dxa"/>
            <w:vAlign w:val="bottom"/>
          </w:tcPr>
          <w:p>
            <w:pPr>
              <w:jc w:val="center"/>
              <w:spacing w:after="0"/>
              <w:rPr>
                <w:sz w:val="20"/>
                <w:szCs w:val="20"/>
                <w:color w:val="auto"/>
              </w:rPr>
            </w:pPr>
            <w:r>
              <w:rPr>
                <w:rFonts w:ascii="Arial" w:cs="Arial" w:eastAsia="Arial" w:hAnsi="Arial"/>
                <w:sz w:val="16"/>
                <w:szCs w:val="16"/>
                <w:color w:val="auto"/>
                <w:w w:val="99"/>
              </w:rPr>
              <w:t>28 bps</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131 bps</w:t>
            </w:r>
          </w:p>
        </w:tc>
        <w:tc>
          <w:tcPr>
            <w:tcW w:w="1040" w:type="dxa"/>
            <w:vAlign w:val="bottom"/>
          </w:tcPr>
          <w:p>
            <w:pPr>
              <w:jc w:val="right"/>
              <w:spacing w:after="0"/>
              <w:rPr>
                <w:sz w:val="20"/>
                <w:szCs w:val="20"/>
                <w:color w:val="auto"/>
              </w:rPr>
            </w:pPr>
            <w:r>
              <w:rPr>
                <w:rFonts w:ascii="Arial" w:cs="Arial" w:eastAsia="Arial" w:hAnsi="Arial"/>
                <w:sz w:val="16"/>
                <w:szCs w:val="16"/>
                <w:color w:val="auto"/>
              </w:rPr>
              <w:t>1.0%</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130 bps</w:t>
            </w:r>
          </w:p>
        </w:tc>
        <w:tc>
          <w:tcPr>
            <w:tcW w:w="0" w:type="dxa"/>
            <w:vAlign w:val="bottom"/>
          </w:tcPr>
          <w:p>
            <w:pPr>
              <w:spacing w:after="0"/>
              <w:rPr>
                <w:sz w:val="1"/>
                <w:szCs w:val="1"/>
                <w:color w:val="auto"/>
              </w:rPr>
            </w:pPr>
          </w:p>
        </w:tc>
      </w:tr>
      <w:tr>
        <w:trPr>
          <w:trHeight w:val="185"/>
        </w:trPr>
        <w:tc>
          <w:tcPr>
            <w:tcW w:w="33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Coverage ratio of IOLs</w:t>
            </w:r>
          </w:p>
        </w:tc>
        <w:tc>
          <w:tcPr>
            <w:tcW w:w="1040" w:type="dxa"/>
            <w:vAlign w:val="bottom"/>
          </w:tcPr>
          <w:p>
            <w:pPr>
              <w:jc w:val="right"/>
              <w:spacing w:after="0"/>
              <w:rPr>
                <w:sz w:val="20"/>
                <w:szCs w:val="20"/>
                <w:color w:val="auto"/>
              </w:rPr>
            </w:pPr>
            <w:r>
              <w:rPr>
                <w:rFonts w:ascii="Arial" w:cs="Arial" w:eastAsia="Arial" w:hAnsi="Arial"/>
                <w:sz w:val="16"/>
                <w:szCs w:val="16"/>
                <w:color w:val="auto"/>
              </w:rPr>
              <w:t>128.5%</w:t>
            </w:r>
          </w:p>
        </w:tc>
        <w:tc>
          <w:tcPr>
            <w:tcW w:w="1040" w:type="dxa"/>
            <w:vAlign w:val="bottom"/>
          </w:tcPr>
          <w:p>
            <w:pPr>
              <w:jc w:val="right"/>
              <w:spacing w:after="0"/>
              <w:rPr>
                <w:sz w:val="20"/>
                <w:szCs w:val="20"/>
                <w:color w:val="auto"/>
              </w:rPr>
            </w:pPr>
            <w:r>
              <w:rPr>
                <w:rFonts w:ascii="Arial" w:cs="Arial" w:eastAsia="Arial" w:hAnsi="Arial"/>
                <w:sz w:val="16"/>
                <w:szCs w:val="16"/>
                <w:color w:val="auto"/>
              </w:rPr>
              <w:t>133.1%</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125.8%</w:t>
            </w:r>
          </w:p>
        </w:tc>
        <w:tc>
          <w:tcPr>
            <w:tcW w:w="780" w:type="dxa"/>
            <w:vAlign w:val="bottom"/>
          </w:tcPr>
          <w:p>
            <w:pPr>
              <w:jc w:val="center"/>
              <w:spacing w:after="0"/>
              <w:rPr>
                <w:sz w:val="20"/>
                <w:szCs w:val="20"/>
                <w:color w:val="auto"/>
              </w:rPr>
            </w:pPr>
            <w:r>
              <w:rPr>
                <w:rFonts w:ascii="Arial" w:cs="Arial" w:eastAsia="Arial" w:hAnsi="Arial"/>
                <w:sz w:val="16"/>
                <w:szCs w:val="16"/>
                <w:color w:val="auto"/>
              </w:rPr>
              <w:t>-730 bps</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-270 bps</w:t>
            </w:r>
          </w:p>
        </w:tc>
        <w:tc>
          <w:tcPr>
            <w:tcW w:w="1040" w:type="dxa"/>
            <w:vAlign w:val="bottom"/>
          </w:tcPr>
          <w:p>
            <w:pPr>
              <w:jc w:val="right"/>
              <w:spacing w:after="0"/>
              <w:rPr>
                <w:sz w:val="20"/>
                <w:szCs w:val="20"/>
                <w:color w:val="auto"/>
              </w:rPr>
            </w:pPr>
            <w:r>
              <w:rPr>
                <w:rFonts w:ascii="Arial" w:cs="Arial" w:eastAsia="Arial" w:hAnsi="Arial"/>
                <w:sz w:val="16"/>
                <w:szCs w:val="16"/>
                <w:color w:val="auto"/>
              </w:rPr>
              <w:t>128.5%</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125.8%</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-270 bps</w:t>
            </w:r>
          </w:p>
        </w:tc>
        <w:tc>
          <w:tcPr>
            <w:tcW w:w="0" w:type="dxa"/>
            <w:vAlign w:val="bottom"/>
          </w:tcPr>
          <w:p>
            <w:pPr>
              <w:spacing w:after="0"/>
              <w:rPr>
                <w:sz w:val="1"/>
                <w:szCs w:val="1"/>
                <w:color w:val="auto"/>
              </w:rPr>
            </w:pPr>
          </w:p>
        </w:tc>
      </w:tr>
      <w:tr>
        <w:trPr>
          <w:trHeight w:val="198"/>
        </w:trPr>
        <w:tc>
          <w:tcPr>
            <w:tcW w:w="3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Coverage ratio of NPLs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99.6%</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98.7%</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93.0%</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-570 bps</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-660 bps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99.6%</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93.0%</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-660 bps</w:t>
            </w:r>
          </w:p>
        </w:tc>
        <w:tc>
          <w:tcPr>
            <w:tcW w:w="0" w:type="dxa"/>
            <w:vAlign w:val="bottom"/>
          </w:tcPr>
          <w:p>
            <w:pPr>
              <w:spacing w:after="0"/>
              <w:rPr>
                <w:sz w:val="1"/>
                <w:szCs w:val="1"/>
                <w:color w:val="auto"/>
              </w:rPr>
            </w:pPr>
          </w:p>
        </w:tc>
      </w:tr>
      <w:tr>
        <w:trPr>
          <w:trHeight w:val="155"/>
        </w:trPr>
        <w:tc>
          <w:tcPr>
            <w:tcW w:w="3340" w:type="dxa"/>
            <w:vAlign w:val="bottom"/>
            <w:tcBorders>
              <w:left w:val="single" w:sz="8" w:color="auto"/>
              <w:right w:val="single" w:sz="8" w:color="auto"/>
            </w:tcBorders>
          </w:tcPr>
          <w:p>
            <w:pPr>
              <w:ind w:left="20"/>
              <w:spacing w:after="0" w:line="155" w:lineRule="exact"/>
              <w:rPr>
                <w:sz w:val="20"/>
                <w:szCs w:val="20"/>
                <w:color w:val="auto"/>
              </w:rPr>
            </w:pPr>
            <w:r>
              <w:rPr>
                <w:rFonts w:ascii="Arial" w:cs="Arial" w:eastAsia="Arial" w:hAnsi="Arial"/>
                <w:sz w:val="16"/>
                <w:szCs w:val="16"/>
                <w:b w:val="1"/>
                <w:bCs w:val="1"/>
                <w:color w:val="auto"/>
              </w:rPr>
              <w:t>Operating efficiency</w:t>
            </w: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104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34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4"/>
                <w:szCs w:val="14"/>
                <w:color w:val="auto"/>
              </w:rPr>
              <w:t xml:space="preserve">Efficiency ratio </w:t>
            </w:r>
            <w:r>
              <w:rPr>
                <w:rFonts w:ascii="Arial" w:cs="Arial" w:eastAsia="Arial" w:hAnsi="Arial"/>
                <w:sz w:val="22"/>
                <w:szCs w:val="22"/>
                <w:color w:val="auto"/>
                <w:vertAlign w:val="superscript"/>
              </w:rPr>
              <w:t>(4)</w:t>
            </w:r>
          </w:p>
        </w:tc>
        <w:tc>
          <w:tcPr>
            <w:tcW w:w="1040" w:type="dxa"/>
            <w:vAlign w:val="bottom"/>
          </w:tcPr>
          <w:p>
            <w:pPr>
              <w:jc w:val="right"/>
              <w:spacing w:after="0"/>
              <w:rPr>
                <w:sz w:val="20"/>
                <w:szCs w:val="20"/>
                <w:color w:val="auto"/>
              </w:rPr>
            </w:pPr>
            <w:r>
              <w:rPr>
                <w:rFonts w:ascii="Arial" w:cs="Arial" w:eastAsia="Arial" w:hAnsi="Arial"/>
                <w:sz w:val="16"/>
                <w:szCs w:val="16"/>
                <w:color w:val="auto"/>
              </w:rPr>
              <w:t>45.5%</w:t>
            </w:r>
          </w:p>
        </w:tc>
        <w:tc>
          <w:tcPr>
            <w:tcW w:w="1040" w:type="dxa"/>
            <w:vAlign w:val="bottom"/>
          </w:tcPr>
          <w:p>
            <w:pPr>
              <w:jc w:val="right"/>
              <w:spacing w:after="0"/>
              <w:rPr>
                <w:sz w:val="20"/>
                <w:szCs w:val="20"/>
                <w:color w:val="auto"/>
              </w:rPr>
            </w:pPr>
            <w:r>
              <w:rPr>
                <w:rFonts w:ascii="Arial" w:cs="Arial" w:eastAsia="Arial" w:hAnsi="Arial"/>
                <w:sz w:val="16"/>
                <w:szCs w:val="16"/>
                <w:color w:val="auto"/>
              </w:rPr>
              <w:t>44.6%</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46.3%</w:t>
            </w:r>
          </w:p>
        </w:tc>
        <w:tc>
          <w:tcPr>
            <w:tcW w:w="780" w:type="dxa"/>
            <w:vAlign w:val="bottom"/>
          </w:tcPr>
          <w:p>
            <w:pPr>
              <w:jc w:val="center"/>
              <w:spacing w:after="0"/>
              <w:rPr>
                <w:sz w:val="20"/>
                <w:szCs w:val="20"/>
                <w:color w:val="auto"/>
              </w:rPr>
            </w:pPr>
            <w:r>
              <w:rPr>
                <w:rFonts w:ascii="Arial" w:cs="Arial" w:eastAsia="Arial" w:hAnsi="Arial"/>
                <w:sz w:val="16"/>
                <w:szCs w:val="16"/>
                <w:color w:val="auto"/>
              </w:rPr>
              <w:t>170 bps</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80 bps</w:t>
            </w:r>
          </w:p>
        </w:tc>
        <w:tc>
          <w:tcPr>
            <w:tcW w:w="1040" w:type="dxa"/>
            <w:vAlign w:val="bottom"/>
          </w:tcPr>
          <w:p>
            <w:pPr>
              <w:jc w:val="right"/>
              <w:spacing w:after="0"/>
              <w:rPr>
                <w:sz w:val="20"/>
                <w:szCs w:val="20"/>
                <w:color w:val="auto"/>
              </w:rPr>
            </w:pPr>
            <w:r>
              <w:rPr>
                <w:rFonts w:ascii="Arial" w:cs="Arial" w:eastAsia="Arial" w:hAnsi="Arial"/>
                <w:sz w:val="16"/>
                <w:szCs w:val="16"/>
                <w:color w:val="auto"/>
              </w:rPr>
              <w:t>46.7%</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45.1%</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-160 bps</w:t>
            </w:r>
          </w:p>
        </w:tc>
        <w:tc>
          <w:tcPr>
            <w:tcW w:w="0" w:type="dxa"/>
            <w:vAlign w:val="bottom"/>
          </w:tcPr>
          <w:p>
            <w:pPr>
              <w:spacing w:after="0"/>
              <w:rPr>
                <w:sz w:val="1"/>
                <w:szCs w:val="1"/>
                <w:color w:val="auto"/>
              </w:rPr>
            </w:pPr>
          </w:p>
        </w:tc>
      </w:tr>
      <w:tr>
        <w:trPr>
          <w:trHeight w:val="198"/>
        </w:trPr>
        <w:tc>
          <w:tcPr>
            <w:tcW w:w="3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Operating expenses / Total average assets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23 bps</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42 bps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50 bps</w:t>
            </w:r>
          </w:p>
        </w:tc>
        <w:tc>
          <w:tcPr>
            <w:tcW w:w="0" w:type="dxa"/>
            <w:vAlign w:val="bottom"/>
          </w:tcPr>
          <w:p>
            <w:pPr>
              <w:spacing w:after="0"/>
              <w:rPr>
                <w:sz w:val="1"/>
                <w:szCs w:val="1"/>
                <w:color w:val="auto"/>
              </w:rPr>
            </w:pPr>
          </w:p>
        </w:tc>
      </w:tr>
      <w:tr>
        <w:trPr>
          <w:trHeight w:val="155"/>
        </w:trPr>
        <w:tc>
          <w:tcPr>
            <w:tcW w:w="3340" w:type="dxa"/>
            <w:vAlign w:val="bottom"/>
            <w:tcBorders>
              <w:left w:val="single" w:sz="8" w:color="auto"/>
              <w:right w:val="single" w:sz="8" w:color="auto"/>
            </w:tcBorders>
          </w:tcPr>
          <w:p>
            <w:pPr>
              <w:ind w:left="20"/>
              <w:spacing w:after="0" w:line="155" w:lineRule="exact"/>
              <w:rPr>
                <w:sz w:val="20"/>
                <w:szCs w:val="20"/>
                <w:color w:val="auto"/>
              </w:rPr>
            </w:pPr>
            <w:r>
              <w:rPr>
                <w:rFonts w:ascii="Arial" w:cs="Arial" w:eastAsia="Arial" w:hAnsi="Arial"/>
                <w:sz w:val="11"/>
                <w:szCs w:val="11"/>
                <w:b w:val="1"/>
                <w:bCs w:val="1"/>
                <w:color w:val="auto"/>
              </w:rPr>
              <w:t xml:space="preserve">Capital adequacy - BCP Stand-alone </w:t>
            </w:r>
            <w:r>
              <w:rPr>
                <w:rFonts w:ascii="Arial" w:cs="Arial" w:eastAsia="Arial" w:hAnsi="Arial"/>
                <w:sz w:val="17"/>
                <w:szCs w:val="17"/>
                <w:b w:val="1"/>
                <w:bCs w:val="1"/>
                <w:color w:val="auto"/>
                <w:vertAlign w:val="superscript"/>
              </w:rPr>
              <w:t>(7)</w:t>
            </w: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104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340" w:type="dxa"/>
            <w:vAlign w:val="bottom"/>
            <w:tcBorders>
              <w:left w:val="single" w:sz="8" w:color="auto"/>
              <w:right w:val="single" w:sz="8" w:color="auto"/>
            </w:tcBorders>
          </w:tcPr>
          <w:p>
            <w:pPr>
              <w:ind w:left="20"/>
              <w:spacing w:after="0" w:line="186" w:lineRule="exact"/>
              <w:rPr>
                <w:sz w:val="20"/>
                <w:szCs w:val="20"/>
                <w:color w:val="auto"/>
              </w:rPr>
            </w:pPr>
            <w:r>
              <w:rPr>
                <w:rFonts w:ascii="Arial" w:cs="Arial" w:eastAsia="Arial" w:hAnsi="Arial"/>
                <w:sz w:val="13"/>
                <w:szCs w:val="13"/>
                <w:color w:val="auto"/>
              </w:rPr>
              <w:t xml:space="preserve">Global Capital ratio </w:t>
            </w:r>
            <w:r>
              <w:rPr>
                <w:rFonts w:ascii="Arial" w:cs="Arial" w:eastAsia="Arial" w:hAnsi="Arial"/>
                <w:sz w:val="21"/>
                <w:szCs w:val="21"/>
                <w:color w:val="auto"/>
                <w:vertAlign w:val="superscript"/>
              </w:rPr>
              <w:t>(8)</w:t>
            </w:r>
          </w:p>
        </w:tc>
        <w:tc>
          <w:tcPr>
            <w:tcW w:w="1040" w:type="dxa"/>
            <w:vAlign w:val="bottom"/>
          </w:tcPr>
          <w:p>
            <w:pPr>
              <w:jc w:val="right"/>
              <w:spacing w:after="0"/>
              <w:rPr>
                <w:sz w:val="20"/>
                <w:szCs w:val="20"/>
                <w:color w:val="auto"/>
              </w:rPr>
            </w:pPr>
            <w:r>
              <w:rPr>
                <w:rFonts w:ascii="Arial" w:cs="Arial" w:eastAsia="Arial" w:hAnsi="Arial"/>
                <w:sz w:val="16"/>
                <w:szCs w:val="16"/>
                <w:color w:val="auto"/>
              </w:rPr>
              <w:t>n.a</w:t>
            </w:r>
          </w:p>
        </w:tc>
        <w:tc>
          <w:tcPr>
            <w:tcW w:w="1040" w:type="dxa"/>
            <w:vAlign w:val="bottom"/>
          </w:tcPr>
          <w:p>
            <w:pPr>
              <w:jc w:val="right"/>
              <w:spacing w:after="0"/>
              <w:rPr>
                <w:sz w:val="20"/>
                <w:szCs w:val="20"/>
                <w:color w:val="auto"/>
              </w:rPr>
            </w:pPr>
            <w:r>
              <w:rPr>
                <w:rFonts w:ascii="Arial" w:cs="Arial" w:eastAsia="Arial" w:hAnsi="Arial"/>
                <w:sz w:val="16"/>
                <w:szCs w:val="16"/>
                <w:color w:val="auto"/>
              </w:rPr>
              <w:t>17.2%</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17.5%</w:t>
            </w:r>
          </w:p>
        </w:tc>
        <w:tc>
          <w:tcPr>
            <w:tcW w:w="780" w:type="dxa"/>
            <w:vAlign w:val="bottom"/>
          </w:tcPr>
          <w:p>
            <w:pPr>
              <w:jc w:val="center"/>
              <w:spacing w:after="0"/>
              <w:rPr>
                <w:sz w:val="20"/>
                <w:szCs w:val="20"/>
                <w:color w:val="auto"/>
              </w:rPr>
            </w:pPr>
            <w:r>
              <w:rPr>
                <w:rFonts w:ascii="Arial" w:cs="Arial" w:eastAsia="Arial" w:hAnsi="Arial"/>
                <w:sz w:val="16"/>
                <w:szCs w:val="16"/>
                <w:color w:val="auto"/>
                <w:w w:val="99"/>
              </w:rPr>
              <w:t>31 bps</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n.a</w:t>
            </w:r>
          </w:p>
        </w:tc>
        <w:tc>
          <w:tcPr>
            <w:tcW w:w="1040" w:type="dxa"/>
            <w:vAlign w:val="bottom"/>
          </w:tcPr>
          <w:p>
            <w:pPr>
              <w:jc w:val="right"/>
              <w:spacing w:after="0"/>
              <w:rPr>
                <w:sz w:val="20"/>
                <w:szCs w:val="20"/>
                <w:color w:val="auto"/>
              </w:rPr>
            </w:pPr>
            <w:r>
              <w:rPr>
                <w:rFonts w:ascii="Arial" w:cs="Arial" w:eastAsia="Arial" w:hAnsi="Arial"/>
                <w:sz w:val="16"/>
                <w:szCs w:val="16"/>
                <w:color w:val="auto"/>
              </w:rPr>
              <w:t>n.a</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17.5%</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n.a</w:t>
            </w:r>
          </w:p>
        </w:tc>
        <w:tc>
          <w:tcPr>
            <w:tcW w:w="0" w:type="dxa"/>
            <w:vAlign w:val="bottom"/>
          </w:tcPr>
          <w:p>
            <w:pPr>
              <w:spacing w:after="0"/>
              <w:rPr>
                <w:sz w:val="1"/>
                <w:szCs w:val="1"/>
                <w:color w:val="auto"/>
              </w:rPr>
            </w:pPr>
          </w:p>
        </w:tc>
      </w:tr>
      <w:tr>
        <w:trPr>
          <w:trHeight w:val="185"/>
        </w:trPr>
        <w:tc>
          <w:tcPr>
            <w:tcW w:w="3340" w:type="dxa"/>
            <w:vAlign w:val="bottom"/>
            <w:tcBorders>
              <w:left w:val="single" w:sz="8" w:color="auto"/>
              <w:right w:val="single" w:sz="8" w:color="auto"/>
            </w:tcBorders>
          </w:tcPr>
          <w:p>
            <w:pPr>
              <w:ind w:left="20"/>
              <w:spacing w:after="0" w:line="186" w:lineRule="exact"/>
              <w:rPr>
                <w:sz w:val="20"/>
                <w:szCs w:val="20"/>
                <w:color w:val="auto"/>
              </w:rPr>
            </w:pPr>
            <w:r>
              <w:rPr>
                <w:rFonts w:ascii="Arial" w:cs="Arial" w:eastAsia="Arial" w:hAnsi="Arial"/>
                <w:sz w:val="13"/>
                <w:szCs w:val="13"/>
                <w:color w:val="auto"/>
              </w:rPr>
              <w:t xml:space="preserve">Tier 1 ratio </w:t>
            </w:r>
            <w:r>
              <w:rPr>
                <w:rFonts w:ascii="Arial" w:cs="Arial" w:eastAsia="Arial" w:hAnsi="Arial"/>
                <w:sz w:val="21"/>
                <w:szCs w:val="21"/>
                <w:color w:val="auto"/>
                <w:vertAlign w:val="superscript"/>
              </w:rPr>
              <w:t>(9)</w:t>
            </w:r>
          </w:p>
        </w:tc>
        <w:tc>
          <w:tcPr>
            <w:tcW w:w="1040" w:type="dxa"/>
            <w:vAlign w:val="bottom"/>
          </w:tcPr>
          <w:p>
            <w:pPr>
              <w:jc w:val="right"/>
              <w:spacing w:after="0"/>
              <w:rPr>
                <w:sz w:val="20"/>
                <w:szCs w:val="20"/>
                <w:color w:val="auto"/>
              </w:rPr>
            </w:pPr>
            <w:r>
              <w:rPr>
                <w:rFonts w:ascii="Arial" w:cs="Arial" w:eastAsia="Arial" w:hAnsi="Arial"/>
                <w:sz w:val="16"/>
                <w:szCs w:val="16"/>
                <w:color w:val="auto"/>
              </w:rPr>
              <w:t>n.a</w:t>
            </w:r>
          </w:p>
        </w:tc>
        <w:tc>
          <w:tcPr>
            <w:tcW w:w="1040" w:type="dxa"/>
            <w:vAlign w:val="bottom"/>
          </w:tcPr>
          <w:p>
            <w:pPr>
              <w:jc w:val="right"/>
              <w:spacing w:after="0"/>
              <w:rPr>
                <w:sz w:val="20"/>
                <w:szCs w:val="20"/>
                <w:color w:val="auto"/>
              </w:rPr>
            </w:pPr>
            <w:r>
              <w:rPr>
                <w:rFonts w:ascii="Arial" w:cs="Arial" w:eastAsia="Arial" w:hAnsi="Arial"/>
                <w:sz w:val="16"/>
                <w:szCs w:val="16"/>
                <w:color w:val="auto"/>
              </w:rPr>
              <w:t>12.8%</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13.0%</w:t>
            </w:r>
          </w:p>
        </w:tc>
        <w:tc>
          <w:tcPr>
            <w:tcW w:w="780" w:type="dxa"/>
            <w:vAlign w:val="bottom"/>
          </w:tcPr>
          <w:p>
            <w:pPr>
              <w:jc w:val="center"/>
              <w:spacing w:after="0"/>
              <w:rPr>
                <w:sz w:val="20"/>
                <w:szCs w:val="20"/>
                <w:color w:val="auto"/>
              </w:rPr>
            </w:pPr>
            <w:r>
              <w:rPr>
                <w:rFonts w:ascii="Arial" w:cs="Arial" w:eastAsia="Arial" w:hAnsi="Arial"/>
                <w:sz w:val="16"/>
                <w:szCs w:val="16"/>
                <w:color w:val="auto"/>
                <w:w w:val="99"/>
              </w:rPr>
              <w:t>26 bps</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n.a</w:t>
            </w:r>
          </w:p>
        </w:tc>
        <w:tc>
          <w:tcPr>
            <w:tcW w:w="1040" w:type="dxa"/>
            <w:vAlign w:val="bottom"/>
          </w:tcPr>
          <w:p>
            <w:pPr>
              <w:jc w:val="right"/>
              <w:spacing w:after="0"/>
              <w:rPr>
                <w:sz w:val="20"/>
                <w:szCs w:val="20"/>
                <w:color w:val="auto"/>
              </w:rPr>
            </w:pPr>
            <w:r>
              <w:rPr>
                <w:rFonts w:ascii="Arial" w:cs="Arial" w:eastAsia="Arial" w:hAnsi="Arial"/>
                <w:sz w:val="16"/>
                <w:szCs w:val="16"/>
                <w:color w:val="auto"/>
              </w:rPr>
              <w:t>n.a</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13.0%</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n.a</w:t>
            </w:r>
          </w:p>
        </w:tc>
        <w:tc>
          <w:tcPr>
            <w:tcW w:w="0" w:type="dxa"/>
            <w:vAlign w:val="bottom"/>
          </w:tcPr>
          <w:p>
            <w:pPr>
              <w:spacing w:after="0"/>
              <w:rPr>
                <w:sz w:val="1"/>
                <w:szCs w:val="1"/>
                <w:color w:val="auto"/>
              </w:rPr>
            </w:pPr>
          </w:p>
        </w:tc>
      </w:tr>
      <w:tr>
        <w:trPr>
          <w:trHeight w:val="208"/>
        </w:trPr>
        <w:tc>
          <w:tcPr>
            <w:tcW w:w="3340" w:type="dxa"/>
            <w:vAlign w:val="bottom"/>
            <w:tcBorders>
              <w:left w:val="single" w:sz="8" w:color="auto"/>
              <w:bottom w:val="single" w:sz="8" w:color="auto"/>
              <w:right w:val="single" w:sz="8" w:color="auto"/>
            </w:tcBorders>
          </w:tcPr>
          <w:p>
            <w:pPr>
              <w:ind w:left="20"/>
              <w:spacing w:after="0" w:line="209" w:lineRule="exact"/>
              <w:rPr>
                <w:sz w:val="20"/>
                <w:szCs w:val="20"/>
                <w:color w:val="auto"/>
              </w:rPr>
            </w:pPr>
            <w:r>
              <w:rPr>
                <w:rFonts w:ascii="Arial" w:cs="Arial" w:eastAsia="Arial" w:hAnsi="Arial"/>
                <w:sz w:val="15"/>
                <w:szCs w:val="15"/>
                <w:color w:val="auto"/>
              </w:rPr>
              <w:t xml:space="preserve">Common equity tier 1 ratio </w:t>
            </w:r>
            <w:r>
              <w:rPr>
                <w:rFonts w:ascii="Arial" w:cs="Arial" w:eastAsia="Arial" w:hAnsi="Arial"/>
                <w:sz w:val="24"/>
                <w:szCs w:val="24"/>
                <w:color w:val="auto"/>
                <w:vertAlign w:val="superscript"/>
              </w:rPr>
              <w:t>(10)</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13.0%</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25 bps</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121 bps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13.0%</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121 bps</w:t>
            </w:r>
          </w:p>
        </w:tc>
        <w:tc>
          <w:tcPr>
            <w:tcW w:w="0" w:type="dxa"/>
            <w:vAlign w:val="bottom"/>
          </w:tcPr>
          <w:p>
            <w:pPr>
              <w:spacing w:after="0"/>
              <w:rPr>
                <w:sz w:val="1"/>
                <w:szCs w:val="1"/>
                <w:color w:val="auto"/>
              </w:rPr>
            </w:pPr>
          </w:p>
        </w:tc>
      </w:tr>
      <w:tr>
        <w:trPr>
          <w:trHeight w:val="155"/>
        </w:trPr>
        <w:tc>
          <w:tcPr>
            <w:tcW w:w="3340" w:type="dxa"/>
            <w:vAlign w:val="bottom"/>
            <w:tcBorders>
              <w:left w:val="single" w:sz="8" w:color="auto"/>
              <w:right w:val="single" w:sz="8" w:color="auto"/>
            </w:tcBorders>
          </w:tcPr>
          <w:p>
            <w:pPr>
              <w:ind w:left="20"/>
              <w:spacing w:after="0" w:line="155" w:lineRule="exact"/>
              <w:rPr>
                <w:sz w:val="20"/>
                <w:szCs w:val="20"/>
                <w:color w:val="auto"/>
              </w:rPr>
            </w:pPr>
            <w:r>
              <w:rPr>
                <w:rFonts w:ascii="Arial" w:cs="Arial" w:eastAsia="Arial" w:hAnsi="Arial"/>
                <w:sz w:val="11"/>
                <w:szCs w:val="11"/>
                <w:b w:val="1"/>
                <w:bCs w:val="1"/>
                <w:color w:val="auto"/>
              </w:rPr>
              <w:t xml:space="preserve">Capital adequacy - Mibanco </w:t>
            </w:r>
            <w:r>
              <w:rPr>
                <w:rFonts w:ascii="Arial" w:cs="Arial" w:eastAsia="Arial" w:hAnsi="Arial"/>
                <w:sz w:val="17"/>
                <w:szCs w:val="17"/>
                <w:b w:val="1"/>
                <w:bCs w:val="1"/>
                <w:color w:val="auto"/>
                <w:vertAlign w:val="superscript"/>
              </w:rPr>
              <w:t>(7)</w:t>
            </w: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1040" w:type="dxa"/>
            <w:vAlign w:val="bottom"/>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12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340" w:type="dxa"/>
            <w:vAlign w:val="bottom"/>
            <w:tcBorders>
              <w:left w:val="single" w:sz="8" w:color="auto"/>
              <w:right w:val="single" w:sz="8" w:color="auto"/>
            </w:tcBorders>
          </w:tcPr>
          <w:p>
            <w:pPr>
              <w:ind w:left="20"/>
              <w:spacing w:after="0" w:line="186" w:lineRule="exact"/>
              <w:rPr>
                <w:sz w:val="20"/>
                <w:szCs w:val="20"/>
                <w:color w:val="auto"/>
              </w:rPr>
            </w:pPr>
            <w:r>
              <w:rPr>
                <w:rFonts w:ascii="Arial" w:cs="Arial" w:eastAsia="Arial" w:hAnsi="Arial"/>
                <w:sz w:val="13"/>
                <w:szCs w:val="13"/>
                <w:color w:val="auto"/>
              </w:rPr>
              <w:t xml:space="preserve">Global Capital ratio </w:t>
            </w:r>
            <w:r>
              <w:rPr>
                <w:rFonts w:ascii="Arial" w:cs="Arial" w:eastAsia="Arial" w:hAnsi="Arial"/>
                <w:sz w:val="21"/>
                <w:szCs w:val="21"/>
                <w:color w:val="auto"/>
                <w:vertAlign w:val="superscript"/>
              </w:rPr>
              <w:t>(8)</w:t>
            </w:r>
          </w:p>
        </w:tc>
        <w:tc>
          <w:tcPr>
            <w:tcW w:w="1040" w:type="dxa"/>
            <w:vAlign w:val="bottom"/>
          </w:tcPr>
          <w:p>
            <w:pPr>
              <w:jc w:val="right"/>
              <w:spacing w:after="0"/>
              <w:rPr>
                <w:sz w:val="20"/>
                <w:szCs w:val="20"/>
                <w:color w:val="auto"/>
              </w:rPr>
            </w:pPr>
            <w:r>
              <w:rPr>
                <w:rFonts w:ascii="Arial" w:cs="Arial" w:eastAsia="Arial" w:hAnsi="Arial"/>
                <w:sz w:val="16"/>
                <w:szCs w:val="16"/>
                <w:color w:val="auto"/>
              </w:rPr>
              <w:t>n.a</w:t>
            </w:r>
          </w:p>
        </w:tc>
        <w:tc>
          <w:tcPr>
            <w:tcW w:w="1040" w:type="dxa"/>
            <w:vAlign w:val="bottom"/>
          </w:tcPr>
          <w:p>
            <w:pPr>
              <w:jc w:val="right"/>
              <w:spacing w:after="0"/>
              <w:rPr>
                <w:sz w:val="20"/>
                <w:szCs w:val="20"/>
                <w:color w:val="auto"/>
              </w:rPr>
            </w:pPr>
            <w:r>
              <w:rPr>
                <w:rFonts w:ascii="Arial" w:cs="Arial" w:eastAsia="Arial" w:hAnsi="Arial"/>
                <w:sz w:val="16"/>
                <w:szCs w:val="16"/>
                <w:color w:val="auto"/>
              </w:rPr>
              <w:t>18.8%</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19.8%</w:t>
            </w:r>
          </w:p>
        </w:tc>
        <w:tc>
          <w:tcPr>
            <w:tcW w:w="780" w:type="dxa"/>
            <w:vAlign w:val="bottom"/>
          </w:tcPr>
          <w:p>
            <w:pPr>
              <w:jc w:val="center"/>
              <w:spacing w:after="0"/>
              <w:rPr>
                <w:sz w:val="20"/>
                <w:szCs w:val="20"/>
                <w:color w:val="auto"/>
              </w:rPr>
            </w:pPr>
            <w:r>
              <w:rPr>
                <w:rFonts w:ascii="Arial" w:cs="Arial" w:eastAsia="Arial" w:hAnsi="Arial"/>
                <w:sz w:val="16"/>
                <w:szCs w:val="16"/>
                <w:color w:val="auto"/>
                <w:w w:val="99"/>
              </w:rPr>
              <w:t>97 bps</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n.a</w:t>
            </w:r>
          </w:p>
        </w:tc>
        <w:tc>
          <w:tcPr>
            <w:tcW w:w="1040" w:type="dxa"/>
            <w:vAlign w:val="bottom"/>
          </w:tcPr>
          <w:p>
            <w:pPr>
              <w:jc w:val="right"/>
              <w:spacing w:after="0"/>
              <w:rPr>
                <w:sz w:val="20"/>
                <w:szCs w:val="20"/>
                <w:color w:val="auto"/>
              </w:rPr>
            </w:pPr>
            <w:r>
              <w:rPr>
                <w:rFonts w:ascii="Arial" w:cs="Arial" w:eastAsia="Arial" w:hAnsi="Arial"/>
                <w:sz w:val="16"/>
                <w:szCs w:val="16"/>
                <w:color w:val="auto"/>
              </w:rPr>
              <w:t>n.a</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19.8%</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n.a</w:t>
            </w:r>
          </w:p>
        </w:tc>
        <w:tc>
          <w:tcPr>
            <w:tcW w:w="0" w:type="dxa"/>
            <w:vAlign w:val="bottom"/>
          </w:tcPr>
          <w:p>
            <w:pPr>
              <w:spacing w:after="0"/>
              <w:rPr>
                <w:sz w:val="1"/>
                <w:szCs w:val="1"/>
                <w:color w:val="auto"/>
              </w:rPr>
            </w:pPr>
          </w:p>
        </w:tc>
      </w:tr>
      <w:tr>
        <w:trPr>
          <w:trHeight w:val="185"/>
        </w:trPr>
        <w:tc>
          <w:tcPr>
            <w:tcW w:w="3340" w:type="dxa"/>
            <w:vAlign w:val="bottom"/>
            <w:tcBorders>
              <w:left w:val="single" w:sz="8" w:color="auto"/>
              <w:right w:val="single" w:sz="8" w:color="auto"/>
            </w:tcBorders>
          </w:tcPr>
          <w:p>
            <w:pPr>
              <w:ind w:left="20"/>
              <w:spacing w:after="0" w:line="186" w:lineRule="exact"/>
              <w:rPr>
                <w:sz w:val="20"/>
                <w:szCs w:val="20"/>
                <w:color w:val="auto"/>
              </w:rPr>
            </w:pPr>
            <w:r>
              <w:rPr>
                <w:rFonts w:ascii="Arial" w:cs="Arial" w:eastAsia="Arial" w:hAnsi="Arial"/>
                <w:sz w:val="13"/>
                <w:szCs w:val="13"/>
                <w:color w:val="auto"/>
              </w:rPr>
              <w:t xml:space="preserve">Tier 1 ratio </w:t>
            </w:r>
            <w:r>
              <w:rPr>
                <w:rFonts w:ascii="Arial" w:cs="Arial" w:eastAsia="Arial" w:hAnsi="Arial"/>
                <w:sz w:val="21"/>
                <w:szCs w:val="21"/>
                <w:color w:val="auto"/>
                <w:vertAlign w:val="superscript"/>
              </w:rPr>
              <w:t>(9)</w:t>
            </w:r>
          </w:p>
        </w:tc>
        <w:tc>
          <w:tcPr>
            <w:tcW w:w="1040" w:type="dxa"/>
            <w:vAlign w:val="bottom"/>
          </w:tcPr>
          <w:p>
            <w:pPr>
              <w:jc w:val="right"/>
              <w:spacing w:after="0"/>
              <w:rPr>
                <w:sz w:val="20"/>
                <w:szCs w:val="20"/>
                <w:color w:val="auto"/>
              </w:rPr>
            </w:pPr>
            <w:r>
              <w:rPr>
                <w:rFonts w:ascii="Arial" w:cs="Arial" w:eastAsia="Arial" w:hAnsi="Arial"/>
                <w:sz w:val="16"/>
                <w:szCs w:val="16"/>
                <w:color w:val="auto"/>
              </w:rPr>
              <w:t>n.a</w:t>
            </w:r>
          </w:p>
        </w:tc>
        <w:tc>
          <w:tcPr>
            <w:tcW w:w="1040" w:type="dxa"/>
            <w:vAlign w:val="bottom"/>
          </w:tcPr>
          <w:p>
            <w:pPr>
              <w:jc w:val="right"/>
              <w:spacing w:after="0"/>
              <w:rPr>
                <w:sz w:val="20"/>
                <w:szCs w:val="20"/>
                <w:color w:val="auto"/>
              </w:rPr>
            </w:pPr>
            <w:r>
              <w:rPr>
                <w:rFonts w:ascii="Arial" w:cs="Arial" w:eastAsia="Arial" w:hAnsi="Arial"/>
                <w:sz w:val="16"/>
                <w:szCs w:val="16"/>
                <w:color w:val="auto"/>
              </w:rPr>
              <w:t>16.5%</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17.4%</w:t>
            </w:r>
          </w:p>
        </w:tc>
        <w:tc>
          <w:tcPr>
            <w:tcW w:w="780" w:type="dxa"/>
            <w:vAlign w:val="bottom"/>
          </w:tcPr>
          <w:p>
            <w:pPr>
              <w:jc w:val="center"/>
              <w:spacing w:after="0"/>
              <w:rPr>
                <w:sz w:val="20"/>
                <w:szCs w:val="20"/>
                <w:color w:val="auto"/>
              </w:rPr>
            </w:pPr>
            <w:r>
              <w:rPr>
                <w:rFonts w:ascii="Arial" w:cs="Arial" w:eastAsia="Arial" w:hAnsi="Arial"/>
                <w:sz w:val="16"/>
                <w:szCs w:val="16"/>
                <w:color w:val="auto"/>
                <w:w w:val="99"/>
              </w:rPr>
              <w:t>94 bps</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n.a</w:t>
            </w:r>
          </w:p>
        </w:tc>
        <w:tc>
          <w:tcPr>
            <w:tcW w:w="1040" w:type="dxa"/>
            <w:vAlign w:val="bottom"/>
          </w:tcPr>
          <w:p>
            <w:pPr>
              <w:jc w:val="right"/>
              <w:spacing w:after="0"/>
              <w:rPr>
                <w:sz w:val="20"/>
                <w:szCs w:val="20"/>
                <w:color w:val="auto"/>
              </w:rPr>
            </w:pPr>
            <w:r>
              <w:rPr>
                <w:rFonts w:ascii="Arial" w:cs="Arial" w:eastAsia="Arial" w:hAnsi="Arial"/>
                <w:sz w:val="16"/>
                <w:szCs w:val="16"/>
                <w:color w:val="auto"/>
              </w:rPr>
              <w:t>n.a</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17.4%</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n.a</w:t>
            </w:r>
          </w:p>
        </w:tc>
        <w:tc>
          <w:tcPr>
            <w:tcW w:w="0" w:type="dxa"/>
            <w:vAlign w:val="bottom"/>
          </w:tcPr>
          <w:p>
            <w:pPr>
              <w:spacing w:after="0"/>
              <w:rPr>
                <w:sz w:val="1"/>
                <w:szCs w:val="1"/>
                <w:color w:val="auto"/>
              </w:rPr>
            </w:pPr>
          </w:p>
        </w:tc>
      </w:tr>
      <w:tr>
        <w:trPr>
          <w:trHeight w:val="208"/>
        </w:trPr>
        <w:tc>
          <w:tcPr>
            <w:tcW w:w="3340" w:type="dxa"/>
            <w:vAlign w:val="bottom"/>
            <w:tcBorders>
              <w:left w:val="single" w:sz="8" w:color="auto"/>
              <w:bottom w:val="single" w:sz="8" w:color="auto"/>
              <w:right w:val="single" w:sz="8" w:color="auto"/>
            </w:tcBorders>
          </w:tcPr>
          <w:p>
            <w:pPr>
              <w:ind w:left="20"/>
              <w:spacing w:after="0" w:line="209" w:lineRule="exact"/>
              <w:rPr>
                <w:sz w:val="20"/>
                <w:szCs w:val="20"/>
                <w:color w:val="auto"/>
              </w:rPr>
            </w:pPr>
            <w:r>
              <w:rPr>
                <w:rFonts w:ascii="Arial" w:cs="Arial" w:eastAsia="Arial" w:hAnsi="Arial"/>
                <w:sz w:val="15"/>
                <w:szCs w:val="15"/>
                <w:color w:val="auto"/>
              </w:rPr>
              <w:t xml:space="preserve">Common equity tier 1 ratio </w:t>
            </w:r>
            <w:r>
              <w:rPr>
                <w:rFonts w:ascii="Arial" w:cs="Arial" w:eastAsia="Arial" w:hAnsi="Arial"/>
                <w:sz w:val="24"/>
                <w:szCs w:val="24"/>
                <w:color w:val="auto"/>
                <w:vertAlign w:val="superscript"/>
              </w:rPr>
              <w:t>(10)(12)</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17.6%</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96 bps</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156 bps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17.6%</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156 bps</w:t>
            </w:r>
          </w:p>
        </w:tc>
        <w:tc>
          <w:tcPr>
            <w:tcW w:w="0" w:type="dxa"/>
            <w:vAlign w:val="bottom"/>
          </w:tcPr>
          <w:p>
            <w:pPr>
              <w:spacing w:after="0"/>
              <w:rPr>
                <w:sz w:val="1"/>
                <w:szCs w:val="1"/>
                <w:color w:val="auto"/>
              </w:rPr>
            </w:pPr>
          </w:p>
        </w:tc>
      </w:tr>
      <w:tr>
        <w:trPr>
          <w:trHeight w:val="190"/>
        </w:trPr>
        <w:tc>
          <w:tcPr>
            <w:tcW w:w="3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Employees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35,679</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37,366</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37,161</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-0.5%</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4.2%</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35,679</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37,161</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165"/>
        </w:trPr>
        <w:tc>
          <w:tcPr>
            <w:tcW w:w="3340" w:type="dxa"/>
            <w:vAlign w:val="bottom"/>
            <w:tcBorders>
              <w:left w:val="single" w:sz="8" w:color="auto"/>
              <w:right w:val="single" w:sz="8" w:color="auto"/>
            </w:tcBorders>
          </w:tcPr>
          <w:p>
            <w:pPr>
              <w:ind w:left="20"/>
              <w:spacing w:after="0" w:line="165" w:lineRule="exact"/>
              <w:rPr>
                <w:sz w:val="20"/>
                <w:szCs w:val="20"/>
                <w:color w:val="auto"/>
              </w:rPr>
            </w:pPr>
            <w:r>
              <w:rPr>
                <w:rFonts w:ascii="Arial" w:cs="Arial" w:eastAsia="Arial" w:hAnsi="Arial"/>
                <w:sz w:val="16"/>
                <w:szCs w:val="16"/>
                <w:b w:val="1"/>
                <w:bCs w:val="1"/>
                <w:color w:val="auto"/>
              </w:rPr>
              <w:t>Share Information</w:t>
            </w: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Borders>
              <w:right w:val="single" w:sz="8" w:color="auto"/>
            </w:tcBorders>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340" w:type="dxa"/>
            <w:vAlign w:val="bottom"/>
            <w:tcBorders>
              <w:left w:val="single" w:sz="8" w:color="auto"/>
              <w:right w:val="single" w:sz="8" w:color="auto"/>
            </w:tcBorders>
          </w:tcPr>
          <w:p>
            <w:pPr>
              <w:ind w:left="20"/>
              <w:spacing w:after="0" w:line="175" w:lineRule="exact"/>
              <w:rPr>
                <w:sz w:val="20"/>
                <w:szCs w:val="20"/>
                <w:color w:val="auto"/>
              </w:rPr>
            </w:pPr>
            <w:r>
              <w:rPr>
                <w:rFonts w:ascii="Arial" w:cs="Arial" w:eastAsia="Arial" w:hAnsi="Arial"/>
                <w:sz w:val="16"/>
                <w:szCs w:val="16"/>
                <w:color w:val="auto"/>
              </w:rPr>
              <w:t>Issued Shares</w:t>
            </w: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94,382</w:t>
            </w: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94,382</w:t>
            </w:r>
          </w:p>
        </w:tc>
        <w:tc>
          <w:tcPr>
            <w:tcW w:w="1000" w:type="dxa"/>
            <w:vAlign w:val="bottom"/>
            <w:tcBorders>
              <w:right w:val="single" w:sz="8" w:color="auto"/>
            </w:tcBorders>
          </w:tcPr>
          <w:p>
            <w:pPr>
              <w:jc w:val="right"/>
              <w:spacing w:after="0" w:line="175" w:lineRule="exact"/>
              <w:rPr>
                <w:sz w:val="20"/>
                <w:szCs w:val="20"/>
                <w:color w:val="auto"/>
              </w:rPr>
            </w:pPr>
            <w:r>
              <w:rPr>
                <w:rFonts w:ascii="Arial" w:cs="Arial" w:eastAsia="Arial" w:hAnsi="Arial"/>
                <w:sz w:val="16"/>
                <w:szCs w:val="16"/>
                <w:color w:val="auto"/>
              </w:rPr>
              <w:t>94,382</w:t>
            </w:r>
          </w:p>
        </w:tc>
        <w:tc>
          <w:tcPr>
            <w:tcW w:w="780" w:type="dxa"/>
            <w:vAlign w:val="bottom"/>
          </w:tcPr>
          <w:p>
            <w:pPr>
              <w:jc w:val="center"/>
              <w:spacing w:after="0" w:line="175" w:lineRule="exact"/>
              <w:rPr>
                <w:sz w:val="20"/>
                <w:szCs w:val="20"/>
                <w:color w:val="auto"/>
              </w:rPr>
            </w:pPr>
            <w:r>
              <w:rPr>
                <w:rFonts w:ascii="Arial" w:cs="Arial" w:eastAsia="Arial" w:hAnsi="Arial"/>
                <w:sz w:val="16"/>
                <w:szCs w:val="16"/>
                <w:color w:val="auto"/>
                <w:w w:val="98"/>
              </w:rPr>
              <w:t>0.0%</w:t>
            </w:r>
          </w:p>
        </w:tc>
        <w:tc>
          <w:tcPr>
            <w:tcW w:w="780" w:type="dxa"/>
            <w:vAlign w:val="bottom"/>
            <w:tcBorders>
              <w:right w:val="single" w:sz="8" w:color="auto"/>
            </w:tcBorders>
          </w:tcPr>
          <w:p>
            <w:pPr>
              <w:jc w:val="center"/>
              <w:spacing w:after="0" w:line="175" w:lineRule="exact"/>
              <w:rPr>
                <w:sz w:val="20"/>
                <w:szCs w:val="20"/>
                <w:color w:val="auto"/>
              </w:rPr>
            </w:pPr>
            <w:r>
              <w:rPr>
                <w:rFonts w:ascii="Arial" w:cs="Arial" w:eastAsia="Arial" w:hAnsi="Arial"/>
                <w:sz w:val="16"/>
                <w:szCs w:val="16"/>
                <w:color w:val="auto"/>
              </w:rPr>
              <w:t>0.0%</w:t>
            </w:r>
          </w:p>
        </w:tc>
        <w:tc>
          <w:tcPr>
            <w:tcW w:w="1040" w:type="dxa"/>
            <w:vAlign w:val="bottom"/>
          </w:tcPr>
          <w:p>
            <w:pPr>
              <w:jc w:val="right"/>
              <w:spacing w:after="0" w:line="175" w:lineRule="exact"/>
              <w:rPr>
                <w:sz w:val="20"/>
                <w:szCs w:val="20"/>
                <w:color w:val="auto"/>
              </w:rPr>
            </w:pPr>
            <w:r>
              <w:rPr>
                <w:rFonts w:ascii="Arial" w:cs="Arial" w:eastAsia="Arial" w:hAnsi="Arial"/>
                <w:sz w:val="16"/>
                <w:szCs w:val="16"/>
                <w:color w:val="auto"/>
              </w:rPr>
              <w:t>94,382</w:t>
            </w:r>
          </w:p>
        </w:tc>
        <w:tc>
          <w:tcPr>
            <w:tcW w:w="1020" w:type="dxa"/>
            <w:vAlign w:val="bottom"/>
            <w:tcBorders>
              <w:right w:val="single" w:sz="8" w:color="auto"/>
            </w:tcBorders>
          </w:tcPr>
          <w:p>
            <w:pPr>
              <w:jc w:val="right"/>
              <w:spacing w:after="0" w:line="175" w:lineRule="exact"/>
              <w:rPr>
                <w:sz w:val="20"/>
                <w:szCs w:val="20"/>
                <w:color w:val="auto"/>
              </w:rPr>
            </w:pPr>
            <w:r>
              <w:rPr>
                <w:rFonts w:ascii="Arial" w:cs="Arial" w:eastAsia="Arial" w:hAnsi="Arial"/>
                <w:sz w:val="16"/>
                <w:szCs w:val="16"/>
                <w:color w:val="auto"/>
              </w:rPr>
              <w:t>94,382</w:t>
            </w:r>
          </w:p>
        </w:tc>
        <w:tc>
          <w:tcPr>
            <w:tcW w:w="1220" w:type="dxa"/>
            <w:vAlign w:val="bottom"/>
            <w:tcBorders>
              <w:right w:val="single" w:sz="8" w:color="auto"/>
            </w:tcBorders>
          </w:tcPr>
          <w:p>
            <w:pPr>
              <w:jc w:val="center"/>
              <w:spacing w:after="0" w:line="175" w:lineRule="exact"/>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196"/>
        </w:trPr>
        <w:tc>
          <w:tcPr>
            <w:tcW w:w="334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4"/>
                <w:szCs w:val="14"/>
                <w:color w:val="auto"/>
              </w:rPr>
              <w:t xml:space="preserve">Treasury Shares </w:t>
            </w:r>
            <w:r>
              <w:rPr>
                <w:rFonts w:ascii="Arial" w:cs="Arial" w:eastAsia="Arial" w:hAnsi="Arial"/>
                <w:sz w:val="22"/>
                <w:szCs w:val="22"/>
                <w:color w:val="auto"/>
                <w:vertAlign w:val="superscript"/>
              </w:rPr>
              <w:t>(11)</w:t>
            </w:r>
          </w:p>
        </w:tc>
        <w:tc>
          <w:tcPr>
            <w:tcW w:w="1040" w:type="dxa"/>
            <w:vAlign w:val="bottom"/>
          </w:tcPr>
          <w:p>
            <w:pPr>
              <w:jc w:val="right"/>
              <w:spacing w:after="0"/>
              <w:rPr>
                <w:sz w:val="20"/>
                <w:szCs w:val="20"/>
                <w:color w:val="auto"/>
              </w:rPr>
            </w:pPr>
            <w:r>
              <w:rPr>
                <w:rFonts w:ascii="Arial" w:cs="Arial" w:eastAsia="Arial" w:hAnsi="Arial"/>
                <w:sz w:val="16"/>
                <w:szCs w:val="16"/>
                <w:color w:val="auto"/>
              </w:rPr>
              <w:t>14,849</w:t>
            </w:r>
          </w:p>
        </w:tc>
        <w:tc>
          <w:tcPr>
            <w:tcW w:w="1040" w:type="dxa"/>
            <w:vAlign w:val="bottom"/>
          </w:tcPr>
          <w:p>
            <w:pPr>
              <w:jc w:val="right"/>
              <w:spacing w:after="0"/>
              <w:rPr>
                <w:sz w:val="20"/>
                <w:szCs w:val="20"/>
                <w:color w:val="auto"/>
              </w:rPr>
            </w:pPr>
            <w:r>
              <w:rPr>
                <w:rFonts w:ascii="Arial" w:cs="Arial" w:eastAsia="Arial" w:hAnsi="Arial"/>
                <w:sz w:val="16"/>
                <w:szCs w:val="16"/>
                <w:color w:val="auto"/>
              </w:rPr>
              <w:t>14,829</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14,847</w:t>
            </w:r>
          </w:p>
        </w:tc>
        <w:tc>
          <w:tcPr>
            <w:tcW w:w="780" w:type="dxa"/>
            <w:vAlign w:val="bottom"/>
          </w:tcPr>
          <w:p>
            <w:pPr>
              <w:jc w:val="center"/>
              <w:spacing w:after="0"/>
              <w:rPr>
                <w:sz w:val="20"/>
                <w:szCs w:val="20"/>
                <w:color w:val="auto"/>
              </w:rPr>
            </w:pPr>
            <w:r>
              <w:rPr>
                <w:rFonts w:ascii="Arial" w:cs="Arial" w:eastAsia="Arial" w:hAnsi="Arial"/>
                <w:sz w:val="16"/>
                <w:szCs w:val="16"/>
                <w:color w:val="auto"/>
                <w:w w:val="98"/>
              </w:rPr>
              <w:t>0.1%</w:t>
            </w: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0.0%</w:t>
            </w:r>
          </w:p>
        </w:tc>
        <w:tc>
          <w:tcPr>
            <w:tcW w:w="1040" w:type="dxa"/>
            <w:vAlign w:val="bottom"/>
          </w:tcPr>
          <w:p>
            <w:pPr>
              <w:jc w:val="right"/>
              <w:spacing w:after="0"/>
              <w:rPr>
                <w:sz w:val="20"/>
                <w:szCs w:val="20"/>
                <w:color w:val="auto"/>
              </w:rPr>
            </w:pPr>
            <w:r>
              <w:rPr>
                <w:rFonts w:ascii="Arial" w:cs="Arial" w:eastAsia="Arial" w:hAnsi="Arial"/>
                <w:sz w:val="16"/>
                <w:szCs w:val="16"/>
                <w:color w:val="auto"/>
              </w:rPr>
              <w:t>14,849</w:t>
            </w: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14,847</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198"/>
        </w:trPr>
        <w:tc>
          <w:tcPr>
            <w:tcW w:w="3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Outstanding Shares</w:t>
            </w:r>
          </w:p>
        </w:tc>
        <w:tc>
          <w:tcPr>
            <w:tcW w:w="104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color w:val="auto"/>
              </w:rPr>
              <w:t>79,533</w:t>
            </w:r>
          </w:p>
        </w:tc>
        <w:tc>
          <w:tcPr>
            <w:tcW w:w="104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color w:val="auto"/>
              </w:rPr>
              <w:t>79,553</w:t>
            </w:r>
          </w:p>
        </w:tc>
        <w:tc>
          <w:tcPr>
            <w:tcW w:w="1000" w:type="dxa"/>
            <w:vAlign w:val="bottom"/>
            <w:tcBorders>
              <w:bottom w:val="single" w:sz="8" w:color="auto"/>
              <w:right w:val="single" w:sz="8" w:color="auto"/>
            </w:tcBorders>
          </w:tcPr>
          <w:p>
            <w:pPr>
              <w:jc w:val="right"/>
              <w:ind w:right="198"/>
              <w:spacing w:after="0"/>
              <w:rPr>
                <w:sz w:val="20"/>
                <w:szCs w:val="20"/>
                <w:color w:val="auto"/>
              </w:rPr>
            </w:pPr>
            <w:r>
              <w:rPr>
                <w:rFonts w:ascii="Arial" w:cs="Arial" w:eastAsia="Arial" w:hAnsi="Arial"/>
                <w:sz w:val="16"/>
                <w:szCs w:val="16"/>
                <w:color w:val="auto"/>
              </w:rPr>
              <w:t>79,535</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0.0%</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0.0%</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79,533</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79,535</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161" w:hanging="161"/>
        <w:spacing w:after="0"/>
        <w:tabs>
          <w:tab w:leader="none" w:pos="161" w:val="left"/>
        </w:tabs>
        <w:numPr>
          <w:ilvl w:val="0"/>
          <w:numId w:val="6"/>
        </w:numPr>
        <w:rPr>
          <w:rFonts w:ascii="Arial" w:cs="Arial" w:eastAsia="Arial" w:hAnsi="Arial"/>
          <w:sz w:val="11"/>
          <w:szCs w:val="11"/>
          <w:color w:val="auto"/>
        </w:rPr>
      </w:pPr>
      <w:r>
        <w:rPr>
          <w:rFonts w:ascii="Arial" w:cs="Arial" w:eastAsia="Arial" w:hAnsi="Arial"/>
          <w:sz w:val="11"/>
          <w:szCs w:val="11"/>
          <w:color w:val="auto"/>
        </w:rPr>
        <w:t>Net Interest Margin = Net Interest Income (Excluding Net Insurance Financial Expenses) / Average Interest Earning Assets</w:t>
      </w:r>
    </w:p>
    <w:p>
      <w:pPr>
        <w:spacing w:after="0" w:line="5" w:lineRule="exact"/>
        <w:rPr>
          <w:rFonts w:ascii="Arial" w:cs="Arial" w:eastAsia="Arial" w:hAnsi="Arial"/>
          <w:sz w:val="11"/>
          <w:szCs w:val="11"/>
          <w:color w:val="auto"/>
        </w:rPr>
      </w:pPr>
    </w:p>
    <w:p>
      <w:pPr>
        <w:ind w:left="161" w:hanging="161"/>
        <w:spacing w:after="0" w:line="234" w:lineRule="auto"/>
        <w:tabs>
          <w:tab w:leader="none" w:pos="161" w:val="left"/>
        </w:tabs>
        <w:numPr>
          <w:ilvl w:val="0"/>
          <w:numId w:val="6"/>
        </w:numPr>
        <w:rPr>
          <w:rFonts w:ascii="Arial" w:cs="Arial" w:eastAsia="Arial" w:hAnsi="Arial"/>
          <w:sz w:val="11"/>
          <w:szCs w:val="11"/>
          <w:color w:val="auto"/>
        </w:rPr>
      </w:pPr>
      <w:r>
        <w:rPr>
          <w:rFonts w:ascii="Arial" w:cs="Arial" w:eastAsia="Arial" w:hAnsi="Arial"/>
          <w:sz w:val="11"/>
          <w:szCs w:val="11"/>
          <w:color w:val="auto"/>
        </w:rPr>
        <w:t>Funding Cost = Interest Expense (Does not include Net Insurance Financial Expenses) / Average Funding</w:t>
      </w:r>
    </w:p>
    <w:p>
      <w:pPr>
        <w:ind w:left="161" w:hanging="161"/>
        <w:spacing w:after="0" w:line="234" w:lineRule="auto"/>
        <w:tabs>
          <w:tab w:leader="none" w:pos="161" w:val="left"/>
        </w:tabs>
        <w:numPr>
          <w:ilvl w:val="0"/>
          <w:numId w:val="6"/>
        </w:numPr>
        <w:rPr>
          <w:rFonts w:ascii="Arial" w:cs="Arial" w:eastAsia="Arial" w:hAnsi="Arial"/>
          <w:sz w:val="11"/>
          <w:szCs w:val="11"/>
          <w:color w:val="auto"/>
        </w:rPr>
      </w:pPr>
      <w:r>
        <w:rPr>
          <w:rFonts w:ascii="Arial" w:cs="Arial" w:eastAsia="Arial" w:hAnsi="Arial"/>
          <w:sz w:val="11"/>
          <w:szCs w:val="11"/>
          <w:color w:val="auto"/>
        </w:rPr>
        <w:t>Internal Overdue Loans: includes overdue loans and loans under legal collection, according to our internal policy for overdue loans. Internal Overdue Ratio: Internal overdue loans / Total loans</w:t>
      </w:r>
    </w:p>
    <w:p>
      <w:pPr>
        <w:ind w:left="161" w:hanging="161"/>
        <w:spacing w:after="0" w:line="234" w:lineRule="auto"/>
        <w:tabs>
          <w:tab w:leader="none" w:pos="161" w:val="left"/>
        </w:tabs>
        <w:numPr>
          <w:ilvl w:val="0"/>
          <w:numId w:val="6"/>
        </w:numPr>
        <w:rPr>
          <w:rFonts w:ascii="Arial" w:cs="Arial" w:eastAsia="Arial" w:hAnsi="Arial"/>
          <w:sz w:val="11"/>
          <w:szCs w:val="11"/>
          <w:color w:val="auto"/>
        </w:rPr>
      </w:pPr>
      <w:r>
        <w:rPr>
          <w:rFonts w:ascii="Arial" w:cs="Arial" w:eastAsia="Arial" w:hAnsi="Arial"/>
          <w:sz w:val="11"/>
          <w:szCs w:val="11"/>
          <w:color w:val="auto"/>
        </w:rPr>
        <w:t>Non-performing loans (NPL): Internal overdue loans + Refinanced loans. NPL ratio: NPL / Total loans.</w:t>
      </w:r>
    </w:p>
    <w:p>
      <w:pPr>
        <w:ind w:left="161" w:hanging="161"/>
        <w:spacing w:after="0"/>
        <w:tabs>
          <w:tab w:leader="none" w:pos="161" w:val="left"/>
        </w:tabs>
        <w:numPr>
          <w:ilvl w:val="0"/>
          <w:numId w:val="6"/>
        </w:numPr>
        <w:rPr>
          <w:rFonts w:ascii="Arial" w:cs="Arial" w:eastAsia="Arial" w:hAnsi="Arial"/>
          <w:sz w:val="11"/>
          <w:szCs w:val="11"/>
          <w:color w:val="auto"/>
        </w:rPr>
      </w:pPr>
      <w:r>
        <w:rPr>
          <w:rFonts w:ascii="Arial" w:cs="Arial" w:eastAsia="Arial" w:hAnsi="Arial"/>
          <w:sz w:val="11"/>
          <w:szCs w:val="11"/>
          <w:color w:val="auto"/>
        </w:rPr>
        <w:t>Cost of risk = Annualized provision for loan losses, net of recoveries / Total loans.</w:t>
      </w:r>
    </w:p>
    <w:p>
      <w:pPr>
        <w:spacing w:after="0" w:line="2" w:lineRule="exact"/>
        <w:rPr>
          <w:rFonts w:ascii="Arial" w:cs="Arial" w:eastAsia="Arial" w:hAnsi="Arial"/>
          <w:sz w:val="11"/>
          <w:szCs w:val="11"/>
          <w:color w:val="auto"/>
        </w:rPr>
      </w:pPr>
    </w:p>
    <w:p>
      <w:pPr>
        <w:ind w:left="1" w:right="140" w:hanging="1"/>
        <w:spacing w:after="0" w:line="241" w:lineRule="auto"/>
        <w:tabs>
          <w:tab w:leader="none" w:pos="180" w:val="left"/>
        </w:tabs>
        <w:numPr>
          <w:ilvl w:val="0"/>
          <w:numId w:val="6"/>
        </w:numPr>
        <w:rPr>
          <w:rFonts w:ascii="Arial" w:cs="Arial" w:eastAsia="Arial" w:hAnsi="Arial"/>
          <w:sz w:val="11"/>
          <w:szCs w:val="11"/>
          <w:color w:val="auto"/>
        </w:rPr>
      </w:pPr>
      <w:r>
        <w:rPr>
          <w:rFonts w:ascii="Arial" w:cs="Arial" w:eastAsia="Arial" w:hAnsi="Arial"/>
          <w:sz w:val="11"/>
          <w:szCs w:val="11"/>
          <w:color w:val="auto"/>
        </w:rPr>
        <w:t>Efficiency Ratio = (Salaries and employee benefits + Administrative expenses + Depreciation and amortization + Association in participation) / (Net interest, similar income and expenses + Fee Income+ Net gain on foreign exchange transactions + Net Gain From associates + Net gain on derivatives held for trading + Result on exchange differences + Insurance Underwriting Result)</w:t>
      </w:r>
    </w:p>
    <w:p>
      <w:pPr>
        <w:ind w:left="161" w:hanging="161"/>
        <w:spacing w:after="0"/>
        <w:tabs>
          <w:tab w:leader="none" w:pos="161" w:val="left"/>
        </w:tabs>
        <w:numPr>
          <w:ilvl w:val="0"/>
          <w:numId w:val="6"/>
        </w:numPr>
        <w:rPr>
          <w:rFonts w:ascii="Arial" w:cs="Arial" w:eastAsia="Arial" w:hAnsi="Arial"/>
          <w:sz w:val="11"/>
          <w:szCs w:val="11"/>
          <w:color w:val="auto"/>
        </w:rPr>
      </w:pPr>
      <w:r>
        <w:rPr>
          <w:rFonts w:ascii="Arial" w:cs="Arial" w:eastAsia="Arial" w:hAnsi="Arial"/>
          <w:sz w:val="11"/>
          <w:szCs w:val="11"/>
          <w:color w:val="auto"/>
        </w:rPr>
        <w:t>Regulatory Capital / Risk-weighted assets (legal minimum = 10% since July 2011).</w:t>
      </w:r>
    </w:p>
    <w:p>
      <w:pPr>
        <w:spacing w:after="0" w:line="2" w:lineRule="exact"/>
        <w:rPr>
          <w:rFonts w:ascii="Arial" w:cs="Arial" w:eastAsia="Arial" w:hAnsi="Arial"/>
          <w:sz w:val="11"/>
          <w:szCs w:val="11"/>
          <w:color w:val="auto"/>
        </w:rPr>
      </w:pPr>
    </w:p>
    <w:p>
      <w:pPr>
        <w:ind w:left="1" w:right="20" w:hanging="1"/>
        <w:spacing w:after="0" w:line="246" w:lineRule="auto"/>
        <w:tabs>
          <w:tab w:leader="none" w:pos="156" w:val="left"/>
        </w:tabs>
        <w:numPr>
          <w:ilvl w:val="0"/>
          <w:numId w:val="6"/>
        </w:numPr>
        <w:rPr>
          <w:rFonts w:ascii="Arial" w:cs="Arial" w:eastAsia="Arial" w:hAnsi="Arial"/>
          <w:sz w:val="11"/>
          <w:szCs w:val="11"/>
          <w:color w:val="auto"/>
        </w:rPr>
      </w:pPr>
      <w:r>
        <w:rPr>
          <w:rFonts w:ascii="Arial" w:cs="Arial" w:eastAsia="Arial" w:hAnsi="Arial"/>
          <w:sz w:val="11"/>
          <w:szCs w:val="11"/>
          <w:color w:val="auto"/>
        </w:rPr>
        <w:t>Tier 1 = Capital + Legal and other capital reserves + Accumulated earnings with capitalization agreement + (0.5 x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ind w:left="161" w:hanging="161"/>
        <w:spacing w:after="0"/>
        <w:tabs>
          <w:tab w:leader="none" w:pos="161" w:val="left"/>
        </w:tabs>
        <w:numPr>
          <w:ilvl w:val="0"/>
          <w:numId w:val="6"/>
        </w:numPr>
        <w:rPr>
          <w:rFonts w:ascii="Arial" w:cs="Arial" w:eastAsia="Arial" w:hAnsi="Arial"/>
          <w:sz w:val="11"/>
          <w:szCs w:val="11"/>
          <w:color w:val="auto"/>
        </w:rPr>
      </w:pPr>
      <w:r>
        <w:rPr>
          <w:rFonts w:ascii="Arial" w:cs="Arial" w:eastAsia="Arial" w:hAnsi="Arial"/>
          <w:sz w:val="11"/>
          <w:szCs w:val="11"/>
          <w:color w:val="auto"/>
        </w:rPr>
        <w:t>Common Equity Tier I = Capital + Reserves – 100% of applicable deductions (investment in subsidiaries, goodwill, intangibles and net deferred taxes that rely on future profitability) + retained earnings + unrealized gains.</w:t>
      </w:r>
    </w:p>
    <w:p>
      <w:pPr>
        <w:spacing w:after="0" w:line="4" w:lineRule="exact"/>
        <w:rPr>
          <w:rFonts w:ascii="Arial" w:cs="Arial" w:eastAsia="Arial" w:hAnsi="Arial"/>
          <w:sz w:val="11"/>
          <w:szCs w:val="11"/>
          <w:color w:val="auto"/>
        </w:rPr>
      </w:pPr>
    </w:p>
    <w:p>
      <w:pPr>
        <w:ind w:left="221" w:hanging="221"/>
        <w:spacing w:after="0" w:line="234" w:lineRule="auto"/>
        <w:tabs>
          <w:tab w:leader="none" w:pos="221" w:val="left"/>
        </w:tabs>
        <w:numPr>
          <w:ilvl w:val="0"/>
          <w:numId w:val="6"/>
        </w:numPr>
        <w:rPr>
          <w:rFonts w:ascii="Arial" w:cs="Arial" w:eastAsia="Arial" w:hAnsi="Arial"/>
          <w:sz w:val="11"/>
          <w:szCs w:val="11"/>
          <w:color w:val="auto"/>
        </w:rPr>
      </w:pPr>
      <w:r>
        <w:rPr>
          <w:rFonts w:ascii="Arial" w:cs="Arial" w:eastAsia="Arial" w:hAnsi="Arial"/>
          <w:sz w:val="11"/>
          <w:szCs w:val="11"/>
          <w:color w:val="auto"/>
        </w:rPr>
        <w:t>Consider shares held by Atlantic Security Holding Corporation (ASHC) and stock awards.</w:t>
      </w:r>
    </w:p>
    <w:p>
      <w:pPr>
        <w:ind w:left="221" w:hanging="221"/>
        <w:spacing w:after="0"/>
        <w:tabs>
          <w:tab w:leader="none" w:pos="221" w:val="left"/>
        </w:tabs>
        <w:numPr>
          <w:ilvl w:val="0"/>
          <w:numId w:val="6"/>
        </w:numPr>
        <w:rPr>
          <w:rFonts w:ascii="Arial" w:cs="Arial" w:eastAsia="Arial" w:hAnsi="Arial"/>
          <w:sz w:val="11"/>
          <w:szCs w:val="11"/>
          <w:color w:val="auto"/>
        </w:rPr>
      </w:pPr>
      <w:r>
        <w:rPr>
          <w:rFonts w:ascii="Arial" w:cs="Arial" w:eastAsia="Arial" w:hAnsi="Arial"/>
          <w:sz w:val="11"/>
          <w:szCs w:val="11"/>
          <w:color w:val="auto"/>
        </w:rPr>
        <w:t>Common Equity Tier I calculated based on IFRS Accounting</w:t>
      </w:r>
    </w:p>
    <w:p>
      <w:pPr>
        <w:spacing w:after="0" w:line="26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43750" cy="158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312" w:right="339" w:bottom="1440" w:gutter="0" w:footer="0" w:header="0"/>
        </w:sectPr>
      </w:pPr>
    </w:p>
    <w:bookmarkStart w:id="14" w:name="page15"/>
    <w:bookmarkEnd w:id="14"/>
    <w:p>
      <w:pPr>
        <w:ind w:left="2961"/>
        <w:spacing w:after="0"/>
        <w:tabs>
          <w:tab w:leader="none" w:pos="3141" w:val="left"/>
          <w:tab w:leader="none" w:pos="7321" w:val="left"/>
        </w:tabs>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202565</wp:posOffset>
            </wp:positionH>
            <wp:positionV relativeFrom="page">
              <wp:posOffset>88900</wp:posOffset>
            </wp:positionV>
            <wp:extent cx="7143750" cy="3848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3750" cy="384810"/>
                    </a:xfrm>
                    <a:prstGeom prst="rect">
                      <a:avLst/>
                    </a:prstGeom>
                    <a:noFill/>
                  </pic:spPr>
                </pic:pic>
              </a:graphicData>
            </a:graphic>
          </wp:anchor>
        </w:drawing>
        <w:t>|</w:t>
      </w:r>
      <w:r>
        <w:rPr>
          <w:sz w:val="20"/>
          <w:szCs w:val="20"/>
          <w:color w:val="auto"/>
        </w:rPr>
        <w:tab/>
      </w:r>
      <w:r>
        <w:rPr>
          <w:rFonts w:ascii="Arial" w:cs="Arial" w:eastAsia="Arial" w:hAnsi="Arial"/>
          <w:sz w:val="16"/>
          <w:szCs w:val="16"/>
          <w:b w:val="1"/>
          <w:bCs w:val="1"/>
          <w:color w:val="FFFFFF"/>
        </w:rPr>
        <w:t>Earnings Release 3Q / 2023</w:t>
      </w:r>
      <w:r>
        <w:rPr>
          <w:sz w:val="20"/>
          <w:szCs w:val="20"/>
          <w:color w:val="auto"/>
        </w:rPr>
        <w:tab/>
      </w:r>
      <w:r>
        <w:rPr>
          <w:rFonts w:ascii="Arial" w:cs="Arial" w:eastAsia="Arial" w:hAnsi="Arial"/>
          <w:sz w:val="18"/>
          <w:szCs w:val="18"/>
          <w:b w:val="1"/>
          <w:bCs w:val="1"/>
          <w:color w:val="E93CAC"/>
        </w:rPr>
        <w:t>Analysis of 3Q23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143510</wp:posOffset>
            </wp:positionV>
            <wp:extent cx="7143750" cy="2038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3750" cy="203835"/>
                    </a:xfrm>
                    <a:prstGeom prst="rect">
                      <a:avLst/>
                    </a:prstGeom>
                    <a:noFill/>
                  </pic:spPr>
                </pic:pic>
              </a:graphicData>
            </a:graphic>
          </wp:anchor>
        </w:drawing>
      </w:r>
    </w:p>
    <w:p>
      <w:pPr>
        <w:spacing w:after="0" w:line="226"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FFFFFF"/>
        </w:rPr>
        <w:t>Credicorp’s Strategy Update</w:t>
      </w:r>
    </w:p>
    <w:p>
      <w:pPr>
        <w:spacing w:after="0" w:line="325" w:lineRule="exact"/>
        <w:rPr>
          <w:sz w:val="20"/>
          <w:szCs w:val="20"/>
          <w:color w:val="auto"/>
        </w:rPr>
      </w:pPr>
    </w:p>
    <w:p>
      <w:pPr>
        <w:ind w:left="1"/>
        <w:spacing w:after="0"/>
        <w:rPr>
          <w:sz w:val="20"/>
          <w:szCs w:val="20"/>
          <w:color w:val="auto"/>
        </w:rPr>
      </w:pPr>
      <w:r>
        <w:rPr>
          <w:rFonts w:ascii="Arial" w:cs="Arial" w:eastAsia="Arial" w:hAnsi="Arial"/>
          <w:sz w:val="30"/>
          <w:szCs w:val="30"/>
          <w:color w:val="E93BAC"/>
        </w:rPr>
        <w:t>Credicorp Strategy</w:t>
      </w:r>
    </w:p>
    <w:p>
      <w:pPr>
        <w:spacing w:after="0" w:line="69" w:lineRule="exact"/>
        <w:rPr>
          <w:sz w:val="20"/>
          <w:szCs w:val="20"/>
          <w:color w:val="auto"/>
        </w:rPr>
      </w:pPr>
    </w:p>
    <w:p>
      <w:pPr>
        <w:jc w:val="both"/>
        <w:ind w:left="1"/>
        <w:spacing w:after="0" w:line="250" w:lineRule="auto"/>
        <w:rPr>
          <w:sz w:val="20"/>
          <w:szCs w:val="20"/>
          <w:color w:val="auto"/>
        </w:rPr>
      </w:pPr>
      <w:r>
        <w:rPr>
          <w:rFonts w:ascii="Arial" w:cs="Arial" w:eastAsia="Arial" w:hAnsi="Arial"/>
          <w:sz w:val="16"/>
          <w:szCs w:val="16"/>
          <w:color w:val="auto"/>
        </w:rPr>
        <w:t>Credicorp has demonstrated resilience in a challenging context, buoyed by its diversified loan portfolio and prudent management. The company has offset the impact of a deterioration in the loan portfolio by increasing the share of non-interest related income flows, which include those generated by Insurance and Yape, which are key elements of our strategy to decouple from the macro. Credicorp believes that by investing in technology and disruptive initiatives, it will maintain its competitive advantage and ensure sustainability down the line. By understanding market trends and satisfying clients’ needs, Credicorp aims to solidify its position and expand in new markets.</w:t>
      </w:r>
    </w:p>
    <w:p>
      <w:pPr>
        <w:spacing w:after="0" w:line="134"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Main KPIs of Credicorp’s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5581650" cy="2432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581650" cy="243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11" w:type="dxa"/>
        <w:tblCellMar>
          <w:top w:w="0" w:type="dxa"/>
          <w:left w:w="0" w:type="dxa"/>
          <w:bottom w:w="0" w:type="dxa"/>
          <w:right w:w="0" w:type="dxa"/>
        </w:tblCellMar>
      </w:tblPr>
      <w:tr>
        <w:trPr>
          <w:trHeight w:val="198"/>
        </w:trPr>
        <w:tc>
          <w:tcPr>
            <w:tcW w:w="5020" w:type="dxa"/>
            <w:vAlign w:val="bottom"/>
            <w:tcBorders>
              <w:top w:val="single" w:sz="8" w:color="auto"/>
              <w:left w:val="single" w:sz="8" w:color="auto"/>
              <w:bottom w:val="single" w:sz="8" w:color="auto"/>
              <w:right w:val="single" w:sz="8" w:color="auto"/>
            </w:tcBorders>
            <w:shd w:val="clear" w:color="auto" w:fill="33CCCC"/>
          </w:tcPr>
          <w:p>
            <w:pPr>
              <w:ind w:left="20"/>
              <w:spacing w:after="0" w:line="199" w:lineRule="exact"/>
              <w:rPr>
                <w:sz w:val="20"/>
                <w:szCs w:val="20"/>
                <w:color w:val="auto"/>
              </w:rPr>
            </w:pPr>
            <w:r>
              <w:rPr>
                <w:rFonts w:ascii="Arial" w:cs="Arial" w:eastAsia="Arial" w:hAnsi="Arial"/>
                <w:sz w:val="14"/>
                <w:szCs w:val="14"/>
                <w:b w:val="1"/>
                <w:bCs w:val="1"/>
                <w:i w:val="1"/>
                <w:iCs w:val="1"/>
                <w:color w:val="auto"/>
              </w:rPr>
              <w:t xml:space="preserve">Traditional Business Transformation </w:t>
            </w:r>
            <w:r>
              <w:rPr>
                <w:rFonts w:ascii="Arial" w:cs="Arial" w:eastAsia="Arial" w:hAnsi="Arial"/>
                <w:sz w:val="23"/>
                <w:szCs w:val="23"/>
                <w:b w:val="1"/>
                <w:bCs w:val="1"/>
                <w:i w:val="1"/>
                <w:iCs w:val="1"/>
                <w:color w:val="auto"/>
                <w:vertAlign w:val="superscript"/>
              </w:rPr>
              <w:t>(1)</w:t>
            </w:r>
          </w:p>
        </w:tc>
        <w:tc>
          <w:tcPr>
            <w:tcW w:w="1560" w:type="dxa"/>
            <w:vAlign w:val="bottom"/>
            <w:tcBorders>
              <w:top w:val="single" w:sz="8" w:color="auto"/>
              <w:bottom w:val="single" w:sz="8" w:color="auto"/>
              <w:right w:val="single" w:sz="8" w:color="646464"/>
            </w:tcBorders>
            <w:shd w:val="clear" w:color="auto" w:fill="33CCCC"/>
          </w:tcPr>
          <w:p>
            <w:pPr>
              <w:spacing w:after="0"/>
              <w:rPr>
                <w:sz w:val="20"/>
                <w:szCs w:val="20"/>
                <w:color w:val="auto"/>
              </w:rPr>
            </w:pPr>
            <w:r>
              <w:rPr>
                <w:rFonts w:ascii="Arial" w:cs="Arial" w:eastAsia="Arial" w:hAnsi="Arial"/>
                <w:sz w:val="16"/>
                <w:szCs w:val="16"/>
                <w:b w:val="1"/>
                <w:bCs w:val="1"/>
                <w:i w:val="1"/>
                <w:iCs w:val="1"/>
                <w:color w:val="auto"/>
              </w:rPr>
              <w:t>Subsidiary</w:t>
            </w:r>
          </w:p>
        </w:tc>
        <w:tc>
          <w:tcPr>
            <w:tcW w:w="1540" w:type="dxa"/>
            <w:vAlign w:val="bottom"/>
            <w:tcBorders>
              <w:top w:val="single" w:sz="8" w:color="auto"/>
              <w:bottom w:val="single" w:sz="8" w:color="auto"/>
            </w:tcBorders>
            <w:shd w:val="clear" w:color="auto" w:fill="33CCCC"/>
          </w:tcPr>
          <w:p>
            <w:pPr>
              <w:jc w:val="center"/>
              <w:spacing w:after="0"/>
              <w:rPr>
                <w:sz w:val="20"/>
                <w:szCs w:val="20"/>
                <w:color w:val="auto"/>
              </w:rPr>
            </w:pPr>
            <w:r>
              <w:rPr>
                <w:rFonts w:ascii="Arial" w:cs="Arial" w:eastAsia="Arial" w:hAnsi="Arial"/>
                <w:sz w:val="16"/>
                <w:szCs w:val="16"/>
                <w:b w:val="1"/>
                <w:bCs w:val="1"/>
                <w:i w:val="1"/>
                <w:iCs w:val="1"/>
                <w:color w:val="auto"/>
              </w:rPr>
              <w:t>3Q22</w:t>
            </w:r>
          </w:p>
        </w:tc>
        <w:tc>
          <w:tcPr>
            <w:tcW w:w="1560" w:type="dxa"/>
            <w:vAlign w:val="bottom"/>
            <w:tcBorders>
              <w:top w:val="single" w:sz="8" w:color="auto"/>
              <w:bottom w:val="single" w:sz="8" w:color="auto"/>
            </w:tcBorders>
            <w:shd w:val="clear" w:color="auto" w:fill="33CCCC"/>
          </w:tcPr>
          <w:p>
            <w:pPr>
              <w:jc w:val="center"/>
              <w:spacing w:after="0"/>
              <w:rPr>
                <w:sz w:val="20"/>
                <w:szCs w:val="20"/>
                <w:color w:val="auto"/>
              </w:rPr>
            </w:pPr>
            <w:r>
              <w:rPr>
                <w:rFonts w:ascii="Arial" w:cs="Arial" w:eastAsia="Arial" w:hAnsi="Arial"/>
                <w:sz w:val="16"/>
                <w:szCs w:val="16"/>
                <w:b w:val="1"/>
                <w:bCs w:val="1"/>
                <w:i w:val="1"/>
                <w:iCs w:val="1"/>
                <w:color w:val="auto"/>
              </w:rPr>
              <w:t>2Q23</w:t>
            </w:r>
          </w:p>
        </w:tc>
        <w:tc>
          <w:tcPr>
            <w:tcW w:w="1580" w:type="dxa"/>
            <w:vAlign w:val="bottom"/>
            <w:tcBorders>
              <w:top w:val="single" w:sz="8" w:color="auto"/>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6"/>
                <w:szCs w:val="16"/>
                <w:b w:val="1"/>
                <w:bCs w:val="1"/>
                <w:i w:val="1"/>
                <w:iCs w:val="1"/>
                <w:color w:val="auto"/>
              </w:rPr>
              <w:t>3Q23</w:t>
            </w:r>
          </w:p>
        </w:tc>
      </w:tr>
      <w:tr>
        <w:trPr>
          <w:trHeight w:val="155"/>
        </w:trPr>
        <w:tc>
          <w:tcPr>
            <w:tcW w:w="5020" w:type="dxa"/>
            <w:vAlign w:val="bottom"/>
            <w:tcBorders>
              <w:left w:val="single" w:sz="8" w:color="auto"/>
              <w:right w:val="single" w:sz="8" w:color="auto"/>
            </w:tcBorders>
          </w:tcPr>
          <w:p>
            <w:pPr>
              <w:ind w:left="20"/>
              <w:spacing w:after="0" w:line="155" w:lineRule="exact"/>
              <w:rPr>
                <w:sz w:val="20"/>
                <w:szCs w:val="20"/>
                <w:color w:val="auto"/>
              </w:rPr>
            </w:pPr>
            <w:r>
              <w:rPr>
                <w:rFonts w:ascii="Arial" w:cs="Arial" w:eastAsia="Arial" w:hAnsi="Arial"/>
                <w:sz w:val="16"/>
                <w:szCs w:val="16"/>
                <w:b w:val="1"/>
                <w:bCs w:val="1"/>
                <w:i w:val="1"/>
                <w:iCs w:val="1"/>
                <w:color w:val="auto"/>
              </w:rPr>
              <w:t>Day to Day</w:t>
            </w:r>
          </w:p>
        </w:tc>
        <w:tc>
          <w:tcPr>
            <w:tcW w:w="1560" w:type="dxa"/>
            <w:vAlign w:val="bottom"/>
            <w:tcBorders>
              <w:right w:val="single" w:sz="8" w:color="646464"/>
            </w:tcBorders>
          </w:tcPr>
          <w:p>
            <w:pPr>
              <w:spacing w:after="0"/>
              <w:rPr>
                <w:sz w:val="13"/>
                <w:szCs w:val="13"/>
                <w:color w:val="auto"/>
              </w:rPr>
            </w:pPr>
          </w:p>
        </w:tc>
        <w:tc>
          <w:tcPr>
            <w:tcW w:w="15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580" w:type="dxa"/>
            <w:vAlign w:val="bottom"/>
            <w:tcBorders>
              <w:right w:val="single" w:sz="8" w:color="auto"/>
            </w:tcBorders>
          </w:tcPr>
          <w:p>
            <w:pPr>
              <w:spacing w:after="0"/>
              <w:rPr>
                <w:sz w:val="13"/>
                <w:szCs w:val="13"/>
                <w:color w:val="auto"/>
              </w:rPr>
            </w:pPr>
          </w:p>
        </w:tc>
      </w:tr>
      <w:tr>
        <w:trPr>
          <w:trHeight w:val="192"/>
        </w:trPr>
        <w:tc>
          <w:tcPr>
            <w:tcW w:w="5020" w:type="dxa"/>
            <w:vAlign w:val="bottom"/>
            <w:tcBorders>
              <w:left w:val="single" w:sz="8" w:color="auto"/>
              <w:right w:val="single" w:sz="8" w:color="auto"/>
            </w:tcBorders>
          </w:tcPr>
          <w:p>
            <w:pPr>
              <w:ind w:left="20"/>
              <w:spacing w:after="0" w:line="191" w:lineRule="exact"/>
              <w:rPr>
                <w:sz w:val="20"/>
                <w:szCs w:val="20"/>
                <w:color w:val="auto"/>
              </w:rPr>
            </w:pPr>
            <w:r>
              <w:rPr>
                <w:rFonts w:ascii="Arial" w:cs="Arial" w:eastAsia="Arial" w:hAnsi="Arial"/>
                <w:sz w:val="14"/>
                <w:szCs w:val="14"/>
                <w:color w:val="auto"/>
              </w:rPr>
              <w:t xml:space="preserve">Digital monetary transactions </w:t>
            </w:r>
            <w:r>
              <w:rPr>
                <w:rFonts w:ascii="Arial" w:cs="Arial" w:eastAsia="Arial" w:hAnsi="Arial"/>
                <w:sz w:val="22"/>
                <w:szCs w:val="22"/>
                <w:color w:val="auto"/>
                <w:vertAlign w:val="superscript"/>
              </w:rPr>
              <w:t>(2)</w:t>
            </w:r>
          </w:p>
        </w:tc>
        <w:tc>
          <w:tcPr>
            <w:tcW w:w="1560" w:type="dxa"/>
            <w:vAlign w:val="bottom"/>
            <w:tcBorders>
              <w:right w:val="single" w:sz="8" w:color="646464"/>
            </w:tcBorders>
          </w:tcPr>
          <w:p>
            <w:pPr>
              <w:spacing w:after="0"/>
              <w:rPr>
                <w:sz w:val="20"/>
                <w:szCs w:val="20"/>
                <w:color w:val="auto"/>
              </w:rPr>
            </w:pPr>
            <w:r>
              <w:rPr>
                <w:rFonts w:ascii="Arial" w:cs="Arial" w:eastAsia="Arial" w:hAnsi="Arial"/>
                <w:sz w:val="16"/>
                <w:szCs w:val="16"/>
                <w:i w:val="1"/>
                <w:iCs w:val="1"/>
                <w:color w:val="auto"/>
              </w:rPr>
              <w:t>BCP</w:t>
            </w:r>
          </w:p>
        </w:tc>
        <w:tc>
          <w:tcPr>
            <w:tcW w:w="1540" w:type="dxa"/>
            <w:vAlign w:val="bottom"/>
          </w:tcPr>
          <w:p>
            <w:pPr>
              <w:jc w:val="center"/>
              <w:spacing w:after="0"/>
              <w:rPr>
                <w:sz w:val="20"/>
                <w:szCs w:val="20"/>
                <w:color w:val="auto"/>
              </w:rPr>
            </w:pPr>
            <w:r>
              <w:rPr>
                <w:rFonts w:ascii="Arial" w:cs="Arial" w:eastAsia="Arial" w:hAnsi="Arial"/>
                <w:sz w:val="16"/>
                <w:szCs w:val="16"/>
                <w:color w:val="auto"/>
              </w:rPr>
              <w:t>60%</w:t>
            </w:r>
          </w:p>
        </w:tc>
        <w:tc>
          <w:tcPr>
            <w:tcW w:w="1560" w:type="dxa"/>
            <w:vAlign w:val="bottom"/>
          </w:tcPr>
          <w:p>
            <w:pPr>
              <w:jc w:val="center"/>
              <w:spacing w:after="0"/>
              <w:rPr>
                <w:sz w:val="20"/>
                <w:szCs w:val="20"/>
                <w:color w:val="auto"/>
              </w:rPr>
            </w:pPr>
            <w:r>
              <w:rPr>
                <w:rFonts w:ascii="Arial" w:cs="Arial" w:eastAsia="Arial" w:hAnsi="Arial"/>
                <w:sz w:val="16"/>
                <w:szCs w:val="16"/>
                <w:color w:val="auto"/>
                <w:w w:val="99"/>
              </w:rPr>
              <w:t>73%</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76%</w:t>
            </w:r>
          </w:p>
        </w:tc>
      </w:tr>
      <w:tr>
        <w:trPr>
          <w:trHeight w:val="179"/>
        </w:trPr>
        <w:tc>
          <w:tcPr>
            <w:tcW w:w="5020" w:type="dxa"/>
            <w:vAlign w:val="bottom"/>
            <w:tcBorders>
              <w:left w:val="single" w:sz="8" w:color="auto"/>
              <w:right w:val="single" w:sz="8" w:color="auto"/>
            </w:tcBorders>
          </w:tcPr>
          <w:p>
            <w:pPr>
              <w:ind w:left="20"/>
              <w:spacing w:after="0" w:line="179" w:lineRule="exact"/>
              <w:rPr>
                <w:sz w:val="20"/>
                <w:szCs w:val="20"/>
                <w:color w:val="auto"/>
              </w:rPr>
            </w:pPr>
            <w:r>
              <w:rPr>
                <w:rFonts w:ascii="Arial" w:cs="Arial" w:eastAsia="Arial" w:hAnsi="Arial"/>
                <w:sz w:val="16"/>
                <w:szCs w:val="16"/>
                <w:color w:val="auto"/>
              </w:rPr>
              <w:t>Transactional cost by unit</w:t>
            </w:r>
          </w:p>
        </w:tc>
        <w:tc>
          <w:tcPr>
            <w:tcW w:w="1560" w:type="dxa"/>
            <w:vAlign w:val="bottom"/>
            <w:tcBorders>
              <w:right w:val="single" w:sz="8" w:color="646464"/>
            </w:tcBorders>
          </w:tcPr>
          <w:p>
            <w:pPr>
              <w:spacing w:after="0" w:line="179" w:lineRule="exact"/>
              <w:rPr>
                <w:sz w:val="20"/>
                <w:szCs w:val="20"/>
                <w:color w:val="auto"/>
              </w:rPr>
            </w:pPr>
            <w:r>
              <w:rPr>
                <w:rFonts w:ascii="Arial" w:cs="Arial" w:eastAsia="Arial" w:hAnsi="Arial"/>
                <w:sz w:val="16"/>
                <w:szCs w:val="16"/>
                <w:i w:val="1"/>
                <w:iCs w:val="1"/>
                <w:color w:val="auto"/>
              </w:rPr>
              <w:t>BCP</w:t>
            </w:r>
          </w:p>
        </w:tc>
        <w:tc>
          <w:tcPr>
            <w:tcW w:w="1540" w:type="dxa"/>
            <w:vAlign w:val="bottom"/>
          </w:tcPr>
          <w:p>
            <w:pPr>
              <w:jc w:val="center"/>
              <w:spacing w:after="0" w:line="179" w:lineRule="exact"/>
              <w:rPr>
                <w:sz w:val="20"/>
                <w:szCs w:val="20"/>
                <w:color w:val="auto"/>
              </w:rPr>
            </w:pPr>
            <w:r>
              <w:rPr>
                <w:rFonts w:ascii="Arial" w:cs="Arial" w:eastAsia="Arial" w:hAnsi="Arial"/>
                <w:sz w:val="16"/>
                <w:szCs w:val="16"/>
                <w:color w:val="auto"/>
              </w:rPr>
              <w:t>0.09</w:t>
            </w:r>
          </w:p>
        </w:tc>
        <w:tc>
          <w:tcPr>
            <w:tcW w:w="1560" w:type="dxa"/>
            <w:vAlign w:val="bottom"/>
          </w:tcPr>
          <w:p>
            <w:pPr>
              <w:jc w:val="center"/>
              <w:spacing w:after="0" w:line="179" w:lineRule="exact"/>
              <w:rPr>
                <w:sz w:val="20"/>
                <w:szCs w:val="20"/>
                <w:color w:val="auto"/>
              </w:rPr>
            </w:pPr>
            <w:r>
              <w:rPr>
                <w:rFonts w:ascii="Arial" w:cs="Arial" w:eastAsia="Arial" w:hAnsi="Arial"/>
                <w:sz w:val="16"/>
                <w:szCs w:val="16"/>
                <w:color w:val="auto"/>
              </w:rPr>
              <w:t>0.08</w:t>
            </w:r>
          </w:p>
        </w:tc>
        <w:tc>
          <w:tcPr>
            <w:tcW w:w="1580" w:type="dxa"/>
            <w:vAlign w:val="bottom"/>
            <w:tcBorders>
              <w:right w:val="single" w:sz="8" w:color="auto"/>
            </w:tcBorders>
          </w:tcPr>
          <w:p>
            <w:pPr>
              <w:jc w:val="center"/>
              <w:spacing w:after="0" w:line="179" w:lineRule="exact"/>
              <w:rPr>
                <w:sz w:val="20"/>
                <w:szCs w:val="20"/>
                <w:color w:val="auto"/>
              </w:rPr>
            </w:pPr>
            <w:r>
              <w:rPr>
                <w:rFonts w:ascii="Arial" w:cs="Arial" w:eastAsia="Arial" w:hAnsi="Arial"/>
                <w:sz w:val="16"/>
                <w:szCs w:val="16"/>
                <w:color w:val="auto"/>
              </w:rPr>
              <w:t>0.07</w:t>
            </w:r>
          </w:p>
        </w:tc>
      </w:tr>
      <w:tr>
        <w:trPr>
          <w:trHeight w:val="185"/>
        </w:trPr>
        <w:tc>
          <w:tcPr>
            <w:tcW w:w="5020" w:type="dxa"/>
            <w:vAlign w:val="bottom"/>
            <w:tcBorders>
              <w:left w:val="single" w:sz="8" w:color="auto"/>
              <w:right w:val="single" w:sz="8" w:color="auto"/>
            </w:tcBorders>
          </w:tcPr>
          <w:p>
            <w:pPr>
              <w:ind w:left="20"/>
              <w:spacing w:after="0" w:line="186" w:lineRule="exact"/>
              <w:rPr>
                <w:sz w:val="20"/>
                <w:szCs w:val="20"/>
                <w:color w:val="auto"/>
              </w:rPr>
            </w:pPr>
            <w:r>
              <w:rPr>
                <w:rFonts w:ascii="Arial" w:cs="Arial" w:eastAsia="Arial" w:hAnsi="Arial"/>
                <w:sz w:val="13"/>
                <w:szCs w:val="13"/>
                <w:color w:val="auto"/>
              </w:rPr>
              <w:t xml:space="preserve">Disbursements through leads </w:t>
            </w:r>
            <w:r>
              <w:rPr>
                <w:rFonts w:ascii="Arial" w:cs="Arial" w:eastAsia="Arial" w:hAnsi="Arial"/>
                <w:sz w:val="21"/>
                <w:szCs w:val="21"/>
                <w:color w:val="auto"/>
                <w:vertAlign w:val="superscript"/>
              </w:rPr>
              <w:t>(3)</w:t>
            </w:r>
          </w:p>
        </w:tc>
        <w:tc>
          <w:tcPr>
            <w:tcW w:w="1560" w:type="dxa"/>
            <w:vAlign w:val="bottom"/>
            <w:tcBorders>
              <w:right w:val="single" w:sz="8" w:color="646464"/>
            </w:tcBorders>
          </w:tcPr>
          <w:p>
            <w:pPr>
              <w:spacing w:after="0"/>
              <w:rPr>
                <w:sz w:val="20"/>
                <w:szCs w:val="20"/>
                <w:color w:val="auto"/>
              </w:rPr>
            </w:pPr>
            <w:r>
              <w:rPr>
                <w:rFonts w:ascii="Arial" w:cs="Arial" w:eastAsia="Arial" w:hAnsi="Arial"/>
                <w:sz w:val="16"/>
                <w:szCs w:val="16"/>
                <w:i w:val="1"/>
                <w:iCs w:val="1"/>
                <w:color w:val="auto"/>
              </w:rPr>
              <w:t>Mibanco</w:t>
            </w:r>
          </w:p>
        </w:tc>
        <w:tc>
          <w:tcPr>
            <w:tcW w:w="1540" w:type="dxa"/>
            <w:vAlign w:val="bottom"/>
          </w:tcPr>
          <w:p>
            <w:pPr>
              <w:jc w:val="center"/>
              <w:spacing w:after="0"/>
              <w:rPr>
                <w:sz w:val="20"/>
                <w:szCs w:val="20"/>
                <w:color w:val="auto"/>
              </w:rPr>
            </w:pPr>
            <w:r>
              <w:rPr>
                <w:rFonts w:ascii="Arial" w:cs="Arial" w:eastAsia="Arial" w:hAnsi="Arial"/>
                <w:sz w:val="16"/>
                <w:szCs w:val="16"/>
                <w:color w:val="auto"/>
              </w:rPr>
              <w:t>74%</w:t>
            </w:r>
          </w:p>
        </w:tc>
        <w:tc>
          <w:tcPr>
            <w:tcW w:w="1560" w:type="dxa"/>
            <w:vAlign w:val="bottom"/>
          </w:tcPr>
          <w:p>
            <w:pPr>
              <w:jc w:val="center"/>
              <w:spacing w:after="0"/>
              <w:rPr>
                <w:sz w:val="20"/>
                <w:szCs w:val="20"/>
                <w:color w:val="auto"/>
              </w:rPr>
            </w:pPr>
            <w:r>
              <w:rPr>
                <w:rFonts w:ascii="Arial" w:cs="Arial" w:eastAsia="Arial" w:hAnsi="Arial"/>
                <w:sz w:val="16"/>
                <w:szCs w:val="16"/>
                <w:color w:val="auto"/>
                <w:w w:val="99"/>
              </w:rPr>
              <w:t>75%</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70%</w:t>
            </w:r>
          </w:p>
        </w:tc>
      </w:tr>
      <w:tr>
        <w:trPr>
          <w:trHeight w:val="185"/>
        </w:trPr>
        <w:tc>
          <w:tcPr>
            <w:tcW w:w="5020" w:type="dxa"/>
            <w:vAlign w:val="bottom"/>
            <w:tcBorders>
              <w:left w:val="single" w:sz="8" w:color="auto"/>
              <w:right w:val="single" w:sz="8" w:color="auto"/>
            </w:tcBorders>
          </w:tcPr>
          <w:p>
            <w:pPr>
              <w:ind w:left="20"/>
              <w:spacing w:after="0" w:line="186" w:lineRule="exact"/>
              <w:rPr>
                <w:sz w:val="20"/>
                <w:szCs w:val="20"/>
                <w:color w:val="auto"/>
              </w:rPr>
            </w:pPr>
            <w:r>
              <w:rPr>
                <w:rFonts w:ascii="Arial" w:cs="Arial" w:eastAsia="Arial" w:hAnsi="Arial"/>
                <w:sz w:val="13"/>
                <w:szCs w:val="13"/>
                <w:color w:val="auto"/>
              </w:rPr>
              <w:t xml:space="preserve">Disbursements through alternative channels </w:t>
            </w:r>
            <w:r>
              <w:rPr>
                <w:rFonts w:ascii="Arial" w:cs="Arial" w:eastAsia="Arial" w:hAnsi="Arial"/>
                <w:sz w:val="21"/>
                <w:szCs w:val="21"/>
                <w:color w:val="auto"/>
                <w:vertAlign w:val="superscript"/>
              </w:rPr>
              <w:t>(4)</w:t>
            </w:r>
          </w:p>
        </w:tc>
        <w:tc>
          <w:tcPr>
            <w:tcW w:w="1560" w:type="dxa"/>
            <w:vAlign w:val="bottom"/>
            <w:tcBorders>
              <w:right w:val="single" w:sz="8" w:color="646464"/>
            </w:tcBorders>
          </w:tcPr>
          <w:p>
            <w:pPr>
              <w:spacing w:after="0"/>
              <w:rPr>
                <w:sz w:val="20"/>
                <w:szCs w:val="20"/>
                <w:color w:val="auto"/>
              </w:rPr>
            </w:pPr>
            <w:r>
              <w:rPr>
                <w:rFonts w:ascii="Arial" w:cs="Arial" w:eastAsia="Arial" w:hAnsi="Arial"/>
                <w:sz w:val="16"/>
                <w:szCs w:val="16"/>
                <w:i w:val="1"/>
                <w:iCs w:val="1"/>
                <w:color w:val="auto"/>
              </w:rPr>
              <w:t>Mibanco</w:t>
            </w:r>
          </w:p>
        </w:tc>
        <w:tc>
          <w:tcPr>
            <w:tcW w:w="1540" w:type="dxa"/>
            <w:vAlign w:val="bottom"/>
          </w:tcPr>
          <w:p>
            <w:pPr>
              <w:jc w:val="center"/>
              <w:spacing w:after="0"/>
              <w:rPr>
                <w:sz w:val="20"/>
                <w:szCs w:val="20"/>
                <w:color w:val="auto"/>
              </w:rPr>
            </w:pPr>
            <w:r>
              <w:rPr>
                <w:rFonts w:ascii="Arial" w:cs="Arial" w:eastAsia="Arial" w:hAnsi="Arial"/>
                <w:sz w:val="16"/>
                <w:szCs w:val="16"/>
                <w:color w:val="auto"/>
              </w:rPr>
              <w:t>43%</w:t>
            </w:r>
          </w:p>
        </w:tc>
        <w:tc>
          <w:tcPr>
            <w:tcW w:w="1560" w:type="dxa"/>
            <w:vAlign w:val="bottom"/>
          </w:tcPr>
          <w:p>
            <w:pPr>
              <w:jc w:val="center"/>
              <w:spacing w:after="0"/>
              <w:rPr>
                <w:sz w:val="20"/>
                <w:szCs w:val="20"/>
                <w:color w:val="auto"/>
              </w:rPr>
            </w:pPr>
            <w:r>
              <w:rPr>
                <w:rFonts w:ascii="Arial" w:cs="Arial" w:eastAsia="Arial" w:hAnsi="Arial"/>
                <w:sz w:val="16"/>
                <w:szCs w:val="16"/>
                <w:color w:val="auto"/>
                <w:w w:val="99"/>
              </w:rPr>
              <w:t>44%</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44%</w:t>
            </w:r>
          </w:p>
        </w:tc>
      </w:tr>
      <w:tr>
        <w:trPr>
          <w:trHeight w:val="208"/>
        </w:trPr>
        <w:tc>
          <w:tcPr>
            <w:tcW w:w="5020" w:type="dxa"/>
            <w:vAlign w:val="bottom"/>
            <w:tcBorders>
              <w:left w:val="single" w:sz="8" w:color="auto"/>
              <w:bottom w:val="single" w:sz="8" w:color="auto"/>
              <w:right w:val="single" w:sz="8" w:color="auto"/>
            </w:tcBorders>
          </w:tcPr>
          <w:p>
            <w:pPr>
              <w:ind w:left="20"/>
              <w:spacing w:after="0" w:line="209" w:lineRule="exact"/>
              <w:rPr>
                <w:sz w:val="20"/>
                <w:szCs w:val="20"/>
                <w:color w:val="auto"/>
              </w:rPr>
            </w:pPr>
            <w:r>
              <w:rPr>
                <w:rFonts w:ascii="Arial" w:cs="Arial" w:eastAsia="Arial" w:hAnsi="Arial"/>
                <w:sz w:val="15"/>
                <w:szCs w:val="15"/>
                <w:color w:val="auto"/>
              </w:rPr>
              <w:t xml:space="preserve">Mibanco Productivity </w:t>
            </w:r>
            <w:r>
              <w:rPr>
                <w:rFonts w:ascii="Arial" w:cs="Arial" w:eastAsia="Arial" w:hAnsi="Arial"/>
                <w:sz w:val="24"/>
                <w:szCs w:val="24"/>
                <w:color w:val="auto"/>
                <w:vertAlign w:val="superscript"/>
              </w:rPr>
              <w:t>(5)</w:t>
            </w:r>
          </w:p>
        </w:tc>
        <w:tc>
          <w:tcPr>
            <w:tcW w:w="1560" w:type="dxa"/>
            <w:vAlign w:val="bottom"/>
            <w:tcBorders>
              <w:bottom w:val="single" w:sz="8" w:color="auto"/>
              <w:right w:val="single" w:sz="8" w:color="646464"/>
            </w:tcBorders>
          </w:tcPr>
          <w:p>
            <w:pPr>
              <w:spacing w:after="0"/>
              <w:rPr>
                <w:sz w:val="20"/>
                <w:szCs w:val="20"/>
                <w:color w:val="auto"/>
              </w:rPr>
            </w:pPr>
            <w:r>
              <w:rPr>
                <w:rFonts w:ascii="Arial" w:cs="Arial" w:eastAsia="Arial" w:hAnsi="Arial"/>
                <w:sz w:val="16"/>
                <w:szCs w:val="16"/>
                <w:i w:val="1"/>
                <w:iCs w:val="1"/>
                <w:color w:val="auto"/>
              </w:rPr>
              <w:t>Mibanco</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24.5</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26.7</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22.1</w:t>
            </w:r>
          </w:p>
        </w:tc>
      </w:tr>
      <w:tr>
        <w:trPr>
          <w:trHeight w:val="155"/>
        </w:trPr>
        <w:tc>
          <w:tcPr>
            <w:tcW w:w="5020" w:type="dxa"/>
            <w:vAlign w:val="bottom"/>
            <w:tcBorders>
              <w:left w:val="single" w:sz="8" w:color="auto"/>
              <w:right w:val="single" w:sz="8" w:color="auto"/>
            </w:tcBorders>
          </w:tcPr>
          <w:p>
            <w:pPr>
              <w:ind w:left="20"/>
              <w:spacing w:after="0" w:line="155" w:lineRule="exact"/>
              <w:rPr>
                <w:sz w:val="20"/>
                <w:szCs w:val="20"/>
                <w:color w:val="auto"/>
              </w:rPr>
            </w:pPr>
            <w:r>
              <w:rPr>
                <w:rFonts w:ascii="Arial" w:cs="Arial" w:eastAsia="Arial" w:hAnsi="Arial"/>
                <w:sz w:val="16"/>
                <w:szCs w:val="16"/>
                <w:b w:val="1"/>
                <w:bCs w:val="1"/>
                <w:i w:val="1"/>
                <w:iCs w:val="1"/>
                <w:color w:val="auto"/>
              </w:rPr>
              <w:t>Cashless</w:t>
            </w:r>
          </w:p>
        </w:tc>
        <w:tc>
          <w:tcPr>
            <w:tcW w:w="1560" w:type="dxa"/>
            <w:vAlign w:val="bottom"/>
            <w:tcBorders>
              <w:right w:val="single" w:sz="8" w:color="646464"/>
            </w:tcBorders>
          </w:tcPr>
          <w:p>
            <w:pPr>
              <w:spacing w:after="0"/>
              <w:rPr>
                <w:sz w:val="13"/>
                <w:szCs w:val="13"/>
                <w:color w:val="auto"/>
              </w:rPr>
            </w:pPr>
          </w:p>
        </w:tc>
        <w:tc>
          <w:tcPr>
            <w:tcW w:w="15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580" w:type="dxa"/>
            <w:vAlign w:val="bottom"/>
            <w:tcBorders>
              <w:right w:val="single" w:sz="8" w:color="auto"/>
            </w:tcBorders>
          </w:tcPr>
          <w:p>
            <w:pPr>
              <w:spacing w:after="0"/>
              <w:rPr>
                <w:sz w:val="13"/>
                <w:szCs w:val="13"/>
                <w:color w:val="auto"/>
              </w:rPr>
            </w:pPr>
          </w:p>
        </w:tc>
      </w:tr>
      <w:tr>
        <w:trPr>
          <w:trHeight w:val="192"/>
        </w:trPr>
        <w:tc>
          <w:tcPr>
            <w:tcW w:w="5020" w:type="dxa"/>
            <w:vAlign w:val="bottom"/>
            <w:tcBorders>
              <w:left w:val="single" w:sz="8" w:color="auto"/>
              <w:right w:val="single" w:sz="8" w:color="auto"/>
            </w:tcBorders>
          </w:tcPr>
          <w:p>
            <w:pPr>
              <w:ind w:left="20"/>
              <w:spacing w:after="0" w:line="191" w:lineRule="exact"/>
              <w:rPr>
                <w:sz w:val="20"/>
                <w:szCs w:val="20"/>
                <w:color w:val="auto"/>
              </w:rPr>
            </w:pPr>
            <w:r>
              <w:rPr>
                <w:rFonts w:ascii="Arial" w:cs="Arial" w:eastAsia="Arial" w:hAnsi="Arial"/>
                <w:sz w:val="14"/>
                <w:szCs w:val="14"/>
                <w:color w:val="auto"/>
              </w:rPr>
              <w:t xml:space="preserve">Cashless transactions </w:t>
            </w:r>
            <w:r>
              <w:rPr>
                <w:rFonts w:ascii="Arial" w:cs="Arial" w:eastAsia="Arial" w:hAnsi="Arial"/>
                <w:sz w:val="22"/>
                <w:szCs w:val="22"/>
                <w:color w:val="auto"/>
                <w:vertAlign w:val="superscript"/>
              </w:rPr>
              <w:t>(6)</w:t>
            </w:r>
          </w:p>
        </w:tc>
        <w:tc>
          <w:tcPr>
            <w:tcW w:w="1560" w:type="dxa"/>
            <w:vAlign w:val="bottom"/>
            <w:tcBorders>
              <w:right w:val="single" w:sz="8" w:color="646464"/>
            </w:tcBorders>
          </w:tcPr>
          <w:p>
            <w:pPr>
              <w:spacing w:after="0"/>
              <w:rPr>
                <w:sz w:val="20"/>
                <w:szCs w:val="20"/>
                <w:color w:val="auto"/>
              </w:rPr>
            </w:pPr>
            <w:r>
              <w:rPr>
                <w:rFonts w:ascii="Arial" w:cs="Arial" w:eastAsia="Arial" w:hAnsi="Arial"/>
                <w:sz w:val="16"/>
                <w:szCs w:val="16"/>
                <w:i w:val="1"/>
                <w:iCs w:val="1"/>
                <w:color w:val="auto"/>
              </w:rPr>
              <w:t>BCP</w:t>
            </w:r>
          </w:p>
        </w:tc>
        <w:tc>
          <w:tcPr>
            <w:tcW w:w="1540" w:type="dxa"/>
            <w:vAlign w:val="bottom"/>
          </w:tcPr>
          <w:p>
            <w:pPr>
              <w:jc w:val="center"/>
              <w:spacing w:after="0"/>
              <w:rPr>
                <w:sz w:val="20"/>
                <w:szCs w:val="20"/>
                <w:color w:val="auto"/>
              </w:rPr>
            </w:pPr>
            <w:r>
              <w:rPr>
                <w:rFonts w:ascii="Arial" w:cs="Arial" w:eastAsia="Arial" w:hAnsi="Arial"/>
                <w:sz w:val="16"/>
                <w:szCs w:val="16"/>
                <w:color w:val="auto"/>
              </w:rPr>
              <w:t>45%</w:t>
            </w:r>
          </w:p>
        </w:tc>
        <w:tc>
          <w:tcPr>
            <w:tcW w:w="1560" w:type="dxa"/>
            <w:vAlign w:val="bottom"/>
          </w:tcPr>
          <w:p>
            <w:pPr>
              <w:jc w:val="center"/>
              <w:spacing w:after="0"/>
              <w:rPr>
                <w:sz w:val="20"/>
                <w:szCs w:val="20"/>
                <w:color w:val="auto"/>
              </w:rPr>
            </w:pPr>
            <w:r>
              <w:rPr>
                <w:rFonts w:ascii="Arial" w:cs="Arial" w:eastAsia="Arial" w:hAnsi="Arial"/>
                <w:sz w:val="16"/>
                <w:szCs w:val="16"/>
                <w:color w:val="auto"/>
                <w:w w:val="99"/>
              </w:rPr>
              <w:t>50%</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51%</w:t>
            </w:r>
          </w:p>
        </w:tc>
      </w:tr>
      <w:tr>
        <w:trPr>
          <w:trHeight w:val="185"/>
        </w:trPr>
        <w:tc>
          <w:tcPr>
            <w:tcW w:w="50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Mobile Banking rating iOS</w:t>
            </w:r>
          </w:p>
        </w:tc>
        <w:tc>
          <w:tcPr>
            <w:tcW w:w="1560" w:type="dxa"/>
            <w:vAlign w:val="bottom"/>
            <w:tcBorders>
              <w:right w:val="single" w:sz="8" w:color="646464"/>
            </w:tcBorders>
          </w:tcPr>
          <w:p>
            <w:pPr>
              <w:spacing w:after="0"/>
              <w:rPr>
                <w:sz w:val="20"/>
                <w:szCs w:val="20"/>
                <w:color w:val="auto"/>
              </w:rPr>
            </w:pPr>
            <w:r>
              <w:rPr>
                <w:rFonts w:ascii="Arial" w:cs="Arial" w:eastAsia="Arial" w:hAnsi="Arial"/>
                <w:sz w:val="16"/>
                <w:szCs w:val="16"/>
                <w:i w:val="1"/>
                <w:iCs w:val="1"/>
                <w:color w:val="auto"/>
              </w:rPr>
              <w:t>BCP</w:t>
            </w:r>
          </w:p>
        </w:tc>
        <w:tc>
          <w:tcPr>
            <w:tcW w:w="1540" w:type="dxa"/>
            <w:vAlign w:val="bottom"/>
          </w:tcPr>
          <w:p>
            <w:pPr>
              <w:jc w:val="center"/>
              <w:spacing w:after="0"/>
              <w:rPr>
                <w:sz w:val="20"/>
                <w:szCs w:val="20"/>
                <w:color w:val="auto"/>
              </w:rPr>
            </w:pPr>
            <w:r>
              <w:rPr>
                <w:rFonts w:ascii="Arial" w:cs="Arial" w:eastAsia="Arial" w:hAnsi="Arial"/>
                <w:sz w:val="16"/>
                <w:szCs w:val="16"/>
                <w:color w:val="auto"/>
                <w:w w:val="98"/>
              </w:rPr>
              <w:t>4.7</w:t>
            </w:r>
          </w:p>
        </w:tc>
        <w:tc>
          <w:tcPr>
            <w:tcW w:w="1560" w:type="dxa"/>
            <w:vAlign w:val="bottom"/>
          </w:tcPr>
          <w:p>
            <w:pPr>
              <w:jc w:val="center"/>
              <w:spacing w:after="0"/>
              <w:rPr>
                <w:sz w:val="20"/>
                <w:szCs w:val="20"/>
                <w:color w:val="auto"/>
              </w:rPr>
            </w:pPr>
            <w:r>
              <w:rPr>
                <w:rFonts w:ascii="Arial" w:cs="Arial" w:eastAsia="Arial" w:hAnsi="Arial"/>
                <w:sz w:val="16"/>
                <w:szCs w:val="16"/>
                <w:color w:val="auto"/>
              </w:rPr>
              <w:t>4.7</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4.7</w:t>
            </w:r>
          </w:p>
        </w:tc>
      </w:tr>
      <w:tr>
        <w:trPr>
          <w:trHeight w:val="202"/>
        </w:trPr>
        <w:tc>
          <w:tcPr>
            <w:tcW w:w="50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Mobile Banking rating Android</w:t>
            </w:r>
          </w:p>
        </w:tc>
        <w:tc>
          <w:tcPr>
            <w:tcW w:w="1560" w:type="dxa"/>
            <w:vAlign w:val="bottom"/>
            <w:tcBorders>
              <w:bottom w:val="single" w:sz="8" w:color="auto"/>
              <w:right w:val="single" w:sz="8" w:color="646464"/>
            </w:tcBorders>
          </w:tcPr>
          <w:p>
            <w:pPr>
              <w:spacing w:after="0"/>
              <w:rPr>
                <w:sz w:val="20"/>
                <w:szCs w:val="20"/>
                <w:color w:val="auto"/>
              </w:rPr>
            </w:pPr>
            <w:r>
              <w:rPr>
                <w:rFonts w:ascii="Arial" w:cs="Arial" w:eastAsia="Arial" w:hAnsi="Arial"/>
                <w:sz w:val="16"/>
                <w:szCs w:val="16"/>
                <w:i w:val="1"/>
                <w:iCs w:val="1"/>
                <w:color w:val="auto"/>
              </w:rPr>
              <w:t>BCP</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3.9</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4.5</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4.2</w:t>
            </w:r>
          </w:p>
        </w:tc>
      </w:tr>
      <w:tr>
        <w:trPr>
          <w:trHeight w:val="155"/>
        </w:trPr>
        <w:tc>
          <w:tcPr>
            <w:tcW w:w="5020" w:type="dxa"/>
            <w:vAlign w:val="bottom"/>
            <w:tcBorders>
              <w:left w:val="single" w:sz="8" w:color="auto"/>
              <w:right w:val="single" w:sz="8" w:color="auto"/>
            </w:tcBorders>
          </w:tcPr>
          <w:p>
            <w:pPr>
              <w:ind w:left="20"/>
              <w:spacing w:after="0" w:line="155" w:lineRule="exact"/>
              <w:rPr>
                <w:sz w:val="20"/>
                <w:szCs w:val="20"/>
                <w:color w:val="auto"/>
              </w:rPr>
            </w:pPr>
            <w:r>
              <w:rPr>
                <w:rFonts w:ascii="Arial" w:cs="Arial" w:eastAsia="Arial" w:hAnsi="Arial"/>
                <w:sz w:val="16"/>
                <w:szCs w:val="16"/>
                <w:b w:val="1"/>
                <w:bCs w:val="1"/>
                <w:i w:val="1"/>
                <w:iCs w:val="1"/>
                <w:color w:val="auto"/>
              </w:rPr>
              <w:t>Digital Acquisition</w:t>
            </w:r>
          </w:p>
        </w:tc>
        <w:tc>
          <w:tcPr>
            <w:tcW w:w="1560" w:type="dxa"/>
            <w:vAlign w:val="bottom"/>
            <w:tcBorders>
              <w:right w:val="single" w:sz="8" w:color="646464"/>
            </w:tcBorders>
          </w:tcPr>
          <w:p>
            <w:pPr>
              <w:spacing w:after="0"/>
              <w:rPr>
                <w:sz w:val="13"/>
                <w:szCs w:val="13"/>
                <w:color w:val="auto"/>
              </w:rPr>
            </w:pPr>
          </w:p>
        </w:tc>
        <w:tc>
          <w:tcPr>
            <w:tcW w:w="15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580" w:type="dxa"/>
            <w:vAlign w:val="bottom"/>
            <w:tcBorders>
              <w:right w:val="single" w:sz="8" w:color="auto"/>
            </w:tcBorders>
          </w:tcPr>
          <w:p>
            <w:pPr>
              <w:spacing w:after="0"/>
              <w:rPr>
                <w:sz w:val="13"/>
                <w:szCs w:val="13"/>
                <w:color w:val="auto"/>
              </w:rPr>
            </w:pPr>
          </w:p>
        </w:tc>
      </w:tr>
      <w:tr>
        <w:trPr>
          <w:trHeight w:val="208"/>
        </w:trPr>
        <w:tc>
          <w:tcPr>
            <w:tcW w:w="5020" w:type="dxa"/>
            <w:vAlign w:val="bottom"/>
            <w:tcBorders>
              <w:left w:val="single" w:sz="8" w:color="auto"/>
              <w:bottom w:val="single" w:sz="8" w:color="auto"/>
              <w:right w:val="single" w:sz="8" w:color="auto"/>
            </w:tcBorders>
          </w:tcPr>
          <w:p>
            <w:pPr>
              <w:ind w:left="20"/>
              <w:spacing w:after="0" w:line="209" w:lineRule="exact"/>
              <w:rPr>
                <w:sz w:val="20"/>
                <w:szCs w:val="20"/>
                <w:color w:val="auto"/>
              </w:rPr>
            </w:pPr>
            <w:r>
              <w:rPr>
                <w:rFonts w:ascii="Arial" w:cs="Arial" w:eastAsia="Arial" w:hAnsi="Arial"/>
                <w:sz w:val="15"/>
                <w:szCs w:val="15"/>
                <w:color w:val="auto"/>
              </w:rPr>
              <w:t xml:space="preserve">Digital sales </w:t>
            </w:r>
            <w:r>
              <w:rPr>
                <w:rFonts w:ascii="Arial" w:cs="Arial" w:eastAsia="Arial" w:hAnsi="Arial"/>
                <w:sz w:val="24"/>
                <w:szCs w:val="24"/>
                <w:color w:val="auto"/>
                <w:vertAlign w:val="superscript"/>
              </w:rPr>
              <w:t>(7)</w:t>
            </w:r>
          </w:p>
        </w:tc>
        <w:tc>
          <w:tcPr>
            <w:tcW w:w="1560" w:type="dxa"/>
            <w:vAlign w:val="bottom"/>
            <w:tcBorders>
              <w:bottom w:val="single" w:sz="8" w:color="auto"/>
              <w:right w:val="single" w:sz="8" w:color="646464"/>
            </w:tcBorders>
          </w:tcPr>
          <w:p>
            <w:pPr>
              <w:spacing w:after="0"/>
              <w:rPr>
                <w:sz w:val="20"/>
                <w:szCs w:val="20"/>
                <w:color w:val="auto"/>
              </w:rPr>
            </w:pPr>
            <w:r>
              <w:rPr>
                <w:rFonts w:ascii="Arial" w:cs="Arial" w:eastAsia="Arial" w:hAnsi="Arial"/>
                <w:sz w:val="16"/>
                <w:szCs w:val="16"/>
                <w:i w:val="1"/>
                <w:iCs w:val="1"/>
                <w:color w:val="auto"/>
              </w:rPr>
              <w:t>BCP</w:t>
            </w: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53%</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53%</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58%</w:t>
            </w:r>
          </w:p>
        </w:tc>
      </w:tr>
    </w:tbl>
    <w:p>
      <w:pPr>
        <w:spacing w:after="0" w:line="167" w:lineRule="exact"/>
        <w:rPr>
          <w:sz w:val="20"/>
          <w:szCs w:val="20"/>
          <w:color w:val="auto"/>
        </w:rPr>
      </w:pPr>
    </w:p>
    <w:p>
      <w:pPr>
        <w:ind w:left="161" w:hanging="161"/>
        <w:spacing w:after="0"/>
        <w:tabs>
          <w:tab w:leader="none" w:pos="161" w:val="left"/>
        </w:tabs>
        <w:numPr>
          <w:ilvl w:val="0"/>
          <w:numId w:val="7"/>
        </w:numPr>
        <w:rPr>
          <w:rFonts w:ascii="Arial" w:cs="Arial" w:eastAsia="Arial" w:hAnsi="Arial"/>
          <w:sz w:val="11"/>
          <w:szCs w:val="11"/>
          <w:color w:val="auto"/>
        </w:rPr>
      </w:pPr>
      <w:r>
        <w:rPr>
          <w:rFonts w:ascii="Arial" w:cs="Arial" w:eastAsia="Arial" w:hAnsi="Arial"/>
          <w:sz w:val="11"/>
          <w:szCs w:val="11"/>
          <w:color w:val="auto"/>
        </w:rPr>
        <w:t>Figures for September 2022, June 2023, and September 2023</w:t>
      </w:r>
    </w:p>
    <w:p>
      <w:pPr>
        <w:spacing w:after="0" w:line="5" w:lineRule="exact"/>
        <w:rPr>
          <w:rFonts w:ascii="Arial" w:cs="Arial" w:eastAsia="Arial" w:hAnsi="Arial"/>
          <w:sz w:val="11"/>
          <w:szCs w:val="11"/>
          <w:color w:val="auto"/>
        </w:rPr>
      </w:pPr>
    </w:p>
    <w:p>
      <w:pPr>
        <w:ind w:left="161" w:hanging="161"/>
        <w:spacing w:after="0" w:line="234" w:lineRule="auto"/>
        <w:tabs>
          <w:tab w:leader="none" w:pos="161" w:val="left"/>
        </w:tabs>
        <w:numPr>
          <w:ilvl w:val="0"/>
          <w:numId w:val="7"/>
        </w:numPr>
        <w:rPr>
          <w:rFonts w:ascii="Arial" w:cs="Arial" w:eastAsia="Arial" w:hAnsi="Arial"/>
          <w:sz w:val="11"/>
          <w:szCs w:val="11"/>
          <w:color w:val="auto"/>
        </w:rPr>
      </w:pPr>
      <w:r>
        <w:rPr>
          <w:rFonts w:ascii="Arial" w:cs="Arial" w:eastAsia="Arial" w:hAnsi="Arial"/>
          <w:sz w:val="11"/>
          <w:szCs w:val="11"/>
          <w:color w:val="auto"/>
        </w:rPr>
        <w:t>Monetary Transactions conducted through Retail Banking, Internet Banking, Yape and Telecredito/Total Retail Monetary Transactions in Retail Banking.</w:t>
      </w:r>
    </w:p>
    <w:p>
      <w:pPr>
        <w:ind w:left="161" w:hanging="161"/>
        <w:spacing w:after="0" w:line="234" w:lineRule="auto"/>
        <w:tabs>
          <w:tab w:leader="none" w:pos="161" w:val="left"/>
        </w:tabs>
        <w:numPr>
          <w:ilvl w:val="0"/>
          <w:numId w:val="7"/>
        </w:numPr>
        <w:rPr>
          <w:rFonts w:ascii="Arial" w:cs="Arial" w:eastAsia="Arial" w:hAnsi="Arial"/>
          <w:sz w:val="11"/>
          <w:szCs w:val="11"/>
          <w:color w:val="auto"/>
        </w:rPr>
      </w:pPr>
      <w:r>
        <w:rPr>
          <w:rFonts w:ascii="Arial" w:cs="Arial" w:eastAsia="Arial" w:hAnsi="Arial"/>
          <w:sz w:val="11"/>
          <w:szCs w:val="11"/>
          <w:color w:val="auto"/>
        </w:rPr>
        <w:t>Disbursements generated through leads/Total disbursements.</w:t>
      </w:r>
    </w:p>
    <w:p>
      <w:pPr>
        <w:ind w:left="161" w:hanging="161"/>
        <w:spacing w:after="0" w:line="234" w:lineRule="auto"/>
        <w:tabs>
          <w:tab w:leader="none" w:pos="161" w:val="left"/>
        </w:tabs>
        <w:numPr>
          <w:ilvl w:val="0"/>
          <w:numId w:val="7"/>
        </w:numPr>
        <w:rPr>
          <w:rFonts w:ascii="Arial" w:cs="Arial" w:eastAsia="Arial" w:hAnsi="Arial"/>
          <w:sz w:val="11"/>
          <w:szCs w:val="11"/>
          <w:color w:val="auto"/>
        </w:rPr>
      </w:pPr>
      <w:r>
        <w:rPr>
          <w:rFonts w:ascii="Arial" w:cs="Arial" w:eastAsia="Arial" w:hAnsi="Arial"/>
          <w:sz w:val="11"/>
          <w:szCs w:val="11"/>
          <w:color w:val="auto"/>
        </w:rPr>
        <w:t>Disbursements conducted through alternative channels/Total disbursements.</w:t>
      </w:r>
    </w:p>
    <w:p>
      <w:pPr>
        <w:ind w:left="161" w:hanging="161"/>
        <w:spacing w:after="0" w:line="234" w:lineRule="auto"/>
        <w:tabs>
          <w:tab w:leader="none" w:pos="161" w:val="left"/>
        </w:tabs>
        <w:numPr>
          <w:ilvl w:val="0"/>
          <w:numId w:val="7"/>
        </w:numPr>
        <w:rPr>
          <w:rFonts w:ascii="Arial" w:cs="Arial" w:eastAsia="Arial" w:hAnsi="Arial"/>
          <w:sz w:val="11"/>
          <w:szCs w:val="11"/>
          <w:color w:val="auto"/>
        </w:rPr>
      </w:pPr>
      <w:r>
        <w:rPr>
          <w:rFonts w:ascii="Arial" w:cs="Arial" w:eastAsia="Arial" w:hAnsi="Arial"/>
          <w:sz w:val="11"/>
          <w:szCs w:val="11"/>
          <w:color w:val="auto"/>
        </w:rPr>
        <w:t>Number of loans disbursed/ Total relationship managers</w:t>
      </w:r>
    </w:p>
    <w:p>
      <w:pPr>
        <w:ind w:left="161" w:hanging="161"/>
        <w:spacing w:after="0" w:line="234" w:lineRule="auto"/>
        <w:tabs>
          <w:tab w:leader="none" w:pos="161" w:val="left"/>
        </w:tabs>
        <w:numPr>
          <w:ilvl w:val="0"/>
          <w:numId w:val="7"/>
        </w:numPr>
        <w:rPr>
          <w:rFonts w:ascii="Arial" w:cs="Arial" w:eastAsia="Arial" w:hAnsi="Arial"/>
          <w:sz w:val="11"/>
          <w:szCs w:val="11"/>
          <w:color w:val="auto"/>
        </w:rPr>
      </w:pPr>
      <w:r>
        <w:rPr>
          <w:rFonts w:ascii="Arial" w:cs="Arial" w:eastAsia="Arial" w:hAnsi="Arial"/>
          <w:sz w:val="11"/>
          <w:szCs w:val="11"/>
          <w:color w:val="auto"/>
        </w:rPr>
        <w:t>Amount transacted through Mobile Banking, Internet Banking, Yape y POS/ Total amount transacted through Retail Banking Minorista.</w:t>
      </w:r>
    </w:p>
    <w:p>
      <w:pPr>
        <w:ind w:left="161" w:hanging="161"/>
        <w:spacing w:after="0"/>
        <w:tabs>
          <w:tab w:leader="none" w:pos="161" w:val="left"/>
        </w:tabs>
        <w:numPr>
          <w:ilvl w:val="0"/>
          <w:numId w:val="7"/>
        </w:numPr>
        <w:rPr>
          <w:rFonts w:ascii="Arial" w:cs="Arial" w:eastAsia="Arial" w:hAnsi="Arial"/>
          <w:sz w:val="11"/>
          <w:szCs w:val="11"/>
          <w:color w:val="auto"/>
        </w:rPr>
      </w:pPr>
      <w:r>
        <w:rPr>
          <w:rFonts w:ascii="Arial" w:cs="Arial" w:eastAsia="Arial" w:hAnsi="Arial"/>
          <w:sz w:val="11"/>
          <w:szCs w:val="11"/>
          <w:color w:val="auto"/>
        </w:rPr>
        <w:t>Units sold by Retail Banking through digital channels/ Total number of units sold by Retail Banking.</w:t>
      </w:r>
    </w:p>
    <w:p>
      <w:pPr>
        <w:spacing w:after="0" w:line="263" w:lineRule="exact"/>
        <w:rPr>
          <w:sz w:val="20"/>
          <w:szCs w:val="20"/>
          <w:color w:val="auto"/>
        </w:rPr>
      </w:pPr>
    </w:p>
    <w:p>
      <w:pPr>
        <w:ind w:left="11101"/>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40005</wp:posOffset>
            </wp:positionV>
            <wp:extent cx="7143750" cy="158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312" w:right="339" w:bottom="1440" w:gutter="0" w:footer="0" w:header="0"/>
        </w:sectPr>
      </w:pPr>
    </w:p>
    <w:bookmarkStart w:id="15" w:name="page16"/>
    <w:bookmarkEnd w:id="15"/>
    <w:p>
      <w:pPr>
        <w:ind w:left="2961"/>
        <w:spacing w:after="0"/>
        <w:tabs>
          <w:tab w:leader="none" w:pos="3141" w:val="left"/>
          <w:tab w:leader="none" w:pos="7321" w:val="left"/>
        </w:tabs>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202565</wp:posOffset>
            </wp:positionH>
            <wp:positionV relativeFrom="page">
              <wp:posOffset>88900</wp:posOffset>
            </wp:positionV>
            <wp:extent cx="7143750" cy="3848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3750" cy="384810"/>
                    </a:xfrm>
                    <a:prstGeom prst="rect">
                      <a:avLst/>
                    </a:prstGeom>
                    <a:noFill/>
                  </pic:spPr>
                </pic:pic>
              </a:graphicData>
            </a:graphic>
          </wp:anchor>
        </w:drawing>
        <w:t>|</w:t>
      </w:r>
      <w:r>
        <w:rPr>
          <w:sz w:val="20"/>
          <w:szCs w:val="20"/>
          <w:color w:val="auto"/>
        </w:rPr>
        <w:tab/>
      </w:r>
      <w:r>
        <w:rPr>
          <w:rFonts w:ascii="Arial" w:cs="Arial" w:eastAsia="Arial" w:hAnsi="Arial"/>
          <w:sz w:val="16"/>
          <w:szCs w:val="16"/>
          <w:b w:val="1"/>
          <w:bCs w:val="1"/>
          <w:color w:val="FFFFFF"/>
        </w:rPr>
        <w:t>Earnings Release 3Q / 2023</w:t>
      </w:r>
      <w:r>
        <w:rPr>
          <w:sz w:val="20"/>
          <w:szCs w:val="20"/>
          <w:color w:val="auto"/>
        </w:rPr>
        <w:tab/>
      </w:r>
      <w:r>
        <w:rPr>
          <w:rFonts w:ascii="Arial" w:cs="Arial" w:eastAsia="Arial" w:hAnsi="Arial"/>
          <w:sz w:val="18"/>
          <w:szCs w:val="18"/>
          <w:b w:val="1"/>
          <w:bCs w:val="1"/>
          <w:color w:val="E93CAC"/>
        </w:rPr>
        <w:t>Analysis of 3Q23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143510</wp:posOffset>
            </wp:positionV>
            <wp:extent cx="7143750" cy="2038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3750" cy="203835"/>
                    </a:xfrm>
                    <a:prstGeom prst="rect">
                      <a:avLst/>
                    </a:prstGeom>
                    <a:noFill/>
                  </pic:spPr>
                </pic:pic>
              </a:graphicData>
            </a:graphic>
          </wp:anchor>
        </w:drawing>
      </w:r>
    </w:p>
    <w:p>
      <w:pPr>
        <w:spacing w:after="0" w:line="226"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FFFFFF"/>
        </w:rPr>
        <w:t>Credicorp’s Strategy Update</w:t>
      </w:r>
    </w:p>
    <w:p>
      <w:pPr>
        <w:spacing w:after="0" w:line="150"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Disruptive Initiatives: Yape</w:t>
      </w:r>
    </w:p>
    <w:p>
      <w:pPr>
        <w:spacing w:after="0" w:line="183" w:lineRule="exact"/>
        <w:rPr>
          <w:sz w:val="20"/>
          <w:szCs w:val="20"/>
          <w:color w:val="auto"/>
        </w:rPr>
      </w:pPr>
    </w:p>
    <w:p>
      <w:pPr>
        <w:jc w:val="both"/>
        <w:ind w:left="1"/>
        <w:spacing w:after="0" w:line="248" w:lineRule="auto"/>
        <w:rPr>
          <w:sz w:val="20"/>
          <w:szCs w:val="20"/>
          <w:color w:val="auto"/>
        </w:rPr>
      </w:pPr>
      <w:r>
        <w:rPr>
          <w:rFonts w:ascii="Arial" w:cs="Arial" w:eastAsia="Arial" w:hAnsi="Arial"/>
          <w:sz w:val="16"/>
          <w:szCs w:val="16"/>
          <w:color w:val="auto"/>
        </w:rPr>
        <w:t>Yape continues to leverage its monetization strategy to progress towards its goal of hitting breakeven at some point in 2024. At the end of 3Q23, Yape hit the 13.4-million user market, 9.8 million (73%) of whom make transactions at least once a month (MAU). Over the last quarter 794 million transactions were conducted (S/90.7 billion thus far this year). In September, Yape reached 29 transactions a month per MAU. The different functionalities that have been launched in recent months fueled the following scenario: by quarter-end, more than 6.5 million users had conducted transactions that generated income for Yape, for a total of S/2.9 a month per active Yapero. Yape users see the application as a tool for improving their day-to-day; this led Yape’s NPS to reach 76 points at quarter-end.</w:t>
      </w:r>
    </w:p>
    <w:p>
      <w:pPr>
        <w:spacing w:after="0" w:line="145" w:lineRule="exact"/>
        <w:rPr>
          <w:sz w:val="20"/>
          <w:szCs w:val="20"/>
          <w:color w:val="auto"/>
        </w:rPr>
      </w:pPr>
    </w:p>
    <w:p>
      <w:pPr>
        <w:ind w:left="1"/>
        <w:spacing w:after="0"/>
        <w:rPr>
          <w:sz w:val="20"/>
          <w:szCs w:val="20"/>
          <w:color w:val="auto"/>
        </w:rPr>
      </w:pPr>
      <w:r>
        <w:rPr>
          <w:rFonts w:ascii="Arial" w:cs="Arial" w:eastAsia="Arial" w:hAnsi="Arial"/>
          <w:sz w:val="16"/>
          <w:szCs w:val="16"/>
          <w:color w:val="auto"/>
        </w:rPr>
        <w:t>In 3Q23, the monetization drivers that stood out for each of Yape’s ambitions were:</w:t>
      </w:r>
    </w:p>
    <w:p>
      <w:pPr>
        <w:spacing w:after="0" w:line="179" w:lineRule="exact"/>
        <w:rPr>
          <w:sz w:val="20"/>
          <w:szCs w:val="20"/>
          <w:color w:val="auto"/>
        </w:rPr>
      </w:pPr>
    </w:p>
    <w:p>
      <w:pPr>
        <w:ind w:left="1"/>
        <w:spacing w:after="0"/>
        <w:rPr>
          <w:sz w:val="20"/>
          <w:szCs w:val="20"/>
          <w:color w:val="auto"/>
        </w:rPr>
      </w:pPr>
      <w:r>
        <w:rPr>
          <w:rFonts w:ascii="Arial" w:cs="Arial" w:eastAsia="Arial" w:hAnsi="Arial"/>
          <w:sz w:val="16"/>
          <w:szCs w:val="16"/>
          <w:b w:val="1"/>
          <w:bCs w:val="1"/>
          <w:i w:val="1"/>
          <w:iCs w:val="1"/>
          <w:color w:val="auto"/>
        </w:rPr>
        <w:t>To be the main payment venue in the country:</w:t>
      </w:r>
    </w:p>
    <w:p>
      <w:pPr>
        <w:spacing w:after="0" w:line="34" w:lineRule="exact"/>
        <w:rPr>
          <w:sz w:val="20"/>
          <w:szCs w:val="20"/>
          <w:color w:val="auto"/>
        </w:rPr>
      </w:pPr>
    </w:p>
    <w:p>
      <w:pPr>
        <w:ind w:left="601" w:right="480" w:hanging="304"/>
        <w:spacing w:after="0" w:line="241" w:lineRule="auto"/>
        <w:tabs>
          <w:tab w:leader="none" w:pos="601"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Mobile Top-Ups: </w:t>
      </w:r>
      <w:r>
        <w:rPr>
          <w:rFonts w:ascii="Arial" w:cs="Arial" w:eastAsia="Arial" w:hAnsi="Arial"/>
          <w:sz w:val="16"/>
          <w:szCs w:val="16"/>
          <w:color w:val="auto"/>
        </w:rPr>
        <w:t>In 3Q23, 3.8 million Yape users made more than 42.0 million top-ups, which represents growth of 22.0% and 132.3% with</w:t>
      </w:r>
      <w:r>
        <w:rPr>
          <w:rFonts w:ascii="Arial" w:cs="Arial" w:eastAsia="Arial" w:hAnsi="Arial"/>
          <w:sz w:val="16"/>
          <w:szCs w:val="16"/>
          <w:b w:val="1"/>
          <w:bCs w:val="1"/>
          <w:color w:val="auto"/>
        </w:rPr>
        <w:t xml:space="preserve"> </w:t>
      </w:r>
      <w:r>
        <w:rPr>
          <w:rFonts w:ascii="Arial" w:cs="Arial" w:eastAsia="Arial" w:hAnsi="Arial"/>
          <w:sz w:val="16"/>
          <w:szCs w:val="16"/>
          <w:color w:val="auto"/>
        </w:rPr>
        <w:t>regard to 2Q23 and 3Q22 respectively.</w:t>
      </w:r>
    </w:p>
    <w:p>
      <w:pPr>
        <w:spacing w:after="0" w:line="1" w:lineRule="exact"/>
        <w:rPr>
          <w:rFonts w:ascii="Arial" w:cs="Arial" w:eastAsia="Arial" w:hAnsi="Arial"/>
          <w:sz w:val="16"/>
          <w:szCs w:val="16"/>
          <w:color w:val="auto"/>
        </w:rPr>
      </w:pPr>
    </w:p>
    <w:p>
      <w:pPr>
        <w:ind w:left="601" w:right="60" w:hanging="304"/>
        <w:spacing w:after="0" w:line="241" w:lineRule="auto"/>
        <w:tabs>
          <w:tab w:leader="none" w:pos="601"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Service Payments</w:t>
      </w:r>
      <w:r>
        <w:rPr>
          <w:rFonts w:ascii="Arial" w:cs="Arial" w:eastAsia="Arial" w:hAnsi="Arial"/>
          <w:sz w:val="16"/>
          <w:szCs w:val="16"/>
          <w:color w:val="auto"/>
        </w:rPr>
        <w:t>: In the third quarter, Yaperos paid 10.6 million service payments through the Yape app, which represents a 16-fold increase in</w:t>
      </w:r>
      <w:r>
        <w:rPr>
          <w:rFonts w:ascii="Arial" w:cs="Arial" w:eastAsia="Arial" w:hAnsi="Arial"/>
          <w:sz w:val="16"/>
          <w:szCs w:val="16"/>
          <w:b w:val="1"/>
          <w:bCs w:val="1"/>
          <w:color w:val="auto"/>
        </w:rPr>
        <w:t xml:space="preserve"> </w:t>
      </w:r>
      <w:r>
        <w:rPr>
          <w:rFonts w:ascii="Arial" w:cs="Arial" w:eastAsia="Arial" w:hAnsi="Arial"/>
          <w:sz w:val="16"/>
          <w:szCs w:val="16"/>
          <w:color w:val="auto"/>
        </w:rPr>
        <w:t>the transaction volume registered in 1Q23 and a 2-fold growth with regard to 2Q23.</w:t>
      </w:r>
    </w:p>
    <w:p>
      <w:pPr>
        <w:spacing w:after="0" w:line="1" w:lineRule="exact"/>
        <w:rPr>
          <w:rFonts w:ascii="Arial" w:cs="Arial" w:eastAsia="Arial" w:hAnsi="Arial"/>
          <w:sz w:val="16"/>
          <w:szCs w:val="16"/>
          <w:color w:val="auto"/>
        </w:rPr>
      </w:pPr>
    </w:p>
    <w:p>
      <w:pPr>
        <w:ind w:left="601" w:right="120" w:hanging="304"/>
        <w:spacing w:after="0" w:line="259" w:lineRule="auto"/>
        <w:tabs>
          <w:tab w:leader="none" w:pos="601"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Exchange rate</w:t>
      </w:r>
      <w:r>
        <w:rPr>
          <w:rFonts w:ascii="Arial" w:cs="Arial" w:eastAsia="Arial" w:hAnsi="Arial"/>
          <w:sz w:val="16"/>
          <w:szCs w:val="16"/>
          <w:color w:val="auto"/>
        </w:rPr>
        <w:t>: In September 2023, Yape launched its new exchange rate functionality and by quarter-end, more than 12 thousand transactions</w:t>
      </w:r>
      <w:r>
        <w:rPr>
          <w:rFonts w:ascii="Arial" w:cs="Arial" w:eastAsia="Arial" w:hAnsi="Arial"/>
          <w:sz w:val="16"/>
          <w:szCs w:val="16"/>
          <w:b w:val="1"/>
          <w:bCs w:val="1"/>
          <w:color w:val="auto"/>
        </w:rPr>
        <w:t xml:space="preserve"> </w:t>
      </w:r>
      <w:r>
        <w:rPr>
          <w:rFonts w:ascii="Arial" w:cs="Arial" w:eastAsia="Arial" w:hAnsi="Arial"/>
          <w:sz w:val="16"/>
          <w:szCs w:val="16"/>
          <w:color w:val="auto"/>
        </w:rPr>
        <w:t>had been made.</w:t>
      </w:r>
    </w:p>
    <w:p>
      <w:pPr>
        <w:spacing w:after="0" w:line="127" w:lineRule="exact"/>
        <w:rPr>
          <w:sz w:val="20"/>
          <w:szCs w:val="20"/>
          <w:color w:val="auto"/>
        </w:rPr>
      </w:pPr>
    </w:p>
    <w:p>
      <w:pPr>
        <w:ind w:left="1"/>
        <w:spacing w:after="0"/>
        <w:rPr>
          <w:sz w:val="20"/>
          <w:szCs w:val="20"/>
          <w:color w:val="auto"/>
        </w:rPr>
      </w:pPr>
      <w:r>
        <w:rPr>
          <w:rFonts w:ascii="Arial" w:cs="Arial" w:eastAsia="Arial" w:hAnsi="Arial"/>
          <w:sz w:val="16"/>
          <w:szCs w:val="16"/>
          <w:b w:val="1"/>
          <w:bCs w:val="1"/>
          <w:i w:val="1"/>
          <w:iCs w:val="1"/>
          <w:color w:val="auto"/>
        </w:rPr>
        <w:t>To be present in the daily lives of all Yaperos:</w:t>
      </w:r>
    </w:p>
    <w:p>
      <w:pPr>
        <w:spacing w:after="0" w:line="34" w:lineRule="exact"/>
        <w:rPr>
          <w:sz w:val="20"/>
          <w:szCs w:val="20"/>
          <w:color w:val="auto"/>
        </w:rPr>
      </w:pPr>
    </w:p>
    <w:p>
      <w:pPr>
        <w:ind w:left="601" w:hanging="304"/>
        <w:spacing w:after="0"/>
        <w:tabs>
          <w:tab w:leader="none" w:pos="601"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3Q23, 2.3 million transactions were conducted through Yape Promos; this translated into S/40 million in transactions at establishments.</w:t>
      </w:r>
    </w:p>
    <w:p>
      <w:pPr>
        <w:spacing w:after="0" w:line="167"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To solve Yaperos’ financial needs:</w:t>
      </w:r>
    </w:p>
    <w:p>
      <w:pPr>
        <w:spacing w:after="0" w:line="34" w:lineRule="exact"/>
        <w:rPr>
          <w:sz w:val="20"/>
          <w:szCs w:val="20"/>
          <w:color w:val="auto"/>
        </w:rPr>
      </w:pPr>
    </w:p>
    <w:p>
      <w:pPr>
        <w:ind w:left="601" w:hanging="304"/>
        <w:spacing w:after="0"/>
        <w:tabs>
          <w:tab w:leader="none" w:pos="601"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3Q23, 228 thousand microloans for S/63.8 million were placed, which represents a 37.6% increase in disbursements in QoQ terms.</w:t>
      </w:r>
    </w:p>
    <w:p>
      <w:pPr>
        <w:spacing w:after="0" w:line="155" w:lineRule="exact"/>
        <w:rPr>
          <w:sz w:val="20"/>
          <w:szCs w:val="20"/>
          <w:color w:val="auto"/>
        </w:rPr>
      </w:pPr>
    </w:p>
    <w:tbl>
      <w:tblPr>
        <w:tblLayout w:type="fixed"/>
        <w:tblInd w:w="11" w:type="dxa"/>
        <w:tblCellMar>
          <w:top w:w="0" w:type="dxa"/>
          <w:left w:w="0" w:type="dxa"/>
          <w:bottom w:w="0" w:type="dxa"/>
          <w:right w:w="0" w:type="dxa"/>
        </w:tblCellMar>
      </w:tblPr>
      <w:tr>
        <w:trPr>
          <w:trHeight w:val="198"/>
        </w:trPr>
        <w:tc>
          <w:tcPr>
            <w:tcW w:w="6540" w:type="dxa"/>
            <w:vAlign w:val="bottom"/>
            <w:tcBorders>
              <w:top w:val="single" w:sz="8" w:color="auto"/>
              <w:left w:val="single" w:sz="8" w:color="auto"/>
              <w:bottom w:val="single" w:sz="8" w:color="auto"/>
              <w:right w:val="single" w:sz="8" w:color="auto"/>
            </w:tcBorders>
            <w:shd w:val="clear" w:color="auto" w:fill="33CCCC"/>
          </w:tcPr>
          <w:p>
            <w:pPr>
              <w:ind w:left="20"/>
              <w:spacing w:after="0"/>
              <w:rPr>
                <w:sz w:val="20"/>
                <w:szCs w:val="20"/>
                <w:color w:val="auto"/>
              </w:rPr>
            </w:pPr>
            <w:r>
              <w:rPr>
                <w:rFonts w:ascii="Arial" w:cs="Arial" w:eastAsia="Arial" w:hAnsi="Arial"/>
                <w:sz w:val="16"/>
                <w:szCs w:val="16"/>
                <w:b w:val="1"/>
                <w:bCs w:val="1"/>
                <w:i w:val="1"/>
                <w:iCs w:val="1"/>
                <w:color w:val="auto"/>
              </w:rPr>
              <w:t>Disruptive Initiatives: Yape</w:t>
            </w:r>
          </w:p>
        </w:tc>
        <w:tc>
          <w:tcPr>
            <w:tcW w:w="1600" w:type="dxa"/>
            <w:vAlign w:val="bottom"/>
            <w:tcBorders>
              <w:top w:val="single" w:sz="8" w:color="auto"/>
              <w:bottom w:val="single" w:sz="8" w:color="auto"/>
            </w:tcBorders>
            <w:shd w:val="clear" w:color="auto" w:fill="33CCCC"/>
          </w:tcPr>
          <w:p>
            <w:pPr>
              <w:jc w:val="center"/>
              <w:spacing w:after="0"/>
              <w:rPr>
                <w:sz w:val="20"/>
                <w:szCs w:val="20"/>
                <w:color w:val="auto"/>
              </w:rPr>
            </w:pPr>
            <w:r>
              <w:rPr>
                <w:rFonts w:ascii="Arial" w:cs="Arial" w:eastAsia="Arial" w:hAnsi="Arial"/>
                <w:sz w:val="16"/>
                <w:szCs w:val="16"/>
                <w:b w:val="1"/>
                <w:bCs w:val="1"/>
                <w:i w:val="1"/>
                <w:iCs w:val="1"/>
                <w:color w:val="auto"/>
              </w:rPr>
              <w:t>3Q22</w:t>
            </w:r>
          </w:p>
        </w:tc>
        <w:tc>
          <w:tcPr>
            <w:tcW w:w="1580" w:type="dxa"/>
            <w:vAlign w:val="bottom"/>
            <w:tcBorders>
              <w:top w:val="single" w:sz="8" w:color="auto"/>
              <w:bottom w:val="single" w:sz="8" w:color="auto"/>
            </w:tcBorders>
            <w:shd w:val="clear" w:color="auto" w:fill="33CCCC"/>
          </w:tcPr>
          <w:p>
            <w:pPr>
              <w:jc w:val="center"/>
              <w:spacing w:after="0"/>
              <w:rPr>
                <w:sz w:val="20"/>
                <w:szCs w:val="20"/>
                <w:color w:val="auto"/>
              </w:rPr>
            </w:pPr>
            <w:r>
              <w:rPr>
                <w:rFonts w:ascii="Arial" w:cs="Arial" w:eastAsia="Arial" w:hAnsi="Arial"/>
                <w:sz w:val="16"/>
                <w:szCs w:val="16"/>
                <w:b w:val="1"/>
                <w:bCs w:val="1"/>
                <w:i w:val="1"/>
                <w:iCs w:val="1"/>
                <w:color w:val="auto"/>
              </w:rPr>
              <w:t>2Q23</w:t>
            </w:r>
          </w:p>
        </w:tc>
        <w:tc>
          <w:tcPr>
            <w:tcW w:w="1540" w:type="dxa"/>
            <w:vAlign w:val="bottom"/>
            <w:tcBorders>
              <w:top w:val="single" w:sz="8" w:color="auto"/>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6"/>
                <w:szCs w:val="16"/>
                <w:b w:val="1"/>
                <w:bCs w:val="1"/>
                <w:i w:val="1"/>
                <w:iCs w:val="1"/>
                <w:color w:val="auto"/>
              </w:rPr>
              <w:t>3Q23</w:t>
            </w:r>
          </w:p>
        </w:tc>
      </w:tr>
      <w:tr>
        <w:trPr>
          <w:trHeight w:val="165"/>
        </w:trPr>
        <w:tc>
          <w:tcPr>
            <w:tcW w:w="6540" w:type="dxa"/>
            <w:vAlign w:val="bottom"/>
            <w:tcBorders>
              <w:left w:val="single" w:sz="8" w:color="auto"/>
              <w:right w:val="single" w:sz="8" w:color="auto"/>
            </w:tcBorders>
          </w:tcPr>
          <w:p>
            <w:pPr>
              <w:ind w:left="20"/>
              <w:spacing w:after="0" w:line="165" w:lineRule="exact"/>
              <w:rPr>
                <w:sz w:val="20"/>
                <w:szCs w:val="20"/>
                <w:color w:val="auto"/>
              </w:rPr>
            </w:pPr>
            <w:r>
              <w:rPr>
                <w:rFonts w:ascii="Arial" w:cs="Arial" w:eastAsia="Arial" w:hAnsi="Arial"/>
                <w:sz w:val="16"/>
                <w:szCs w:val="16"/>
                <w:b w:val="1"/>
                <w:bCs w:val="1"/>
                <w:i w:val="1"/>
                <w:iCs w:val="1"/>
                <w:color w:val="auto"/>
              </w:rPr>
              <w:t>Users</w:t>
            </w:r>
          </w:p>
        </w:tc>
        <w:tc>
          <w:tcPr>
            <w:tcW w:w="16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40" w:type="dxa"/>
            <w:vAlign w:val="bottom"/>
            <w:tcBorders>
              <w:right w:val="single" w:sz="8" w:color="auto"/>
            </w:tcBorders>
          </w:tcPr>
          <w:p>
            <w:pPr>
              <w:spacing w:after="0"/>
              <w:rPr>
                <w:sz w:val="14"/>
                <w:szCs w:val="14"/>
                <w:color w:val="auto"/>
              </w:rPr>
            </w:pPr>
          </w:p>
        </w:tc>
      </w:tr>
      <w:tr>
        <w:trPr>
          <w:trHeight w:val="175"/>
        </w:trPr>
        <w:tc>
          <w:tcPr>
            <w:tcW w:w="6540" w:type="dxa"/>
            <w:vAlign w:val="bottom"/>
            <w:tcBorders>
              <w:left w:val="single" w:sz="8" w:color="auto"/>
              <w:right w:val="single" w:sz="8" w:color="auto"/>
            </w:tcBorders>
          </w:tcPr>
          <w:p>
            <w:pPr>
              <w:ind w:left="20"/>
              <w:spacing w:after="0" w:line="175" w:lineRule="exact"/>
              <w:rPr>
                <w:sz w:val="20"/>
                <w:szCs w:val="20"/>
                <w:color w:val="auto"/>
              </w:rPr>
            </w:pPr>
            <w:r>
              <w:rPr>
                <w:rFonts w:ascii="Arial" w:cs="Arial" w:eastAsia="Arial" w:hAnsi="Arial"/>
                <w:sz w:val="16"/>
                <w:szCs w:val="16"/>
                <w:color w:val="auto"/>
              </w:rPr>
              <w:t>Users (millions)</w:t>
            </w:r>
          </w:p>
        </w:tc>
        <w:tc>
          <w:tcPr>
            <w:tcW w:w="1600" w:type="dxa"/>
            <w:vAlign w:val="bottom"/>
          </w:tcPr>
          <w:p>
            <w:pPr>
              <w:jc w:val="center"/>
              <w:spacing w:after="0" w:line="175" w:lineRule="exact"/>
              <w:rPr>
                <w:sz w:val="20"/>
                <w:szCs w:val="20"/>
                <w:color w:val="auto"/>
              </w:rPr>
            </w:pPr>
            <w:r>
              <w:rPr>
                <w:rFonts w:ascii="Arial" w:cs="Arial" w:eastAsia="Arial" w:hAnsi="Arial"/>
                <w:sz w:val="16"/>
                <w:szCs w:val="16"/>
                <w:color w:val="auto"/>
                <w:w w:val="96"/>
              </w:rPr>
              <w:t>11.2</w:t>
            </w:r>
          </w:p>
        </w:tc>
        <w:tc>
          <w:tcPr>
            <w:tcW w:w="1580" w:type="dxa"/>
            <w:vAlign w:val="bottom"/>
          </w:tcPr>
          <w:p>
            <w:pPr>
              <w:jc w:val="center"/>
              <w:spacing w:after="0" w:line="175" w:lineRule="exact"/>
              <w:rPr>
                <w:sz w:val="20"/>
                <w:szCs w:val="20"/>
                <w:color w:val="auto"/>
              </w:rPr>
            </w:pPr>
            <w:r>
              <w:rPr>
                <w:rFonts w:ascii="Arial" w:cs="Arial" w:eastAsia="Arial" w:hAnsi="Arial"/>
                <w:sz w:val="16"/>
                <w:szCs w:val="16"/>
                <w:color w:val="auto"/>
              </w:rPr>
              <w:t>12.6</w:t>
            </w:r>
          </w:p>
        </w:tc>
        <w:tc>
          <w:tcPr>
            <w:tcW w:w="1540" w:type="dxa"/>
            <w:vAlign w:val="bottom"/>
            <w:tcBorders>
              <w:right w:val="single" w:sz="8" w:color="auto"/>
            </w:tcBorders>
          </w:tcPr>
          <w:p>
            <w:pPr>
              <w:jc w:val="center"/>
              <w:spacing w:after="0" w:line="175" w:lineRule="exact"/>
              <w:rPr>
                <w:sz w:val="20"/>
                <w:szCs w:val="20"/>
                <w:color w:val="auto"/>
              </w:rPr>
            </w:pPr>
            <w:r>
              <w:rPr>
                <w:rFonts w:ascii="Arial" w:cs="Arial" w:eastAsia="Arial" w:hAnsi="Arial"/>
                <w:sz w:val="16"/>
                <w:szCs w:val="16"/>
                <w:color w:val="auto"/>
              </w:rPr>
              <w:t>13.4</w:t>
            </w:r>
          </w:p>
        </w:tc>
      </w:tr>
      <w:tr>
        <w:trPr>
          <w:trHeight w:val="196"/>
        </w:trPr>
        <w:tc>
          <w:tcPr>
            <w:tcW w:w="654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4"/>
                <w:szCs w:val="14"/>
                <w:color w:val="auto"/>
              </w:rPr>
              <w:t xml:space="preserve">Monthly Active Users (MAU) (millions) </w:t>
            </w:r>
            <w:r>
              <w:rPr>
                <w:rFonts w:ascii="Arial" w:cs="Arial" w:eastAsia="Arial" w:hAnsi="Arial"/>
                <w:sz w:val="22"/>
                <w:szCs w:val="22"/>
                <w:color w:val="auto"/>
                <w:vertAlign w:val="superscript"/>
              </w:rPr>
              <w:t>(1)</w:t>
            </w:r>
          </w:p>
        </w:tc>
        <w:tc>
          <w:tcPr>
            <w:tcW w:w="1600" w:type="dxa"/>
            <w:vAlign w:val="bottom"/>
          </w:tcPr>
          <w:p>
            <w:pPr>
              <w:jc w:val="center"/>
              <w:spacing w:after="0"/>
              <w:rPr>
                <w:sz w:val="20"/>
                <w:szCs w:val="20"/>
                <w:color w:val="auto"/>
              </w:rPr>
            </w:pPr>
            <w:r>
              <w:rPr>
                <w:rFonts w:ascii="Arial" w:cs="Arial" w:eastAsia="Arial" w:hAnsi="Arial"/>
                <w:sz w:val="16"/>
                <w:szCs w:val="16"/>
                <w:color w:val="auto"/>
                <w:w w:val="98"/>
              </w:rPr>
              <w:t>6.9</w:t>
            </w:r>
          </w:p>
        </w:tc>
        <w:tc>
          <w:tcPr>
            <w:tcW w:w="1580" w:type="dxa"/>
            <w:vAlign w:val="bottom"/>
          </w:tcPr>
          <w:p>
            <w:pPr>
              <w:jc w:val="center"/>
              <w:spacing w:after="0"/>
              <w:rPr>
                <w:sz w:val="20"/>
                <w:szCs w:val="20"/>
                <w:color w:val="auto"/>
              </w:rPr>
            </w:pPr>
            <w:r>
              <w:rPr>
                <w:rFonts w:ascii="Arial" w:cs="Arial" w:eastAsia="Arial" w:hAnsi="Arial"/>
                <w:sz w:val="16"/>
                <w:szCs w:val="16"/>
                <w:color w:val="auto"/>
                <w:w w:val="89"/>
              </w:rPr>
              <w:t>9</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9.8</w:t>
            </w:r>
          </w:p>
        </w:tc>
      </w:tr>
      <w:tr>
        <w:trPr>
          <w:trHeight w:val="198"/>
        </w:trPr>
        <w:tc>
          <w:tcPr>
            <w:tcW w:w="65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Fee Income Generating MAU (millions)</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2.4</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5.2</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6.5</w:t>
            </w:r>
          </w:p>
        </w:tc>
      </w:tr>
      <w:tr>
        <w:trPr>
          <w:trHeight w:val="165"/>
        </w:trPr>
        <w:tc>
          <w:tcPr>
            <w:tcW w:w="6540" w:type="dxa"/>
            <w:vAlign w:val="bottom"/>
            <w:tcBorders>
              <w:left w:val="single" w:sz="8" w:color="auto"/>
              <w:right w:val="single" w:sz="8" w:color="auto"/>
            </w:tcBorders>
          </w:tcPr>
          <w:p>
            <w:pPr>
              <w:ind w:left="20"/>
              <w:spacing w:after="0" w:line="165" w:lineRule="exact"/>
              <w:rPr>
                <w:sz w:val="20"/>
                <w:szCs w:val="20"/>
                <w:color w:val="auto"/>
              </w:rPr>
            </w:pPr>
            <w:r>
              <w:rPr>
                <w:rFonts w:ascii="Arial" w:cs="Arial" w:eastAsia="Arial" w:hAnsi="Arial"/>
                <w:sz w:val="16"/>
                <w:szCs w:val="16"/>
                <w:b w:val="1"/>
                <w:bCs w:val="1"/>
                <w:color w:val="auto"/>
              </w:rPr>
              <w:t>Engagement</w:t>
            </w:r>
          </w:p>
        </w:tc>
        <w:tc>
          <w:tcPr>
            <w:tcW w:w="16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40" w:type="dxa"/>
            <w:vAlign w:val="bottom"/>
            <w:tcBorders>
              <w:right w:val="single" w:sz="8" w:color="auto"/>
            </w:tcBorders>
          </w:tcPr>
          <w:p>
            <w:pPr>
              <w:spacing w:after="0"/>
              <w:rPr>
                <w:sz w:val="14"/>
                <w:szCs w:val="14"/>
                <w:color w:val="auto"/>
              </w:rPr>
            </w:pPr>
          </w:p>
        </w:tc>
      </w:tr>
      <w:tr>
        <w:trPr>
          <w:trHeight w:val="175"/>
        </w:trPr>
        <w:tc>
          <w:tcPr>
            <w:tcW w:w="6540" w:type="dxa"/>
            <w:vAlign w:val="bottom"/>
            <w:tcBorders>
              <w:left w:val="single" w:sz="8" w:color="auto"/>
              <w:right w:val="single" w:sz="8" w:color="auto"/>
            </w:tcBorders>
          </w:tcPr>
          <w:p>
            <w:pPr>
              <w:ind w:left="20"/>
              <w:spacing w:after="0" w:line="175" w:lineRule="exact"/>
              <w:rPr>
                <w:sz w:val="20"/>
                <w:szCs w:val="20"/>
                <w:color w:val="auto"/>
              </w:rPr>
            </w:pPr>
            <w:r>
              <w:rPr>
                <w:rFonts w:ascii="Arial" w:cs="Arial" w:eastAsia="Arial" w:hAnsi="Arial"/>
                <w:sz w:val="16"/>
                <w:szCs w:val="16"/>
                <w:color w:val="auto"/>
              </w:rPr>
              <w:t># Monthly Transactions (millions)</w:t>
            </w:r>
          </w:p>
        </w:tc>
        <w:tc>
          <w:tcPr>
            <w:tcW w:w="1600" w:type="dxa"/>
            <w:vAlign w:val="bottom"/>
          </w:tcPr>
          <w:p>
            <w:pPr>
              <w:jc w:val="center"/>
              <w:spacing w:after="0" w:line="175" w:lineRule="exact"/>
              <w:rPr>
                <w:sz w:val="20"/>
                <w:szCs w:val="20"/>
                <w:color w:val="auto"/>
              </w:rPr>
            </w:pPr>
            <w:r>
              <w:rPr>
                <w:rFonts w:ascii="Arial" w:cs="Arial" w:eastAsia="Arial" w:hAnsi="Arial"/>
                <w:sz w:val="16"/>
                <w:szCs w:val="16"/>
                <w:color w:val="auto"/>
              </w:rPr>
              <w:t>120.2</w:t>
            </w:r>
          </w:p>
        </w:tc>
        <w:tc>
          <w:tcPr>
            <w:tcW w:w="1580" w:type="dxa"/>
            <w:vAlign w:val="bottom"/>
          </w:tcPr>
          <w:p>
            <w:pPr>
              <w:jc w:val="center"/>
              <w:spacing w:after="0" w:line="175" w:lineRule="exact"/>
              <w:rPr>
                <w:sz w:val="20"/>
                <w:szCs w:val="20"/>
                <w:color w:val="auto"/>
              </w:rPr>
            </w:pPr>
            <w:r>
              <w:rPr>
                <w:rFonts w:ascii="Arial" w:cs="Arial" w:eastAsia="Arial" w:hAnsi="Arial"/>
                <w:sz w:val="16"/>
                <w:szCs w:val="16"/>
                <w:color w:val="auto"/>
              </w:rPr>
              <w:t>178</w:t>
            </w:r>
          </w:p>
        </w:tc>
        <w:tc>
          <w:tcPr>
            <w:tcW w:w="1540" w:type="dxa"/>
            <w:vAlign w:val="bottom"/>
            <w:tcBorders>
              <w:right w:val="single" w:sz="8" w:color="auto"/>
            </w:tcBorders>
          </w:tcPr>
          <w:p>
            <w:pPr>
              <w:jc w:val="center"/>
              <w:spacing w:after="0" w:line="175" w:lineRule="exact"/>
              <w:rPr>
                <w:sz w:val="20"/>
                <w:szCs w:val="20"/>
                <w:color w:val="auto"/>
              </w:rPr>
            </w:pPr>
            <w:r>
              <w:rPr>
                <w:rFonts w:ascii="Arial" w:cs="Arial" w:eastAsia="Arial" w:hAnsi="Arial"/>
                <w:sz w:val="16"/>
                <w:szCs w:val="16"/>
                <w:color w:val="auto"/>
              </w:rPr>
              <w:t>220.7</w:t>
            </w:r>
          </w:p>
        </w:tc>
      </w:tr>
      <w:tr>
        <w:trPr>
          <w:trHeight w:val="208"/>
        </w:trPr>
        <w:tc>
          <w:tcPr>
            <w:tcW w:w="6540" w:type="dxa"/>
            <w:vAlign w:val="bottom"/>
            <w:tcBorders>
              <w:left w:val="single" w:sz="8" w:color="auto"/>
              <w:bottom w:val="single" w:sz="8" w:color="auto"/>
              <w:right w:val="single" w:sz="8" w:color="auto"/>
            </w:tcBorders>
          </w:tcPr>
          <w:p>
            <w:pPr>
              <w:ind w:left="20"/>
              <w:spacing w:after="0" w:line="209" w:lineRule="exact"/>
              <w:rPr>
                <w:sz w:val="20"/>
                <w:szCs w:val="20"/>
                <w:color w:val="auto"/>
              </w:rPr>
            </w:pPr>
            <w:r>
              <w:rPr>
                <w:rFonts w:ascii="Arial" w:cs="Arial" w:eastAsia="Arial" w:hAnsi="Arial"/>
                <w:sz w:val="15"/>
                <w:szCs w:val="15"/>
                <w:color w:val="auto"/>
              </w:rPr>
              <w:t xml:space="preserve">TPV </w:t>
            </w:r>
            <w:r>
              <w:rPr>
                <w:rFonts w:ascii="Arial" w:cs="Arial" w:eastAsia="Arial" w:hAnsi="Arial"/>
                <w:sz w:val="24"/>
                <w:szCs w:val="24"/>
                <w:color w:val="auto"/>
                <w:vertAlign w:val="superscript"/>
              </w:rPr>
              <w:t>(3)</w:t>
            </w:r>
            <w:r>
              <w:rPr>
                <w:rFonts w:ascii="Arial" w:cs="Arial" w:eastAsia="Arial" w:hAnsi="Arial"/>
                <w:sz w:val="15"/>
                <w:szCs w:val="15"/>
                <w:color w:val="auto"/>
              </w:rPr>
              <w:t xml:space="preserve"> (S/, millions)</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42.9</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53.5</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90.7</w:t>
            </w:r>
          </w:p>
        </w:tc>
      </w:tr>
      <w:tr>
        <w:trPr>
          <w:trHeight w:val="155"/>
        </w:trPr>
        <w:tc>
          <w:tcPr>
            <w:tcW w:w="6540" w:type="dxa"/>
            <w:vAlign w:val="bottom"/>
            <w:tcBorders>
              <w:left w:val="single" w:sz="8" w:color="auto"/>
              <w:right w:val="single" w:sz="8" w:color="auto"/>
            </w:tcBorders>
          </w:tcPr>
          <w:p>
            <w:pPr>
              <w:ind w:left="20"/>
              <w:spacing w:after="0" w:line="155" w:lineRule="exact"/>
              <w:rPr>
                <w:sz w:val="20"/>
                <w:szCs w:val="20"/>
                <w:color w:val="auto"/>
              </w:rPr>
            </w:pPr>
            <w:r>
              <w:rPr>
                <w:rFonts w:ascii="Arial" w:cs="Arial" w:eastAsia="Arial" w:hAnsi="Arial"/>
                <w:sz w:val="16"/>
                <w:szCs w:val="16"/>
                <w:b w:val="1"/>
                <w:bCs w:val="1"/>
                <w:i w:val="1"/>
                <w:iCs w:val="1"/>
                <w:color w:val="auto"/>
              </w:rPr>
              <w:t>Experience</w:t>
            </w:r>
          </w:p>
        </w:tc>
        <w:tc>
          <w:tcPr>
            <w:tcW w:w="16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540" w:type="dxa"/>
            <w:vAlign w:val="bottom"/>
            <w:tcBorders>
              <w:right w:val="single" w:sz="8" w:color="auto"/>
            </w:tcBorders>
          </w:tcPr>
          <w:p>
            <w:pPr>
              <w:spacing w:after="0"/>
              <w:rPr>
                <w:sz w:val="13"/>
                <w:szCs w:val="13"/>
                <w:color w:val="auto"/>
              </w:rPr>
            </w:pPr>
          </w:p>
        </w:tc>
      </w:tr>
      <w:tr>
        <w:trPr>
          <w:trHeight w:val="188"/>
        </w:trPr>
        <w:tc>
          <w:tcPr>
            <w:tcW w:w="6540" w:type="dxa"/>
            <w:vAlign w:val="bottom"/>
            <w:tcBorders>
              <w:left w:val="single" w:sz="8" w:color="auto"/>
              <w:right w:val="single" w:sz="8" w:color="auto"/>
            </w:tcBorders>
          </w:tcPr>
          <w:p>
            <w:pPr>
              <w:ind w:left="20"/>
              <w:spacing w:after="0" w:line="188" w:lineRule="exact"/>
              <w:rPr>
                <w:sz w:val="20"/>
                <w:szCs w:val="20"/>
                <w:color w:val="auto"/>
              </w:rPr>
            </w:pPr>
            <w:r>
              <w:rPr>
                <w:rFonts w:ascii="Arial" w:cs="Arial" w:eastAsia="Arial" w:hAnsi="Arial"/>
                <w:sz w:val="21"/>
                <w:szCs w:val="21"/>
                <w:color w:val="auto"/>
                <w:vertAlign w:val="subscript"/>
              </w:rPr>
              <w:t>NPS</w:t>
            </w:r>
            <w:r>
              <w:rPr>
                <w:rFonts w:ascii="Arial" w:cs="Arial" w:eastAsia="Arial" w:hAnsi="Arial"/>
                <w:sz w:val="11"/>
                <w:szCs w:val="11"/>
                <w:color w:val="auto"/>
              </w:rPr>
              <w:t xml:space="preserve"> (2)</w:t>
            </w:r>
          </w:p>
        </w:tc>
        <w:tc>
          <w:tcPr>
            <w:tcW w:w="1600" w:type="dxa"/>
            <w:vAlign w:val="bottom"/>
          </w:tcPr>
          <w:p>
            <w:pPr>
              <w:jc w:val="center"/>
              <w:spacing w:after="0"/>
              <w:rPr>
                <w:sz w:val="20"/>
                <w:szCs w:val="20"/>
                <w:color w:val="auto"/>
              </w:rPr>
            </w:pPr>
            <w:r>
              <w:rPr>
                <w:rFonts w:ascii="Arial" w:cs="Arial" w:eastAsia="Arial" w:hAnsi="Arial"/>
                <w:sz w:val="16"/>
                <w:szCs w:val="16"/>
                <w:color w:val="auto"/>
              </w:rPr>
              <w:t>70</w:t>
            </w:r>
          </w:p>
        </w:tc>
        <w:tc>
          <w:tcPr>
            <w:tcW w:w="1580" w:type="dxa"/>
            <w:vAlign w:val="bottom"/>
          </w:tcPr>
          <w:p>
            <w:pPr>
              <w:jc w:val="center"/>
              <w:spacing w:after="0"/>
              <w:rPr>
                <w:sz w:val="20"/>
                <w:szCs w:val="20"/>
                <w:color w:val="auto"/>
              </w:rPr>
            </w:pPr>
            <w:r>
              <w:rPr>
                <w:rFonts w:ascii="Arial" w:cs="Arial" w:eastAsia="Arial" w:hAnsi="Arial"/>
                <w:sz w:val="16"/>
                <w:szCs w:val="16"/>
                <w:color w:val="auto"/>
              </w:rPr>
              <w:t>78</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76</w:t>
            </w:r>
          </w:p>
        </w:tc>
      </w:tr>
      <w:tr>
        <w:trPr>
          <w:trHeight w:val="193"/>
        </w:trPr>
        <w:tc>
          <w:tcPr>
            <w:tcW w:w="65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i w:val="1"/>
                <w:iCs w:val="1"/>
                <w:color w:val="auto"/>
              </w:rPr>
              <w:t>Metric per Monthly Active User (MAU)</w:t>
            </w:r>
          </w:p>
        </w:tc>
        <w:tc>
          <w:tcPr>
            <w:tcW w:w="16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r>
      <w:tr>
        <w:trPr>
          <w:trHeight w:val="185"/>
        </w:trPr>
        <w:tc>
          <w:tcPr>
            <w:tcW w:w="65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Monthly Transactions / MAU</w:t>
            </w:r>
          </w:p>
        </w:tc>
        <w:tc>
          <w:tcPr>
            <w:tcW w:w="1600" w:type="dxa"/>
            <w:vAlign w:val="bottom"/>
          </w:tcPr>
          <w:p>
            <w:pPr>
              <w:jc w:val="center"/>
              <w:spacing w:after="0"/>
              <w:rPr>
                <w:sz w:val="20"/>
                <w:szCs w:val="20"/>
                <w:color w:val="auto"/>
              </w:rPr>
            </w:pPr>
            <w:r>
              <w:rPr>
                <w:rFonts w:ascii="Arial" w:cs="Arial" w:eastAsia="Arial" w:hAnsi="Arial"/>
                <w:sz w:val="16"/>
                <w:szCs w:val="16"/>
                <w:color w:val="auto"/>
              </w:rPr>
              <w:t>17</w:t>
            </w:r>
          </w:p>
        </w:tc>
        <w:tc>
          <w:tcPr>
            <w:tcW w:w="1580" w:type="dxa"/>
            <w:vAlign w:val="bottom"/>
          </w:tcPr>
          <w:p>
            <w:pPr>
              <w:jc w:val="center"/>
              <w:spacing w:after="0"/>
              <w:rPr>
                <w:sz w:val="20"/>
                <w:szCs w:val="20"/>
                <w:color w:val="auto"/>
              </w:rPr>
            </w:pPr>
            <w:r>
              <w:rPr>
                <w:rFonts w:ascii="Arial" w:cs="Arial" w:eastAsia="Arial" w:hAnsi="Arial"/>
                <w:sz w:val="16"/>
                <w:szCs w:val="16"/>
                <w:color w:val="auto"/>
              </w:rPr>
              <w:t>25</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29</w:t>
            </w:r>
          </w:p>
        </w:tc>
      </w:tr>
      <w:tr>
        <w:trPr>
          <w:trHeight w:val="185"/>
        </w:trPr>
        <w:tc>
          <w:tcPr>
            <w:tcW w:w="65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Monthly Revenues / MAU</w:t>
            </w:r>
          </w:p>
        </w:tc>
        <w:tc>
          <w:tcPr>
            <w:tcW w:w="1600" w:type="dxa"/>
            <w:vAlign w:val="bottom"/>
          </w:tcPr>
          <w:p>
            <w:pPr>
              <w:jc w:val="center"/>
              <w:spacing w:after="0"/>
              <w:rPr>
                <w:sz w:val="20"/>
                <w:szCs w:val="20"/>
                <w:color w:val="auto"/>
              </w:rPr>
            </w:pPr>
            <w:r>
              <w:rPr>
                <w:rFonts w:ascii="Arial" w:cs="Arial" w:eastAsia="Arial" w:hAnsi="Arial"/>
                <w:sz w:val="16"/>
                <w:szCs w:val="16"/>
                <w:color w:val="auto"/>
                <w:w w:val="98"/>
              </w:rPr>
              <w:t>1.4</w:t>
            </w:r>
          </w:p>
        </w:tc>
        <w:tc>
          <w:tcPr>
            <w:tcW w:w="1580" w:type="dxa"/>
            <w:vAlign w:val="bottom"/>
          </w:tcPr>
          <w:p>
            <w:pPr>
              <w:jc w:val="center"/>
              <w:spacing w:after="0"/>
              <w:rPr>
                <w:sz w:val="20"/>
                <w:szCs w:val="20"/>
                <w:color w:val="auto"/>
              </w:rPr>
            </w:pPr>
            <w:r>
              <w:rPr>
                <w:rFonts w:ascii="Arial" w:cs="Arial" w:eastAsia="Arial" w:hAnsi="Arial"/>
                <w:sz w:val="16"/>
                <w:szCs w:val="16"/>
                <w:color w:val="auto"/>
              </w:rPr>
              <w:t>2.3</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2.9</w:t>
            </w:r>
          </w:p>
        </w:tc>
      </w:tr>
      <w:tr>
        <w:trPr>
          <w:trHeight w:val="198"/>
        </w:trPr>
        <w:tc>
          <w:tcPr>
            <w:tcW w:w="65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Monthly Cash Cost / MAU</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5.3</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4.3</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8"/>
              </w:rPr>
              <w:t>4.3</w:t>
            </w:r>
          </w:p>
        </w:tc>
      </w:tr>
      <w:tr>
        <w:trPr>
          <w:trHeight w:val="157"/>
        </w:trPr>
        <w:tc>
          <w:tcPr>
            <w:tcW w:w="654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6"/>
                <w:szCs w:val="16"/>
                <w:b w:val="1"/>
                <w:bCs w:val="1"/>
                <w:color w:val="auto"/>
              </w:rPr>
              <w:t>Monetization Drivers</w:t>
            </w:r>
          </w:p>
        </w:tc>
        <w:tc>
          <w:tcPr>
            <w:tcW w:w="16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540" w:type="dxa"/>
            <w:vAlign w:val="bottom"/>
            <w:tcBorders>
              <w:right w:val="single" w:sz="8" w:color="auto"/>
            </w:tcBorders>
          </w:tcPr>
          <w:p>
            <w:pPr>
              <w:spacing w:after="0"/>
              <w:rPr>
                <w:sz w:val="13"/>
                <w:szCs w:val="13"/>
                <w:color w:val="auto"/>
              </w:rPr>
            </w:pPr>
          </w:p>
        </w:tc>
      </w:tr>
      <w:tr>
        <w:trPr>
          <w:trHeight w:val="189"/>
        </w:trPr>
        <w:tc>
          <w:tcPr>
            <w:tcW w:w="65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b w:val="1"/>
                <w:bCs w:val="1"/>
                <w:color w:val="auto"/>
              </w:rPr>
              <w:t>Payments</w:t>
            </w:r>
          </w:p>
        </w:tc>
        <w:tc>
          <w:tcPr>
            <w:tcW w:w="16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r>
      <w:tr>
        <w:trPr>
          <w:trHeight w:val="185"/>
        </w:trPr>
        <w:tc>
          <w:tcPr>
            <w:tcW w:w="65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i w:val="1"/>
                <w:iCs w:val="1"/>
                <w:color w:val="auto"/>
              </w:rPr>
              <w:t># Mobile Top-Ups transactions (millions)</w:t>
            </w:r>
          </w:p>
        </w:tc>
        <w:tc>
          <w:tcPr>
            <w:tcW w:w="1600" w:type="dxa"/>
            <w:vAlign w:val="bottom"/>
          </w:tcPr>
          <w:p>
            <w:pPr>
              <w:jc w:val="center"/>
              <w:spacing w:after="0"/>
              <w:rPr>
                <w:sz w:val="20"/>
                <w:szCs w:val="20"/>
                <w:color w:val="auto"/>
              </w:rPr>
            </w:pPr>
            <w:r>
              <w:rPr>
                <w:rFonts w:ascii="Arial" w:cs="Arial" w:eastAsia="Arial" w:hAnsi="Arial"/>
                <w:sz w:val="16"/>
                <w:szCs w:val="16"/>
                <w:color w:val="auto"/>
              </w:rPr>
              <w:t>18.1</w:t>
            </w:r>
          </w:p>
        </w:tc>
        <w:tc>
          <w:tcPr>
            <w:tcW w:w="1580" w:type="dxa"/>
            <w:vAlign w:val="bottom"/>
          </w:tcPr>
          <w:p>
            <w:pPr>
              <w:jc w:val="center"/>
              <w:spacing w:after="0"/>
              <w:rPr>
                <w:sz w:val="20"/>
                <w:szCs w:val="20"/>
                <w:color w:val="auto"/>
              </w:rPr>
            </w:pPr>
            <w:r>
              <w:rPr>
                <w:rFonts w:ascii="Arial" w:cs="Arial" w:eastAsia="Arial" w:hAnsi="Arial"/>
                <w:sz w:val="16"/>
                <w:szCs w:val="16"/>
                <w:color w:val="auto"/>
              </w:rPr>
              <w:t>34.4</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42</w:t>
            </w:r>
          </w:p>
        </w:tc>
      </w:tr>
      <w:tr>
        <w:trPr>
          <w:trHeight w:val="181"/>
        </w:trPr>
        <w:tc>
          <w:tcPr>
            <w:tcW w:w="6540" w:type="dxa"/>
            <w:vAlign w:val="bottom"/>
            <w:tcBorders>
              <w:left w:val="single" w:sz="8" w:color="auto"/>
              <w:right w:val="single" w:sz="8" w:color="auto"/>
            </w:tcBorders>
          </w:tcPr>
          <w:p>
            <w:pPr>
              <w:ind w:left="160"/>
              <w:spacing w:after="0" w:line="181" w:lineRule="exact"/>
              <w:rPr>
                <w:sz w:val="20"/>
                <w:szCs w:val="20"/>
                <w:color w:val="auto"/>
              </w:rPr>
            </w:pPr>
            <w:r>
              <w:rPr>
                <w:rFonts w:ascii="Arial" w:cs="Arial" w:eastAsia="Arial" w:hAnsi="Arial"/>
                <w:sz w:val="16"/>
                <w:szCs w:val="16"/>
                <w:i w:val="1"/>
                <w:iCs w:val="1"/>
                <w:color w:val="auto"/>
              </w:rPr>
              <w:t># Bill Payments transactions (millions)</w:t>
            </w:r>
          </w:p>
        </w:tc>
        <w:tc>
          <w:tcPr>
            <w:tcW w:w="1600" w:type="dxa"/>
            <w:vAlign w:val="bottom"/>
          </w:tcPr>
          <w:p>
            <w:pPr>
              <w:jc w:val="center"/>
              <w:spacing w:after="0" w:line="181" w:lineRule="exact"/>
              <w:rPr>
                <w:sz w:val="20"/>
                <w:szCs w:val="20"/>
                <w:color w:val="auto"/>
              </w:rPr>
            </w:pPr>
            <w:r>
              <w:rPr>
                <w:rFonts w:ascii="Arial" w:cs="Arial" w:eastAsia="Arial" w:hAnsi="Arial"/>
                <w:sz w:val="16"/>
                <w:szCs w:val="16"/>
                <w:color w:val="auto"/>
              </w:rPr>
              <w:t>-</w:t>
            </w:r>
          </w:p>
        </w:tc>
        <w:tc>
          <w:tcPr>
            <w:tcW w:w="1580" w:type="dxa"/>
            <w:vAlign w:val="bottom"/>
          </w:tcPr>
          <w:p>
            <w:pPr>
              <w:jc w:val="center"/>
              <w:spacing w:after="0" w:line="181" w:lineRule="exact"/>
              <w:rPr>
                <w:sz w:val="20"/>
                <w:szCs w:val="20"/>
                <w:color w:val="auto"/>
              </w:rPr>
            </w:pPr>
            <w:r>
              <w:rPr>
                <w:rFonts w:ascii="Arial" w:cs="Arial" w:eastAsia="Arial" w:hAnsi="Arial"/>
                <w:sz w:val="16"/>
                <w:szCs w:val="16"/>
                <w:color w:val="auto"/>
              </w:rPr>
              <w:t>5.1</w:t>
            </w:r>
          </w:p>
        </w:tc>
        <w:tc>
          <w:tcPr>
            <w:tcW w:w="1540" w:type="dxa"/>
            <w:vAlign w:val="bottom"/>
            <w:tcBorders>
              <w:right w:val="single" w:sz="8" w:color="auto"/>
            </w:tcBorders>
          </w:tcPr>
          <w:p>
            <w:pPr>
              <w:jc w:val="center"/>
              <w:spacing w:after="0" w:line="181" w:lineRule="exact"/>
              <w:rPr>
                <w:sz w:val="20"/>
                <w:szCs w:val="20"/>
                <w:color w:val="auto"/>
              </w:rPr>
            </w:pPr>
            <w:r>
              <w:rPr>
                <w:rFonts w:ascii="Arial" w:cs="Arial" w:eastAsia="Arial" w:hAnsi="Arial"/>
                <w:sz w:val="16"/>
                <w:szCs w:val="16"/>
                <w:color w:val="auto"/>
              </w:rPr>
              <w:t>10.6</w:t>
            </w:r>
          </w:p>
        </w:tc>
      </w:tr>
      <w:tr>
        <w:trPr>
          <w:trHeight w:val="183"/>
        </w:trPr>
        <w:tc>
          <w:tcPr>
            <w:tcW w:w="65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b w:val="1"/>
                <w:bCs w:val="1"/>
                <w:color w:val="auto"/>
              </w:rPr>
              <w:t>Yape Promos</w:t>
            </w:r>
          </w:p>
        </w:tc>
        <w:tc>
          <w:tcPr>
            <w:tcW w:w="16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540" w:type="dxa"/>
            <w:vAlign w:val="bottom"/>
            <w:tcBorders>
              <w:right w:val="single" w:sz="8" w:color="auto"/>
            </w:tcBorders>
          </w:tcPr>
          <w:p>
            <w:pPr>
              <w:spacing w:after="0"/>
              <w:rPr>
                <w:sz w:val="15"/>
                <w:szCs w:val="15"/>
                <w:color w:val="auto"/>
              </w:rPr>
            </w:pPr>
          </w:p>
        </w:tc>
      </w:tr>
      <w:tr>
        <w:trPr>
          <w:trHeight w:val="188"/>
        </w:trPr>
        <w:tc>
          <w:tcPr>
            <w:tcW w:w="6540" w:type="dxa"/>
            <w:vAlign w:val="bottom"/>
            <w:tcBorders>
              <w:left w:val="single" w:sz="8" w:color="auto"/>
              <w:right w:val="single" w:sz="8" w:color="auto"/>
            </w:tcBorders>
          </w:tcPr>
          <w:p>
            <w:pPr>
              <w:ind w:left="160"/>
              <w:spacing w:after="0" w:line="188" w:lineRule="exact"/>
              <w:rPr>
                <w:sz w:val="20"/>
                <w:szCs w:val="20"/>
                <w:color w:val="auto"/>
              </w:rPr>
            </w:pPr>
            <w:r>
              <w:rPr>
                <w:rFonts w:ascii="Arial" w:cs="Arial" w:eastAsia="Arial" w:hAnsi="Arial"/>
                <w:sz w:val="13"/>
                <w:szCs w:val="13"/>
                <w:color w:val="auto"/>
              </w:rPr>
              <w:t xml:space="preserve">GMV </w:t>
            </w:r>
            <w:r>
              <w:rPr>
                <w:rFonts w:ascii="Arial" w:cs="Arial" w:eastAsia="Arial" w:hAnsi="Arial"/>
                <w:sz w:val="21"/>
                <w:szCs w:val="21"/>
                <w:color w:val="auto"/>
                <w:vertAlign w:val="superscript"/>
              </w:rPr>
              <w:t>(4)</w:t>
            </w:r>
            <w:r>
              <w:rPr>
                <w:rFonts w:ascii="Arial" w:cs="Arial" w:eastAsia="Arial" w:hAnsi="Arial"/>
                <w:sz w:val="13"/>
                <w:szCs w:val="13"/>
                <w:color w:val="auto"/>
              </w:rPr>
              <w:t xml:space="preserve"> (S/, millions)</w:t>
            </w:r>
          </w:p>
        </w:tc>
        <w:tc>
          <w:tcPr>
            <w:tcW w:w="1600" w:type="dxa"/>
            <w:vAlign w:val="bottom"/>
          </w:tcPr>
          <w:p>
            <w:pPr>
              <w:jc w:val="center"/>
              <w:spacing w:after="0"/>
              <w:rPr>
                <w:sz w:val="20"/>
                <w:szCs w:val="20"/>
                <w:color w:val="auto"/>
              </w:rPr>
            </w:pPr>
            <w:r>
              <w:rPr>
                <w:rFonts w:ascii="Arial" w:cs="Arial" w:eastAsia="Arial" w:hAnsi="Arial"/>
                <w:sz w:val="16"/>
                <w:szCs w:val="16"/>
                <w:color w:val="auto"/>
              </w:rPr>
              <w:t>-</w:t>
            </w:r>
          </w:p>
        </w:tc>
        <w:tc>
          <w:tcPr>
            <w:tcW w:w="1580" w:type="dxa"/>
            <w:vAlign w:val="bottom"/>
          </w:tcPr>
          <w:p>
            <w:pPr>
              <w:jc w:val="center"/>
              <w:spacing w:after="0"/>
              <w:rPr>
                <w:sz w:val="20"/>
                <w:szCs w:val="20"/>
                <w:color w:val="auto"/>
              </w:rPr>
            </w:pPr>
            <w:r>
              <w:rPr>
                <w:rFonts w:ascii="Arial" w:cs="Arial" w:eastAsia="Arial" w:hAnsi="Arial"/>
                <w:sz w:val="16"/>
                <w:szCs w:val="16"/>
                <w:color w:val="auto"/>
              </w:rPr>
              <w:t>25</w:t>
            </w: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41</w:t>
            </w:r>
          </w:p>
        </w:tc>
      </w:tr>
      <w:tr>
        <w:trPr>
          <w:trHeight w:val="189"/>
        </w:trPr>
        <w:tc>
          <w:tcPr>
            <w:tcW w:w="65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b w:val="1"/>
                <w:bCs w:val="1"/>
                <w:color w:val="auto"/>
              </w:rPr>
              <w:t>Microloans</w:t>
            </w:r>
          </w:p>
        </w:tc>
        <w:tc>
          <w:tcPr>
            <w:tcW w:w="16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r>
      <w:tr>
        <w:trPr>
          <w:trHeight w:val="202"/>
        </w:trPr>
        <w:tc>
          <w:tcPr>
            <w:tcW w:w="65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6"/>
                <w:szCs w:val="16"/>
                <w:i w:val="1"/>
                <w:iCs w:val="1"/>
                <w:color w:val="auto"/>
              </w:rPr>
              <w:t># Disbursements (thousands)</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165.8</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228</w:t>
            </w:r>
          </w:p>
        </w:tc>
      </w:tr>
    </w:tbl>
    <w:p>
      <w:pPr>
        <w:spacing w:after="0" w:line="167" w:lineRule="exact"/>
        <w:rPr>
          <w:sz w:val="20"/>
          <w:szCs w:val="20"/>
          <w:color w:val="auto"/>
        </w:rPr>
      </w:pPr>
    </w:p>
    <w:p>
      <w:pPr>
        <w:ind w:left="161" w:hanging="161"/>
        <w:spacing w:after="0"/>
        <w:tabs>
          <w:tab w:leader="none" w:pos="161" w:val="left"/>
        </w:tabs>
        <w:numPr>
          <w:ilvl w:val="0"/>
          <w:numId w:val="11"/>
        </w:numPr>
        <w:rPr>
          <w:rFonts w:ascii="Arial" w:cs="Arial" w:eastAsia="Arial" w:hAnsi="Arial"/>
          <w:sz w:val="11"/>
          <w:szCs w:val="11"/>
          <w:color w:val="auto"/>
        </w:rPr>
      </w:pPr>
      <w:r>
        <w:rPr>
          <w:rFonts w:ascii="Arial" w:cs="Arial" w:eastAsia="Arial" w:hAnsi="Arial"/>
          <w:sz w:val="11"/>
          <w:szCs w:val="11"/>
          <w:color w:val="auto"/>
        </w:rPr>
        <w:t>Yape users that have made at least one transaction over the last month.</w:t>
      </w:r>
    </w:p>
    <w:p>
      <w:pPr>
        <w:spacing w:after="0" w:line="5" w:lineRule="exact"/>
        <w:rPr>
          <w:rFonts w:ascii="Arial" w:cs="Arial" w:eastAsia="Arial" w:hAnsi="Arial"/>
          <w:sz w:val="11"/>
          <w:szCs w:val="11"/>
          <w:color w:val="auto"/>
        </w:rPr>
      </w:pPr>
    </w:p>
    <w:p>
      <w:pPr>
        <w:ind w:left="161" w:hanging="161"/>
        <w:spacing w:after="0" w:line="234" w:lineRule="auto"/>
        <w:tabs>
          <w:tab w:leader="none" w:pos="161" w:val="left"/>
        </w:tabs>
        <w:numPr>
          <w:ilvl w:val="0"/>
          <w:numId w:val="11"/>
        </w:numPr>
        <w:rPr>
          <w:rFonts w:ascii="Arial" w:cs="Arial" w:eastAsia="Arial" w:hAnsi="Arial"/>
          <w:sz w:val="11"/>
          <w:szCs w:val="11"/>
          <w:color w:val="auto"/>
        </w:rPr>
      </w:pPr>
      <w:r>
        <w:rPr>
          <w:rFonts w:ascii="Arial" w:cs="Arial" w:eastAsia="Arial" w:hAnsi="Arial"/>
          <w:sz w:val="11"/>
          <w:szCs w:val="11"/>
          <w:color w:val="auto"/>
        </w:rPr>
        <w:t>Net Promoting Score</w:t>
      </w:r>
    </w:p>
    <w:p>
      <w:pPr>
        <w:ind w:left="161" w:hanging="161"/>
        <w:spacing w:after="0" w:line="234" w:lineRule="auto"/>
        <w:tabs>
          <w:tab w:leader="none" w:pos="161" w:val="left"/>
        </w:tabs>
        <w:numPr>
          <w:ilvl w:val="0"/>
          <w:numId w:val="11"/>
        </w:numPr>
        <w:rPr>
          <w:rFonts w:ascii="Arial" w:cs="Arial" w:eastAsia="Arial" w:hAnsi="Arial"/>
          <w:sz w:val="11"/>
          <w:szCs w:val="11"/>
          <w:color w:val="auto"/>
        </w:rPr>
      </w:pPr>
      <w:r>
        <w:rPr>
          <w:rFonts w:ascii="Arial" w:cs="Arial" w:eastAsia="Arial" w:hAnsi="Arial"/>
          <w:sz w:val="11"/>
          <w:szCs w:val="11"/>
          <w:color w:val="auto"/>
        </w:rPr>
        <w:t>Total Payment Volume</w:t>
      </w:r>
    </w:p>
    <w:p>
      <w:pPr>
        <w:ind w:left="161" w:hanging="161"/>
        <w:spacing w:after="0"/>
        <w:tabs>
          <w:tab w:leader="none" w:pos="161" w:val="left"/>
        </w:tabs>
        <w:numPr>
          <w:ilvl w:val="0"/>
          <w:numId w:val="11"/>
        </w:numPr>
        <w:rPr>
          <w:rFonts w:ascii="Arial" w:cs="Arial" w:eastAsia="Arial" w:hAnsi="Arial"/>
          <w:sz w:val="11"/>
          <w:szCs w:val="11"/>
          <w:color w:val="auto"/>
        </w:rPr>
      </w:pPr>
      <w:r>
        <w:rPr>
          <w:rFonts w:ascii="Arial" w:cs="Arial" w:eastAsia="Arial" w:hAnsi="Arial"/>
          <w:sz w:val="11"/>
          <w:szCs w:val="11"/>
          <w:color w:val="auto"/>
        </w:rPr>
        <w:t>Gross Merchant Volume</w:t>
      </w:r>
    </w:p>
    <w:p>
      <w:pPr>
        <w:spacing w:after="0" w:line="263" w:lineRule="exact"/>
        <w:rPr>
          <w:sz w:val="20"/>
          <w:szCs w:val="20"/>
          <w:color w:val="auto"/>
        </w:rPr>
      </w:pPr>
    </w:p>
    <w:p>
      <w:pPr>
        <w:ind w:left="11101"/>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40005</wp:posOffset>
            </wp:positionV>
            <wp:extent cx="7143750" cy="158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312" w:right="339" w:bottom="1440" w:gutter="0" w:footer="0" w:header="0"/>
        </w:sectPr>
      </w:pPr>
    </w:p>
    <w:bookmarkStart w:id="16" w:name="page17"/>
    <w:bookmarkEnd w:id="16"/>
    <w:p>
      <w:pPr>
        <w:ind w:left="2961"/>
        <w:spacing w:after="0"/>
        <w:tabs>
          <w:tab w:leader="none" w:pos="3141" w:val="left"/>
        </w:tabs>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202565</wp:posOffset>
            </wp:positionH>
            <wp:positionV relativeFrom="page">
              <wp:posOffset>88900</wp:posOffset>
            </wp:positionV>
            <wp:extent cx="7143750" cy="3848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3750" cy="384810"/>
                    </a:xfrm>
                    <a:prstGeom prst="rect">
                      <a:avLst/>
                    </a:prstGeom>
                    <a:noFill/>
                  </pic:spPr>
                </pic:pic>
              </a:graphicData>
            </a:graphic>
          </wp:anchor>
        </w:drawing>
        <w:t>|</w:t>
      </w:r>
      <w:r>
        <w:rPr>
          <w:sz w:val="20"/>
          <w:szCs w:val="20"/>
          <w:color w:val="auto"/>
        </w:rPr>
        <w:tab/>
      </w:r>
      <w:r>
        <w:rPr>
          <w:rFonts w:ascii="Arial" w:cs="Arial" w:eastAsia="Arial" w:hAnsi="Arial"/>
          <w:sz w:val="16"/>
          <w:szCs w:val="16"/>
          <w:b w:val="1"/>
          <w:bCs w:val="1"/>
          <w:color w:val="FFFFFF"/>
        </w:rPr>
        <w:t>Earnings Release 3Q /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158115</wp:posOffset>
            </wp:positionV>
            <wp:extent cx="7143750" cy="1885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3750" cy="188595"/>
                    </a:xfrm>
                    <a:prstGeom prst="rect">
                      <a:avLst/>
                    </a:prstGeom>
                    <a:noFill/>
                  </pic:spPr>
                </pic:pic>
              </a:graphicData>
            </a:graphic>
          </wp:anchor>
        </w:drawing>
      </w:r>
    </w:p>
    <w:p>
      <w:pPr>
        <w:spacing w:after="0" w:line="253"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FFFFFF"/>
        </w:rPr>
        <w:t>Credicorp’s Strategy Update</w:t>
      </w:r>
    </w:p>
    <w:p>
      <w:pPr>
        <w:spacing w:after="0" w:line="267"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Integrating Sustainability in Our Businesses</w:t>
      </w:r>
    </w:p>
    <w:p>
      <w:pPr>
        <w:spacing w:after="0" w:line="21" w:lineRule="exact"/>
        <w:rPr>
          <w:sz w:val="20"/>
          <w:szCs w:val="20"/>
          <w:color w:val="auto"/>
        </w:rPr>
      </w:pPr>
    </w:p>
    <w:p>
      <w:pPr>
        <w:ind w:left="1"/>
        <w:spacing w:after="0"/>
        <w:rPr>
          <w:sz w:val="20"/>
          <w:szCs w:val="20"/>
          <w:color w:val="auto"/>
        </w:rPr>
      </w:pPr>
      <w:r>
        <w:rPr>
          <w:rFonts w:ascii="Arial" w:cs="Arial" w:eastAsia="Arial" w:hAnsi="Arial"/>
          <w:sz w:val="16"/>
          <w:szCs w:val="16"/>
          <w:color w:val="auto"/>
        </w:rPr>
        <w:t>For more information about our sustainability, programs and initiatives, please see:</w:t>
      </w:r>
    </w:p>
    <w:p>
      <w:pPr>
        <w:spacing w:after="0" w:line="1" w:lineRule="exact"/>
        <w:rPr>
          <w:sz w:val="20"/>
          <w:szCs w:val="20"/>
          <w:color w:val="auto"/>
        </w:rPr>
      </w:pPr>
    </w:p>
    <w:p>
      <w:pPr>
        <w:ind w:left="1" w:right="780"/>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Sustainability Strategy 2020-25</w:t>
      </w:r>
      <w:r>
        <w:rPr>
          <w:rFonts w:ascii="Arial" w:cs="Arial" w:eastAsia="Arial" w:hAnsi="Arial"/>
          <w:sz w:val="16"/>
          <w:szCs w:val="16"/>
          <w:u w:val="single" w:color="auto"/>
          <w:color w:val="0562C1"/>
        </w:rPr>
        <w:t>”</w:t>
      </w:r>
      <w:r>
        <w:rPr>
          <w:rFonts w:ascii="Arial" w:cs="Arial" w:eastAsia="Arial" w:hAnsi="Arial"/>
          <w:sz w:val="16"/>
          <w:szCs w:val="16"/>
          <w:color w:val="auto"/>
        </w:rPr>
        <w:t xml:space="preserve"> and the “</w:t>
      </w:r>
      <w:r>
        <w:rPr>
          <w:rFonts w:ascii="Arial" w:cs="Arial" w:eastAsia="Arial" w:hAnsi="Arial"/>
          <w:sz w:val="16"/>
          <w:szCs w:val="16"/>
          <w:u w:val="single" w:color="auto"/>
          <w:color w:val="auto"/>
        </w:rPr>
        <w:t>Annual Report and Sustainability 202</w:t>
      </w:r>
      <w:r>
        <w:rPr>
          <w:rFonts w:ascii="Arial" w:cs="Arial" w:eastAsia="Arial" w:hAnsi="Arial"/>
          <w:sz w:val="16"/>
          <w:szCs w:val="16"/>
          <w:u w:val="single" w:color="auto"/>
          <w:color w:val="0562C1"/>
        </w:rPr>
        <w:t>2</w:t>
      </w:r>
      <w:r>
        <w:rPr>
          <w:rFonts w:ascii="Arial" w:cs="Arial" w:eastAsia="Arial" w:hAnsi="Arial"/>
          <w:sz w:val="16"/>
          <w:szCs w:val="16"/>
          <w:color w:val="auto"/>
        </w:rPr>
        <w:t>”. Among the milestones hit during the third quarter 2023 in the framework of the Sustainability Program, the following stand out:</w:t>
      </w:r>
    </w:p>
    <w:p>
      <w:pPr>
        <w:spacing w:after="0" w:line="127"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Environmental Front – Driving environmental sustainability through the financial sector and ESG risk management</w:t>
      </w:r>
    </w:p>
    <w:p>
      <w:pPr>
        <w:spacing w:after="0" w:line="21" w:lineRule="exact"/>
        <w:rPr>
          <w:sz w:val="20"/>
          <w:szCs w:val="20"/>
          <w:color w:val="auto"/>
        </w:rPr>
      </w:pPr>
    </w:p>
    <w:p>
      <w:pPr>
        <w:ind w:left="601" w:hanging="304"/>
        <w:spacing w:after="0"/>
        <w:tabs>
          <w:tab w:leader="none" w:pos="601"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 Q3, we continued to roll out an environmental strategy at the corporate level:</w:t>
      </w:r>
    </w:p>
    <w:p>
      <w:pPr>
        <w:spacing w:after="0" w:line="1" w:lineRule="exact"/>
        <w:rPr>
          <w:sz w:val="20"/>
          <w:szCs w:val="20"/>
          <w:color w:val="auto"/>
        </w:rPr>
      </w:pPr>
    </w:p>
    <w:p>
      <w:pPr>
        <w:jc w:val="both"/>
        <w:ind w:left="1181" w:hanging="291"/>
        <w:spacing w:after="0" w:line="241" w:lineRule="auto"/>
        <w:tabs>
          <w:tab w:leader="none" w:pos="1181"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Footprint measurement: </w:t>
      </w:r>
      <w:r>
        <w:rPr>
          <w:rFonts w:ascii="Arial" w:cs="Arial" w:eastAsia="Arial" w:hAnsi="Arial"/>
          <w:sz w:val="16"/>
          <w:szCs w:val="16"/>
          <w:color w:val="auto"/>
        </w:rPr>
        <w:t>Prima and Pacifico completed the process to measure the financial footprint of the assets prioritized under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PCAF methodology. Both entities are reviewing results and broadening the scope of their measurements. At BCP, we continue to build internal capacities to measure prioritized sectors in Wholesale Banking (mining, hydrocarbons, energy, construction, fishing, agriculture and others).</w:t>
      </w:r>
    </w:p>
    <w:p>
      <w:pPr>
        <w:spacing w:after="0" w:line="2" w:lineRule="exact"/>
        <w:rPr>
          <w:rFonts w:ascii="Arial" w:cs="Arial" w:eastAsia="Arial" w:hAnsi="Arial"/>
          <w:sz w:val="16"/>
          <w:szCs w:val="16"/>
          <w:color w:val="auto"/>
        </w:rPr>
      </w:pPr>
    </w:p>
    <w:p>
      <w:pPr>
        <w:jc w:val="both"/>
        <w:ind w:left="1181" w:hanging="291"/>
        <w:spacing w:after="0" w:line="246" w:lineRule="auto"/>
        <w:tabs>
          <w:tab w:leader="none" w:pos="1181"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Business Opportunities</w:t>
      </w:r>
      <w:r>
        <w:rPr>
          <w:rFonts w:ascii="Arial" w:cs="Arial" w:eastAsia="Arial" w:hAnsi="Arial"/>
          <w:sz w:val="16"/>
          <w:szCs w:val="16"/>
          <w:color w:val="auto"/>
        </w:rPr>
        <w:t>: In August of this year, an ESG unit was created in Wholesale Banking to drive the bank’s green financing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strategy and educate the bank’s clients, encouraging them to transition to sustainability. At the end of September 2023, 32 green operations were rolled out for US$ 309.9MM and S/25MM were placed in green mortgage loans.</w:t>
      </w:r>
    </w:p>
    <w:p>
      <w:pPr>
        <w:spacing w:after="0" w:line="2" w:lineRule="exact"/>
        <w:rPr>
          <w:rFonts w:ascii="Arial" w:cs="Arial" w:eastAsia="Arial" w:hAnsi="Arial"/>
          <w:sz w:val="16"/>
          <w:szCs w:val="16"/>
          <w:color w:val="auto"/>
        </w:rPr>
      </w:pPr>
    </w:p>
    <w:p>
      <w:pPr>
        <w:jc w:val="both"/>
        <w:ind w:left="1181" w:hanging="291"/>
        <w:spacing w:after="0" w:line="250" w:lineRule="auto"/>
        <w:tabs>
          <w:tab w:leader="none" w:pos="1181"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Risks</w:t>
      </w:r>
      <w:r>
        <w:rPr>
          <w:rFonts w:ascii="Arial" w:cs="Arial" w:eastAsia="Arial" w:hAnsi="Arial"/>
          <w:sz w:val="16"/>
          <w:szCs w:val="16"/>
          <w:color w:val="auto"/>
        </w:rPr>
        <w:t>: A process was developed to validate exclusions for corporate conduct relative to investments and financing. The BCP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Environmental Taxonomy Tool was updated to determine eligibility for green loans, and we continued to roll out ESG risk questionnaires at BCP and Pacifico to analyze the risk management level of prioritized portfolios.</w:t>
      </w:r>
    </w:p>
    <w:p>
      <w:pPr>
        <w:spacing w:after="0" w:line="135"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Social Front – Expanding social inclusion and educating people about finance and entrepreneurship</w:t>
      </w:r>
    </w:p>
    <w:p>
      <w:pPr>
        <w:spacing w:after="0" w:line="21" w:lineRule="exact"/>
        <w:rPr>
          <w:sz w:val="20"/>
          <w:szCs w:val="20"/>
          <w:color w:val="auto"/>
        </w:rPr>
      </w:pPr>
    </w:p>
    <w:p>
      <w:pPr>
        <w:ind w:left="601" w:hanging="304"/>
        <w:spacing w:after="0" w:line="241" w:lineRule="auto"/>
        <w:tabs>
          <w:tab w:leader="none" w:pos="601" w:val="left"/>
        </w:tabs>
        <w:numPr>
          <w:ilvl w:val="0"/>
          <w:numId w:val="14"/>
        </w:numPr>
        <w:rPr>
          <w:rFonts w:ascii="Arial" w:cs="Arial" w:eastAsia="Arial" w:hAnsi="Arial"/>
          <w:sz w:val="16"/>
          <w:szCs w:val="16"/>
          <w:color w:val="auto"/>
        </w:rPr>
      </w:pPr>
      <w:r>
        <w:rPr>
          <w:rFonts w:ascii="Arial" w:cs="Arial" w:eastAsia="Arial" w:hAnsi="Arial"/>
          <w:sz w:val="16"/>
          <w:szCs w:val="16"/>
          <w:b w:val="1"/>
          <w:bCs w:val="1"/>
          <w:i w:val="1"/>
          <w:iCs w:val="1"/>
          <w:color w:val="auto"/>
        </w:rPr>
        <w:t>Financial Inclusion</w:t>
      </w:r>
      <w:r>
        <w:rPr>
          <w:rFonts w:ascii="Arial" w:cs="Arial" w:eastAsia="Arial" w:hAnsi="Arial"/>
          <w:sz w:val="16"/>
          <w:szCs w:val="16"/>
          <w:color w:val="auto"/>
        </w:rPr>
        <w:t>: We released our third edition of the Financial Inclusion Index (2023 version) after completing in-depth information analysis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2Q23.</w:t>
      </w:r>
    </w:p>
    <w:p>
      <w:pPr>
        <w:spacing w:after="0" w:line="1" w:lineRule="exact"/>
        <w:rPr>
          <w:rFonts w:ascii="Arial" w:cs="Arial" w:eastAsia="Arial" w:hAnsi="Arial"/>
          <w:sz w:val="16"/>
          <w:szCs w:val="16"/>
          <w:color w:val="auto"/>
        </w:rPr>
      </w:pPr>
    </w:p>
    <w:p>
      <w:pPr>
        <w:jc w:val="both"/>
        <w:ind w:left="601" w:hanging="304"/>
        <w:spacing w:after="0" w:line="244" w:lineRule="auto"/>
        <w:tabs>
          <w:tab w:leader="none" w:pos="601" w:val="left"/>
        </w:tabs>
        <w:numPr>
          <w:ilvl w:val="0"/>
          <w:numId w:val="14"/>
        </w:numPr>
        <w:rPr>
          <w:rFonts w:ascii="Arial" w:cs="Arial" w:eastAsia="Arial" w:hAnsi="Arial"/>
          <w:sz w:val="16"/>
          <w:szCs w:val="16"/>
          <w:color w:val="auto"/>
        </w:rPr>
      </w:pPr>
      <w:r>
        <w:rPr>
          <w:rFonts w:ascii="Arial" w:cs="Arial" w:eastAsia="Arial" w:hAnsi="Arial"/>
          <w:sz w:val="16"/>
          <w:szCs w:val="16"/>
          <w:b w:val="1"/>
          <w:bCs w:val="1"/>
          <w:i w:val="1"/>
          <w:iCs w:val="1"/>
          <w:color w:val="auto"/>
        </w:rPr>
        <w:t>Financial Education</w:t>
      </w:r>
      <w:r>
        <w:rPr>
          <w:rFonts w:ascii="Arial" w:cs="Arial" w:eastAsia="Arial" w:hAnsi="Arial"/>
          <w:sz w:val="16"/>
          <w:szCs w:val="16"/>
          <w:color w:val="auto"/>
        </w:rPr>
        <w:t>: BCP continued to drive improvements in financial behavior (avoiding overindebtedness/overdrawn credit cards/Late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Payments and encouraging savings) among 136 thousand clients thanks to its Education initiatives from the Business Front. Additionally, the bank has trained, in partnership with the Ministry of Social Development and Inclusion (MIDIS), leaders of more than 5 thousand Community Pots and Community Kitchens. Under its “Powerful Women” program, Mibanco Peru has trained more than 8 thousand representatives of 645 organizations. Through its ABC of Pension Savings Culture, Prima AFP presented learning capsules for “Ahorrando a Fondo” this quarter. These installments obtained 29 thousand views within the first week of launch. Pacifico Seguros, via its Insurance Education program, trained +800 individuals and +200 businesses about prevention in the context of the El Niño phenomenon in 3Q23.</w:t>
      </w:r>
    </w:p>
    <w:p>
      <w:pPr>
        <w:spacing w:after="0" w:line="150" w:lineRule="exact"/>
        <w:rPr>
          <w:sz w:val="20"/>
          <w:szCs w:val="20"/>
          <w:color w:val="auto"/>
        </w:rPr>
      </w:pPr>
    </w:p>
    <w:p>
      <w:pPr>
        <w:ind w:left="1"/>
        <w:spacing w:after="0"/>
        <w:rPr>
          <w:sz w:val="20"/>
          <w:szCs w:val="20"/>
          <w:color w:val="auto"/>
        </w:rPr>
      </w:pPr>
      <w:r>
        <w:rPr>
          <w:rFonts w:ascii="Arial" w:cs="Arial" w:eastAsia="Arial" w:hAnsi="Arial"/>
          <w:sz w:val="16"/>
          <w:szCs w:val="16"/>
          <w:color w:val="auto"/>
        </w:rPr>
        <w:t>For information on the progress of other initiatives from these and other platforms, please see the table below:</w:t>
      </w:r>
    </w:p>
    <w:p>
      <w:pPr>
        <w:spacing w:after="0" w:line="167" w:lineRule="exact"/>
        <w:rPr>
          <w:sz w:val="20"/>
          <w:szCs w:val="20"/>
          <w:color w:val="auto"/>
        </w:rPr>
      </w:pPr>
    </w:p>
    <w:tbl>
      <w:tblPr>
        <w:tblLayout w:type="fixed"/>
        <w:tblInd w:w="11" w:type="dxa"/>
        <w:tblCellMar>
          <w:top w:w="0" w:type="dxa"/>
          <w:left w:w="0" w:type="dxa"/>
          <w:bottom w:w="0" w:type="dxa"/>
          <w:right w:w="0" w:type="dxa"/>
        </w:tblCellMar>
      </w:tblPr>
      <w:tr>
        <w:trPr>
          <w:trHeight w:val="185"/>
        </w:trPr>
        <w:tc>
          <w:tcPr>
            <w:tcW w:w="6360" w:type="dxa"/>
            <w:vAlign w:val="bottom"/>
            <w:tcBorders>
              <w:top w:val="single" w:sz="8" w:color="auto"/>
              <w:left w:val="single" w:sz="8" w:color="auto"/>
              <w:bottom w:val="single" w:sz="8" w:color="auto"/>
              <w:right w:val="single" w:sz="8" w:color="auto"/>
            </w:tcBorders>
            <w:shd w:val="clear" w:color="auto" w:fill="33CCCC"/>
          </w:tcPr>
          <w:p>
            <w:pPr>
              <w:ind w:left="20"/>
              <w:spacing w:after="0"/>
              <w:rPr>
                <w:sz w:val="20"/>
                <w:szCs w:val="20"/>
                <w:color w:val="auto"/>
              </w:rPr>
            </w:pPr>
            <w:r>
              <w:rPr>
                <w:rFonts w:ascii="Arial" w:cs="Arial" w:eastAsia="Arial" w:hAnsi="Arial"/>
                <w:sz w:val="15"/>
                <w:szCs w:val="15"/>
                <w:b w:val="1"/>
                <w:bCs w:val="1"/>
                <w:i w:val="1"/>
                <w:iCs w:val="1"/>
                <w:color w:val="auto"/>
              </w:rPr>
              <w:t>Progress on Initiatives</w:t>
            </w:r>
          </w:p>
        </w:tc>
        <w:tc>
          <w:tcPr>
            <w:tcW w:w="1340" w:type="dxa"/>
            <w:vAlign w:val="bottom"/>
            <w:tcBorders>
              <w:top w:val="single" w:sz="8" w:color="auto"/>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5"/>
                <w:szCs w:val="15"/>
                <w:b w:val="1"/>
                <w:bCs w:val="1"/>
                <w:i w:val="1"/>
                <w:iCs w:val="1"/>
                <w:color w:val="auto"/>
                <w:w w:val="99"/>
              </w:rPr>
              <w:t>Company</w:t>
            </w:r>
          </w:p>
        </w:tc>
        <w:tc>
          <w:tcPr>
            <w:tcW w:w="1180" w:type="dxa"/>
            <w:vAlign w:val="bottom"/>
            <w:tcBorders>
              <w:top w:val="single" w:sz="8" w:color="auto"/>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5"/>
                <w:szCs w:val="15"/>
                <w:b w:val="1"/>
                <w:bCs w:val="1"/>
                <w:i w:val="1"/>
                <w:iCs w:val="1"/>
                <w:color w:val="auto"/>
              </w:rPr>
              <w:t>1Q23</w:t>
            </w:r>
            <w:r>
              <w:rPr>
                <w:rFonts w:ascii="Arial" w:cs="Arial" w:eastAsia="Arial" w:hAnsi="Arial"/>
                <w:sz w:val="15"/>
                <w:szCs w:val="15"/>
                <w:color w:val="auto"/>
              </w:rPr>
              <w:t> </w:t>
            </w:r>
          </w:p>
        </w:tc>
        <w:tc>
          <w:tcPr>
            <w:tcW w:w="1180" w:type="dxa"/>
            <w:vAlign w:val="bottom"/>
            <w:tcBorders>
              <w:top w:val="single" w:sz="8" w:color="auto"/>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5"/>
                <w:szCs w:val="15"/>
                <w:b w:val="1"/>
                <w:bCs w:val="1"/>
                <w:i w:val="1"/>
                <w:iCs w:val="1"/>
                <w:color w:val="auto"/>
              </w:rPr>
              <w:t>2Q23</w:t>
            </w:r>
            <w:r>
              <w:rPr>
                <w:rFonts w:ascii="Arial" w:cs="Arial" w:eastAsia="Arial" w:hAnsi="Arial"/>
                <w:sz w:val="15"/>
                <w:szCs w:val="15"/>
                <w:color w:val="auto"/>
              </w:rPr>
              <w:t> </w:t>
            </w:r>
          </w:p>
        </w:tc>
        <w:tc>
          <w:tcPr>
            <w:tcW w:w="1200" w:type="dxa"/>
            <w:vAlign w:val="bottom"/>
            <w:tcBorders>
              <w:top w:val="single" w:sz="8" w:color="auto"/>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5"/>
                <w:szCs w:val="15"/>
                <w:b w:val="1"/>
                <w:bCs w:val="1"/>
                <w:i w:val="1"/>
                <w:iCs w:val="1"/>
                <w:color w:val="auto"/>
              </w:rPr>
              <w:t>3Q23</w:t>
            </w:r>
          </w:p>
        </w:tc>
      </w:tr>
      <w:tr>
        <w:trPr>
          <w:trHeight w:val="165"/>
        </w:trPr>
        <w:tc>
          <w:tcPr>
            <w:tcW w:w="6360" w:type="dxa"/>
            <w:vAlign w:val="bottom"/>
            <w:tcBorders>
              <w:left w:val="single" w:sz="8" w:color="auto"/>
              <w:bottom w:val="single" w:sz="8" w:color="auto"/>
            </w:tcBorders>
          </w:tcPr>
          <w:p>
            <w:pPr>
              <w:ind w:left="20"/>
              <w:spacing w:after="0" w:line="166" w:lineRule="exact"/>
              <w:rPr>
                <w:sz w:val="20"/>
                <w:szCs w:val="20"/>
                <w:color w:val="auto"/>
              </w:rPr>
            </w:pPr>
            <w:r>
              <w:rPr>
                <w:rFonts w:ascii="Arial" w:cs="Arial" w:eastAsia="Arial" w:hAnsi="Arial"/>
                <w:sz w:val="15"/>
                <w:szCs w:val="15"/>
                <w:b w:val="1"/>
                <w:bCs w:val="1"/>
                <w:color w:val="auto"/>
              </w:rPr>
              <w:t>Financial Inclusion</w:t>
            </w:r>
          </w:p>
        </w:tc>
        <w:tc>
          <w:tcPr>
            <w:tcW w:w="1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200" w:type="dxa"/>
            <w:vAlign w:val="bottom"/>
            <w:tcBorders>
              <w:bottom w:val="single" w:sz="8" w:color="auto"/>
              <w:right w:val="single" w:sz="8" w:color="auto"/>
            </w:tcBorders>
          </w:tcPr>
          <w:p>
            <w:pPr>
              <w:spacing w:after="0"/>
              <w:rPr>
                <w:sz w:val="14"/>
                <w:szCs w:val="14"/>
                <w:color w:val="auto"/>
              </w:rPr>
            </w:pPr>
          </w:p>
        </w:tc>
      </w:tr>
      <w:tr>
        <w:trPr>
          <w:trHeight w:val="157"/>
        </w:trPr>
        <w:tc>
          <w:tcPr>
            <w:tcW w:w="636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2"/>
                <w:szCs w:val="12"/>
                <w:color w:val="auto"/>
              </w:rPr>
              <w:t>Financially included through BCP</w:t>
            </w:r>
            <w:r>
              <w:rPr>
                <w:rFonts w:ascii="Arial" w:cs="Arial" w:eastAsia="Arial" w:hAnsi="Arial"/>
                <w:sz w:val="18"/>
                <w:szCs w:val="18"/>
                <w:color w:val="auto"/>
                <w:vertAlign w:val="superscript"/>
              </w:rPr>
              <w:t>(1)(2)</w:t>
            </w:r>
            <w:r>
              <w:rPr>
                <w:rFonts w:ascii="Arial" w:cs="Arial" w:eastAsia="Arial" w:hAnsi="Arial"/>
                <w:sz w:val="12"/>
                <w:szCs w:val="12"/>
                <w:color w:val="auto"/>
              </w:rPr>
              <w:t> – cumulative since 2020</w:t>
            </w:r>
          </w:p>
        </w:tc>
        <w:tc>
          <w:tcPr>
            <w:tcW w:w="1340" w:type="dxa"/>
            <w:vAlign w:val="bottom"/>
            <w:tcBorders>
              <w:right w:val="single" w:sz="8" w:color="auto"/>
            </w:tcBorders>
          </w:tcPr>
          <w:p>
            <w:pPr>
              <w:jc w:val="center"/>
              <w:ind w:right="6"/>
              <w:spacing w:after="0" w:line="157" w:lineRule="exact"/>
              <w:rPr>
                <w:sz w:val="20"/>
                <w:szCs w:val="20"/>
                <w:color w:val="auto"/>
              </w:rPr>
            </w:pPr>
            <w:r>
              <w:rPr>
                <w:rFonts w:ascii="Arial" w:cs="Arial" w:eastAsia="Arial" w:hAnsi="Arial"/>
                <w:sz w:val="15"/>
                <w:szCs w:val="15"/>
                <w:color w:val="auto"/>
                <w:w w:val="97"/>
              </w:rPr>
              <w:t>BCP</w:t>
            </w:r>
          </w:p>
        </w:tc>
        <w:tc>
          <w:tcPr>
            <w:tcW w:w="1180" w:type="dxa"/>
            <w:vAlign w:val="bottom"/>
            <w:tcBorders>
              <w:right w:val="single" w:sz="8" w:color="auto"/>
            </w:tcBorders>
          </w:tcPr>
          <w:p>
            <w:pPr>
              <w:jc w:val="center"/>
              <w:ind w:right="6"/>
              <w:spacing w:after="0" w:line="157" w:lineRule="exact"/>
              <w:rPr>
                <w:sz w:val="20"/>
                <w:szCs w:val="20"/>
                <w:color w:val="auto"/>
              </w:rPr>
            </w:pPr>
            <w:r>
              <w:rPr>
                <w:rFonts w:ascii="Arial" w:cs="Arial" w:eastAsia="Arial" w:hAnsi="Arial"/>
                <w:sz w:val="15"/>
                <w:szCs w:val="15"/>
                <w:color w:val="auto"/>
                <w:w w:val="99"/>
              </w:rPr>
              <w:t>2.6 million </w:t>
            </w:r>
          </w:p>
        </w:tc>
        <w:tc>
          <w:tcPr>
            <w:tcW w:w="118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5"/>
                <w:szCs w:val="15"/>
                <w:color w:val="auto"/>
              </w:rPr>
              <w:t>3.1 million</w:t>
            </w:r>
          </w:p>
        </w:tc>
        <w:tc>
          <w:tcPr>
            <w:tcW w:w="120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5"/>
                <w:szCs w:val="15"/>
                <w:color w:val="auto"/>
                <w:w w:val="97"/>
              </w:rPr>
              <w:t>3.6 million</w:t>
            </w:r>
          </w:p>
        </w:tc>
      </w:tr>
      <w:tr>
        <w:trPr>
          <w:trHeight w:val="191"/>
        </w:trPr>
        <w:tc>
          <w:tcPr>
            <w:tcW w:w="63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Stock of inclusive insurance policies – YTD</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9"/>
              </w:rPr>
              <w:t>Pacifico Seguros</w:t>
            </w:r>
          </w:p>
        </w:tc>
        <w:tc>
          <w:tcPr>
            <w:tcW w:w="1180" w:type="dxa"/>
            <w:vAlign w:val="bottom"/>
            <w:tcBorders>
              <w:bottom w:val="single" w:sz="8" w:color="auto"/>
              <w:right w:val="single" w:sz="8" w:color="auto"/>
            </w:tcBorders>
          </w:tcPr>
          <w:p>
            <w:pPr>
              <w:jc w:val="center"/>
              <w:ind w:right="6"/>
              <w:spacing w:after="0"/>
              <w:rPr>
                <w:sz w:val="20"/>
                <w:szCs w:val="20"/>
                <w:color w:val="auto"/>
              </w:rPr>
            </w:pPr>
            <w:r>
              <w:rPr>
                <w:rFonts w:ascii="Arial" w:cs="Arial" w:eastAsia="Arial" w:hAnsi="Arial"/>
                <w:sz w:val="15"/>
                <w:szCs w:val="15"/>
                <w:color w:val="auto"/>
                <w:w w:val="99"/>
              </w:rPr>
              <w:t>2.8 million </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9"/>
              </w:rPr>
              <w:t>2.9 million </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7"/>
              </w:rPr>
              <w:t>3.1 million</w:t>
            </w:r>
          </w:p>
        </w:tc>
      </w:tr>
      <w:tr>
        <w:trPr>
          <w:trHeight w:val="168"/>
        </w:trPr>
        <w:tc>
          <w:tcPr>
            <w:tcW w:w="6360" w:type="dxa"/>
            <w:vAlign w:val="bottom"/>
            <w:tcBorders>
              <w:left w:val="single" w:sz="8" w:color="auto"/>
              <w:bottom w:val="single" w:sz="8" w:color="auto"/>
            </w:tcBorders>
          </w:tcPr>
          <w:p>
            <w:pPr>
              <w:ind w:left="20"/>
              <w:spacing w:after="0" w:line="168" w:lineRule="exact"/>
              <w:rPr>
                <w:sz w:val="20"/>
                <w:szCs w:val="20"/>
                <w:color w:val="auto"/>
              </w:rPr>
            </w:pPr>
            <w:r>
              <w:rPr>
                <w:rFonts w:ascii="Arial" w:cs="Arial" w:eastAsia="Arial" w:hAnsi="Arial"/>
                <w:sz w:val="15"/>
                <w:szCs w:val="15"/>
                <w:b w:val="1"/>
                <w:bCs w:val="1"/>
                <w:color w:val="auto"/>
              </w:rPr>
              <w:t>Financial Education</w:t>
            </w:r>
          </w:p>
        </w:tc>
        <w:tc>
          <w:tcPr>
            <w:tcW w:w="1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200" w:type="dxa"/>
            <w:vAlign w:val="bottom"/>
            <w:tcBorders>
              <w:bottom w:val="single" w:sz="8" w:color="auto"/>
              <w:right w:val="single" w:sz="8" w:color="auto"/>
            </w:tcBorders>
          </w:tcPr>
          <w:p>
            <w:pPr>
              <w:spacing w:after="0"/>
              <w:rPr>
                <w:sz w:val="14"/>
                <w:szCs w:val="14"/>
                <w:color w:val="auto"/>
              </w:rPr>
            </w:pPr>
          </w:p>
        </w:tc>
      </w:tr>
      <w:tr>
        <w:trPr>
          <w:trHeight w:val="157"/>
        </w:trPr>
        <w:tc>
          <w:tcPr>
            <w:tcW w:w="636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5"/>
                <w:szCs w:val="15"/>
                <w:color w:val="auto"/>
              </w:rPr>
              <w:t>Trained through online courses via ABC at BCP (ABC del BCP) – YTD 2023</w:t>
            </w:r>
          </w:p>
        </w:tc>
        <w:tc>
          <w:tcPr>
            <w:tcW w:w="1340" w:type="dxa"/>
            <w:vAlign w:val="bottom"/>
            <w:tcBorders>
              <w:right w:val="single" w:sz="8" w:color="auto"/>
            </w:tcBorders>
          </w:tcPr>
          <w:p>
            <w:pPr>
              <w:jc w:val="center"/>
              <w:ind w:right="6"/>
              <w:spacing w:after="0" w:line="157" w:lineRule="exact"/>
              <w:rPr>
                <w:sz w:val="20"/>
                <w:szCs w:val="20"/>
                <w:color w:val="auto"/>
              </w:rPr>
            </w:pPr>
            <w:r>
              <w:rPr>
                <w:rFonts w:ascii="Arial" w:cs="Arial" w:eastAsia="Arial" w:hAnsi="Arial"/>
                <w:sz w:val="15"/>
                <w:szCs w:val="15"/>
                <w:color w:val="auto"/>
                <w:w w:val="97"/>
              </w:rPr>
              <w:t>BCP</w:t>
            </w:r>
          </w:p>
        </w:tc>
        <w:tc>
          <w:tcPr>
            <w:tcW w:w="118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5"/>
                <w:szCs w:val="15"/>
                <w:color w:val="auto"/>
                <w:w w:val="97"/>
              </w:rPr>
              <w:t>117.5 thousand </w:t>
            </w:r>
          </w:p>
        </w:tc>
        <w:tc>
          <w:tcPr>
            <w:tcW w:w="118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5"/>
                <w:szCs w:val="15"/>
                <w:color w:val="auto"/>
                <w:w w:val="97"/>
              </w:rPr>
              <w:t>230.3 thousand </w:t>
            </w:r>
          </w:p>
        </w:tc>
        <w:tc>
          <w:tcPr>
            <w:tcW w:w="1200" w:type="dxa"/>
            <w:vAlign w:val="bottom"/>
            <w:tcBorders>
              <w:right w:val="single" w:sz="8" w:color="auto"/>
            </w:tcBorders>
          </w:tcPr>
          <w:p>
            <w:pPr>
              <w:jc w:val="center"/>
              <w:ind w:right="28"/>
              <w:spacing w:after="0" w:line="157" w:lineRule="exact"/>
              <w:rPr>
                <w:sz w:val="20"/>
                <w:szCs w:val="20"/>
                <w:color w:val="auto"/>
              </w:rPr>
            </w:pPr>
            <w:r>
              <w:rPr>
                <w:rFonts w:ascii="Arial" w:cs="Arial" w:eastAsia="Arial" w:hAnsi="Arial"/>
                <w:sz w:val="15"/>
                <w:szCs w:val="15"/>
                <w:color w:val="auto"/>
                <w:w w:val="98"/>
              </w:rPr>
              <w:t>397.9 thousand</w:t>
            </w:r>
          </w:p>
        </w:tc>
      </w:tr>
      <w:tr>
        <w:trPr>
          <w:trHeight w:val="173"/>
        </w:trPr>
        <w:tc>
          <w:tcPr>
            <w:tcW w:w="6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Individuals trained in risk prevention via Safe Community (Comunidad Segura) – YTD</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9"/>
              </w:rPr>
              <w:t>Pacifico Seguros</w:t>
            </w:r>
          </w:p>
        </w:tc>
        <w:tc>
          <w:tcPr>
            <w:tcW w:w="1180" w:type="dxa"/>
            <w:vAlign w:val="bottom"/>
            <w:tcBorders>
              <w:right w:val="single" w:sz="8" w:color="auto"/>
            </w:tcBorders>
          </w:tcPr>
          <w:p>
            <w:pPr>
              <w:jc w:val="center"/>
              <w:ind w:right="6"/>
              <w:spacing w:after="0"/>
              <w:rPr>
                <w:sz w:val="20"/>
                <w:szCs w:val="20"/>
                <w:color w:val="auto"/>
              </w:rPr>
            </w:pPr>
            <w:r>
              <w:rPr>
                <w:rFonts w:ascii="Arial" w:cs="Arial" w:eastAsia="Arial" w:hAnsi="Arial"/>
                <w:sz w:val="15"/>
                <w:szCs w:val="15"/>
                <w:color w:val="auto"/>
                <w:w w:val="99"/>
              </w:rPr>
              <w:t>0.3 thousand</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7"/>
              </w:rPr>
              <w:t>24.6 thousand </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8"/>
              </w:rPr>
              <w:t>33.2 thousand</w:t>
            </w:r>
          </w:p>
        </w:tc>
      </w:tr>
      <w:tr>
        <w:trPr>
          <w:trHeight w:val="173"/>
        </w:trPr>
        <w:tc>
          <w:tcPr>
            <w:tcW w:w="6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2023</w:t>
            </w:r>
          </w:p>
        </w:tc>
        <w:tc>
          <w:tcPr>
            <w:tcW w:w="1340" w:type="dxa"/>
            <w:vAlign w:val="bottom"/>
            <w:tcBorders>
              <w:right w:val="single" w:sz="8" w:color="auto"/>
            </w:tcBorders>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r>
      <w:tr>
        <w:trPr>
          <w:trHeight w:val="173"/>
        </w:trPr>
        <w:tc>
          <w:tcPr>
            <w:tcW w:w="6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Young people trained through the ABC of the Pension Culture (ABC de la Cultura</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9"/>
              </w:rPr>
              <w:t>Prima AFP</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8"/>
              </w:rPr>
              <w:t>5.6 thousand </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7"/>
              </w:rPr>
              <w:t>24.6 thousand </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8"/>
              </w:rPr>
              <w:t>59.9 thousand</w:t>
            </w:r>
          </w:p>
        </w:tc>
      </w:tr>
      <w:tr>
        <w:trPr>
          <w:trHeight w:val="173"/>
        </w:trPr>
        <w:tc>
          <w:tcPr>
            <w:tcW w:w="6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Previsional) – YTD 2023 </w:t>
            </w:r>
          </w:p>
        </w:tc>
        <w:tc>
          <w:tcPr>
            <w:tcW w:w="1340" w:type="dxa"/>
            <w:vAlign w:val="bottom"/>
            <w:tcBorders>
              <w:right w:val="single" w:sz="8" w:color="auto"/>
            </w:tcBorders>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1200" w:type="dxa"/>
            <w:vAlign w:val="bottom"/>
            <w:tcBorders>
              <w:right w:val="single" w:sz="8" w:color="auto"/>
            </w:tcBorders>
          </w:tcPr>
          <w:p>
            <w:pPr>
              <w:spacing w:after="0"/>
              <w:rPr>
                <w:sz w:val="15"/>
                <w:szCs w:val="15"/>
                <w:color w:val="auto"/>
              </w:rPr>
            </w:pPr>
          </w:p>
        </w:tc>
      </w:tr>
      <w:tr>
        <w:trPr>
          <w:trHeight w:val="173"/>
        </w:trPr>
        <w:tc>
          <w:tcPr>
            <w:tcW w:w="63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Clients trained through the Basic Program for Digital Guidance (Programa Básica de</w:t>
            </w:r>
          </w:p>
        </w:tc>
        <w:tc>
          <w:tcPr>
            <w:tcW w:w="1340" w:type="dxa"/>
            <w:vAlign w:val="bottom"/>
            <w:tcBorders>
              <w:right w:val="single" w:sz="8" w:color="auto"/>
            </w:tcBorders>
          </w:tcPr>
          <w:p>
            <w:pPr>
              <w:ind w:left="160"/>
              <w:spacing w:after="0"/>
              <w:rPr>
                <w:sz w:val="20"/>
                <w:szCs w:val="20"/>
                <w:color w:val="auto"/>
              </w:rPr>
            </w:pPr>
            <w:r>
              <w:rPr>
                <w:rFonts w:ascii="Arial" w:cs="Arial" w:eastAsia="Arial" w:hAnsi="Arial"/>
                <w:sz w:val="15"/>
                <w:szCs w:val="15"/>
                <w:color w:val="auto"/>
              </w:rPr>
              <w:t>Mibanco Perú</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7"/>
              </w:rPr>
              <w:t>108 thousand </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7"/>
              </w:rPr>
              <w:t>184 thousand </w:t>
            </w: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8"/>
              </w:rPr>
              <w:t>227 thousand</w:t>
            </w:r>
          </w:p>
        </w:tc>
      </w:tr>
      <w:tr>
        <w:trPr>
          <w:trHeight w:val="181"/>
        </w:trPr>
        <w:tc>
          <w:tcPr>
            <w:tcW w:w="63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Asesoría Digital) – YTD 2023</w:t>
            </w:r>
          </w:p>
        </w:tc>
        <w:tc>
          <w:tcPr>
            <w:tcW w:w="1340" w:type="dxa"/>
            <w:vAlign w:val="bottom"/>
            <w:tcBorders>
              <w:bottom w:val="single" w:sz="8" w:color="auto"/>
              <w:right w:val="single" w:sz="8" w:color="auto"/>
            </w:tcBorders>
          </w:tcPr>
          <w:p>
            <w:pPr>
              <w:spacing w:after="0"/>
              <w:rPr>
                <w:sz w:val="15"/>
                <w:szCs w:val="15"/>
                <w:color w:val="auto"/>
              </w:rPr>
            </w:pPr>
          </w:p>
        </w:tc>
        <w:tc>
          <w:tcPr>
            <w:tcW w:w="1180" w:type="dxa"/>
            <w:vAlign w:val="bottom"/>
            <w:tcBorders>
              <w:bottom w:val="single" w:sz="8" w:color="auto"/>
              <w:right w:val="single" w:sz="8" w:color="auto"/>
            </w:tcBorders>
          </w:tcPr>
          <w:p>
            <w:pPr>
              <w:spacing w:after="0"/>
              <w:rPr>
                <w:sz w:val="15"/>
                <w:szCs w:val="15"/>
                <w:color w:val="auto"/>
              </w:rPr>
            </w:pPr>
          </w:p>
        </w:tc>
        <w:tc>
          <w:tcPr>
            <w:tcW w:w="1180" w:type="dxa"/>
            <w:vAlign w:val="bottom"/>
            <w:tcBorders>
              <w:bottom w:val="single" w:sz="8" w:color="auto"/>
              <w:right w:val="single" w:sz="8" w:color="auto"/>
            </w:tcBorders>
          </w:tcPr>
          <w:p>
            <w:pPr>
              <w:spacing w:after="0"/>
              <w:rPr>
                <w:sz w:val="15"/>
                <w:szCs w:val="15"/>
                <w:color w:val="auto"/>
              </w:rPr>
            </w:pPr>
          </w:p>
        </w:tc>
        <w:tc>
          <w:tcPr>
            <w:tcW w:w="1200" w:type="dxa"/>
            <w:vAlign w:val="bottom"/>
            <w:tcBorders>
              <w:bottom w:val="single" w:sz="8" w:color="auto"/>
              <w:right w:val="single" w:sz="8" w:color="auto"/>
            </w:tcBorders>
          </w:tcPr>
          <w:p>
            <w:pPr>
              <w:spacing w:after="0"/>
              <w:rPr>
                <w:sz w:val="15"/>
                <w:szCs w:val="15"/>
                <w:color w:val="auto"/>
              </w:rPr>
            </w:pPr>
          </w:p>
        </w:tc>
      </w:tr>
      <w:tr>
        <w:trPr>
          <w:trHeight w:val="178"/>
        </w:trPr>
        <w:tc>
          <w:tcPr>
            <w:tcW w:w="63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5"/>
                <w:szCs w:val="15"/>
                <w:b w:val="1"/>
                <w:bCs w:val="1"/>
                <w:color w:val="auto"/>
              </w:rPr>
              <w:t>Opportunities and Products for Women</w:t>
            </w:r>
          </w:p>
        </w:tc>
        <w:tc>
          <w:tcPr>
            <w:tcW w:w="1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200" w:type="dxa"/>
            <w:vAlign w:val="bottom"/>
            <w:tcBorders>
              <w:bottom w:val="single" w:sz="8" w:color="auto"/>
              <w:right w:val="single" w:sz="8" w:color="auto"/>
            </w:tcBorders>
          </w:tcPr>
          <w:p>
            <w:pPr>
              <w:spacing w:after="0"/>
              <w:rPr>
                <w:sz w:val="15"/>
                <w:szCs w:val="15"/>
                <w:color w:val="auto"/>
              </w:rPr>
            </w:pPr>
          </w:p>
        </w:tc>
      </w:tr>
      <w:tr>
        <w:trPr>
          <w:trHeight w:val="165"/>
        </w:trPr>
        <w:tc>
          <w:tcPr>
            <w:tcW w:w="6360" w:type="dxa"/>
            <w:vAlign w:val="bottom"/>
            <w:tcBorders>
              <w:left w:val="single" w:sz="8" w:color="auto"/>
              <w:bottom w:val="single" w:sz="8" w:color="auto"/>
              <w:right w:val="single" w:sz="8" w:color="auto"/>
            </w:tcBorders>
          </w:tcPr>
          <w:p>
            <w:pPr>
              <w:ind w:left="20"/>
              <w:spacing w:after="0" w:line="166" w:lineRule="exact"/>
              <w:rPr>
                <w:sz w:val="20"/>
                <w:szCs w:val="20"/>
                <w:color w:val="auto"/>
              </w:rPr>
            </w:pPr>
            <w:r>
              <w:rPr>
                <w:rFonts w:ascii="Arial" w:cs="Arial" w:eastAsia="Arial" w:hAnsi="Arial"/>
                <w:sz w:val="15"/>
                <w:szCs w:val="15"/>
                <w:color w:val="auto"/>
              </w:rPr>
              <w:t>Number of disbursements through Loans for Women</w:t>
            </w:r>
          </w:p>
        </w:tc>
        <w:tc>
          <w:tcPr>
            <w:tcW w:w="1340" w:type="dxa"/>
            <w:vAlign w:val="bottom"/>
            <w:tcBorders>
              <w:bottom w:val="single" w:sz="8" w:color="auto"/>
              <w:right w:val="single" w:sz="8" w:color="auto"/>
            </w:tcBorders>
          </w:tcPr>
          <w:p>
            <w:pPr>
              <w:ind w:left="160"/>
              <w:spacing w:after="0" w:line="166" w:lineRule="exact"/>
              <w:rPr>
                <w:sz w:val="20"/>
                <w:szCs w:val="20"/>
                <w:color w:val="auto"/>
              </w:rPr>
            </w:pPr>
            <w:r>
              <w:rPr>
                <w:rFonts w:ascii="Arial" w:cs="Arial" w:eastAsia="Arial" w:hAnsi="Arial"/>
                <w:sz w:val="15"/>
                <w:szCs w:val="15"/>
                <w:color w:val="auto"/>
              </w:rPr>
              <w:t>Mibanco Perú</w:t>
            </w:r>
          </w:p>
        </w:tc>
        <w:tc>
          <w:tcPr>
            <w:tcW w:w="1180" w:type="dxa"/>
            <w:vAlign w:val="bottom"/>
            <w:tcBorders>
              <w:bottom w:val="single" w:sz="8" w:color="auto"/>
              <w:right w:val="single" w:sz="8" w:color="auto"/>
            </w:tcBorders>
          </w:tcPr>
          <w:p>
            <w:pPr>
              <w:jc w:val="center"/>
              <w:spacing w:after="0" w:line="166" w:lineRule="exact"/>
              <w:rPr>
                <w:sz w:val="20"/>
                <w:szCs w:val="20"/>
                <w:color w:val="auto"/>
              </w:rPr>
            </w:pPr>
            <w:r>
              <w:rPr>
                <w:rFonts w:ascii="Arial" w:cs="Arial" w:eastAsia="Arial" w:hAnsi="Arial"/>
                <w:sz w:val="15"/>
                <w:szCs w:val="15"/>
                <w:color w:val="auto"/>
                <w:w w:val="97"/>
              </w:rPr>
              <w:t>12.9 thousand </w:t>
            </w:r>
          </w:p>
        </w:tc>
        <w:tc>
          <w:tcPr>
            <w:tcW w:w="1180" w:type="dxa"/>
            <w:vAlign w:val="bottom"/>
            <w:tcBorders>
              <w:bottom w:val="single" w:sz="8" w:color="auto"/>
              <w:right w:val="single" w:sz="8" w:color="auto"/>
            </w:tcBorders>
          </w:tcPr>
          <w:p>
            <w:pPr>
              <w:jc w:val="center"/>
              <w:spacing w:after="0" w:line="166" w:lineRule="exact"/>
              <w:rPr>
                <w:sz w:val="20"/>
                <w:szCs w:val="20"/>
                <w:color w:val="auto"/>
              </w:rPr>
            </w:pPr>
            <w:r>
              <w:rPr>
                <w:rFonts w:ascii="Arial" w:cs="Arial" w:eastAsia="Arial" w:hAnsi="Arial"/>
                <w:sz w:val="15"/>
                <w:szCs w:val="15"/>
                <w:color w:val="auto"/>
                <w:w w:val="98"/>
              </w:rPr>
              <w:t>17 thousand </w:t>
            </w:r>
          </w:p>
        </w:tc>
        <w:tc>
          <w:tcPr>
            <w:tcW w:w="1200" w:type="dxa"/>
            <w:vAlign w:val="bottom"/>
            <w:tcBorders>
              <w:bottom w:val="single" w:sz="8" w:color="auto"/>
              <w:right w:val="single" w:sz="8" w:color="auto"/>
            </w:tcBorders>
          </w:tcPr>
          <w:p>
            <w:pPr>
              <w:jc w:val="center"/>
              <w:spacing w:after="0" w:line="166" w:lineRule="exact"/>
              <w:rPr>
                <w:sz w:val="20"/>
                <w:szCs w:val="20"/>
                <w:color w:val="auto"/>
              </w:rPr>
            </w:pPr>
            <w:r>
              <w:rPr>
                <w:rFonts w:ascii="Arial" w:cs="Arial" w:eastAsia="Arial" w:hAnsi="Arial"/>
                <w:sz w:val="15"/>
                <w:szCs w:val="15"/>
                <w:color w:val="auto"/>
                <w:w w:val="99"/>
              </w:rPr>
              <w:t>17 thousand</w:t>
            </w:r>
          </w:p>
        </w:tc>
      </w:tr>
      <w:tr>
        <w:trPr>
          <w:trHeight w:val="178"/>
        </w:trPr>
        <w:tc>
          <w:tcPr>
            <w:tcW w:w="63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5"/>
                <w:szCs w:val="15"/>
                <w:b w:val="1"/>
                <w:bCs w:val="1"/>
                <w:color w:val="auto"/>
              </w:rPr>
              <w:t>Helping small businesses grow</w:t>
            </w:r>
          </w:p>
        </w:tc>
        <w:tc>
          <w:tcPr>
            <w:tcW w:w="1340" w:type="dxa"/>
            <w:vAlign w:val="bottom"/>
            <w:tcBorders>
              <w:bottom w:val="single" w:sz="8" w:color="auto"/>
              <w:right w:val="single" w:sz="8" w:color="auto"/>
            </w:tcBorders>
          </w:tcPr>
          <w:p>
            <w:pPr>
              <w:spacing w:after="0"/>
              <w:rPr>
                <w:sz w:val="15"/>
                <w:szCs w:val="15"/>
                <w:color w:val="auto"/>
              </w:rPr>
            </w:pPr>
          </w:p>
        </w:tc>
        <w:tc>
          <w:tcPr>
            <w:tcW w:w="1180" w:type="dxa"/>
            <w:vAlign w:val="bottom"/>
            <w:tcBorders>
              <w:bottom w:val="single" w:sz="8" w:color="auto"/>
              <w:right w:val="single" w:sz="8" w:color="auto"/>
            </w:tcBorders>
          </w:tcPr>
          <w:p>
            <w:pPr>
              <w:spacing w:after="0"/>
              <w:rPr>
                <w:sz w:val="15"/>
                <w:szCs w:val="15"/>
                <w:color w:val="auto"/>
              </w:rPr>
            </w:pPr>
          </w:p>
        </w:tc>
        <w:tc>
          <w:tcPr>
            <w:tcW w:w="1180" w:type="dxa"/>
            <w:vAlign w:val="bottom"/>
            <w:tcBorders>
              <w:bottom w:val="single" w:sz="8" w:color="auto"/>
              <w:right w:val="single" w:sz="8" w:color="auto"/>
            </w:tcBorders>
          </w:tcPr>
          <w:p>
            <w:pPr>
              <w:spacing w:after="0"/>
              <w:rPr>
                <w:sz w:val="15"/>
                <w:szCs w:val="15"/>
                <w:color w:val="auto"/>
              </w:rPr>
            </w:pPr>
          </w:p>
        </w:tc>
        <w:tc>
          <w:tcPr>
            <w:tcW w:w="1200" w:type="dxa"/>
            <w:vAlign w:val="bottom"/>
            <w:tcBorders>
              <w:bottom w:val="single" w:sz="8" w:color="auto"/>
              <w:right w:val="single" w:sz="8" w:color="auto"/>
            </w:tcBorders>
          </w:tcPr>
          <w:p>
            <w:pPr>
              <w:spacing w:after="0"/>
              <w:rPr>
                <w:sz w:val="15"/>
                <w:szCs w:val="15"/>
                <w:color w:val="auto"/>
              </w:rPr>
            </w:pPr>
          </w:p>
        </w:tc>
      </w:tr>
      <w:tr>
        <w:trPr>
          <w:trHeight w:val="165"/>
        </w:trPr>
        <w:tc>
          <w:tcPr>
            <w:tcW w:w="6360" w:type="dxa"/>
            <w:vAlign w:val="bottom"/>
            <w:tcBorders>
              <w:left w:val="single" w:sz="8" w:color="auto"/>
              <w:bottom w:val="single" w:sz="8" w:color="auto"/>
              <w:right w:val="single" w:sz="8" w:color="auto"/>
            </w:tcBorders>
          </w:tcPr>
          <w:p>
            <w:pPr>
              <w:ind w:left="20"/>
              <w:spacing w:after="0" w:line="166" w:lineRule="exact"/>
              <w:rPr>
                <w:sz w:val="20"/>
                <w:szCs w:val="20"/>
                <w:color w:val="auto"/>
              </w:rPr>
            </w:pPr>
            <w:r>
              <w:rPr>
                <w:rFonts w:ascii="Arial" w:cs="Arial" w:eastAsia="Arial" w:hAnsi="Arial"/>
                <w:sz w:val="15"/>
                <w:szCs w:val="15"/>
                <w:color w:val="auto"/>
              </w:rPr>
              <w:t>Trained through Accompanying Entrepreneurs (Contigo Emprendedor) – YTD 2023</w:t>
            </w:r>
          </w:p>
        </w:tc>
        <w:tc>
          <w:tcPr>
            <w:tcW w:w="1340" w:type="dxa"/>
            <w:vAlign w:val="bottom"/>
            <w:tcBorders>
              <w:bottom w:val="single" w:sz="8" w:color="auto"/>
              <w:right w:val="single" w:sz="8" w:color="auto"/>
            </w:tcBorders>
          </w:tcPr>
          <w:p>
            <w:pPr>
              <w:jc w:val="center"/>
              <w:ind w:right="6"/>
              <w:spacing w:after="0" w:line="166" w:lineRule="exact"/>
              <w:rPr>
                <w:sz w:val="20"/>
                <w:szCs w:val="20"/>
                <w:color w:val="auto"/>
              </w:rPr>
            </w:pPr>
            <w:r>
              <w:rPr>
                <w:rFonts w:ascii="Arial" w:cs="Arial" w:eastAsia="Arial" w:hAnsi="Arial"/>
                <w:sz w:val="15"/>
                <w:szCs w:val="15"/>
                <w:color w:val="auto"/>
                <w:w w:val="97"/>
              </w:rPr>
              <w:t>BCP</w:t>
            </w:r>
          </w:p>
        </w:tc>
        <w:tc>
          <w:tcPr>
            <w:tcW w:w="1180" w:type="dxa"/>
            <w:vAlign w:val="bottom"/>
            <w:tcBorders>
              <w:bottom w:val="single" w:sz="8" w:color="auto"/>
              <w:right w:val="single" w:sz="8" w:color="auto"/>
            </w:tcBorders>
          </w:tcPr>
          <w:p>
            <w:pPr>
              <w:jc w:val="center"/>
              <w:ind w:right="6"/>
              <w:spacing w:after="0" w:line="166" w:lineRule="exact"/>
              <w:rPr>
                <w:sz w:val="20"/>
                <w:szCs w:val="20"/>
                <w:color w:val="auto"/>
              </w:rPr>
            </w:pPr>
            <w:r>
              <w:rPr>
                <w:rFonts w:ascii="Arial" w:cs="Arial" w:eastAsia="Arial" w:hAnsi="Arial"/>
                <w:sz w:val="15"/>
                <w:szCs w:val="15"/>
                <w:color w:val="auto"/>
                <w:w w:val="98"/>
              </w:rPr>
              <w:t>13.1 thousand</w:t>
            </w:r>
          </w:p>
        </w:tc>
        <w:tc>
          <w:tcPr>
            <w:tcW w:w="1180" w:type="dxa"/>
            <w:vAlign w:val="bottom"/>
            <w:tcBorders>
              <w:bottom w:val="single" w:sz="8" w:color="auto"/>
              <w:right w:val="single" w:sz="8" w:color="auto"/>
            </w:tcBorders>
          </w:tcPr>
          <w:p>
            <w:pPr>
              <w:jc w:val="center"/>
              <w:spacing w:after="0" w:line="166" w:lineRule="exact"/>
              <w:rPr>
                <w:sz w:val="20"/>
                <w:szCs w:val="20"/>
                <w:color w:val="auto"/>
              </w:rPr>
            </w:pPr>
            <w:r>
              <w:rPr>
                <w:rFonts w:ascii="Arial" w:cs="Arial" w:eastAsia="Arial" w:hAnsi="Arial"/>
                <w:sz w:val="15"/>
                <w:szCs w:val="15"/>
                <w:color w:val="auto"/>
                <w:w w:val="99"/>
              </w:rPr>
              <w:t>44 thousand</w:t>
            </w:r>
          </w:p>
        </w:tc>
        <w:tc>
          <w:tcPr>
            <w:tcW w:w="1200" w:type="dxa"/>
            <w:vAlign w:val="bottom"/>
            <w:tcBorders>
              <w:bottom w:val="single" w:sz="8" w:color="auto"/>
              <w:right w:val="single" w:sz="8" w:color="auto"/>
            </w:tcBorders>
          </w:tcPr>
          <w:p>
            <w:pPr>
              <w:jc w:val="center"/>
              <w:spacing w:after="0" w:line="166" w:lineRule="exact"/>
              <w:rPr>
                <w:sz w:val="20"/>
                <w:szCs w:val="20"/>
                <w:color w:val="auto"/>
              </w:rPr>
            </w:pPr>
            <w:r>
              <w:rPr>
                <w:rFonts w:ascii="Arial" w:cs="Arial" w:eastAsia="Arial" w:hAnsi="Arial"/>
                <w:sz w:val="15"/>
                <w:szCs w:val="15"/>
                <w:color w:val="auto"/>
                <w:w w:val="98"/>
              </w:rPr>
              <w:t>80.7 thousand</w:t>
            </w:r>
          </w:p>
        </w:tc>
      </w:tr>
      <w:tr>
        <w:trPr>
          <w:trHeight w:val="144"/>
        </w:trPr>
        <w:tc>
          <w:tcPr>
            <w:tcW w:w="6360" w:type="dxa"/>
            <w:vAlign w:val="bottom"/>
            <w:tcBorders>
              <w:left w:val="single" w:sz="8" w:color="auto"/>
              <w:right w:val="single" w:sz="8" w:color="auto"/>
            </w:tcBorders>
          </w:tcPr>
          <w:p>
            <w:pPr>
              <w:ind w:left="20"/>
              <w:spacing w:after="0" w:line="145" w:lineRule="exact"/>
              <w:rPr>
                <w:sz w:val="20"/>
                <w:szCs w:val="20"/>
                <w:color w:val="auto"/>
              </w:rPr>
            </w:pPr>
            <w:r>
              <w:rPr>
                <w:rFonts w:ascii="Arial" w:cs="Arial" w:eastAsia="Arial" w:hAnsi="Arial"/>
                <w:sz w:val="15"/>
                <w:szCs w:val="15"/>
                <w:color w:val="auto"/>
              </w:rPr>
              <w:t>SME-Pymes financially included through loans (working capital and invoice</w:t>
            </w:r>
          </w:p>
        </w:tc>
        <w:tc>
          <w:tcPr>
            <w:tcW w:w="1340" w:type="dxa"/>
            <w:vAlign w:val="bottom"/>
            <w:tcBorders>
              <w:right w:val="single" w:sz="8" w:color="auto"/>
            </w:tcBorders>
          </w:tcPr>
          <w:p>
            <w:pPr>
              <w:jc w:val="center"/>
              <w:ind w:right="6"/>
              <w:spacing w:after="0" w:line="145" w:lineRule="exact"/>
              <w:rPr>
                <w:sz w:val="20"/>
                <w:szCs w:val="20"/>
                <w:color w:val="auto"/>
              </w:rPr>
            </w:pPr>
            <w:r>
              <w:rPr>
                <w:rFonts w:ascii="Arial" w:cs="Arial" w:eastAsia="Arial" w:hAnsi="Arial"/>
                <w:sz w:val="15"/>
                <w:szCs w:val="15"/>
                <w:color w:val="auto"/>
                <w:w w:val="97"/>
              </w:rPr>
              <w:t>BCP</w:t>
            </w:r>
          </w:p>
        </w:tc>
        <w:tc>
          <w:tcPr>
            <w:tcW w:w="118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5"/>
                <w:szCs w:val="15"/>
                <w:color w:val="auto"/>
                <w:w w:val="98"/>
              </w:rPr>
              <w:t>7.7 thousand </w:t>
            </w:r>
          </w:p>
        </w:tc>
        <w:tc>
          <w:tcPr>
            <w:tcW w:w="1180" w:type="dxa"/>
            <w:vAlign w:val="bottom"/>
            <w:tcBorders>
              <w:right w:val="single" w:sz="8" w:color="auto"/>
            </w:tcBorders>
          </w:tcPr>
          <w:p>
            <w:pPr>
              <w:jc w:val="center"/>
              <w:ind w:right="6"/>
              <w:spacing w:after="0" w:line="145" w:lineRule="exact"/>
              <w:rPr>
                <w:sz w:val="20"/>
                <w:szCs w:val="20"/>
                <w:color w:val="auto"/>
              </w:rPr>
            </w:pPr>
            <w:r>
              <w:rPr>
                <w:rFonts w:ascii="Arial" w:cs="Arial" w:eastAsia="Arial" w:hAnsi="Arial"/>
                <w:sz w:val="15"/>
                <w:szCs w:val="15"/>
                <w:color w:val="auto"/>
                <w:w w:val="98"/>
              </w:rPr>
              <w:t>14.5 thousand</w:t>
            </w:r>
          </w:p>
        </w:tc>
        <w:tc>
          <w:tcPr>
            <w:tcW w:w="120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5"/>
                <w:szCs w:val="15"/>
                <w:color w:val="auto"/>
                <w:w w:val="98"/>
              </w:rPr>
              <w:t>22.7 thousand</w:t>
            </w:r>
          </w:p>
        </w:tc>
      </w:tr>
      <w:tr>
        <w:trPr>
          <w:trHeight w:val="194"/>
        </w:trPr>
        <w:tc>
          <w:tcPr>
            <w:tcW w:w="63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5"/>
                <w:szCs w:val="15"/>
                <w:color w:val="auto"/>
              </w:rPr>
              <w:t>discounting) – YTD 2023</w:t>
            </w:r>
          </w:p>
        </w:tc>
        <w:tc>
          <w:tcPr>
            <w:tcW w:w="1340" w:type="dxa"/>
            <w:vAlign w:val="bottom"/>
            <w:tcBorders>
              <w:bottom w:val="single" w:sz="8" w:color="auto"/>
              <w:right w:val="single" w:sz="8" w:color="auto"/>
            </w:tcBorders>
          </w:tcPr>
          <w:p>
            <w:pPr>
              <w:spacing w:after="0"/>
              <w:rPr>
                <w:sz w:val="16"/>
                <w:szCs w:val="16"/>
                <w:color w:val="auto"/>
              </w:rPr>
            </w:pPr>
          </w:p>
        </w:tc>
        <w:tc>
          <w:tcPr>
            <w:tcW w:w="1180" w:type="dxa"/>
            <w:vAlign w:val="bottom"/>
            <w:tcBorders>
              <w:bottom w:val="single" w:sz="8" w:color="auto"/>
              <w:right w:val="single" w:sz="8" w:color="auto"/>
            </w:tcBorders>
          </w:tcPr>
          <w:p>
            <w:pPr>
              <w:spacing w:after="0"/>
              <w:rPr>
                <w:sz w:val="16"/>
                <w:szCs w:val="16"/>
                <w:color w:val="auto"/>
              </w:rPr>
            </w:pPr>
          </w:p>
        </w:tc>
        <w:tc>
          <w:tcPr>
            <w:tcW w:w="1180" w:type="dxa"/>
            <w:vAlign w:val="bottom"/>
            <w:tcBorders>
              <w:bottom w:val="single" w:sz="8" w:color="auto"/>
              <w:right w:val="single" w:sz="8" w:color="auto"/>
            </w:tcBorders>
          </w:tcPr>
          <w:p>
            <w:pPr>
              <w:spacing w:after="0"/>
              <w:rPr>
                <w:sz w:val="16"/>
                <w:szCs w:val="16"/>
                <w:color w:val="auto"/>
              </w:rPr>
            </w:pPr>
          </w:p>
        </w:tc>
        <w:tc>
          <w:tcPr>
            <w:tcW w:w="1200" w:type="dxa"/>
            <w:vAlign w:val="bottom"/>
            <w:tcBorders>
              <w:bottom w:val="single" w:sz="8" w:color="auto"/>
              <w:right w:val="single" w:sz="8" w:color="auto"/>
            </w:tcBorders>
          </w:tcPr>
          <w:p>
            <w:pPr>
              <w:jc w:val="center"/>
              <w:spacing w:after="0" w:line="194" w:lineRule="exact"/>
              <w:rPr>
                <w:sz w:val="20"/>
                <w:szCs w:val="20"/>
                <w:color w:val="auto"/>
              </w:rPr>
            </w:pPr>
            <w:r>
              <w:rPr>
                <w:rFonts w:ascii="Arial" w:cs="Arial" w:eastAsia="Arial" w:hAnsi="Arial"/>
                <w:sz w:val="11"/>
                <w:szCs w:val="11"/>
                <w:color w:val="auto"/>
              </w:rPr>
              <w:t>(3)</w:t>
            </w:r>
            <w:r>
              <w:rPr>
                <w:rFonts w:ascii="Arial" w:cs="Arial" w:eastAsia="Arial" w:hAnsi="Arial"/>
                <w:sz w:val="22"/>
                <w:szCs w:val="22"/>
                <w:color w:val="auto"/>
                <w:vertAlign w:val="subscript"/>
              </w:rPr>
              <w:t> </w:t>
            </w:r>
          </w:p>
        </w:tc>
      </w:tr>
      <w:tr>
        <w:trPr>
          <w:trHeight w:val="165"/>
        </w:trPr>
        <w:tc>
          <w:tcPr>
            <w:tcW w:w="6360" w:type="dxa"/>
            <w:vAlign w:val="bottom"/>
            <w:tcBorders>
              <w:left w:val="single" w:sz="8" w:color="auto"/>
              <w:bottom w:val="single" w:sz="8" w:color="auto"/>
              <w:right w:val="single" w:sz="8" w:color="auto"/>
            </w:tcBorders>
          </w:tcPr>
          <w:p>
            <w:pPr>
              <w:ind w:left="20"/>
              <w:spacing w:after="0" w:line="166" w:lineRule="exact"/>
              <w:rPr>
                <w:sz w:val="20"/>
                <w:szCs w:val="20"/>
                <w:color w:val="auto"/>
              </w:rPr>
            </w:pPr>
            <w:r>
              <w:rPr>
                <w:rFonts w:ascii="Arial" w:cs="Arial" w:eastAsia="Arial" w:hAnsi="Arial"/>
                <w:sz w:val="15"/>
                <w:szCs w:val="15"/>
                <w:color w:val="auto"/>
              </w:rPr>
              <w:t>Microbusiness affiliated to Yape – YTD 2023</w:t>
            </w:r>
          </w:p>
        </w:tc>
        <w:tc>
          <w:tcPr>
            <w:tcW w:w="1340" w:type="dxa"/>
            <w:vAlign w:val="bottom"/>
            <w:tcBorders>
              <w:bottom w:val="single" w:sz="8" w:color="auto"/>
              <w:right w:val="single" w:sz="8" w:color="auto"/>
            </w:tcBorders>
          </w:tcPr>
          <w:p>
            <w:pPr>
              <w:jc w:val="center"/>
              <w:ind w:right="6"/>
              <w:spacing w:after="0" w:line="166" w:lineRule="exact"/>
              <w:rPr>
                <w:sz w:val="20"/>
                <w:szCs w:val="20"/>
                <w:color w:val="auto"/>
              </w:rPr>
            </w:pPr>
            <w:r>
              <w:rPr>
                <w:rFonts w:ascii="Arial" w:cs="Arial" w:eastAsia="Arial" w:hAnsi="Arial"/>
                <w:sz w:val="15"/>
                <w:szCs w:val="15"/>
                <w:color w:val="auto"/>
                <w:w w:val="97"/>
              </w:rPr>
              <w:t>BCP</w:t>
            </w:r>
          </w:p>
        </w:tc>
        <w:tc>
          <w:tcPr>
            <w:tcW w:w="1180" w:type="dxa"/>
            <w:vAlign w:val="bottom"/>
            <w:tcBorders>
              <w:bottom w:val="single" w:sz="8" w:color="auto"/>
              <w:right w:val="single" w:sz="8" w:color="auto"/>
            </w:tcBorders>
          </w:tcPr>
          <w:p>
            <w:pPr>
              <w:jc w:val="center"/>
              <w:ind w:right="6"/>
              <w:spacing w:after="0" w:line="166" w:lineRule="exact"/>
              <w:rPr>
                <w:sz w:val="20"/>
                <w:szCs w:val="20"/>
                <w:color w:val="auto"/>
              </w:rPr>
            </w:pPr>
            <w:r>
              <w:rPr>
                <w:rFonts w:ascii="Arial" w:cs="Arial" w:eastAsia="Arial" w:hAnsi="Arial"/>
                <w:sz w:val="15"/>
                <w:szCs w:val="15"/>
                <w:color w:val="auto"/>
                <w:w w:val="99"/>
              </w:rPr>
              <w:t>1.6 thousand</w:t>
            </w:r>
          </w:p>
        </w:tc>
        <w:tc>
          <w:tcPr>
            <w:tcW w:w="1180" w:type="dxa"/>
            <w:vAlign w:val="bottom"/>
            <w:tcBorders>
              <w:bottom w:val="single" w:sz="8" w:color="auto"/>
              <w:right w:val="single" w:sz="8" w:color="auto"/>
            </w:tcBorders>
          </w:tcPr>
          <w:p>
            <w:pPr>
              <w:jc w:val="center"/>
              <w:spacing w:after="0" w:line="166" w:lineRule="exact"/>
              <w:rPr>
                <w:sz w:val="20"/>
                <w:szCs w:val="20"/>
                <w:color w:val="auto"/>
              </w:rPr>
            </w:pPr>
            <w:r>
              <w:rPr>
                <w:rFonts w:ascii="Arial" w:cs="Arial" w:eastAsia="Arial" w:hAnsi="Arial"/>
                <w:sz w:val="15"/>
                <w:szCs w:val="15"/>
                <w:color w:val="auto"/>
                <w:w w:val="99"/>
              </w:rPr>
              <w:t>3.9 thousand</w:t>
            </w:r>
          </w:p>
        </w:tc>
        <w:tc>
          <w:tcPr>
            <w:tcW w:w="1200" w:type="dxa"/>
            <w:vAlign w:val="bottom"/>
            <w:tcBorders>
              <w:bottom w:val="single" w:sz="8" w:color="auto"/>
              <w:right w:val="single" w:sz="8" w:color="auto"/>
            </w:tcBorders>
          </w:tcPr>
          <w:p>
            <w:pPr>
              <w:jc w:val="center"/>
              <w:spacing w:after="0" w:line="166" w:lineRule="exact"/>
              <w:rPr>
                <w:sz w:val="20"/>
                <w:szCs w:val="20"/>
                <w:color w:val="auto"/>
              </w:rPr>
            </w:pPr>
            <w:r>
              <w:rPr>
                <w:rFonts w:ascii="Arial" w:cs="Arial" w:eastAsia="Arial" w:hAnsi="Arial"/>
                <w:sz w:val="15"/>
                <w:szCs w:val="15"/>
                <w:color w:val="auto"/>
                <w:w w:val="99"/>
              </w:rPr>
              <w:t>13 thousand</w:t>
            </w:r>
          </w:p>
        </w:tc>
      </w:tr>
    </w:tbl>
    <w:p>
      <w:pPr>
        <w:ind w:left="1" w:right="40" w:hanging="1"/>
        <w:spacing w:after="0" w:line="241" w:lineRule="auto"/>
        <w:tabs>
          <w:tab w:leader="none" w:pos="199" w:val="left"/>
        </w:tabs>
        <w:numPr>
          <w:ilvl w:val="0"/>
          <w:numId w:val="15"/>
        </w:numPr>
        <w:rPr>
          <w:rFonts w:ascii="Arial" w:cs="Arial" w:eastAsia="Arial" w:hAnsi="Arial"/>
          <w:sz w:val="13"/>
          <w:szCs w:val="13"/>
          <w:color w:val="auto"/>
        </w:rPr>
      </w:pPr>
      <w:r>
        <w:rPr>
          <w:rFonts w:ascii="Arial" w:cs="Arial" w:eastAsia="Arial" w:hAnsi="Arial"/>
          <w:sz w:val="13"/>
          <w:szCs w:val="13"/>
          <w:color w:val="auto"/>
        </w:rPr>
        <w:t>Stock of financially included clients through BCP since 2020 : (i) New clients with savings accounts or a liated to Yape. (ii) New clients without debt in the financial system or BCP products in the last twelve months. (iii) Clients with 3 monthly average transactions in the last three months.</w:t>
      </w:r>
    </w:p>
    <w:p>
      <w:pPr>
        <w:ind w:left="201" w:hanging="201"/>
        <w:spacing w:after="0" w:line="238" w:lineRule="auto"/>
        <w:tabs>
          <w:tab w:leader="none" w:pos="201"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indicator was restated starting this quarter.</w:t>
      </w:r>
    </w:p>
    <w:p>
      <w:pPr>
        <w:ind w:left="201" w:hanging="201"/>
        <w:spacing w:after="0"/>
        <w:tabs>
          <w:tab w:leader="none" w:pos="201" w:val="left"/>
        </w:tabs>
        <w:numPr>
          <w:ilvl w:val="0"/>
          <w:numId w:val="15"/>
        </w:numPr>
        <w:rPr>
          <w:rFonts w:ascii="Arial" w:cs="Arial" w:eastAsia="Arial" w:hAnsi="Arial"/>
          <w:sz w:val="13"/>
          <w:szCs w:val="13"/>
          <w:color w:val="auto"/>
        </w:rPr>
      </w:pPr>
      <w:r>
        <w:rPr>
          <w:rFonts w:ascii="Arial" w:cs="Arial" w:eastAsia="Arial" w:hAnsi="Arial"/>
          <w:sz w:val="13"/>
          <w:szCs w:val="13"/>
          <w:color w:val="auto"/>
        </w:rPr>
        <w:t>YTD data to August 2023.</w:t>
      </w:r>
    </w:p>
    <w:p>
      <w:pPr>
        <w:spacing w:after="0" w:line="288" w:lineRule="exact"/>
        <w:rPr>
          <w:sz w:val="20"/>
          <w:szCs w:val="20"/>
          <w:color w:val="auto"/>
        </w:rPr>
      </w:pPr>
    </w:p>
    <w:p>
      <w:pPr>
        <w:ind w:left="11101"/>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40005</wp:posOffset>
            </wp:positionV>
            <wp:extent cx="7143750" cy="158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312" w:right="339" w:bottom="1440" w:gutter="0" w:footer="0" w:header="0"/>
        </w:sectPr>
      </w:pPr>
    </w:p>
    <w:bookmarkStart w:id="17" w:name="page18"/>
    <w:bookmarkEnd w:id="17"/>
    <w:p>
      <w:pPr>
        <w:ind w:left="2961"/>
        <w:spacing w:after="0"/>
        <w:tabs>
          <w:tab w:leader="none" w:pos="3141" w:val="left"/>
          <w:tab w:leader="none" w:pos="7301" w:val="left"/>
        </w:tabs>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202565</wp:posOffset>
            </wp:positionH>
            <wp:positionV relativeFrom="page">
              <wp:posOffset>88900</wp:posOffset>
            </wp:positionV>
            <wp:extent cx="7143750" cy="3848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3750" cy="384810"/>
                    </a:xfrm>
                    <a:prstGeom prst="rect">
                      <a:avLst/>
                    </a:prstGeom>
                    <a:noFill/>
                  </pic:spPr>
                </pic:pic>
              </a:graphicData>
            </a:graphic>
          </wp:anchor>
        </w:drawing>
        <w:t>|</w:t>
      </w:r>
      <w:r>
        <w:rPr>
          <w:sz w:val="20"/>
          <w:szCs w:val="20"/>
          <w:color w:val="auto"/>
        </w:rPr>
        <w:tab/>
      </w:r>
      <w:r>
        <w:rPr>
          <w:rFonts w:ascii="Arial" w:cs="Arial" w:eastAsia="Arial" w:hAnsi="Arial"/>
          <w:sz w:val="16"/>
          <w:szCs w:val="16"/>
          <w:b w:val="1"/>
          <w:bCs w:val="1"/>
          <w:color w:val="FFFFFF"/>
        </w:rPr>
        <w:t>Earnings Release 3Q / 2023</w:t>
      </w:r>
      <w:r>
        <w:rPr>
          <w:sz w:val="20"/>
          <w:szCs w:val="20"/>
          <w:color w:val="auto"/>
        </w:rPr>
        <w:tab/>
      </w:r>
      <w:r>
        <w:rPr>
          <w:rFonts w:ascii="Arial" w:cs="Arial" w:eastAsia="Arial" w:hAnsi="Arial"/>
          <w:sz w:val="18"/>
          <w:szCs w:val="18"/>
          <w:b w:val="1"/>
          <w:bCs w:val="1"/>
          <w:color w:val="E93CAC"/>
        </w:rPr>
        <w:t>Analysis of 3Q23 Consolidated Results</w:t>
      </w:r>
    </w:p>
    <w:p>
      <w:pPr>
        <w:spacing w:after="0" w:line="340" w:lineRule="exact"/>
        <w:rPr>
          <w:sz w:val="20"/>
          <w:szCs w:val="20"/>
          <w:color w:val="auto"/>
        </w:rPr>
      </w:pPr>
    </w:p>
    <w:p>
      <w:pPr>
        <w:ind w:left="1"/>
        <w:spacing w:after="0"/>
        <w:rPr>
          <w:sz w:val="20"/>
          <w:szCs w:val="20"/>
          <w:color w:val="auto"/>
        </w:rPr>
      </w:pPr>
      <w:r>
        <w:rPr>
          <w:rFonts w:ascii="Arial" w:cs="Arial" w:eastAsia="Arial" w:hAnsi="Arial"/>
          <w:sz w:val="48"/>
          <w:szCs w:val="48"/>
          <w:b w:val="1"/>
          <w:bCs w:val="1"/>
          <w:color w:val="E93BAC"/>
        </w:rPr>
        <w:t xml:space="preserve">01 </w:t>
      </w:r>
      <w:r>
        <w:rPr>
          <w:rFonts w:ascii="Arial" w:cs="Arial" w:eastAsia="Arial" w:hAnsi="Arial"/>
          <w:sz w:val="29"/>
          <w:szCs w:val="29"/>
          <w:color w:val="E93BAC"/>
        </w:rPr>
        <w:t>Loan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143750" cy="20961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3750" cy="2096135"/>
                    </a:xfrm>
                    <a:prstGeom prst="rect">
                      <a:avLst/>
                    </a:prstGeom>
                    <a:noFill/>
                  </pic:spPr>
                </pic:pic>
              </a:graphicData>
            </a:graphic>
          </wp:anchor>
        </w:drawing>
      </w:r>
    </w:p>
    <w:p>
      <w:pPr>
        <w:spacing w:after="0" w:line="365" w:lineRule="exact"/>
        <w:rPr>
          <w:sz w:val="20"/>
          <w:szCs w:val="20"/>
          <w:color w:val="auto"/>
        </w:rPr>
      </w:pPr>
    </w:p>
    <w:p>
      <w:pPr>
        <w:jc w:val="both"/>
        <w:ind w:left="121" w:right="100"/>
        <w:spacing w:after="0" w:line="247" w:lineRule="auto"/>
        <w:rPr>
          <w:sz w:val="20"/>
          <w:szCs w:val="20"/>
          <w:color w:val="auto"/>
        </w:rPr>
      </w:pPr>
      <w:r>
        <w:rPr>
          <w:rFonts w:ascii="Arial" w:cs="Arial" w:eastAsia="Arial" w:hAnsi="Arial"/>
          <w:sz w:val="16"/>
          <w:szCs w:val="16"/>
          <w:color w:val="FFFFFF"/>
        </w:rPr>
        <w:t>QoQ, structural loans in average daily balances (ADB) ADBs increased 1.0% and excluding the exchange rate effect rose 0.3%. The increase was driven primarily by the SME-Pyme segment, which has experienced a considerable upswing in balances quarter-over-quarter after clients with better risk profiles were targeted for financing. This growth was partially offset by a drop in wholesale banking balances, which reflects a decline in private investment and the fact that the first fishing campaign this year was canceled due to the El Niño Costero. Mibanco also reported a reduction in structural loan ADBs due to changes in credit guidelines in a context that suggests a greater focus on origination quality, which has temporarily affected origination levels. YoY, structural loan balances rose due to growth in balances in all Retail segments and at Mibanco. YTD, loans in ADBs grew 5.5% driven by the growth of loans in all Retail banking segments.</w:t>
      </w:r>
    </w:p>
    <w:p>
      <w:pPr>
        <w:spacing w:after="0" w:line="146" w:lineRule="exact"/>
        <w:rPr>
          <w:sz w:val="20"/>
          <w:szCs w:val="20"/>
          <w:color w:val="auto"/>
        </w:rPr>
      </w:pPr>
    </w:p>
    <w:p>
      <w:pPr>
        <w:jc w:val="both"/>
        <w:ind w:left="121" w:right="100"/>
        <w:spacing w:after="0" w:line="246" w:lineRule="auto"/>
        <w:rPr>
          <w:sz w:val="20"/>
          <w:szCs w:val="20"/>
          <w:color w:val="auto"/>
        </w:rPr>
      </w:pPr>
      <w:r>
        <w:rPr>
          <w:rFonts w:ascii="Arial" w:cs="Arial" w:eastAsia="Arial" w:hAnsi="Arial"/>
          <w:sz w:val="16"/>
          <w:szCs w:val="16"/>
          <w:color w:val="FFFFFF"/>
        </w:rPr>
        <w:t>QoQ, growth in NPLs was driven by (i) Wholesale, whose NPL balance rose after some clients in the hotel and commercial real estate sectors fell delinquent; (ii) Individuals, where NPLs remain higher among vulnerable sub-segments, which presents higher levels of over-indebtedness and greater job instability, and due to reclassification of mortgage loans as refinanced; (iii) SME- Pyme, where low-ticket subsegments with higher risk continued to demonstrate poor payment performance; and (iv) Mibanco, where delinquency is concentrated in clients who are highly leveraged and among those who are affected by social conflicts or climate anomalies. YoY, growth in NPLs was driven mainly by the refinancing of debt in Wholesale Banking for clients in the real estate (offices) and tourism sectors in 2022 and 1Q23, and secondarily by growth in the overdue portfolio in Wholesale Banking, Individuals, SME-Pyme, and Mibanco due to the same factors as those described for the QoQ evolution. The aforementioned dynamics led the Structural NPL ratio to rise QoQ and YoY to stand at 5.6%.</w:t>
      </w:r>
    </w:p>
    <w:p>
      <w:pPr>
        <w:spacing w:after="0" w:line="313"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1.1. Loans</w:t>
      </w:r>
    </w:p>
    <w:p>
      <w:pPr>
        <w:jc w:val="center"/>
        <w:spacing w:after="0" w:line="198" w:lineRule="auto"/>
        <w:rPr>
          <w:sz w:val="20"/>
          <w:szCs w:val="20"/>
          <w:color w:val="auto"/>
        </w:rPr>
      </w:pPr>
      <w:r>
        <w:rPr>
          <w:rFonts w:ascii="Arial" w:cs="Arial" w:eastAsia="Arial" w:hAnsi="Arial"/>
          <w:sz w:val="16"/>
          <w:szCs w:val="16"/>
          <w:b w:val="1"/>
          <w:bCs w:val="1"/>
          <w:color w:val="auto"/>
        </w:rPr>
        <w:t xml:space="preserve">Structural loans (in Average Daily Balances) </w:t>
      </w:r>
      <w:r>
        <w:rPr>
          <w:rFonts w:ascii="Arial" w:cs="Arial" w:eastAsia="Arial" w:hAnsi="Arial"/>
          <w:sz w:val="27"/>
          <w:szCs w:val="27"/>
          <w:b w:val="1"/>
          <w:bCs w:val="1"/>
          <w:color w:val="auto"/>
          <w:vertAlign w:val="superscript"/>
        </w:rPr>
        <w:t>(1)(2)(3)</w:t>
      </w:r>
    </w:p>
    <w:p>
      <w:pPr>
        <w:spacing w:after="0" w:line="1" w:lineRule="exact"/>
        <w:rPr>
          <w:sz w:val="20"/>
          <w:szCs w:val="20"/>
          <w:color w:val="auto"/>
        </w:rPr>
      </w:pPr>
    </w:p>
    <w:tbl>
      <w:tblPr>
        <w:tblLayout w:type="fixed"/>
        <w:tblInd w:w="11" w:type="dxa"/>
        <w:tblCellMar>
          <w:top w:w="0" w:type="dxa"/>
          <w:left w:w="0" w:type="dxa"/>
          <w:bottom w:w="0" w:type="dxa"/>
          <w:right w:w="0" w:type="dxa"/>
        </w:tblCellMar>
      </w:tblPr>
      <w:tr>
        <w:trPr>
          <w:trHeight w:val="157"/>
        </w:trPr>
        <w:tc>
          <w:tcPr>
            <w:tcW w:w="2260" w:type="dxa"/>
            <w:vAlign w:val="bottom"/>
            <w:tcBorders>
              <w:top w:val="single" w:sz="8" w:color="auto"/>
              <w:left w:val="single" w:sz="8" w:color="auto"/>
              <w:right w:val="single" w:sz="8" w:color="auto"/>
            </w:tcBorders>
            <w:shd w:val="clear" w:color="auto" w:fill="33CCCC"/>
          </w:tcPr>
          <w:p>
            <w:pPr>
              <w:ind w:left="20"/>
              <w:spacing w:after="0" w:line="157" w:lineRule="exact"/>
              <w:rPr>
                <w:sz w:val="20"/>
                <w:szCs w:val="20"/>
                <w:color w:val="auto"/>
              </w:rPr>
            </w:pPr>
            <w:r>
              <w:rPr>
                <w:rFonts w:ascii="Arial" w:cs="Arial" w:eastAsia="Arial" w:hAnsi="Arial"/>
                <w:sz w:val="16"/>
                <w:szCs w:val="16"/>
                <w:b w:val="1"/>
                <w:bCs w:val="1"/>
                <w:color w:val="FFFFFF"/>
              </w:rPr>
              <w:t>Structural Loans</w:t>
            </w:r>
          </w:p>
        </w:tc>
        <w:tc>
          <w:tcPr>
            <w:tcW w:w="900" w:type="dxa"/>
            <w:vAlign w:val="bottom"/>
            <w:tcBorders>
              <w:top w:val="single" w:sz="8" w:color="auto"/>
            </w:tcBorders>
            <w:shd w:val="clear" w:color="auto" w:fill="33CCCC"/>
          </w:tcPr>
          <w:p>
            <w:pPr>
              <w:spacing w:after="0"/>
              <w:rPr>
                <w:sz w:val="13"/>
                <w:szCs w:val="13"/>
                <w:color w:val="auto"/>
              </w:rPr>
            </w:pPr>
          </w:p>
        </w:tc>
        <w:tc>
          <w:tcPr>
            <w:tcW w:w="920" w:type="dxa"/>
            <w:vAlign w:val="bottom"/>
            <w:tcBorders>
              <w:top w:val="single" w:sz="8" w:color="auto"/>
            </w:tcBorders>
            <w:shd w:val="clear" w:color="auto" w:fill="33CCCC"/>
          </w:tcPr>
          <w:p>
            <w:pPr>
              <w:jc w:val="center"/>
              <w:spacing w:after="0" w:line="157" w:lineRule="exact"/>
              <w:rPr>
                <w:sz w:val="20"/>
                <w:szCs w:val="20"/>
                <w:color w:val="auto"/>
              </w:rPr>
            </w:pPr>
            <w:r>
              <w:rPr>
                <w:rFonts w:ascii="Arial" w:cs="Arial" w:eastAsia="Arial" w:hAnsi="Arial"/>
                <w:sz w:val="16"/>
                <w:szCs w:val="16"/>
                <w:b w:val="1"/>
                <w:bCs w:val="1"/>
                <w:color w:val="FFFFFF"/>
              </w:rPr>
              <w:t>As of</w:t>
            </w:r>
          </w:p>
        </w:tc>
        <w:tc>
          <w:tcPr>
            <w:tcW w:w="940" w:type="dxa"/>
            <w:vAlign w:val="bottom"/>
            <w:tcBorders>
              <w:top w:val="single" w:sz="8" w:color="auto"/>
              <w:right w:val="single" w:sz="8" w:color="auto"/>
            </w:tcBorders>
            <w:shd w:val="clear" w:color="auto" w:fill="33CCCC"/>
          </w:tcPr>
          <w:p>
            <w:pPr>
              <w:spacing w:after="0"/>
              <w:rPr>
                <w:sz w:val="13"/>
                <w:szCs w:val="13"/>
                <w:color w:val="auto"/>
              </w:rPr>
            </w:pPr>
          </w:p>
        </w:tc>
        <w:tc>
          <w:tcPr>
            <w:tcW w:w="1840" w:type="dxa"/>
            <w:vAlign w:val="bottom"/>
            <w:tcBorders>
              <w:top w:val="single" w:sz="8" w:color="auto"/>
              <w:right w:val="single" w:sz="8" w:color="auto"/>
            </w:tcBorders>
            <w:gridSpan w:val="2"/>
            <w:shd w:val="clear" w:color="auto" w:fill="33CCCC"/>
          </w:tcPr>
          <w:p>
            <w:pPr>
              <w:jc w:val="right"/>
              <w:ind w:right="258"/>
              <w:spacing w:after="0" w:line="157" w:lineRule="exact"/>
              <w:rPr>
                <w:sz w:val="20"/>
                <w:szCs w:val="20"/>
                <w:color w:val="auto"/>
              </w:rPr>
            </w:pPr>
            <w:r>
              <w:rPr>
                <w:rFonts w:ascii="Arial" w:cs="Arial" w:eastAsia="Arial" w:hAnsi="Arial"/>
                <w:sz w:val="16"/>
                <w:szCs w:val="16"/>
                <w:b w:val="1"/>
                <w:bCs w:val="1"/>
                <w:color w:val="FFFFFF"/>
              </w:rPr>
              <w:t>Volume change</w:t>
            </w:r>
          </w:p>
        </w:tc>
        <w:tc>
          <w:tcPr>
            <w:tcW w:w="1820" w:type="dxa"/>
            <w:vAlign w:val="bottom"/>
            <w:tcBorders>
              <w:top w:val="single" w:sz="8" w:color="auto"/>
              <w:right w:val="single" w:sz="8" w:color="auto"/>
            </w:tcBorders>
            <w:gridSpan w:val="2"/>
            <w:shd w:val="clear" w:color="auto" w:fill="33CCCC"/>
          </w:tcPr>
          <w:p>
            <w:pPr>
              <w:ind w:left="520"/>
              <w:spacing w:after="0" w:line="157" w:lineRule="exact"/>
              <w:rPr>
                <w:sz w:val="20"/>
                <w:szCs w:val="20"/>
                <w:color w:val="auto"/>
              </w:rPr>
            </w:pPr>
            <w:r>
              <w:rPr>
                <w:rFonts w:ascii="Arial" w:cs="Arial" w:eastAsia="Arial" w:hAnsi="Arial"/>
                <w:sz w:val="16"/>
                <w:szCs w:val="16"/>
                <w:b w:val="1"/>
                <w:bCs w:val="1"/>
                <w:color w:val="FFFFFF"/>
              </w:rPr>
              <w:t>% change</w:t>
            </w:r>
          </w:p>
        </w:tc>
        <w:tc>
          <w:tcPr>
            <w:tcW w:w="2580" w:type="dxa"/>
            <w:vAlign w:val="bottom"/>
            <w:tcBorders>
              <w:top w:val="single" w:sz="8" w:color="auto"/>
              <w:right w:val="single" w:sz="8" w:color="auto"/>
            </w:tcBorders>
            <w:gridSpan w:val="3"/>
            <w:shd w:val="clear" w:color="auto" w:fill="33CCCC"/>
          </w:tcPr>
          <w:p>
            <w:pPr>
              <w:ind w:left="60"/>
              <w:spacing w:after="0" w:line="157" w:lineRule="exact"/>
              <w:rPr>
                <w:sz w:val="20"/>
                <w:szCs w:val="20"/>
                <w:color w:val="auto"/>
              </w:rPr>
            </w:pPr>
            <w:r>
              <w:rPr>
                <w:rFonts w:ascii="Arial" w:cs="Arial" w:eastAsia="Arial" w:hAnsi="Arial"/>
                <w:sz w:val="16"/>
                <w:szCs w:val="16"/>
                <w:b w:val="1"/>
                <w:bCs w:val="1"/>
                <w:color w:val="FFFFFF"/>
              </w:rPr>
              <w:t>% Part. in total structural loans</w:t>
            </w:r>
          </w:p>
        </w:tc>
      </w:tr>
      <w:tr>
        <w:trPr>
          <w:trHeight w:val="206"/>
        </w:trPr>
        <w:tc>
          <w:tcPr>
            <w:tcW w:w="2260" w:type="dxa"/>
            <w:vAlign w:val="bottom"/>
            <w:tcBorders>
              <w:left w:val="single" w:sz="8" w:color="auto"/>
              <w:bottom w:val="single" w:sz="8" w:color="auto"/>
              <w:right w:val="single" w:sz="8" w:color="auto"/>
            </w:tcBorders>
            <w:shd w:val="clear" w:color="auto" w:fill="33CCCC"/>
          </w:tcPr>
          <w:p>
            <w:pPr>
              <w:ind w:left="20"/>
              <w:spacing w:after="0"/>
              <w:rPr>
                <w:sz w:val="20"/>
                <w:szCs w:val="20"/>
                <w:color w:val="auto"/>
              </w:rPr>
            </w:pPr>
            <w:r>
              <w:rPr>
                <w:rFonts w:ascii="Arial" w:cs="Arial" w:eastAsia="Arial" w:hAnsi="Arial"/>
                <w:sz w:val="16"/>
                <w:szCs w:val="16"/>
                <w:color w:val="FFFFFF"/>
              </w:rPr>
              <w:t>(S/ millions)</w:t>
            </w:r>
          </w:p>
        </w:tc>
        <w:tc>
          <w:tcPr>
            <w:tcW w:w="900" w:type="dxa"/>
            <w:vAlign w:val="bottom"/>
            <w:tcBorders>
              <w:bottom w:val="single" w:sz="8" w:color="auto"/>
            </w:tcBorders>
            <w:shd w:val="clear" w:color="auto" w:fill="33CCCC"/>
          </w:tcPr>
          <w:p>
            <w:pPr>
              <w:ind w:left="180"/>
              <w:spacing w:after="0"/>
              <w:rPr>
                <w:sz w:val="20"/>
                <w:szCs w:val="20"/>
                <w:color w:val="auto"/>
              </w:rPr>
            </w:pPr>
            <w:r>
              <w:rPr>
                <w:rFonts w:ascii="Arial" w:cs="Arial" w:eastAsia="Arial" w:hAnsi="Arial"/>
                <w:sz w:val="16"/>
                <w:szCs w:val="16"/>
                <w:b w:val="1"/>
                <w:bCs w:val="1"/>
                <w:color w:val="FFFFFF"/>
              </w:rPr>
              <w:t>Sep 22</w:t>
            </w:r>
          </w:p>
        </w:tc>
        <w:tc>
          <w:tcPr>
            <w:tcW w:w="92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6"/>
                <w:szCs w:val="16"/>
                <w:b w:val="1"/>
                <w:bCs w:val="1"/>
                <w:color w:val="FFFFFF"/>
              </w:rPr>
              <w:t>Jun 23</w:t>
            </w:r>
          </w:p>
        </w:tc>
        <w:tc>
          <w:tcPr>
            <w:tcW w:w="940" w:type="dxa"/>
            <w:vAlign w:val="bottom"/>
            <w:tcBorders>
              <w:bottom w:val="single" w:sz="8" w:color="auto"/>
              <w:right w:val="single" w:sz="8" w:color="auto"/>
            </w:tcBorders>
            <w:shd w:val="clear" w:color="auto" w:fill="33CCCC"/>
          </w:tcPr>
          <w:p>
            <w:pPr>
              <w:ind w:left="200"/>
              <w:spacing w:after="0"/>
              <w:rPr>
                <w:sz w:val="20"/>
                <w:szCs w:val="20"/>
                <w:color w:val="auto"/>
              </w:rPr>
            </w:pPr>
            <w:r>
              <w:rPr>
                <w:rFonts w:ascii="Arial" w:cs="Arial" w:eastAsia="Arial" w:hAnsi="Arial"/>
                <w:sz w:val="16"/>
                <w:szCs w:val="16"/>
                <w:b w:val="1"/>
                <w:bCs w:val="1"/>
                <w:color w:val="FFFFFF"/>
              </w:rPr>
              <w:t>Sep 23</w:t>
            </w:r>
          </w:p>
        </w:tc>
        <w:tc>
          <w:tcPr>
            <w:tcW w:w="880" w:type="dxa"/>
            <w:vAlign w:val="bottom"/>
            <w:tcBorders>
              <w:bottom w:val="single" w:sz="8" w:color="auto"/>
            </w:tcBorders>
            <w:shd w:val="clear" w:color="auto" w:fill="33CCCC"/>
          </w:tcPr>
          <w:p>
            <w:pPr>
              <w:ind w:left="260"/>
              <w:spacing w:after="0"/>
              <w:rPr>
                <w:sz w:val="20"/>
                <w:szCs w:val="20"/>
                <w:color w:val="auto"/>
              </w:rPr>
            </w:pPr>
            <w:r>
              <w:rPr>
                <w:rFonts w:ascii="Arial" w:cs="Arial" w:eastAsia="Arial" w:hAnsi="Arial"/>
                <w:sz w:val="16"/>
                <w:szCs w:val="16"/>
                <w:b w:val="1"/>
                <w:bCs w:val="1"/>
                <w:color w:val="FFFFFF"/>
              </w:rPr>
              <w:t>QoQ</w:t>
            </w:r>
          </w:p>
        </w:tc>
        <w:tc>
          <w:tcPr>
            <w:tcW w:w="960" w:type="dxa"/>
            <w:vAlign w:val="bottom"/>
            <w:tcBorders>
              <w:bottom w:val="single" w:sz="8" w:color="auto"/>
              <w:right w:val="single" w:sz="8" w:color="auto"/>
            </w:tcBorders>
            <w:shd w:val="clear" w:color="auto" w:fill="33CCCC"/>
          </w:tcPr>
          <w:p>
            <w:pPr>
              <w:jc w:val="right"/>
              <w:ind w:right="258"/>
              <w:spacing w:after="0"/>
              <w:rPr>
                <w:sz w:val="20"/>
                <w:szCs w:val="20"/>
                <w:color w:val="auto"/>
              </w:rPr>
            </w:pPr>
            <w:r>
              <w:rPr>
                <w:rFonts w:ascii="Arial" w:cs="Arial" w:eastAsia="Arial" w:hAnsi="Arial"/>
                <w:sz w:val="16"/>
                <w:szCs w:val="16"/>
                <w:b w:val="1"/>
                <w:bCs w:val="1"/>
                <w:color w:val="FFFFFF"/>
              </w:rPr>
              <w:t>YoY</w:t>
            </w:r>
          </w:p>
        </w:tc>
        <w:tc>
          <w:tcPr>
            <w:tcW w:w="880" w:type="dxa"/>
            <w:vAlign w:val="bottom"/>
            <w:tcBorders>
              <w:bottom w:val="single" w:sz="8" w:color="auto"/>
            </w:tcBorders>
            <w:shd w:val="clear" w:color="auto" w:fill="33CCCC"/>
          </w:tcPr>
          <w:p>
            <w:pPr>
              <w:ind w:left="260"/>
              <w:spacing w:after="0"/>
              <w:rPr>
                <w:sz w:val="20"/>
                <w:szCs w:val="20"/>
                <w:color w:val="auto"/>
              </w:rPr>
            </w:pPr>
            <w:r>
              <w:rPr>
                <w:rFonts w:ascii="Arial" w:cs="Arial" w:eastAsia="Arial" w:hAnsi="Arial"/>
                <w:sz w:val="16"/>
                <w:szCs w:val="16"/>
                <w:b w:val="1"/>
                <w:bCs w:val="1"/>
                <w:color w:val="FFFFFF"/>
              </w:rPr>
              <w:t>QoQ</w:t>
            </w:r>
          </w:p>
        </w:tc>
        <w:tc>
          <w:tcPr>
            <w:tcW w:w="940" w:type="dxa"/>
            <w:vAlign w:val="bottom"/>
            <w:tcBorders>
              <w:bottom w:val="single" w:sz="8" w:color="auto"/>
              <w:right w:val="single" w:sz="8" w:color="auto"/>
            </w:tcBorders>
            <w:shd w:val="clear" w:color="auto" w:fill="33CCCC"/>
          </w:tcPr>
          <w:p>
            <w:pPr>
              <w:ind w:left="300"/>
              <w:spacing w:after="0"/>
              <w:rPr>
                <w:sz w:val="20"/>
                <w:szCs w:val="20"/>
                <w:color w:val="auto"/>
              </w:rPr>
            </w:pPr>
            <w:r>
              <w:rPr>
                <w:rFonts w:ascii="Arial" w:cs="Arial" w:eastAsia="Arial" w:hAnsi="Arial"/>
                <w:sz w:val="16"/>
                <w:szCs w:val="16"/>
                <w:b w:val="1"/>
                <w:bCs w:val="1"/>
                <w:color w:val="FFFFFF"/>
              </w:rPr>
              <w:t>YoY</w:t>
            </w:r>
          </w:p>
        </w:tc>
        <w:tc>
          <w:tcPr>
            <w:tcW w:w="880" w:type="dxa"/>
            <w:vAlign w:val="bottom"/>
            <w:tcBorders>
              <w:bottom w:val="single" w:sz="8" w:color="auto"/>
            </w:tcBorders>
            <w:shd w:val="clear" w:color="auto" w:fill="33CCCC"/>
          </w:tcPr>
          <w:p>
            <w:pPr>
              <w:ind w:left="180"/>
              <w:spacing w:after="0"/>
              <w:rPr>
                <w:sz w:val="20"/>
                <w:szCs w:val="20"/>
                <w:color w:val="auto"/>
              </w:rPr>
            </w:pPr>
            <w:r>
              <w:rPr>
                <w:rFonts w:ascii="Arial" w:cs="Arial" w:eastAsia="Arial" w:hAnsi="Arial"/>
                <w:sz w:val="16"/>
                <w:szCs w:val="16"/>
                <w:b w:val="1"/>
                <w:bCs w:val="1"/>
                <w:color w:val="FFFFFF"/>
              </w:rPr>
              <w:t>Sep 22</w:t>
            </w:r>
          </w:p>
        </w:tc>
        <w:tc>
          <w:tcPr>
            <w:tcW w:w="880" w:type="dxa"/>
            <w:vAlign w:val="bottom"/>
            <w:tcBorders>
              <w:bottom w:val="single" w:sz="8" w:color="auto"/>
            </w:tcBorders>
            <w:shd w:val="clear" w:color="auto" w:fill="33CCCC"/>
          </w:tcPr>
          <w:p>
            <w:pPr>
              <w:ind w:left="200"/>
              <w:spacing w:after="0"/>
              <w:rPr>
                <w:sz w:val="20"/>
                <w:szCs w:val="20"/>
                <w:color w:val="auto"/>
              </w:rPr>
            </w:pPr>
            <w:r>
              <w:rPr>
                <w:rFonts w:ascii="Arial" w:cs="Arial" w:eastAsia="Arial" w:hAnsi="Arial"/>
                <w:sz w:val="16"/>
                <w:szCs w:val="16"/>
                <w:b w:val="1"/>
                <w:bCs w:val="1"/>
                <w:color w:val="FFFFFF"/>
              </w:rPr>
              <w:t>Jun 23</w:t>
            </w:r>
          </w:p>
        </w:tc>
        <w:tc>
          <w:tcPr>
            <w:tcW w:w="820" w:type="dxa"/>
            <w:vAlign w:val="bottom"/>
            <w:tcBorders>
              <w:bottom w:val="single" w:sz="8" w:color="auto"/>
              <w:right w:val="single" w:sz="8" w:color="auto"/>
            </w:tcBorders>
            <w:shd w:val="clear" w:color="auto" w:fill="33CCCC"/>
          </w:tcPr>
          <w:p>
            <w:pPr>
              <w:ind w:left="140"/>
              <w:spacing w:after="0"/>
              <w:rPr>
                <w:sz w:val="20"/>
                <w:szCs w:val="20"/>
                <w:color w:val="auto"/>
              </w:rPr>
            </w:pPr>
            <w:r>
              <w:rPr>
                <w:rFonts w:ascii="Arial" w:cs="Arial" w:eastAsia="Arial" w:hAnsi="Arial"/>
                <w:sz w:val="16"/>
                <w:szCs w:val="16"/>
                <w:b w:val="1"/>
                <w:bCs w:val="1"/>
                <w:color w:val="FFFFFF"/>
              </w:rPr>
              <w:t>Sep 23</w:t>
            </w:r>
          </w:p>
        </w:tc>
      </w:tr>
      <w:tr>
        <w:trPr>
          <w:trHeight w:val="157"/>
        </w:trPr>
        <w:tc>
          <w:tcPr>
            <w:tcW w:w="226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6"/>
                <w:szCs w:val="16"/>
                <w:b w:val="1"/>
                <w:bCs w:val="1"/>
                <w:color w:val="auto"/>
              </w:rPr>
              <w:t>BCP Stand-alone</w:t>
            </w:r>
          </w:p>
        </w:tc>
        <w:tc>
          <w:tcPr>
            <w:tcW w:w="900" w:type="dxa"/>
            <w:vAlign w:val="bottom"/>
          </w:tcPr>
          <w:p>
            <w:pPr>
              <w:jc w:val="center"/>
              <w:spacing w:after="0" w:line="157" w:lineRule="exact"/>
              <w:rPr>
                <w:sz w:val="20"/>
                <w:szCs w:val="20"/>
                <w:color w:val="auto"/>
              </w:rPr>
            </w:pPr>
            <w:r>
              <w:rPr>
                <w:rFonts w:ascii="Arial" w:cs="Arial" w:eastAsia="Arial" w:hAnsi="Arial"/>
                <w:sz w:val="16"/>
                <w:szCs w:val="16"/>
                <w:b w:val="1"/>
                <w:bCs w:val="1"/>
                <w:color w:val="auto"/>
              </w:rPr>
              <w:t>111,162</w:t>
            </w:r>
          </w:p>
        </w:tc>
        <w:tc>
          <w:tcPr>
            <w:tcW w:w="920" w:type="dxa"/>
            <w:vAlign w:val="bottom"/>
          </w:tcPr>
          <w:p>
            <w:pPr>
              <w:jc w:val="center"/>
              <w:spacing w:after="0" w:line="157" w:lineRule="exact"/>
              <w:rPr>
                <w:sz w:val="20"/>
                <w:szCs w:val="20"/>
                <w:color w:val="auto"/>
              </w:rPr>
            </w:pPr>
            <w:r>
              <w:rPr>
                <w:rFonts w:ascii="Arial" w:cs="Arial" w:eastAsia="Arial" w:hAnsi="Arial"/>
                <w:sz w:val="16"/>
                <w:szCs w:val="16"/>
                <w:b w:val="1"/>
                <w:bCs w:val="1"/>
                <w:color w:val="auto"/>
              </w:rPr>
              <w:t>110,702</w:t>
            </w:r>
          </w:p>
        </w:tc>
        <w:tc>
          <w:tcPr>
            <w:tcW w:w="94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6"/>
                <w:szCs w:val="16"/>
                <w:b w:val="1"/>
                <w:bCs w:val="1"/>
                <w:color w:val="auto"/>
              </w:rPr>
              <w:t>111,857</w:t>
            </w:r>
          </w:p>
        </w:tc>
        <w:tc>
          <w:tcPr>
            <w:tcW w:w="880" w:type="dxa"/>
            <w:vAlign w:val="bottom"/>
          </w:tcPr>
          <w:p>
            <w:pPr>
              <w:jc w:val="center"/>
              <w:spacing w:after="0" w:line="157" w:lineRule="exact"/>
              <w:rPr>
                <w:sz w:val="20"/>
                <w:szCs w:val="20"/>
                <w:color w:val="auto"/>
              </w:rPr>
            </w:pPr>
            <w:r>
              <w:rPr>
                <w:rFonts w:ascii="Arial" w:cs="Arial" w:eastAsia="Arial" w:hAnsi="Arial"/>
                <w:sz w:val="16"/>
                <w:szCs w:val="16"/>
                <w:b w:val="1"/>
                <w:bCs w:val="1"/>
                <w:color w:val="auto"/>
                <w:w w:val="99"/>
              </w:rPr>
              <w:t>1,154</w:t>
            </w:r>
          </w:p>
        </w:tc>
        <w:tc>
          <w:tcPr>
            <w:tcW w:w="96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6"/>
                <w:szCs w:val="16"/>
                <w:b w:val="1"/>
                <w:bCs w:val="1"/>
                <w:color w:val="auto"/>
                <w:w w:val="97"/>
              </w:rPr>
              <w:t>694</w:t>
            </w:r>
          </w:p>
        </w:tc>
        <w:tc>
          <w:tcPr>
            <w:tcW w:w="880" w:type="dxa"/>
            <w:vAlign w:val="bottom"/>
          </w:tcPr>
          <w:p>
            <w:pPr>
              <w:jc w:val="center"/>
              <w:spacing w:after="0" w:line="157" w:lineRule="exact"/>
              <w:rPr>
                <w:sz w:val="20"/>
                <w:szCs w:val="20"/>
                <w:color w:val="auto"/>
              </w:rPr>
            </w:pPr>
            <w:r>
              <w:rPr>
                <w:rFonts w:ascii="Arial" w:cs="Arial" w:eastAsia="Arial" w:hAnsi="Arial"/>
                <w:sz w:val="16"/>
                <w:szCs w:val="16"/>
                <w:b w:val="1"/>
                <w:bCs w:val="1"/>
                <w:color w:val="auto"/>
              </w:rPr>
              <w:t>1.0%</w:t>
            </w:r>
          </w:p>
        </w:tc>
        <w:tc>
          <w:tcPr>
            <w:tcW w:w="94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6"/>
                <w:szCs w:val="16"/>
                <w:b w:val="1"/>
                <w:bCs w:val="1"/>
                <w:color w:val="auto"/>
                <w:w w:val="98"/>
              </w:rPr>
              <w:t>0.6%</w:t>
            </w:r>
          </w:p>
        </w:tc>
        <w:tc>
          <w:tcPr>
            <w:tcW w:w="880" w:type="dxa"/>
            <w:vAlign w:val="bottom"/>
          </w:tcPr>
          <w:p>
            <w:pPr>
              <w:jc w:val="center"/>
              <w:spacing w:after="0" w:line="157" w:lineRule="exact"/>
              <w:rPr>
                <w:sz w:val="20"/>
                <w:szCs w:val="20"/>
                <w:color w:val="auto"/>
              </w:rPr>
            </w:pPr>
            <w:r>
              <w:rPr>
                <w:rFonts w:ascii="Arial" w:cs="Arial" w:eastAsia="Arial" w:hAnsi="Arial"/>
                <w:sz w:val="16"/>
                <w:szCs w:val="16"/>
                <w:b w:val="1"/>
                <w:bCs w:val="1"/>
                <w:color w:val="auto"/>
              </w:rPr>
              <w:t>81.6%</w:t>
            </w:r>
          </w:p>
        </w:tc>
        <w:tc>
          <w:tcPr>
            <w:tcW w:w="880" w:type="dxa"/>
            <w:vAlign w:val="bottom"/>
          </w:tcPr>
          <w:p>
            <w:pPr>
              <w:jc w:val="center"/>
              <w:spacing w:after="0" w:line="157" w:lineRule="exact"/>
              <w:rPr>
                <w:sz w:val="20"/>
                <w:szCs w:val="20"/>
                <w:color w:val="auto"/>
              </w:rPr>
            </w:pPr>
            <w:r>
              <w:rPr>
                <w:rFonts w:ascii="Arial" w:cs="Arial" w:eastAsia="Arial" w:hAnsi="Arial"/>
                <w:sz w:val="16"/>
                <w:szCs w:val="16"/>
                <w:b w:val="1"/>
                <w:bCs w:val="1"/>
                <w:color w:val="auto"/>
              </w:rPr>
              <w:t>81.1%</w:t>
            </w:r>
          </w:p>
        </w:tc>
        <w:tc>
          <w:tcPr>
            <w:tcW w:w="82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6"/>
                <w:szCs w:val="16"/>
                <w:b w:val="1"/>
                <w:bCs w:val="1"/>
                <w:color w:val="auto"/>
              </w:rPr>
              <w:t>81.2%</w:t>
            </w:r>
          </w:p>
        </w:tc>
      </w:tr>
      <w:tr>
        <w:trPr>
          <w:trHeight w:val="193"/>
        </w:trPr>
        <w:tc>
          <w:tcPr>
            <w:tcW w:w="22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b w:val="1"/>
                <w:bCs w:val="1"/>
                <w:color w:val="auto"/>
              </w:rPr>
              <w:t>Wholesale Banking</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rPr>
              <w:t>55,899</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rPr>
              <w:t>52,025</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52,090</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rPr>
              <w:t>65</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-3,810</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rPr>
              <w:t>0.1%</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-6.8%</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rPr>
              <w:t>41.1%</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rPr>
              <w:t>38.1%</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37.8%</w:t>
            </w:r>
          </w:p>
        </w:tc>
      </w:tr>
      <w:tr>
        <w:trPr>
          <w:trHeight w:val="185"/>
        </w:trPr>
        <w:tc>
          <w:tcPr>
            <w:tcW w:w="226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6"/>
                <w:szCs w:val="16"/>
                <w:color w:val="auto"/>
              </w:rPr>
              <w:t>Corporate</w:t>
            </w:r>
          </w:p>
        </w:tc>
        <w:tc>
          <w:tcPr>
            <w:tcW w:w="900" w:type="dxa"/>
            <w:vAlign w:val="bottom"/>
          </w:tcPr>
          <w:p>
            <w:pPr>
              <w:jc w:val="center"/>
              <w:spacing w:after="0"/>
              <w:rPr>
                <w:sz w:val="20"/>
                <w:szCs w:val="20"/>
                <w:color w:val="auto"/>
              </w:rPr>
            </w:pPr>
            <w:r>
              <w:rPr>
                <w:rFonts w:ascii="Arial" w:cs="Arial" w:eastAsia="Arial" w:hAnsi="Arial"/>
                <w:sz w:val="16"/>
                <w:szCs w:val="16"/>
                <w:color w:val="auto"/>
              </w:rPr>
              <w:t>33,905</w:t>
            </w:r>
          </w:p>
        </w:tc>
        <w:tc>
          <w:tcPr>
            <w:tcW w:w="920" w:type="dxa"/>
            <w:vAlign w:val="bottom"/>
          </w:tcPr>
          <w:p>
            <w:pPr>
              <w:jc w:val="center"/>
              <w:spacing w:after="0"/>
              <w:rPr>
                <w:sz w:val="20"/>
                <w:szCs w:val="20"/>
                <w:color w:val="auto"/>
              </w:rPr>
            </w:pPr>
            <w:r>
              <w:rPr>
                <w:rFonts w:ascii="Arial" w:cs="Arial" w:eastAsia="Arial" w:hAnsi="Arial"/>
                <w:sz w:val="16"/>
                <w:szCs w:val="16"/>
                <w:color w:val="auto"/>
              </w:rPr>
              <w:t>31,966</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31,036</w:t>
            </w:r>
          </w:p>
        </w:tc>
        <w:tc>
          <w:tcPr>
            <w:tcW w:w="880" w:type="dxa"/>
            <w:vAlign w:val="bottom"/>
            <w:shd w:val="clear" w:color="auto" w:fill="E93CAC"/>
          </w:tcPr>
          <w:p>
            <w:pPr>
              <w:jc w:val="center"/>
              <w:spacing w:after="0"/>
              <w:rPr>
                <w:sz w:val="20"/>
                <w:szCs w:val="20"/>
                <w:color w:val="auto"/>
              </w:rPr>
            </w:pPr>
            <w:r>
              <w:rPr>
                <w:rFonts w:ascii="Arial" w:cs="Arial" w:eastAsia="Arial" w:hAnsi="Arial"/>
                <w:sz w:val="16"/>
                <w:szCs w:val="16"/>
                <w:color w:val="auto"/>
                <w:w w:val="99"/>
              </w:rPr>
              <w:t>-931</w:t>
            </w:r>
          </w:p>
        </w:tc>
        <w:tc>
          <w:tcPr>
            <w:tcW w:w="960" w:type="dxa"/>
            <w:vAlign w:val="bottom"/>
            <w:tcBorders>
              <w:right w:val="single" w:sz="8" w:color="auto"/>
            </w:tcBorders>
            <w:shd w:val="clear" w:color="auto" w:fill="E93CAC"/>
          </w:tcPr>
          <w:p>
            <w:pPr>
              <w:jc w:val="center"/>
              <w:spacing w:after="0"/>
              <w:rPr>
                <w:sz w:val="20"/>
                <w:szCs w:val="20"/>
                <w:color w:val="auto"/>
              </w:rPr>
            </w:pPr>
            <w:r>
              <w:rPr>
                <w:rFonts w:ascii="Arial" w:cs="Arial" w:eastAsia="Arial" w:hAnsi="Arial"/>
                <w:sz w:val="16"/>
                <w:szCs w:val="16"/>
                <w:color w:val="auto"/>
              </w:rPr>
              <w:t>-2,870</w:t>
            </w:r>
          </w:p>
        </w:tc>
        <w:tc>
          <w:tcPr>
            <w:tcW w:w="880" w:type="dxa"/>
            <w:vAlign w:val="bottom"/>
          </w:tcPr>
          <w:p>
            <w:pPr>
              <w:jc w:val="center"/>
              <w:spacing w:after="0"/>
              <w:rPr>
                <w:sz w:val="20"/>
                <w:szCs w:val="20"/>
                <w:color w:val="auto"/>
              </w:rPr>
            </w:pPr>
            <w:r>
              <w:rPr>
                <w:rFonts w:ascii="Arial" w:cs="Arial" w:eastAsia="Arial" w:hAnsi="Arial"/>
                <w:sz w:val="16"/>
                <w:szCs w:val="16"/>
                <w:color w:val="auto"/>
              </w:rPr>
              <w:t>-2.9%</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-8.5%</w:t>
            </w:r>
          </w:p>
        </w:tc>
        <w:tc>
          <w:tcPr>
            <w:tcW w:w="880" w:type="dxa"/>
            <w:vAlign w:val="bottom"/>
          </w:tcPr>
          <w:p>
            <w:pPr>
              <w:jc w:val="center"/>
              <w:spacing w:after="0"/>
              <w:rPr>
                <w:sz w:val="20"/>
                <w:szCs w:val="20"/>
                <w:color w:val="auto"/>
              </w:rPr>
            </w:pPr>
            <w:r>
              <w:rPr>
                <w:rFonts w:ascii="Arial" w:cs="Arial" w:eastAsia="Arial" w:hAnsi="Arial"/>
                <w:sz w:val="16"/>
                <w:szCs w:val="16"/>
                <w:color w:val="auto"/>
              </w:rPr>
              <w:t>24.9%</w:t>
            </w:r>
          </w:p>
        </w:tc>
        <w:tc>
          <w:tcPr>
            <w:tcW w:w="880" w:type="dxa"/>
            <w:vAlign w:val="bottom"/>
          </w:tcPr>
          <w:p>
            <w:pPr>
              <w:jc w:val="center"/>
              <w:spacing w:after="0"/>
              <w:rPr>
                <w:sz w:val="20"/>
                <w:szCs w:val="20"/>
                <w:color w:val="auto"/>
              </w:rPr>
            </w:pPr>
            <w:r>
              <w:rPr>
                <w:rFonts w:ascii="Arial" w:cs="Arial" w:eastAsia="Arial" w:hAnsi="Arial"/>
                <w:sz w:val="16"/>
                <w:szCs w:val="16"/>
                <w:color w:val="auto"/>
              </w:rPr>
              <w:t>23.4%</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22.5%</w:t>
            </w:r>
          </w:p>
        </w:tc>
      </w:tr>
      <w:tr>
        <w:trPr>
          <w:trHeight w:val="178"/>
        </w:trPr>
        <w:tc>
          <w:tcPr>
            <w:tcW w:w="2260" w:type="dxa"/>
            <w:vAlign w:val="bottom"/>
            <w:tcBorders>
              <w:left w:val="single" w:sz="8" w:color="auto"/>
              <w:right w:val="single" w:sz="8" w:color="auto"/>
            </w:tcBorders>
          </w:tcPr>
          <w:p>
            <w:pPr>
              <w:ind w:left="300"/>
              <w:spacing w:after="0" w:line="178" w:lineRule="exact"/>
              <w:rPr>
                <w:sz w:val="20"/>
                <w:szCs w:val="20"/>
                <w:color w:val="auto"/>
              </w:rPr>
            </w:pPr>
            <w:r>
              <w:rPr>
                <w:rFonts w:ascii="Arial" w:cs="Arial" w:eastAsia="Arial" w:hAnsi="Arial"/>
                <w:sz w:val="16"/>
                <w:szCs w:val="16"/>
                <w:color w:val="auto"/>
              </w:rPr>
              <w:t>Middle - Market</w:t>
            </w:r>
          </w:p>
        </w:tc>
        <w:tc>
          <w:tcPr>
            <w:tcW w:w="900" w:type="dxa"/>
            <w:vAlign w:val="bottom"/>
          </w:tcPr>
          <w:p>
            <w:pPr>
              <w:jc w:val="center"/>
              <w:spacing w:after="0" w:line="178" w:lineRule="exact"/>
              <w:rPr>
                <w:sz w:val="20"/>
                <w:szCs w:val="20"/>
                <w:color w:val="auto"/>
              </w:rPr>
            </w:pPr>
            <w:r>
              <w:rPr>
                <w:rFonts w:ascii="Arial" w:cs="Arial" w:eastAsia="Arial" w:hAnsi="Arial"/>
                <w:sz w:val="16"/>
                <w:szCs w:val="16"/>
                <w:color w:val="auto"/>
              </w:rPr>
              <w:t>21,994</w:t>
            </w:r>
          </w:p>
        </w:tc>
        <w:tc>
          <w:tcPr>
            <w:tcW w:w="920" w:type="dxa"/>
            <w:vAlign w:val="bottom"/>
          </w:tcPr>
          <w:p>
            <w:pPr>
              <w:jc w:val="center"/>
              <w:spacing w:after="0" w:line="178" w:lineRule="exact"/>
              <w:rPr>
                <w:sz w:val="20"/>
                <w:szCs w:val="20"/>
                <w:color w:val="auto"/>
              </w:rPr>
            </w:pPr>
            <w:r>
              <w:rPr>
                <w:rFonts w:ascii="Arial" w:cs="Arial" w:eastAsia="Arial" w:hAnsi="Arial"/>
                <w:sz w:val="16"/>
                <w:szCs w:val="16"/>
                <w:color w:val="auto"/>
              </w:rPr>
              <w:t>20,059</w:t>
            </w:r>
          </w:p>
        </w:tc>
        <w:tc>
          <w:tcPr>
            <w:tcW w:w="94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6"/>
                <w:szCs w:val="16"/>
                <w:color w:val="auto"/>
              </w:rPr>
              <w:t>21,054</w:t>
            </w:r>
          </w:p>
        </w:tc>
        <w:tc>
          <w:tcPr>
            <w:tcW w:w="880" w:type="dxa"/>
            <w:vAlign w:val="bottom"/>
            <w:tcBorders>
              <w:bottom w:val="single" w:sz="8" w:color="00D274"/>
            </w:tcBorders>
            <w:shd w:val="clear" w:color="auto" w:fill="00D274"/>
          </w:tcPr>
          <w:p>
            <w:pPr>
              <w:jc w:val="center"/>
              <w:spacing w:after="0" w:line="178" w:lineRule="exact"/>
              <w:rPr>
                <w:sz w:val="20"/>
                <w:szCs w:val="20"/>
                <w:color w:val="auto"/>
              </w:rPr>
            </w:pPr>
            <w:r>
              <w:rPr>
                <w:rFonts w:ascii="Arial" w:cs="Arial" w:eastAsia="Arial" w:hAnsi="Arial"/>
                <w:sz w:val="16"/>
                <w:szCs w:val="16"/>
                <w:color w:val="auto"/>
              </w:rPr>
              <w:t>996</w:t>
            </w:r>
          </w:p>
        </w:tc>
        <w:tc>
          <w:tcPr>
            <w:tcW w:w="960" w:type="dxa"/>
            <w:vAlign w:val="bottom"/>
            <w:tcBorders>
              <w:bottom w:val="single" w:sz="8" w:color="E93CAC"/>
              <w:right w:val="single" w:sz="8" w:color="auto"/>
            </w:tcBorders>
            <w:shd w:val="clear" w:color="auto" w:fill="E93CAC"/>
          </w:tcPr>
          <w:p>
            <w:pPr>
              <w:jc w:val="center"/>
              <w:spacing w:after="0" w:line="178" w:lineRule="exact"/>
              <w:rPr>
                <w:sz w:val="20"/>
                <w:szCs w:val="20"/>
                <w:color w:val="auto"/>
              </w:rPr>
            </w:pPr>
            <w:r>
              <w:rPr>
                <w:rFonts w:ascii="Arial" w:cs="Arial" w:eastAsia="Arial" w:hAnsi="Arial"/>
                <w:sz w:val="16"/>
                <w:szCs w:val="16"/>
                <w:color w:val="auto"/>
              </w:rPr>
              <w:t>-940</w:t>
            </w:r>
          </w:p>
        </w:tc>
        <w:tc>
          <w:tcPr>
            <w:tcW w:w="880" w:type="dxa"/>
            <w:vAlign w:val="bottom"/>
          </w:tcPr>
          <w:p>
            <w:pPr>
              <w:jc w:val="center"/>
              <w:spacing w:after="0" w:line="178" w:lineRule="exact"/>
              <w:rPr>
                <w:sz w:val="20"/>
                <w:szCs w:val="20"/>
                <w:color w:val="auto"/>
              </w:rPr>
            </w:pPr>
            <w:r>
              <w:rPr>
                <w:rFonts w:ascii="Arial" w:cs="Arial" w:eastAsia="Arial" w:hAnsi="Arial"/>
                <w:sz w:val="16"/>
                <w:szCs w:val="16"/>
                <w:color w:val="auto"/>
              </w:rPr>
              <w:t>5.0%</w:t>
            </w:r>
          </w:p>
        </w:tc>
        <w:tc>
          <w:tcPr>
            <w:tcW w:w="94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6"/>
                <w:szCs w:val="16"/>
                <w:color w:val="auto"/>
              </w:rPr>
              <w:t>-4.3%</w:t>
            </w:r>
          </w:p>
        </w:tc>
        <w:tc>
          <w:tcPr>
            <w:tcW w:w="880" w:type="dxa"/>
            <w:vAlign w:val="bottom"/>
          </w:tcPr>
          <w:p>
            <w:pPr>
              <w:jc w:val="center"/>
              <w:spacing w:after="0" w:line="178" w:lineRule="exact"/>
              <w:rPr>
                <w:sz w:val="20"/>
                <w:szCs w:val="20"/>
                <w:color w:val="auto"/>
              </w:rPr>
            </w:pPr>
            <w:r>
              <w:rPr>
                <w:rFonts w:ascii="Arial" w:cs="Arial" w:eastAsia="Arial" w:hAnsi="Arial"/>
                <w:sz w:val="16"/>
                <w:szCs w:val="16"/>
                <w:color w:val="auto"/>
              </w:rPr>
              <w:t>16.2%</w:t>
            </w:r>
          </w:p>
        </w:tc>
        <w:tc>
          <w:tcPr>
            <w:tcW w:w="880" w:type="dxa"/>
            <w:vAlign w:val="bottom"/>
          </w:tcPr>
          <w:p>
            <w:pPr>
              <w:jc w:val="center"/>
              <w:spacing w:after="0" w:line="178" w:lineRule="exact"/>
              <w:rPr>
                <w:sz w:val="20"/>
                <w:szCs w:val="20"/>
                <w:color w:val="auto"/>
              </w:rPr>
            </w:pPr>
            <w:r>
              <w:rPr>
                <w:rFonts w:ascii="Arial" w:cs="Arial" w:eastAsia="Arial" w:hAnsi="Arial"/>
                <w:sz w:val="16"/>
                <w:szCs w:val="16"/>
                <w:color w:val="auto"/>
              </w:rPr>
              <w:t>14.7%</w:t>
            </w:r>
          </w:p>
        </w:tc>
        <w:tc>
          <w:tcPr>
            <w:tcW w:w="82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6"/>
                <w:szCs w:val="16"/>
                <w:color w:val="auto"/>
              </w:rPr>
              <w:t>15.3%</w:t>
            </w:r>
          </w:p>
        </w:tc>
      </w:tr>
      <w:tr>
        <w:trPr>
          <w:trHeight w:val="173"/>
        </w:trPr>
        <w:tc>
          <w:tcPr>
            <w:tcW w:w="2260" w:type="dxa"/>
            <w:vAlign w:val="bottom"/>
            <w:tcBorders>
              <w:left w:val="single" w:sz="8" w:color="auto"/>
              <w:right w:val="single" w:sz="8" w:color="auto"/>
            </w:tcBorders>
          </w:tcPr>
          <w:p>
            <w:pPr>
              <w:ind w:left="160"/>
              <w:spacing w:after="0" w:line="173" w:lineRule="exact"/>
              <w:rPr>
                <w:sz w:val="20"/>
                <w:szCs w:val="20"/>
                <w:color w:val="auto"/>
              </w:rPr>
            </w:pPr>
            <w:r>
              <w:rPr>
                <w:rFonts w:ascii="Arial" w:cs="Arial" w:eastAsia="Arial" w:hAnsi="Arial"/>
                <w:sz w:val="16"/>
                <w:szCs w:val="16"/>
                <w:b w:val="1"/>
                <w:bCs w:val="1"/>
                <w:color w:val="auto"/>
              </w:rPr>
              <w:t>Retail Banking</w:t>
            </w:r>
          </w:p>
        </w:tc>
        <w:tc>
          <w:tcPr>
            <w:tcW w:w="900" w:type="dxa"/>
            <w:vAlign w:val="bottom"/>
          </w:tcPr>
          <w:p>
            <w:pPr>
              <w:jc w:val="center"/>
              <w:spacing w:after="0" w:line="173" w:lineRule="exact"/>
              <w:rPr>
                <w:sz w:val="20"/>
                <w:szCs w:val="20"/>
                <w:color w:val="auto"/>
              </w:rPr>
            </w:pPr>
            <w:r>
              <w:rPr>
                <w:rFonts w:ascii="Arial" w:cs="Arial" w:eastAsia="Arial" w:hAnsi="Arial"/>
                <w:sz w:val="16"/>
                <w:szCs w:val="16"/>
                <w:b w:val="1"/>
                <w:bCs w:val="1"/>
                <w:color w:val="auto"/>
              </w:rPr>
              <w:t>55,263</w:t>
            </w:r>
          </w:p>
        </w:tc>
        <w:tc>
          <w:tcPr>
            <w:tcW w:w="920" w:type="dxa"/>
            <w:vAlign w:val="bottom"/>
          </w:tcPr>
          <w:p>
            <w:pPr>
              <w:jc w:val="center"/>
              <w:spacing w:after="0" w:line="173" w:lineRule="exact"/>
              <w:rPr>
                <w:sz w:val="20"/>
                <w:szCs w:val="20"/>
                <w:color w:val="auto"/>
              </w:rPr>
            </w:pPr>
            <w:r>
              <w:rPr>
                <w:rFonts w:ascii="Arial" w:cs="Arial" w:eastAsia="Arial" w:hAnsi="Arial"/>
                <w:sz w:val="16"/>
                <w:szCs w:val="16"/>
                <w:b w:val="1"/>
                <w:bCs w:val="1"/>
                <w:color w:val="auto"/>
              </w:rPr>
              <w:t>58,677</w:t>
            </w:r>
          </w:p>
        </w:tc>
        <w:tc>
          <w:tcPr>
            <w:tcW w:w="940" w:type="dxa"/>
            <w:vAlign w:val="bottom"/>
            <w:tcBorders>
              <w:right w:val="single" w:sz="8" w:color="auto"/>
            </w:tcBorders>
          </w:tcPr>
          <w:p>
            <w:pPr>
              <w:jc w:val="center"/>
              <w:spacing w:after="0" w:line="173" w:lineRule="exact"/>
              <w:rPr>
                <w:sz w:val="20"/>
                <w:szCs w:val="20"/>
                <w:color w:val="auto"/>
              </w:rPr>
            </w:pPr>
            <w:r>
              <w:rPr>
                <w:rFonts w:ascii="Arial" w:cs="Arial" w:eastAsia="Arial" w:hAnsi="Arial"/>
                <w:sz w:val="16"/>
                <w:szCs w:val="16"/>
                <w:b w:val="1"/>
                <w:bCs w:val="1"/>
                <w:color w:val="auto"/>
              </w:rPr>
              <w:t>59,767</w:t>
            </w:r>
          </w:p>
        </w:tc>
        <w:tc>
          <w:tcPr>
            <w:tcW w:w="880" w:type="dxa"/>
            <w:vAlign w:val="bottom"/>
          </w:tcPr>
          <w:p>
            <w:pPr>
              <w:jc w:val="center"/>
              <w:spacing w:after="0" w:line="173" w:lineRule="exact"/>
              <w:rPr>
                <w:sz w:val="20"/>
                <w:szCs w:val="20"/>
                <w:color w:val="auto"/>
              </w:rPr>
            </w:pPr>
            <w:r>
              <w:rPr>
                <w:rFonts w:ascii="Arial" w:cs="Arial" w:eastAsia="Arial" w:hAnsi="Arial"/>
                <w:sz w:val="16"/>
                <w:szCs w:val="16"/>
                <w:b w:val="1"/>
                <w:bCs w:val="1"/>
                <w:color w:val="auto"/>
                <w:w w:val="99"/>
              </w:rPr>
              <w:t>1,089</w:t>
            </w:r>
          </w:p>
        </w:tc>
        <w:tc>
          <w:tcPr>
            <w:tcW w:w="960" w:type="dxa"/>
            <w:vAlign w:val="bottom"/>
            <w:tcBorders>
              <w:right w:val="single" w:sz="8" w:color="auto"/>
            </w:tcBorders>
          </w:tcPr>
          <w:p>
            <w:pPr>
              <w:jc w:val="center"/>
              <w:spacing w:after="0" w:line="173" w:lineRule="exact"/>
              <w:rPr>
                <w:sz w:val="20"/>
                <w:szCs w:val="20"/>
                <w:color w:val="auto"/>
              </w:rPr>
            </w:pPr>
            <w:r>
              <w:rPr>
                <w:rFonts w:ascii="Arial" w:cs="Arial" w:eastAsia="Arial" w:hAnsi="Arial"/>
                <w:sz w:val="16"/>
                <w:szCs w:val="16"/>
                <w:b w:val="1"/>
                <w:bCs w:val="1"/>
                <w:color w:val="auto"/>
              </w:rPr>
              <w:t>4,504</w:t>
            </w:r>
          </w:p>
        </w:tc>
        <w:tc>
          <w:tcPr>
            <w:tcW w:w="880" w:type="dxa"/>
            <w:vAlign w:val="bottom"/>
          </w:tcPr>
          <w:p>
            <w:pPr>
              <w:jc w:val="center"/>
              <w:spacing w:after="0" w:line="173" w:lineRule="exact"/>
              <w:rPr>
                <w:sz w:val="20"/>
                <w:szCs w:val="20"/>
                <w:color w:val="auto"/>
              </w:rPr>
            </w:pPr>
            <w:r>
              <w:rPr>
                <w:rFonts w:ascii="Arial" w:cs="Arial" w:eastAsia="Arial" w:hAnsi="Arial"/>
                <w:sz w:val="16"/>
                <w:szCs w:val="16"/>
                <w:b w:val="1"/>
                <w:bCs w:val="1"/>
                <w:color w:val="auto"/>
              </w:rPr>
              <w:t>1.9%</w:t>
            </w:r>
          </w:p>
        </w:tc>
        <w:tc>
          <w:tcPr>
            <w:tcW w:w="940" w:type="dxa"/>
            <w:vAlign w:val="bottom"/>
            <w:tcBorders>
              <w:right w:val="single" w:sz="8" w:color="auto"/>
            </w:tcBorders>
          </w:tcPr>
          <w:p>
            <w:pPr>
              <w:jc w:val="center"/>
              <w:spacing w:after="0" w:line="173" w:lineRule="exact"/>
              <w:rPr>
                <w:sz w:val="20"/>
                <w:szCs w:val="20"/>
                <w:color w:val="auto"/>
              </w:rPr>
            </w:pPr>
            <w:r>
              <w:rPr>
                <w:rFonts w:ascii="Arial" w:cs="Arial" w:eastAsia="Arial" w:hAnsi="Arial"/>
                <w:sz w:val="16"/>
                <w:szCs w:val="16"/>
                <w:b w:val="1"/>
                <w:bCs w:val="1"/>
                <w:color w:val="auto"/>
                <w:w w:val="98"/>
              </w:rPr>
              <w:t>8.1%</w:t>
            </w:r>
          </w:p>
        </w:tc>
        <w:tc>
          <w:tcPr>
            <w:tcW w:w="880" w:type="dxa"/>
            <w:vAlign w:val="bottom"/>
          </w:tcPr>
          <w:p>
            <w:pPr>
              <w:jc w:val="center"/>
              <w:spacing w:after="0" w:line="173" w:lineRule="exact"/>
              <w:rPr>
                <w:sz w:val="20"/>
                <w:szCs w:val="20"/>
                <w:color w:val="auto"/>
              </w:rPr>
            </w:pPr>
            <w:r>
              <w:rPr>
                <w:rFonts w:ascii="Arial" w:cs="Arial" w:eastAsia="Arial" w:hAnsi="Arial"/>
                <w:sz w:val="16"/>
                <w:szCs w:val="16"/>
                <w:b w:val="1"/>
                <w:bCs w:val="1"/>
                <w:color w:val="auto"/>
              </w:rPr>
              <w:t>40.6%</w:t>
            </w:r>
          </w:p>
        </w:tc>
        <w:tc>
          <w:tcPr>
            <w:tcW w:w="880" w:type="dxa"/>
            <w:vAlign w:val="bottom"/>
          </w:tcPr>
          <w:p>
            <w:pPr>
              <w:jc w:val="center"/>
              <w:spacing w:after="0" w:line="173" w:lineRule="exact"/>
              <w:rPr>
                <w:sz w:val="20"/>
                <w:szCs w:val="20"/>
                <w:color w:val="auto"/>
              </w:rPr>
            </w:pPr>
            <w:r>
              <w:rPr>
                <w:rFonts w:ascii="Arial" w:cs="Arial" w:eastAsia="Arial" w:hAnsi="Arial"/>
                <w:sz w:val="16"/>
                <w:szCs w:val="16"/>
                <w:b w:val="1"/>
                <w:bCs w:val="1"/>
                <w:color w:val="auto"/>
              </w:rPr>
              <w:t>43.0%</w:t>
            </w:r>
          </w:p>
        </w:tc>
        <w:tc>
          <w:tcPr>
            <w:tcW w:w="820" w:type="dxa"/>
            <w:vAlign w:val="bottom"/>
            <w:tcBorders>
              <w:right w:val="single" w:sz="8" w:color="auto"/>
            </w:tcBorders>
          </w:tcPr>
          <w:p>
            <w:pPr>
              <w:jc w:val="center"/>
              <w:spacing w:after="0" w:line="173" w:lineRule="exact"/>
              <w:rPr>
                <w:sz w:val="20"/>
                <w:szCs w:val="20"/>
                <w:color w:val="auto"/>
              </w:rPr>
            </w:pPr>
            <w:r>
              <w:rPr>
                <w:rFonts w:ascii="Arial" w:cs="Arial" w:eastAsia="Arial" w:hAnsi="Arial"/>
                <w:sz w:val="16"/>
                <w:szCs w:val="16"/>
                <w:b w:val="1"/>
                <w:bCs w:val="1"/>
                <w:color w:val="auto"/>
              </w:rPr>
              <w:t>43.4%</w:t>
            </w:r>
          </w:p>
        </w:tc>
      </w:tr>
      <w:tr>
        <w:trPr>
          <w:trHeight w:val="185"/>
        </w:trPr>
        <w:tc>
          <w:tcPr>
            <w:tcW w:w="226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6"/>
                <w:szCs w:val="16"/>
                <w:color w:val="auto"/>
              </w:rPr>
              <w:t>SME - Business</w:t>
            </w:r>
          </w:p>
        </w:tc>
        <w:tc>
          <w:tcPr>
            <w:tcW w:w="900" w:type="dxa"/>
            <w:vAlign w:val="bottom"/>
          </w:tcPr>
          <w:p>
            <w:pPr>
              <w:jc w:val="center"/>
              <w:spacing w:after="0"/>
              <w:rPr>
                <w:sz w:val="20"/>
                <w:szCs w:val="20"/>
                <w:color w:val="auto"/>
              </w:rPr>
            </w:pPr>
            <w:r>
              <w:rPr>
                <w:rFonts w:ascii="Arial" w:cs="Arial" w:eastAsia="Arial" w:hAnsi="Arial"/>
                <w:sz w:val="16"/>
                <w:szCs w:val="16"/>
                <w:color w:val="auto"/>
              </w:rPr>
              <w:t>5,651</w:t>
            </w:r>
          </w:p>
        </w:tc>
        <w:tc>
          <w:tcPr>
            <w:tcW w:w="920" w:type="dxa"/>
            <w:vAlign w:val="bottom"/>
          </w:tcPr>
          <w:p>
            <w:pPr>
              <w:jc w:val="center"/>
              <w:spacing w:after="0"/>
              <w:rPr>
                <w:sz w:val="20"/>
                <w:szCs w:val="20"/>
                <w:color w:val="auto"/>
              </w:rPr>
            </w:pPr>
            <w:r>
              <w:rPr>
                <w:rFonts w:ascii="Arial" w:cs="Arial" w:eastAsia="Arial" w:hAnsi="Arial"/>
                <w:sz w:val="16"/>
                <w:szCs w:val="16"/>
                <w:color w:val="auto"/>
              </w:rPr>
              <w:t>5,921</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6,173</w:t>
            </w:r>
          </w:p>
        </w:tc>
        <w:tc>
          <w:tcPr>
            <w:tcW w:w="880" w:type="dxa"/>
            <w:vAlign w:val="bottom"/>
          </w:tcPr>
          <w:p>
            <w:pPr>
              <w:jc w:val="center"/>
              <w:spacing w:after="0"/>
              <w:rPr>
                <w:sz w:val="20"/>
                <w:szCs w:val="20"/>
                <w:color w:val="auto"/>
              </w:rPr>
            </w:pPr>
            <w:r>
              <w:rPr>
                <w:rFonts w:ascii="Arial" w:cs="Arial" w:eastAsia="Arial" w:hAnsi="Arial"/>
                <w:sz w:val="16"/>
                <w:szCs w:val="16"/>
                <w:color w:val="auto"/>
              </w:rPr>
              <w:t>251</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7"/>
              </w:rPr>
              <w:t>522</w:t>
            </w:r>
          </w:p>
        </w:tc>
        <w:tc>
          <w:tcPr>
            <w:tcW w:w="880" w:type="dxa"/>
            <w:vAlign w:val="bottom"/>
          </w:tcPr>
          <w:p>
            <w:pPr>
              <w:jc w:val="center"/>
              <w:spacing w:after="0"/>
              <w:rPr>
                <w:sz w:val="20"/>
                <w:szCs w:val="20"/>
                <w:color w:val="auto"/>
              </w:rPr>
            </w:pPr>
            <w:r>
              <w:rPr>
                <w:rFonts w:ascii="Arial" w:cs="Arial" w:eastAsia="Arial" w:hAnsi="Arial"/>
                <w:sz w:val="16"/>
                <w:szCs w:val="16"/>
                <w:color w:val="auto"/>
              </w:rPr>
              <w:t>4.2%</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9.2%</w:t>
            </w:r>
          </w:p>
        </w:tc>
        <w:tc>
          <w:tcPr>
            <w:tcW w:w="880" w:type="dxa"/>
            <w:vAlign w:val="bottom"/>
          </w:tcPr>
          <w:p>
            <w:pPr>
              <w:jc w:val="center"/>
              <w:spacing w:after="0"/>
              <w:rPr>
                <w:sz w:val="20"/>
                <w:szCs w:val="20"/>
                <w:color w:val="auto"/>
              </w:rPr>
            </w:pPr>
            <w:r>
              <w:rPr>
                <w:rFonts w:ascii="Arial" w:cs="Arial" w:eastAsia="Arial" w:hAnsi="Arial"/>
                <w:sz w:val="16"/>
                <w:szCs w:val="16"/>
                <w:color w:val="auto"/>
              </w:rPr>
              <w:t>4.2%</w:t>
            </w:r>
          </w:p>
        </w:tc>
        <w:tc>
          <w:tcPr>
            <w:tcW w:w="880" w:type="dxa"/>
            <w:vAlign w:val="bottom"/>
          </w:tcPr>
          <w:p>
            <w:pPr>
              <w:jc w:val="center"/>
              <w:spacing w:after="0"/>
              <w:rPr>
                <w:sz w:val="20"/>
                <w:szCs w:val="20"/>
                <w:color w:val="auto"/>
              </w:rPr>
            </w:pPr>
            <w:r>
              <w:rPr>
                <w:rFonts w:ascii="Arial" w:cs="Arial" w:eastAsia="Arial" w:hAnsi="Arial"/>
                <w:sz w:val="16"/>
                <w:szCs w:val="16"/>
                <w:color w:val="auto"/>
              </w:rPr>
              <w:t>4.3%</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4.5%</w:t>
            </w:r>
          </w:p>
        </w:tc>
      </w:tr>
      <w:tr>
        <w:trPr>
          <w:trHeight w:val="198"/>
        </w:trPr>
        <w:tc>
          <w:tcPr>
            <w:tcW w:w="226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6"/>
                <w:szCs w:val="16"/>
                <w:color w:val="auto"/>
              </w:rPr>
              <w:t>SME - Pyme</w:t>
            </w:r>
          </w:p>
        </w:tc>
        <w:tc>
          <w:tcPr>
            <w:tcW w:w="900" w:type="dxa"/>
            <w:vAlign w:val="bottom"/>
          </w:tcPr>
          <w:p>
            <w:pPr>
              <w:jc w:val="center"/>
              <w:spacing w:after="0"/>
              <w:rPr>
                <w:sz w:val="20"/>
                <w:szCs w:val="20"/>
                <w:color w:val="auto"/>
              </w:rPr>
            </w:pPr>
            <w:r>
              <w:rPr>
                <w:rFonts w:ascii="Arial" w:cs="Arial" w:eastAsia="Arial" w:hAnsi="Arial"/>
                <w:sz w:val="16"/>
                <w:szCs w:val="16"/>
                <w:color w:val="auto"/>
              </w:rPr>
              <w:t>12,638</w:t>
            </w:r>
          </w:p>
        </w:tc>
        <w:tc>
          <w:tcPr>
            <w:tcW w:w="920" w:type="dxa"/>
            <w:vAlign w:val="bottom"/>
          </w:tcPr>
          <w:p>
            <w:pPr>
              <w:jc w:val="center"/>
              <w:spacing w:after="0"/>
              <w:rPr>
                <w:sz w:val="20"/>
                <w:szCs w:val="20"/>
                <w:color w:val="auto"/>
              </w:rPr>
            </w:pPr>
            <w:r>
              <w:rPr>
                <w:rFonts w:ascii="Arial" w:cs="Arial" w:eastAsia="Arial" w:hAnsi="Arial"/>
                <w:sz w:val="16"/>
                <w:szCs w:val="16"/>
                <w:color w:val="auto"/>
              </w:rPr>
              <w:t>13,845</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14,380</w:t>
            </w:r>
          </w:p>
        </w:tc>
        <w:tc>
          <w:tcPr>
            <w:tcW w:w="880" w:type="dxa"/>
            <w:vAlign w:val="bottom"/>
            <w:shd w:val="clear" w:color="auto" w:fill="00D274"/>
          </w:tcPr>
          <w:p>
            <w:pPr>
              <w:jc w:val="center"/>
              <w:spacing w:after="0"/>
              <w:rPr>
                <w:sz w:val="20"/>
                <w:szCs w:val="20"/>
                <w:color w:val="auto"/>
              </w:rPr>
            </w:pPr>
            <w:r>
              <w:rPr>
                <w:rFonts w:ascii="Arial" w:cs="Arial" w:eastAsia="Arial" w:hAnsi="Arial"/>
                <w:sz w:val="16"/>
                <w:szCs w:val="16"/>
                <w:color w:val="auto"/>
              </w:rPr>
              <w:t>535</w:t>
            </w:r>
          </w:p>
        </w:tc>
        <w:tc>
          <w:tcPr>
            <w:tcW w:w="960" w:type="dxa"/>
            <w:vAlign w:val="bottom"/>
            <w:tcBorders>
              <w:right w:val="single" w:sz="8" w:color="auto"/>
            </w:tcBorders>
            <w:shd w:val="clear" w:color="auto" w:fill="00D274"/>
          </w:tcPr>
          <w:p>
            <w:pPr>
              <w:jc w:val="center"/>
              <w:spacing w:after="0"/>
              <w:rPr>
                <w:sz w:val="20"/>
                <w:szCs w:val="20"/>
                <w:color w:val="auto"/>
              </w:rPr>
            </w:pPr>
            <w:r>
              <w:rPr>
                <w:rFonts w:ascii="Arial" w:cs="Arial" w:eastAsia="Arial" w:hAnsi="Arial"/>
                <w:sz w:val="16"/>
                <w:szCs w:val="16"/>
                <w:color w:val="auto"/>
              </w:rPr>
              <w:t>1,742</w:t>
            </w:r>
          </w:p>
        </w:tc>
        <w:tc>
          <w:tcPr>
            <w:tcW w:w="880" w:type="dxa"/>
            <w:vAlign w:val="bottom"/>
          </w:tcPr>
          <w:p>
            <w:pPr>
              <w:jc w:val="center"/>
              <w:spacing w:after="0"/>
              <w:rPr>
                <w:sz w:val="20"/>
                <w:szCs w:val="20"/>
                <w:color w:val="auto"/>
              </w:rPr>
            </w:pPr>
            <w:r>
              <w:rPr>
                <w:rFonts w:ascii="Arial" w:cs="Arial" w:eastAsia="Arial" w:hAnsi="Arial"/>
                <w:sz w:val="16"/>
                <w:szCs w:val="16"/>
                <w:color w:val="auto"/>
              </w:rPr>
              <w:t>3.9%</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13.8%</w:t>
            </w:r>
          </w:p>
        </w:tc>
        <w:tc>
          <w:tcPr>
            <w:tcW w:w="880" w:type="dxa"/>
            <w:vAlign w:val="bottom"/>
          </w:tcPr>
          <w:p>
            <w:pPr>
              <w:jc w:val="center"/>
              <w:spacing w:after="0"/>
              <w:rPr>
                <w:sz w:val="20"/>
                <w:szCs w:val="20"/>
                <w:color w:val="auto"/>
              </w:rPr>
            </w:pPr>
            <w:r>
              <w:rPr>
                <w:rFonts w:ascii="Arial" w:cs="Arial" w:eastAsia="Arial" w:hAnsi="Arial"/>
                <w:sz w:val="16"/>
                <w:szCs w:val="16"/>
                <w:color w:val="auto"/>
              </w:rPr>
              <w:t>9.3%</w:t>
            </w:r>
          </w:p>
        </w:tc>
        <w:tc>
          <w:tcPr>
            <w:tcW w:w="880" w:type="dxa"/>
            <w:vAlign w:val="bottom"/>
          </w:tcPr>
          <w:p>
            <w:pPr>
              <w:jc w:val="center"/>
              <w:spacing w:after="0"/>
              <w:rPr>
                <w:sz w:val="20"/>
                <w:szCs w:val="20"/>
                <w:color w:val="auto"/>
              </w:rPr>
            </w:pPr>
            <w:r>
              <w:rPr>
                <w:rFonts w:ascii="Arial" w:cs="Arial" w:eastAsia="Arial" w:hAnsi="Arial"/>
                <w:sz w:val="16"/>
                <w:szCs w:val="16"/>
                <w:color w:val="auto"/>
              </w:rPr>
              <w:t>10.1%</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10.4%</w:t>
            </w:r>
          </w:p>
        </w:tc>
      </w:tr>
      <w:tr>
        <w:trPr>
          <w:trHeight w:val="185"/>
        </w:trPr>
        <w:tc>
          <w:tcPr>
            <w:tcW w:w="226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6"/>
                <w:szCs w:val="16"/>
                <w:color w:val="auto"/>
              </w:rPr>
              <w:t>Mortgage</w:t>
            </w:r>
          </w:p>
        </w:tc>
        <w:tc>
          <w:tcPr>
            <w:tcW w:w="900" w:type="dxa"/>
            <w:vAlign w:val="bottom"/>
          </w:tcPr>
          <w:p>
            <w:pPr>
              <w:jc w:val="center"/>
              <w:spacing w:after="0"/>
              <w:rPr>
                <w:sz w:val="20"/>
                <w:szCs w:val="20"/>
                <w:color w:val="auto"/>
              </w:rPr>
            </w:pPr>
            <w:r>
              <w:rPr>
                <w:rFonts w:ascii="Arial" w:cs="Arial" w:eastAsia="Arial" w:hAnsi="Arial"/>
                <w:sz w:val="16"/>
                <w:szCs w:val="16"/>
                <w:color w:val="auto"/>
              </w:rPr>
              <w:t>19,736</w:t>
            </w:r>
          </w:p>
        </w:tc>
        <w:tc>
          <w:tcPr>
            <w:tcW w:w="920" w:type="dxa"/>
            <w:vAlign w:val="bottom"/>
          </w:tcPr>
          <w:p>
            <w:pPr>
              <w:jc w:val="center"/>
              <w:spacing w:after="0"/>
              <w:rPr>
                <w:sz w:val="20"/>
                <w:szCs w:val="20"/>
                <w:color w:val="auto"/>
              </w:rPr>
            </w:pPr>
            <w:r>
              <w:rPr>
                <w:rFonts w:ascii="Arial" w:cs="Arial" w:eastAsia="Arial" w:hAnsi="Arial"/>
                <w:sz w:val="16"/>
                <w:szCs w:val="16"/>
                <w:color w:val="auto"/>
              </w:rPr>
              <w:t>20,448</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20,712</w:t>
            </w:r>
          </w:p>
        </w:tc>
        <w:tc>
          <w:tcPr>
            <w:tcW w:w="880" w:type="dxa"/>
            <w:vAlign w:val="bottom"/>
          </w:tcPr>
          <w:p>
            <w:pPr>
              <w:jc w:val="center"/>
              <w:spacing w:after="0" w:line="173" w:lineRule="exact"/>
              <w:rPr>
                <w:sz w:val="20"/>
                <w:szCs w:val="20"/>
                <w:color w:val="auto"/>
              </w:rPr>
            </w:pPr>
            <w:r>
              <w:rPr>
                <w:rFonts w:ascii="Arial" w:cs="Arial" w:eastAsia="Arial" w:hAnsi="Arial"/>
                <w:sz w:val="16"/>
                <w:szCs w:val="16"/>
                <w:color w:val="auto"/>
              </w:rPr>
              <w:t>264</w:t>
            </w:r>
          </w:p>
        </w:tc>
        <w:tc>
          <w:tcPr>
            <w:tcW w:w="960" w:type="dxa"/>
            <w:vAlign w:val="bottom"/>
            <w:tcBorders>
              <w:right w:val="single" w:sz="8" w:color="auto"/>
            </w:tcBorders>
            <w:shd w:val="clear" w:color="auto" w:fill="00D274"/>
          </w:tcPr>
          <w:p>
            <w:pPr>
              <w:jc w:val="center"/>
              <w:spacing w:after="0"/>
              <w:rPr>
                <w:sz w:val="20"/>
                <w:szCs w:val="20"/>
                <w:color w:val="auto"/>
              </w:rPr>
            </w:pPr>
            <w:r>
              <w:rPr>
                <w:rFonts w:ascii="Arial" w:cs="Arial" w:eastAsia="Arial" w:hAnsi="Arial"/>
                <w:sz w:val="16"/>
                <w:szCs w:val="16"/>
                <w:color w:val="auto"/>
                <w:w w:val="97"/>
              </w:rPr>
              <w:t>976</w:t>
            </w:r>
          </w:p>
        </w:tc>
        <w:tc>
          <w:tcPr>
            <w:tcW w:w="880" w:type="dxa"/>
            <w:vAlign w:val="bottom"/>
          </w:tcPr>
          <w:p>
            <w:pPr>
              <w:jc w:val="center"/>
              <w:spacing w:after="0"/>
              <w:rPr>
                <w:sz w:val="20"/>
                <w:szCs w:val="20"/>
                <w:color w:val="auto"/>
              </w:rPr>
            </w:pPr>
            <w:r>
              <w:rPr>
                <w:rFonts w:ascii="Arial" w:cs="Arial" w:eastAsia="Arial" w:hAnsi="Arial"/>
                <w:sz w:val="16"/>
                <w:szCs w:val="16"/>
                <w:color w:val="auto"/>
              </w:rPr>
              <w:t>1.3%</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4.9%</w:t>
            </w:r>
          </w:p>
        </w:tc>
        <w:tc>
          <w:tcPr>
            <w:tcW w:w="880" w:type="dxa"/>
            <w:vAlign w:val="bottom"/>
          </w:tcPr>
          <w:p>
            <w:pPr>
              <w:jc w:val="center"/>
              <w:spacing w:after="0"/>
              <w:rPr>
                <w:sz w:val="20"/>
                <w:szCs w:val="20"/>
                <w:color w:val="auto"/>
              </w:rPr>
            </w:pPr>
            <w:r>
              <w:rPr>
                <w:rFonts w:ascii="Arial" w:cs="Arial" w:eastAsia="Arial" w:hAnsi="Arial"/>
                <w:sz w:val="16"/>
                <w:szCs w:val="16"/>
                <w:color w:val="auto"/>
              </w:rPr>
              <w:t>14.5%</w:t>
            </w:r>
          </w:p>
        </w:tc>
        <w:tc>
          <w:tcPr>
            <w:tcW w:w="880" w:type="dxa"/>
            <w:vAlign w:val="bottom"/>
          </w:tcPr>
          <w:p>
            <w:pPr>
              <w:jc w:val="center"/>
              <w:spacing w:after="0"/>
              <w:rPr>
                <w:sz w:val="20"/>
                <w:szCs w:val="20"/>
                <w:color w:val="auto"/>
              </w:rPr>
            </w:pPr>
            <w:r>
              <w:rPr>
                <w:rFonts w:ascii="Arial" w:cs="Arial" w:eastAsia="Arial" w:hAnsi="Arial"/>
                <w:sz w:val="16"/>
                <w:szCs w:val="16"/>
                <w:color w:val="auto"/>
              </w:rPr>
              <w:t>15.0%</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15.0%</w:t>
            </w:r>
          </w:p>
        </w:tc>
      </w:tr>
      <w:tr>
        <w:trPr>
          <w:trHeight w:val="173"/>
        </w:trPr>
        <w:tc>
          <w:tcPr>
            <w:tcW w:w="2260" w:type="dxa"/>
            <w:vAlign w:val="bottom"/>
            <w:tcBorders>
              <w:left w:val="single" w:sz="8" w:color="auto"/>
              <w:right w:val="single" w:sz="8" w:color="auto"/>
            </w:tcBorders>
          </w:tcPr>
          <w:p>
            <w:pPr>
              <w:ind w:left="300"/>
              <w:spacing w:after="0" w:line="173" w:lineRule="exact"/>
              <w:rPr>
                <w:sz w:val="20"/>
                <w:szCs w:val="20"/>
                <w:color w:val="auto"/>
              </w:rPr>
            </w:pPr>
            <w:r>
              <w:rPr>
                <w:rFonts w:ascii="Arial" w:cs="Arial" w:eastAsia="Arial" w:hAnsi="Arial"/>
                <w:sz w:val="16"/>
                <w:szCs w:val="16"/>
                <w:color w:val="auto"/>
              </w:rPr>
              <w:t>Consumer</w:t>
            </w:r>
          </w:p>
        </w:tc>
        <w:tc>
          <w:tcPr>
            <w:tcW w:w="900" w:type="dxa"/>
            <w:vAlign w:val="bottom"/>
          </w:tcPr>
          <w:p>
            <w:pPr>
              <w:jc w:val="center"/>
              <w:spacing w:after="0" w:line="173" w:lineRule="exact"/>
              <w:rPr>
                <w:sz w:val="20"/>
                <w:szCs w:val="20"/>
                <w:color w:val="auto"/>
              </w:rPr>
            </w:pPr>
            <w:r>
              <w:rPr>
                <w:rFonts w:ascii="Arial" w:cs="Arial" w:eastAsia="Arial" w:hAnsi="Arial"/>
                <w:sz w:val="16"/>
                <w:szCs w:val="16"/>
                <w:color w:val="auto"/>
              </w:rPr>
              <w:t>12,446</w:t>
            </w:r>
          </w:p>
        </w:tc>
        <w:tc>
          <w:tcPr>
            <w:tcW w:w="920" w:type="dxa"/>
            <w:vAlign w:val="bottom"/>
          </w:tcPr>
          <w:p>
            <w:pPr>
              <w:jc w:val="center"/>
              <w:spacing w:after="0" w:line="173" w:lineRule="exact"/>
              <w:rPr>
                <w:sz w:val="20"/>
                <w:szCs w:val="20"/>
                <w:color w:val="auto"/>
              </w:rPr>
            </w:pPr>
            <w:r>
              <w:rPr>
                <w:rFonts w:ascii="Arial" w:cs="Arial" w:eastAsia="Arial" w:hAnsi="Arial"/>
                <w:sz w:val="16"/>
                <w:szCs w:val="16"/>
                <w:color w:val="auto"/>
              </w:rPr>
              <w:t>12,771</w:t>
            </w:r>
          </w:p>
        </w:tc>
        <w:tc>
          <w:tcPr>
            <w:tcW w:w="940" w:type="dxa"/>
            <w:vAlign w:val="bottom"/>
            <w:tcBorders>
              <w:right w:val="single" w:sz="8" w:color="auto"/>
            </w:tcBorders>
          </w:tcPr>
          <w:p>
            <w:pPr>
              <w:jc w:val="center"/>
              <w:spacing w:after="0" w:line="173" w:lineRule="exact"/>
              <w:rPr>
                <w:sz w:val="20"/>
                <w:szCs w:val="20"/>
                <w:color w:val="auto"/>
              </w:rPr>
            </w:pPr>
            <w:r>
              <w:rPr>
                <w:rFonts w:ascii="Arial" w:cs="Arial" w:eastAsia="Arial" w:hAnsi="Arial"/>
                <w:sz w:val="16"/>
                <w:szCs w:val="16"/>
                <w:color w:val="auto"/>
              </w:rPr>
              <w:t>12,654</w:t>
            </w:r>
          </w:p>
        </w:tc>
        <w:tc>
          <w:tcPr>
            <w:tcW w:w="880" w:type="dxa"/>
            <w:vAlign w:val="bottom"/>
          </w:tcPr>
          <w:p>
            <w:pPr>
              <w:jc w:val="center"/>
              <w:spacing w:after="0" w:line="173" w:lineRule="exact"/>
              <w:rPr>
                <w:sz w:val="20"/>
                <w:szCs w:val="20"/>
                <w:color w:val="auto"/>
              </w:rPr>
            </w:pPr>
            <w:r>
              <w:rPr>
                <w:rFonts w:ascii="Arial" w:cs="Arial" w:eastAsia="Arial" w:hAnsi="Arial"/>
                <w:sz w:val="16"/>
                <w:szCs w:val="16"/>
                <w:color w:val="auto"/>
                <w:w w:val="99"/>
              </w:rPr>
              <w:t>-117</w:t>
            </w:r>
          </w:p>
        </w:tc>
        <w:tc>
          <w:tcPr>
            <w:tcW w:w="960" w:type="dxa"/>
            <w:vAlign w:val="bottom"/>
            <w:tcBorders>
              <w:right w:val="single" w:sz="8" w:color="auto"/>
            </w:tcBorders>
          </w:tcPr>
          <w:p>
            <w:pPr>
              <w:jc w:val="center"/>
              <w:spacing w:after="0" w:line="173" w:lineRule="exact"/>
              <w:rPr>
                <w:sz w:val="20"/>
                <w:szCs w:val="20"/>
                <w:color w:val="auto"/>
              </w:rPr>
            </w:pPr>
            <w:r>
              <w:rPr>
                <w:rFonts w:ascii="Arial" w:cs="Arial" w:eastAsia="Arial" w:hAnsi="Arial"/>
                <w:sz w:val="16"/>
                <w:szCs w:val="16"/>
                <w:color w:val="auto"/>
                <w:w w:val="97"/>
              </w:rPr>
              <w:t>208</w:t>
            </w:r>
          </w:p>
        </w:tc>
        <w:tc>
          <w:tcPr>
            <w:tcW w:w="880" w:type="dxa"/>
            <w:vAlign w:val="bottom"/>
          </w:tcPr>
          <w:p>
            <w:pPr>
              <w:jc w:val="center"/>
              <w:spacing w:after="0" w:line="173" w:lineRule="exact"/>
              <w:rPr>
                <w:sz w:val="20"/>
                <w:szCs w:val="20"/>
                <w:color w:val="auto"/>
              </w:rPr>
            </w:pPr>
            <w:r>
              <w:rPr>
                <w:rFonts w:ascii="Arial" w:cs="Arial" w:eastAsia="Arial" w:hAnsi="Arial"/>
                <w:sz w:val="16"/>
                <w:szCs w:val="16"/>
                <w:color w:val="auto"/>
              </w:rPr>
              <w:t>-0.9%</w:t>
            </w:r>
          </w:p>
        </w:tc>
        <w:tc>
          <w:tcPr>
            <w:tcW w:w="940" w:type="dxa"/>
            <w:vAlign w:val="bottom"/>
            <w:tcBorders>
              <w:right w:val="single" w:sz="8" w:color="auto"/>
            </w:tcBorders>
          </w:tcPr>
          <w:p>
            <w:pPr>
              <w:jc w:val="center"/>
              <w:spacing w:after="0" w:line="173" w:lineRule="exact"/>
              <w:rPr>
                <w:sz w:val="20"/>
                <w:szCs w:val="20"/>
                <w:color w:val="auto"/>
              </w:rPr>
            </w:pPr>
            <w:r>
              <w:rPr>
                <w:rFonts w:ascii="Arial" w:cs="Arial" w:eastAsia="Arial" w:hAnsi="Arial"/>
                <w:sz w:val="16"/>
                <w:szCs w:val="16"/>
                <w:color w:val="auto"/>
                <w:w w:val="98"/>
              </w:rPr>
              <w:t>1.7%</w:t>
            </w:r>
          </w:p>
        </w:tc>
        <w:tc>
          <w:tcPr>
            <w:tcW w:w="880" w:type="dxa"/>
            <w:vAlign w:val="bottom"/>
          </w:tcPr>
          <w:p>
            <w:pPr>
              <w:jc w:val="center"/>
              <w:spacing w:after="0" w:line="173" w:lineRule="exact"/>
              <w:rPr>
                <w:sz w:val="20"/>
                <w:szCs w:val="20"/>
                <w:color w:val="auto"/>
              </w:rPr>
            </w:pPr>
            <w:r>
              <w:rPr>
                <w:rFonts w:ascii="Arial" w:cs="Arial" w:eastAsia="Arial" w:hAnsi="Arial"/>
                <w:sz w:val="16"/>
                <w:szCs w:val="16"/>
                <w:color w:val="auto"/>
              </w:rPr>
              <w:t>9.1%</w:t>
            </w:r>
          </w:p>
        </w:tc>
        <w:tc>
          <w:tcPr>
            <w:tcW w:w="880" w:type="dxa"/>
            <w:vAlign w:val="bottom"/>
          </w:tcPr>
          <w:p>
            <w:pPr>
              <w:jc w:val="center"/>
              <w:spacing w:after="0" w:line="173" w:lineRule="exact"/>
              <w:rPr>
                <w:sz w:val="20"/>
                <w:szCs w:val="20"/>
                <w:color w:val="auto"/>
              </w:rPr>
            </w:pPr>
            <w:r>
              <w:rPr>
                <w:rFonts w:ascii="Arial" w:cs="Arial" w:eastAsia="Arial" w:hAnsi="Arial"/>
                <w:sz w:val="16"/>
                <w:szCs w:val="16"/>
                <w:color w:val="auto"/>
              </w:rPr>
              <w:t>9.4%</w:t>
            </w:r>
          </w:p>
        </w:tc>
        <w:tc>
          <w:tcPr>
            <w:tcW w:w="820" w:type="dxa"/>
            <w:vAlign w:val="bottom"/>
            <w:tcBorders>
              <w:right w:val="single" w:sz="8" w:color="auto"/>
            </w:tcBorders>
          </w:tcPr>
          <w:p>
            <w:pPr>
              <w:jc w:val="center"/>
              <w:spacing w:after="0" w:line="173" w:lineRule="exact"/>
              <w:rPr>
                <w:sz w:val="20"/>
                <w:szCs w:val="20"/>
                <w:color w:val="auto"/>
              </w:rPr>
            </w:pPr>
            <w:r>
              <w:rPr>
                <w:rFonts w:ascii="Arial" w:cs="Arial" w:eastAsia="Arial" w:hAnsi="Arial"/>
                <w:sz w:val="16"/>
                <w:szCs w:val="16"/>
                <w:color w:val="auto"/>
              </w:rPr>
              <w:t>9.2%</w:t>
            </w:r>
          </w:p>
        </w:tc>
      </w:tr>
      <w:tr>
        <w:trPr>
          <w:trHeight w:val="177"/>
        </w:trPr>
        <w:tc>
          <w:tcPr>
            <w:tcW w:w="2260" w:type="dxa"/>
            <w:vAlign w:val="bottom"/>
            <w:tcBorders>
              <w:left w:val="single" w:sz="8" w:color="auto"/>
              <w:right w:val="single" w:sz="8" w:color="auto"/>
            </w:tcBorders>
          </w:tcPr>
          <w:p>
            <w:pPr>
              <w:ind w:left="300"/>
              <w:spacing w:after="0" w:line="178" w:lineRule="exact"/>
              <w:rPr>
                <w:sz w:val="20"/>
                <w:szCs w:val="20"/>
                <w:color w:val="auto"/>
              </w:rPr>
            </w:pPr>
            <w:r>
              <w:rPr>
                <w:rFonts w:ascii="Arial" w:cs="Arial" w:eastAsia="Arial" w:hAnsi="Arial"/>
                <w:sz w:val="16"/>
                <w:szCs w:val="16"/>
                <w:color w:val="auto"/>
              </w:rPr>
              <w:t>Credit Card</w:t>
            </w:r>
          </w:p>
        </w:tc>
        <w:tc>
          <w:tcPr>
            <w:tcW w:w="900" w:type="dxa"/>
            <w:vAlign w:val="bottom"/>
          </w:tcPr>
          <w:p>
            <w:pPr>
              <w:jc w:val="center"/>
              <w:spacing w:after="0" w:line="178" w:lineRule="exact"/>
              <w:rPr>
                <w:sz w:val="20"/>
                <w:szCs w:val="20"/>
                <w:color w:val="auto"/>
              </w:rPr>
            </w:pPr>
            <w:r>
              <w:rPr>
                <w:rFonts w:ascii="Arial" w:cs="Arial" w:eastAsia="Arial" w:hAnsi="Arial"/>
                <w:sz w:val="16"/>
                <w:szCs w:val="16"/>
                <w:color w:val="auto"/>
              </w:rPr>
              <w:t>4,792</w:t>
            </w:r>
          </w:p>
        </w:tc>
        <w:tc>
          <w:tcPr>
            <w:tcW w:w="920" w:type="dxa"/>
            <w:vAlign w:val="bottom"/>
          </w:tcPr>
          <w:p>
            <w:pPr>
              <w:jc w:val="center"/>
              <w:spacing w:after="0" w:line="178" w:lineRule="exact"/>
              <w:rPr>
                <w:sz w:val="20"/>
                <w:szCs w:val="20"/>
                <w:color w:val="auto"/>
              </w:rPr>
            </w:pPr>
            <w:r>
              <w:rPr>
                <w:rFonts w:ascii="Arial" w:cs="Arial" w:eastAsia="Arial" w:hAnsi="Arial"/>
                <w:sz w:val="16"/>
                <w:szCs w:val="16"/>
                <w:color w:val="auto"/>
              </w:rPr>
              <w:t>5,692</w:t>
            </w:r>
          </w:p>
        </w:tc>
        <w:tc>
          <w:tcPr>
            <w:tcW w:w="94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6"/>
                <w:szCs w:val="16"/>
                <w:color w:val="auto"/>
                <w:w w:val="99"/>
              </w:rPr>
              <w:t>5,848</w:t>
            </w:r>
          </w:p>
        </w:tc>
        <w:tc>
          <w:tcPr>
            <w:tcW w:w="880" w:type="dxa"/>
            <w:vAlign w:val="bottom"/>
          </w:tcPr>
          <w:p>
            <w:pPr>
              <w:jc w:val="center"/>
              <w:spacing w:after="0" w:line="178" w:lineRule="exact"/>
              <w:rPr>
                <w:sz w:val="20"/>
                <w:szCs w:val="20"/>
                <w:color w:val="auto"/>
              </w:rPr>
            </w:pPr>
            <w:r>
              <w:rPr>
                <w:rFonts w:ascii="Arial" w:cs="Arial" w:eastAsia="Arial" w:hAnsi="Arial"/>
                <w:sz w:val="16"/>
                <w:szCs w:val="16"/>
                <w:color w:val="auto"/>
              </w:rPr>
              <w:t>156</w:t>
            </w:r>
          </w:p>
        </w:tc>
        <w:tc>
          <w:tcPr>
            <w:tcW w:w="960" w:type="dxa"/>
            <w:vAlign w:val="bottom"/>
            <w:tcBorders>
              <w:right w:val="single" w:sz="8" w:color="auto"/>
            </w:tcBorders>
            <w:shd w:val="clear" w:color="auto" w:fill="00D274"/>
          </w:tcPr>
          <w:p>
            <w:pPr>
              <w:jc w:val="center"/>
              <w:spacing w:after="0" w:line="178" w:lineRule="exact"/>
              <w:rPr>
                <w:sz w:val="20"/>
                <w:szCs w:val="20"/>
                <w:color w:val="auto"/>
              </w:rPr>
            </w:pPr>
            <w:r>
              <w:rPr>
                <w:rFonts w:ascii="Arial" w:cs="Arial" w:eastAsia="Arial" w:hAnsi="Arial"/>
                <w:sz w:val="16"/>
                <w:szCs w:val="16"/>
                <w:color w:val="auto"/>
              </w:rPr>
              <w:t>1,056</w:t>
            </w:r>
          </w:p>
        </w:tc>
        <w:tc>
          <w:tcPr>
            <w:tcW w:w="880" w:type="dxa"/>
            <w:vAlign w:val="bottom"/>
          </w:tcPr>
          <w:p>
            <w:pPr>
              <w:jc w:val="center"/>
              <w:spacing w:after="0" w:line="178" w:lineRule="exact"/>
              <w:rPr>
                <w:sz w:val="20"/>
                <w:szCs w:val="20"/>
                <w:color w:val="auto"/>
              </w:rPr>
            </w:pPr>
            <w:r>
              <w:rPr>
                <w:rFonts w:ascii="Arial" w:cs="Arial" w:eastAsia="Arial" w:hAnsi="Arial"/>
                <w:sz w:val="16"/>
                <w:szCs w:val="16"/>
                <w:color w:val="auto"/>
              </w:rPr>
              <w:t>2.7%</w:t>
            </w:r>
          </w:p>
        </w:tc>
        <w:tc>
          <w:tcPr>
            <w:tcW w:w="94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6"/>
                <w:szCs w:val="16"/>
                <w:color w:val="auto"/>
              </w:rPr>
              <w:t>22.0%</w:t>
            </w:r>
          </w:p>
        </w:tc>
        <w:tc>
          <w:tcPr>
            <w:tcW w:w="880" w:type="dxa"/>
            <w:vAlign w:val="bottom"/>
          </w:tcPr>
          <w:p>
            <w:pPr>
              <w:jc w:val="center"/>
              <w:spacing w:after="0" w:line="178" w:lineRule="exact"/>
              <w:rPr>
                <w:sz w:val="20"/>
                <w:szCs w:val="20"/>
                <w:color w:val="auto"/>
              </w:rPr>
            </w:pPr>
            <w:r>
              <w:rPr>
                <w:rFonts w:ascii="Arial" w:cs="Arial" w:eastAsia="Arial" w:hAnsi="Arial"/>
                <w:sz w:val="16"/>
                <w:szCs w:val="16"/>
                <w:color w:val="auto"/>
              </w:rPr>
              <w:t>3.5%</w:t>
            </w:r>
          </w:p>
        </w:tc>
        <w:tc>
          <w:tcPr>
            <w:tcW w:w="880" w:type="dxa"/>
            <w:vAlign w:val="bottom"/>
          </w:tcPr>
          <w:p>
            <w:pPr>
              <w:jc w:val="center"/>
              <w:spacing w:after="0" w:line="178" w:lineRule="exact"/>
              <w:rPr>
                <w:sz w:val="20"/>
                <w:szCs w:val="20"/>
                <w:color w:val="auto"/>
              </w:rPr>
            </w:pPr>
            <w:r>
              <w:rPr>
                <w:rFonts w:ascii="Arial" w:cs="Arial" w:eastAsia="Arial" w:hAnsi="Arial"/>
                <w:sz w:val="16"/>
                <w:szCs w:val="16"/>
                <w:color w:val="auto"/>
              </w:rPr>
              <w:t>4.2%</w:t>
            </w:r>
          </w:p>
        </w:tc>
        <w:tc>
          <w:tcPr>
            <w:tcW w:w="82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6"/>
                <w:szCs w:val="16"/>
                <w:color w:val="auto"/>
              </w:rPr>
              <w:t>4.2%</w:t>
            </w:r>
          </w:p>
        </w:tc>
      </w:tr>
      <w:tr>
        <w:trPr>
          <w:trHeight w:val="186"/>
        </w:trPr>
        <w:tc>
          <w:tcPr>
            <w:tcW w:w="2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Mibanco</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rPr>
              <w:t>12,782</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rPr>
              <w:t>13,728</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13,642</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rPr>
              <w:t>-86</w:t>
            </w:r>
          </w:p>
        </w:tc>
        <w:tc>
          <w:tcPr>
            <w:tcW w:w="960" w:type="dxa"/>
            <w:vAlign w:val="bottom"/>
            <w:tcBorders>
              <w:bottom w:val="single" w:sz="8" w:color="00D274"/>
              <w:right w:val="single" w:sz="8" w:color="auto"/>
            </w:tcBorders>
            <w:shd w:val="clear" w:color="auto" w:fill="00D274"/>
          </w:tcPr>
          <w:p>
            <w:pPr>
              <w:jc w:val="center"/>
              <w:spacing w:after="0"/>
              <w:rPr>
                <w:sz w:val="20"/>
                <w:szCs w:val="20"/>
                <w:color w:val="auto"/>
              </w:rPr>
            </w:pPr>
            <w:r>
              <w:rPr>
                <w:rFonts w:ascii="Arial" w:cs="Arial" w:eastAsia="Arial" w:hAnsi="Arial"/>
                <w:sz w:val="16"/>
                <w:szCs w:val="16"/>
                <w:b w:val="1"/>
                <w:bCs w:val="1"/>
                <w:color w:val="auto"/>
                <w:w w:val="97"/>
              </w:rPr>
              <w:t>860</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rPr>
              <w:t>-0.6%</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6.7%</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rPr>
              <w:t>9.4%</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rPr>
              <w:t>10.1%</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9.9%</w:t>
            </w:r>
          </w:p>
        </w:tc>
      </w:tr>
      <w:tr>
        <w:trPr>
          <w:trHeight w:val="165"/>
        </w:trPr>
        <w:tc>
          <w:tcPr>
            <w:tcW w:w="2260" w:type="dxa"/>
            <w:vAlign w:val="bottom"/>
            <w:tcBorders>
              <w:left w:val="single" w:sz="8" w:color="auto"/>
              <w:right w:val="single" w:sz="8" w:color="auto"/>
            </w:tcBorders>
          </w:tcPr>
          <w:p>
            <w:pPr>
              <w:ind w:left="20"/>
              <w:spacing w:after="0" w:line="165" w:lineRule="exact"/>
              <w:rPr>
                <w:sz w:val="20"/>
                <w:szCs w:val="20"/>
                <w:color w:val="auto"/>
              </w:rPr>
            </w:pPr>
            <w:r>
              <w:rPr>
                <w:rFonts w:ascii="Arial" w:cs="Arial" w:eastAsia="Arial" w:hAnsi="Arial"/>
                <w:sz w:val="16"/>
                <w:szCs w:val="16"/>
                <w:b w:val="1"/>
                <w:bCs w:val="1"/>
                <w:color w:val="auto"/>
              </w:rPr>
              <w:t>Mibanco Colombia</w:t>
            </w:r>
          </w:p>
        </w:tc>
        <w:tc>
          <w:tcPr>
            <w:tcW w:w="90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1,163</w:t>
            </w:r>
          </w:p>
        </w:tc>
        <w:tc>
          <w:tcPr>
            <w:tcW w:w="92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1,340</w:t>
            </w:r>
          </w:p>
        </w:tc>
        <w:tc>
          <w:tcPr>
            <w:tcW w:w="94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6"/>
                <w:szCs w:val="16"/>
                <w:b w:val="1"/>
                <w:bCs w:val="1"/>
                <w:color w:val="auto"/>
                <w:w w:val="99"/>
              </w:rPr>
              <w:t>1,557</w:t>
            </w:r>
          </w:p>
        </w:tc>
        <w:tc>
          <w:tcPr>
            <w:tcW w:w="88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217</w:t>
            </w:r>
          </w:p>
        </w:tc>
        <w:tc>
          <w:tcPr>
            <w:tcW w:w="96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6"/>
                <w:szCs w:val="16"/>
                <w:b w:val="1"/>
                <w:bCs w:val="1"/>
                <w:color w:val="auto"/>
                <w:w w:val="97"/>
              </w:rPr>
              <w:t>394</w:t>
            </w:r>
          </w:p>
        </w:tc>
        <w:tc>
          <w:tcPr>
            <w:tcW w:w="88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16.2%</w:t>
            </w:r>
          </w:p>
        </w:tc>
        <w:tc>
          <w:tcPr>
            <w:tcW w:w="94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6"/>
                <w:szCs w:val="16"/>
                <w:b w:val="1"/>
                <w:bCs w:val="1"/>
                <w:color w:val="auto"/>
              </w:rPr>
              <w:t>33.9%</w:t>
            </w:r>
          </w:p>
        </w:tc>
        <w:tc>
          <w:tcPr>
            <w:tcW w:w="88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0.9%</w:t>
            </w:r>
          </w:p>
        </w:tc>
        <w:tc>
          <w:tcPr>
            <w:tcW w:w="88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1.0%</w:t>
            </w:r>
          </w:p>
        </w:tc>
        <w:tc>
          <w:tcPr>
            <w:tcW w:w="82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6"/>
                <w:szCs w:val="16"/>
                <w:b w:val="1"/>
                <w:bCs w:val="1"/>
                <w:color w:val="auto"/>
              </w:rPr>
              <w:t>1.1%</w:t>
            </w:r>
          </w:p>
        </w:tc>
      </w:tr>
      <w:tr>
        <w:trPr>
          <w:trHeight w:val="185"/>
        </w:trPr>
        <w:tc>
          <w:tcPr>
            <w:tcW w:w="2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Bolivia</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rPr>
              <w:t>8,992</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rPr>
              <w:t>8,834</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8,957</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rPr>
              <w:t>123</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-35</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rPr>
              <w:t>1.4%</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-0.4%</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rPr>
              <w:t>6.6%</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rPr>
              <w:t>6.5%</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6.5%</w:t>
            </w:r>
          </w:p>
        </w:tc>
      </w:tr>
      <w:tr>
        <w:trPr>
          <w:trHeight w:val="206"/>
        </w:trPr>
        <w:tc>
          <w:tcPr>
            <w:tcW w:w="22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ASB</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2,053</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1,831</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1,733</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-99</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-321</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-5.4%</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-15.6%</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1.5%</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1.3%</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1.3%</w:t>
            </w:r>
          </w:p>
        </w:tc>
      </w:tr>
      <w:tr>
        <w:trPr>
          <w:trHeight w:val="178"/>
        </w:trPr>
        <w:tc>
          <w:tcPr>
            <w:tcW w:w="2260" w:type="dxa"/>
            <w:vAlign w:val="bottom"/>
            <w:tcBorders>
              <w:left w:val="single" w:sz="8" w:color="auto"/>
              <w:bottom w:val="single" w:sz="8" w:color="auto"/>
              <w:right w:val="single" w:sz="8" w:color="auto"/>
            </w:tcBorders>
          </w:tcPr>
          <w:p>
            <w:pPr>
              <w:ind w:left="20"/>
              <w:spacing w:after="0" w:line="178" w:lineRule="exact"/>
              <w:rPr>
                <w:sz w:val="20"/>
                <w:szCs w:val="20"/>
                <w:color w:val="auto"/>
              </w:rPr>
            </w:pPr>
            <w:r>
              <w:rPr>
                <w:rFonts w:ascii="Arial" w:cs="Arial" w:eastAsia="Arial" w:hAnsi="Arial"/>
                <w:sz w:val="16"/>
                <w:szCs w:val="16"/>
                <w:b w:val="1"/>
                <w:bCs w:val="1"/>
                <w:color w:val="auto"/>
              </w:rPr>
              <w:t>BAP’s total loans</w:t>
            </w:r>
          </w:p>
        </w:tc>
        <w:tc>
          <w:tcPr>
            <w:tcW w:w="900" w:type="dxa"/>
            <w:vAlign w:val="bottom"/>
            <w:tcBorders>
              <w:bottom w:val="single" w:sz="8" w:color="auto"/>
            </w:tcBorders>
          </w:tcPr>
          <w:p>
            <w:pPr>
              <w:jc w:val="center"/>
              <w:spacing w:after="0" w:line="178" w:lineRule="exact"/>
              <w:rPr>
                <w:sz w:val="20"/>
                <w:szCs w:val="20"/>
                <w:color w:val="auto"/>
              </w:rPr>
            </w:pPr>
            <w:r>
              <w:rPr>
                <w:rFonts w:ascii="Arial" w:cs="Arial" w:eastAsia="Arial" w:hAnsi="Arial"/>
                <w:sz w:val="16"/>
                <w:szCs w:val="16"/>
                <w:b w:val="1"/>
                <w:bCs w:val="1"/>
                <w:color w:val="auto"/>
              </w:rPr>
              <w:t>136,152</w:t>
            </w:r>
          </w:p>
        </w:tc>
        <w:tc>
          <w:tcPr>
            <w:tcW w:w="920" w:type="dxa"/>
            <w:vAlign w:val="bottom"/>
            <w:tcBorders>
              <w:bottom w:val="single" w:sz="8" w:color="auto"/>
            </w:tcBorders>
          </w:tcPr>
          <w:p>
            <w:pPr>
              <w:jc w:val="center"/>
              <w:spacing w:after="0" w:line="178" w:lineRule="exact"/>
              <w:rPr>
                <w:sz w:val="20"/>
                <w:szCs w:val="20"/>
                <w:color w:val="auto"/>
              </w:rPr>
            </w:pPr>
            <w:r>
              <w:rPr>
                <w:rFonts w:ascii="Arial" w:cs="Arial" w:eastAsia="Arial" w:hAnsi="Arial"/>
                <w:sz w:val="16"/>
                <w:szCs w:val="16"/>
                <w:b w:val="1"/>
                <w:bCs w:val="1"/>
                <w:color w:val="auto"/>
              </w:rPr>
              <w:t>136,435</w:t>
            </w:r>
          </w:p>
        </w:tc>
        <w:tc>
          <w:tcPr>
            <w:tcW w:w="940" w:type="dxa"/>
            <w:vAlign w:val="bottom"/>
            <w:tcBorders>
              <w:bottom w:val="single" w:sz="8" w:color="auto"/>
              <w:right w:val="single" w:sz="8" w:color="auto"/>
            </w:tcBorders>
          </w:tcPr>
          <w:p>
            <w:pPr>
              <w:jc w:val="center"/>
              <w:spacing w:after="0" w:line="178" w:lineRule="exact"/>
              <w:rPr>
                <w:sz w:val="20"/>
                <w:szCs w:val="20"/>
                <w:color w:val="auto"/>
              </w:rPr>
            </w:pPr>
            <w:r>
              <w:rPr>
                <w:rFonts w:ascii="Arial" w:cs="Arial" w:eastAsia="Arial" w:hAnsi="Arial"/>
                <w:sz w:val="16"/>
                <w:szCs w:val="16"/>
                <w:b w:val="1"/>
                <w:bCs w:val="1"/>
                <w:color w:val="auto"/>
              </w:rPr>
              <w:t>137,746</w:t>
            </w:r>
          </w:p>
        </w:tc>
        <w:tc>
          <w:tcPr>
            <w:tcW w:w="880" w:type="dxa"/>
            <w:vAlign w:val="bottom"/>
            <w:tcBorders>
              <w:bottom w:val="single" w:sz="8" w:color="auto"/>
            </w:tcBorders>
          </w:tcPr>
          <w:p>
            <w:pPr>
              <w:jc w:val="center"/>
              <w:spacing w:after="0" w:line="178" w:lineRule="exact"/>
              <w:rPr>
                <w:sz w:val="20"/>
                <w:szCs w:val="20"/>
                <w:color w:val="auto"/>
              </w:rPr>
            </w:pPr>
            <w:r>
              <w:rPr>
                <w:rFonts w:ascii="Arial" w:cs="Arial" w:eastAsia="Arial" w:hAnsi="Arial"/>
                <w:sz w:val="16"/>
                <w:szCs w:val="16"/>
                <w:b w:val="1"/>
                <w:bCs w:val="1"/>
                <w:color w:val="auto"/>
                <w:w w:val="99"/>
              </w:rPr>
              <w:t>1,311</w:t>
            </w:r>
          </w:p>
        </w:tc>
        <w:tc>
          <w:tcPr>
            <w:tcW w:w="960" w:type="dxa"/>
            <w:vAlign w:val="bottom"/>
            <w:tcBorders>
              <w:bottom w:val="single" w:sz="8" w:color="auto"/>
              <w:right w:val="single" w:sz="8" w:color="auto"/>
            </w:tcBorders>
          </w:tcPr>
          <w:p>
            <w:pPr>
              <w:jc w:val="center"/>
              <w:spacing w:after="0" w:line="178" w:lineRule="exact"/>
              <w:rPr>
                <w:sz w:val="20"/>
                <w:szCs w:val="20"/>
                <w:color w:val="auto"/>
              </w:rPr>
            </w:pPr>
            <w:r>
              <w:rPr>
                <w:rFonts w:ascii="Arial" w:cs="Arial" w:eastAsia="Arial" w:hAnsi="Arial"/>
                <w:sz w:val="16"/>
                <w:szCs w:val="16"/>
                <w:b w:val="1"/>
                <w:bCs w:val="1"/>
                <w:color w:val="auto"/>
              </w:rPr>
              <w:t>1,594</w:t>
            </w:r>
          </w:p>
        </w:tc>
        <w:tc>
          <w:tcPr>
            <w:tcW w:w="880" w:type="dxa"/>
            <w:vAlign w:val="bottom"/>
            <w:tcBorders>
              <w:bottom w:val="single" w:sz="8" w:color="auto"/>
            </w:tcBorders>
          </w:tcPr>
          <w:p>
            <w:pPr>
              <w:jc w:val="center"/>
              <w:spacing w:after="0" w:line="178" w:lineRule="exact"/>
              <w:rPr>
                <w:sz w:val="20"/>
                <w:szCs w:val="20"/>
                <w:color w:val="auto"/>
              </w:rPr>
            </w:pPr>
            <w:r>
              <w:rPr>
                <w:rFonts w:ascii="Arial" w:cs="Arial" w:eastAsia="Arial" w:hAnsi="Arial"/>
                <w:sz w:val="16"/>
                <w:szCs w:val="16"/>
                <w:b w:val="1"/>
                <w:bCs w:val="1"/>
                <w:color w:val="auto"/>
              </w:rPr>
              <w:t>1.0%</w:t>
            </w:r>
          </w:p>
        </w:tc>
        <w:tc>
          <w:tcPr>
            <w:tcW w:w="940" w:type="dxa"/>
            <w:vAlign w:val="bottom"/>
            <w:tcBorders>
              <w:bottom w:val="single" w:sz="8" w:color="auto"/>
              <w:right w:val="single" w:sz="8" w:color="auto"/>
            </w:tcBorders>
          </w:tcPr>
          <w:p>
            <w:pPr>
              <w:jc w:val="center"/>
              <w:spacing w:after="0" w:line="178" w:lineRule="exact"/>
              <w:rPr>
                <w:sz w:val="20"/>
                <w:szCs w:val="20"/>
                <w:color w:val="auto"/>
              </w:rPr>
            </w:pPr>
            <w:r>
              <w:rPr>
                <w:rFonts w:ascii="Arial" w:cs="Arial" w:eastAsia="Arial" w:hAnsi="Arial"/>
                <w:sz w:val="16"/>
                <w:szCs w:val="16"/>
                <w:b w:val="1"/>
                <w:bCs w:val="1"/>
                <w:color w:val="auto"/>
                <w:w w:val="98"/>
              </w:rPr>
              <w:t>1.2%</w:t>
            </w:r>
          </w:p>
        </w:tc>
        <w:tc>
          <w:tcPr>
            <w:tcW w:w="880" w:type="dxa"/>
            <w:vAlign w:val="bottom"/>
            <w:tcBorders>
              <w:bottom w:val="single" w:sz="8" w:color="auto"/>
            </w:tcBorders>
          </w:tcPr>
          <w:p>
            <w:pPr>
              <w:jc w:val="center"/>
              <w:spacing w:after="0" w:line="178" w:lineRule="exact"/>
              <w:rPr>
                <w:sz w:val="20"/>
                <w:szCs w:val="20"/>
                <w:color w:val="auto"/>
              </w:rPr>
            </w:pPr>
            <w:r>
              <w:rPr>
                <w:rFonts w:ascii="Arial" w:cs="Arial" w:eastAsia="Arial" w:hAnsi="Arial"/>
                <w:sz w:val="16"/>
                <w:szCs w:val="16"/>
                <w:b w:val="1"/>
                <w:bCs w:val="1"/>
                <w:color w:val="auto"/>
              </w:rPr>
              <w:t>100.0%</w:t>
            </w:r>
          </w:p>
        </w:tc>
        <w:tc>
          <w:tcPr>
            <w:tcW w:w="880" w:type="dxa"/>
            <w:vAlign w:val="bottom"/>
            <w:tcBorders>
              <w:bottom w:val="single" w:sz="8" w:color="auto"/>
            </w:tcBorders>
          </w:tcPr>
          <w:p>
            <w:pPr>
              <w:jc w:val="center"/>
              <w:spacing w:after="0" w:line="178" w:lineRule="exact"/>
              <w:rPr>
                <w:sz w:val="20"/>
                <w:szCs w:val="20"/>
                <w:color w:val="auto"/>
              </w:rPr>
            </w:pPr>
            <w:r>
              <w:rPr>
                <w:rFonts w:ascii="Arial" w:cs="Arial" w:eastAsia="Arial" w:hAnsi="Arial"/>
                <w:sz w:val="16"/>
                <w:szCs w:val="16"/>
                <w:b w:val="1"/>
                <w:bCs w:val="1"/>
                <w:color w:val="auto"/>
              </w:rPr>
              <w:t>100.0%</w:t>
            </w:r>
          </w:p>
        </w:tc>
        <w:tc>
          <w:tcPr>
            <w:tcW w:w="820" w:type="dxa"/>
            <w:vAlign w:val="bottom"/>
            <w:tcBorders>
              <w:bottom w:val="single" w:sz="8" w:color="auto"/>
              <w:right w:val="single" w:sz="8" w:color="auto"/>
            </w:tcBorders>
          </w:tcPr>
          <w:p>
            <w:pPr>
              <w:jc w:val="center"/>
              <w:spacing w:after="0" w:line="178" w:lineRule="exact"/>
              <w:rPr>
                <w:sz w:val="20"/>
                <w:szCs w:val="20"/>
                <w:color w:val="auto"/>
              </w:rPr>
            </w:pPr>
            <w:r>
              <w:rPr>
                <w:rFonts w:ascii="Arial" w:cs="Arial" w:eastAsia="Arial" w:hAnsi="Arial"/>
                <w:sz w:val="16"/>
                <w:szCs w:val="16"/>
                <w:b w:val="1"/>
                <w:bCs w:val="1"/>
                <w:color w:val="auto"/>
              </w:rPr>
              <w:t>100.0%</w:t>
            </w:r>
          </w:p>
        </w:tc>
      </w:tr>
    </w:tbl>
    <w:p>
      <w:pPr>
        <w:spacing w:after="0" w:line="179" w:lineRule="exact"/>
        <w:rPr>
          <w:sz w:val="20"/>
          <w:szCs w:val="20"/>
          <w:color w:val="auto"/>
        </w:rPr>
      </w:pPr>
    </w:p>
    <w:p>
      <w:pPr>
        <w:ind w:left="1"/>
        <w:spacing w:after="0"/>
        <w:rPr>
          <w:sz w:val="20"/>
          <w:szCs w:val="20"/>
          <w:color w:val="auto"/>
        </w:rPr>
      </w:pPr>
      <w:r>
        <w:rPr>
          <w:rFonts w:ascii="Arial" w:cs="Arial" w:eastAsia="Arial" w:hAnsi="Arial"/>
          <w:sz w:val="11"/>
          <w:szCs w:val="11"/>
          <w:color w:val="auto"/>
        </w:rPr>
        <w:t>For consolidation purposes. Loans generated in Foreign Currency (FC) are converted into Local Currency (LC).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6209665</wp:posOffset>
            </wp:positionH>
            <wp:positionV relativeFrom="paragraph">
              <wp:posOffset>-20955</wp:posOffset>
            </wp:positionV>
            <wp:extent cx="934085" cy="1727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934085" cy="172720"/>
                    </a:xfrm>
                    <a:prstGeom prst="rect">
                      <a:avLst/>
                    </a:prstGeom>
                    <a:noFill/>
                  </pic:spPr>
                </pic:pic>
              </a:graphicData>
            </a:graphic>
          </wp:anchor>
        </w:drawing>
      </w:r>
    </w:p>
    <w:p>
      <w:pPr>
        <w:ind w:left="161" w:hanging="161"/>
        <w:spacing w:after="0"/>
        <w:tabs>
          <w:tab w:leader="none" w:pos="161" w:val="left"/>
        </w:tabs>
        <w:numPr>
          <w:ilvl w:val="0"/>
          <w:numId w:val="16"/>
        </w:numPr>
        <w:rPr>
          <w:rFonts w:ascii="Arial" w:cs="Arial" w:eastAsia="Arial" w:hAnsi="Arial"/>
          <w:sz w:val="11"/>
          <w:szCs w:val="11"/>
          <w:color w:val="auto"/>
        </w:rPr>
      </w:pPr>
      <w:r>
        <w:rPr>
          <w:rFonts w:ascii="Arial" w:cs="Arial" w:eastAsia="Arial" w:hAnsi="Arial"/>
          <w:sz w:val="11"/>
          <w:szCs w:val="11"/>
          <w:color w:val="auto"/>
        </w:rPr>
        <w:t>Includes Workout unit and other banking. For Quarter-end balance figures, please refer to “12. Annexes – 12.2 Loan Portfolio Quality”</w:t>
      </w:r>
    </w:p>
    <w:p>
      <w:pPr>
        <w:ind w:left="161" w:hanging="161"/>
        <w:spacing w:after="0" w:line="234" w:lineRule="auto"/>
        <w:tabs>
          <w:tab w:leader="none" w:pos="161" w:val="left"/>
        </w:tabs>
        <w:numPr>
          <w:ilvl w:val="0"/>
          <w:numId w:val="16"/>
        </w:numPr>
        <w:rPr>
          <w:rFonts w:ascii="Arial" w:cs="Arial" w:eastAsia="Arial" w:hAnsi="Arial"/>
          <w:sz w:val="11"/>
          <w:szCs w:val="11"/>
          <w:color w:val="auto"/>
        </w:rPr>
      </w:pPr>
      <w:r>
        <w:rPr>
          <w:rFonts w:ascii="Arial" w:cs="Arial" w:eastAsia="Arial" w:hAnsi="Arial"/>
          <w:sz w:val="11"/>
          <w:szCs w:val="11"/>
          <w:color w:val="auto"/>
        </w:rPr>
        <w:t>Structural Portfolio excludes the Loan offered through Reactiva Peru, FAE Mype, and Impulso MyPeru Government Programs (GP).</w:t>
      </w:r>
    </w:p>
    <w:p>
      <w:pPr>
        <w:ind w:left="161" w:hanging="161"/>
        <w:spacing w:after="0"/>
        <w:tabs>
          <w:tab w:leader="none" w:pos="161" w:val="left"/>
        </w:tabs>
        <w:numPr>
          <w:ilvl w:val="0"/>
          <w:numId w:val="16"/>
        </w:numPr>
        <w:rPr>
          <w:rFonts w:ascii="Arial" w:cs="Arial" w:eastAsia="Arial" w:hAnsi="Arial"/>
          <w:sz w:val="11"/>
          <w:szCs w:val="11"/>
          <w:color w:val="auto"/>
        </w:rPr>
      </w:pPr>
      <w:r>
        <w:rPr>
          <w:rFonts w:ascii="Arial" w:cs="Arial" w:eastAsia="Arial" w:hAnsi="Arial"/>
          <w:sz w:val="11"/>
          <w:szCs w:val="11"/>
          <w:color w:val="auto"/>
        </w:rPr>
        <w:t>Internal Management Figures.</w:t>
      </w:r>
    </w:p>
    <w:p>
      <w:pPr>
        <w:sectPr>
          <w:pgSz w:w="11900" w:h="16838" w:orient="portrait"/>
          <w:cols w:equalWidth="0" w:num="1">
            <w:col w:w="11241"/>
          </w:cols>
          <w:pgMar w:left="319" w:top="312" w:right="339" w:bottom="1440" w:gutter="0" w:footer="0" w:header="0"/>
        </w:sectPr>
      </w:pPr>
    </w:p>
    <w:p>
      <w:pPr>
        <w:spacing w:after="0" w:line="98"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 xml:space="preserve">QoQ, </w:t>
      </w:r>
      <w:r>
        <w:rPr>
          <w:rFonts w:ascii="Arial" w:cs="Arial" w:eastAsia="Arial" w:hAnsi="Arial"/>
          <w:sz w:val="16"/>
          <w:szCs w:val="16"/>
          <w:color w:val="auto"/>
        </w:rPr>
        <w:t>excluding the uptick in the Exchange rate (USDPEN:</w:t>
      </w:r>
    </w:p>
    <w:p>
      <w:pPr>
        <w:spacing w:after="0" w:line="21" w:lineRule="exact"/>
        <w:rPr>
          <w:sz w:val="20"/>
          <w:szCs w:val="20"/>
          <w:color w:val="auto"/>
        </w:rPr>
      </w:pPr>
    </w:p>
    <w:p>
      <w:pPr>
        <w:ind w:left="1"/>
        <w:spacing w:after="0" w:line="259" w:lineRule="auto"/>
        <w:rPr>
          <w:sz w:val="20"/>
          <w:szCs w:val="20"/>
          <w:color w:val="auto"/>
        </w:rPr>
      </w:pPr>
      <w:r>
        <w:rPr>
          <w:rFonts w:ascii="Arial" w:cs="Arial" w:eastAsia="Arial" w:hAnsi="Arial"/>
          <w:sz w:val="16"/>
          <w:szCs w:val="16"/>
          <w:color w:val="auto"/>
        </w:rPr>
        <w:t>+4.5%), structural loans rose 1.0% in average daily balances. FX neutral, loans rose 0.3%, driven by:</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ind w:left="151" w:right="220" w:hanging="151"/>
        <w:spacing w:after="0" w:line="256" w:lineRule="auto"/>
        <w:tabs>
          <w:tab w:leader="none" w:pos="151" w:val="left"/>
        </w:tabs>
        <w:numPr>
          <w:ilvl w:val="0"/>
          <w:numId w:val="17"/>
        </w:numPr>
        <w:rPr>
          <w:rFonts w:ascii="Arial" w:cs="Arial" w:eastAsia="Arial" w:hAnsi="Arial"/>
          <w:sz w:val="16"/>
          <w:szCs w:val="16"/>
          <w:color w:val="auto"/>
        </w:rPr>
      </w:pPr>
      <w:r>
        <w:rPr>
          <w:rFonts w:ascii="Arial" w:cs="Arial" w:eastAsia="Arial" w:hAnsi="Arial"/>
          <w:sz w:val="16"/>
          <w:szCs w:val="16"/>
          <w:b w:val="1"/>
          <w:bCs w:val="1"/>
          <w:color w:val="auto"/>
        </w:rPr>
        <w:t xml:space="preserve">SME-Pyme, </w:t>
      </w:r>
      <w:r>
        <w:rPr>
          <w:rFonts w:ascii="Arial" w:cs="Arial" w:eastAsia="Arial" w:hAnsi="Arial"/>
          <w:sz w:val="16"/>
          <w:szCs w:val="16"/>
          <w:color w:val="auto"/>
        </w:rPr>
        <w:t>after clients with better risk profiles were successfully</w:t>
      </w:r>
      <w:r>
        <w:rPr>
          <w:rFonts w:ascii="Arial" w:cs="Arial" w:eastAsia="Arial" w:hAnsi="Arial"/>
          <w:sz w:val="16"/>
          <w:szCs w:val="16"/>
          <w:b w:val="1"/>
          <w:bCs w:val="1"/>
          <w:color w:val="auto"/>
        </w:rPr>
        <w:t xml:space="preserve"> </w:t>
      </w:r>
      <w:r>
        <w:rPr>
          <w:rFonts w:ascii="Arial" w:cs="Arial" w:eastAsia="Arial" w:hAnsi="Arial"/>
          <w:sz w:val="16"/>
          <w:szCs w:val="16"/>
          <w:color w:val="auto"/>
        </w:rPr>
        <w:t>targeted for financing. Growth was driven by an uptick in both short-term loans (working capital) for year-end campaigns and in long-term loans (to purchase fixed assets).</w:t>
      </w:r>
    </w:p>
    <w:p>
      <w:pPr>
        <w:spacing w:after="0" w:line="200" w:lineRule="exact"/>
        <w:rPr>
          <w:sz w:val="20"/>
          <w:szCs w:val="20"/>
          <w:color w:val="auto"/>
        </w:rPr>
      </w:pPr>
    </w:p>
    <w:p>
      <w:pPr>
        <w:sectPr>
          <w:pgSz w:w="11900" w:h="16838" w:orient="portrait"/>
          <w:cols w:equalWidth="0" w:num="2">
            <w:col w:w="5321" w:space="529"/>
            <w:col w:w="5391"/>
          </w:cols>
          <w:pgMar w:left="319" w:top="312" w:right="339" w:bottom="1440" w:gutter="0" w:footer="0" w:header="0"/>
          <w:type w:val="continuous"/>
        </w:sectPr>
      </w:pPr>
    </w:p>
    <w:p>
      <w:pPr>
        <w:spacing w:after="0" w:line="219" w:lineRule="exact"/>
        <w:rPr>
          <w:sz w:val="20"/>
          <w:szCs w:val="20"/>
          <w:color w:val="auto"/>
        </w:rPr>
      </w:pPr>
    </w:p>
    <w:p>
      <w:pPr>
        <w:ind w:left="11101"/>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40005</wp:posOffset>
            </wp:positionV>
            <wp:extent cx="7143750" cy="158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312" w:right="339" w:bottom="1440" w:gutter="0" w:footer="0" w:header="0"/>
          <w:type w:val="continuous"/>
        </w:sectPr>
      </w:pPr>
    </w:p>
    <w:bookmarkStart w:id="18" w:name="page19"/>
    <w:bookmarkEnd w:id="18"/>
    <w:p>
      <w:pPr>
        <w:ind w:left="2960"/>
        <w:spacing w:after="0"/>
        <w:tabs>
          <w:tab w:leader="none" w:pos="3140" w:val="left"/>
        </w:tabs>
        <w:rPr>
          <w:sz w:val="20"/>
          <w:szCs w:val="20"/>
          <w:color w:val="auto"/>
        </w:rPr>
      </w:pPr>
      <w:r>
        <w:rPr>
          <w:rFonts w:ascii="Arial" w:cs="Arial" w:eastAsia="Arial" w:hAnsi="Arial"/>
          <w:sz w:val="16"/>
          <w:szCs w:val="16"/>
          <w:color w:val="FFFFFF"/>
        </w:rPr>
        <w:t>|</w:t>
      </w:r>
      <w:r>
        <w:rPr>
          <w:sz w:val="20"/>
          <w:szCs w:val="20"/>
          <w:color w:val="auto"/>
        </w:rPr>
        <w:tab/>
      </w:r>
      <w:r>
        <w:rPr>
          <w:rFonts w:ascii="Arial" w:cs="Arial" w:eastAsia="Arial" w:hAnsi="Arial"/>
          <w:sz w:val="16"/>
          <w:szCs w:val="16"/>
          <w:b w:val="1"/>
          <w:bCs w:val="1"/>
          <w:color w:val="FFFFFF"/>
        </w:rPr>
        <w:t>Earnings Release 3Q / 2023</w:t>
      </w: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b w:val="1"/>
          <w:bCs w:val="1"/>
          <w:color w:val="FFFFFF"/>
        </w:rPr>
        <w:t>01. Loan Portfolio</w:t>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color w:val="auto"/>
        </w:rPr>
        <w:t>The aforementioned was partially offset by a reduction in:</w:t>
      </w:r>
    </w:p>
    <w:p>
      <w:pPr>
        <w:spacing w:after="0" w:line="129" w:lineRule="exact"/>
        <w:rPr>
          <w:sz w:val="20"/>
          <w:szCs w:val="20"/>
          <w:color w:val="auto"/>
        </w:rPr>
      </w:pPr>
    </w:p>
    <w:p>
      <w:pPr>
        <w:jc w:val="both"/>
        <w:ind w:left="600" w:hanging="304"/>
        <w:spacing w:after="0" w:line="250" w:lineRule="auto"/>
        <w:tabs>
          <w:tab w:leader="none" w:pos="600" w:val="left"/>
        </w:tabs>
        <w:numPr>
          <w:ilvl w:val="0"/>
          <w:numId w:val="18"/>
        </w:numPr>
        <w:rPr>
          <w:rFonts w:ascii="Arial" w:cs="Arial" w:eastAsia="Arial" w:hAnsi="Arial"/>
          <w:sz w:val="16"/>
          <w:szCs w:val="16"/>
          <w:color w:val="auto"/>
        </w:rPr>
      </w:pPr>
      <w:r>
        <w:rPr>
          <w:rFonts w:ascii="Arial" w:cs="Arial" w:eastAsia="Arial" w:hAnsi="Arial"/>
          <w:sz w:val="16"/>
          <w:szCs w:val="16"/>
          <w:b w:val="1"/>
          <w:bCs w:val="1"/>
          <w:color w:val="auto"/>
        </w:rPr>
        <w:t xml:space="preserve">Corporate </w:t>
      </w:r>
      <w:r>
        <w:rPr>
          <w:rFonts w:ascii="Arial" w:cs="Arial" w:eastAsia="Arial" w:hAnsi="Arial"/>
          <w:sz w:val="16"/>
          <w:szCs w:val="16"/>
          <w:color w:val="auto"/>
        </w:rPr>
        <w:t>loans, which reflected: i) a decrease in the demand for</w:t>
      </w:r>
      <w:r>
        <w:rPr>
          <w:rFonts w:ascii="Arial" w:cs="Arial" w:eastAsia="Arial" w:hAnsi="Arial"/>
          <w:sz w:val="16"/>
          <w:szCs w:val="16"/>
          <w:b w:val="1"/>
          <w:bCs w:val="1"/>
          <w:color w:val="auto"/>
        </w:rPr>
        <w:t xml:space="preserve"> </w:t>
      </w:r>
      <w:r>
        <w:rPr>
          <w:rFonts w:ascii="Arial" w:cs="Arial" w:eastAsia="Arial" w:hAnsi="Arial"/>
          <w:sz w:val="16"/>
          <w:szCs w:val="16"/>
          <w:color w:val="auto"/>
        </w:rPr>
        <w:t>long-term financing in this segment in a context marked by low private investment and weak macroeconomic performance, and</w:t>
      </w:r>
    </w:p>
    <w:p>
      <w:pPr>
        <w:spacing w:after="0" w:line="1" w:lineRule="exact"/>
        <w:rPr>
          <w:rFonts w:ascii="Arial" w:cs="Arial" w:eastAsia="Arial" w:hAnsi="Arial"/>
          <w:sz w:val="16"/>
          <w:szCs w:val="16"/>
          <w:color w:val="auto"/>
        </w:rPr>
      </w:pPr>
    </w:p>
    <w:p>
      <w:pPr>
        <w:jc w:val="both"/>
        <w:ind w:left="600" w:hanging="8"/>
        <w:spacing w:after="0" w:line="243" w:lineRule="auto"/>
        <w:tabs>
          <w:tab w:leader="none" w:pos="801" w:val="left"/>
        </w:tabs>
        <w:numPr>
          <w:ilvl w:val="1"/>
          <w:numId w:val="18"/>
        </w:numPr>
        <w:rPr>
          <w:rFonts w:ascii="Arial" w:cs="Arial" w:eastAsia="Arial" w:hAnsi="Arial"/>
          <w:sz w:val="16"/>
          <w:szCs w:val="16"/>
          <w:color w:val="auto"/>
        </w:rPr>
      </w:pPr>
      <w:r>
        <w:rPr>
          <w:rFonts w:ascii="Arial" w:cs="Arial" w:eastAsia="Arial" w:hAnsi="Arial"/>
          <w:sz w:val="16"/>
          <w:szCs w:val="16"/>
          <w:color w:val="auto"/>
        </w:rPr>
        <w:t>a drop in short-term financing for the fishing sector after the first fishing campaign was canceled due to the El Niño Costero, and</w:t>
      </w:r>
    </w:p>
    <w:p>
      <w:pPr>
        <w:spacing w:after="0" w:line="183" w:lineRule="exact"/>
        <w:rPr>
          <w:rFonts w:ascii="Arial" w:cs="Arial" w:eastAsia="Arial" w:hAnsi="Arial"/>
          <w:sz w:val="16"/>
          <w:szCs w:val="16"/>
          <w:color w:val="auto"/>
        </w:rPr>
      </w:pPr>
    </w:p>
    <w:p>
      <w:pPr>
        <w:jc w:val="both"/>
        <w:ind w:left="600" w:hanging="304"/>
        <w:spacing w:after="0" w:line="259" w:lineRule="auto"/>
        <w:tabs>
          <w:tab w:leader="none" w:pos="600" w:val="left"/>
        </w:tabs>
        <w:numPr>
          <w:ilvl w:val="0"/>
          <w:numId w:val="18"/>
        </w:numPr>
        <w:rPr>
          <w:rFonts w:ascii="Arial" w:cs="Arial" w:eastAsia="Arial" w:hAnsi="Arial"/>
          <w:sz w:val="16"/>
          <w:szCs w:val="16"/>
          <w:color w:val="auto"/>
        </w:rPr>
      </w:pPr>
      <w:r>
        <w:rPr>
          <w:rFonts w:ascii="Arial" w:cs="Arial" w:eastAsia="Arial" w:hAnsi="Arial"/>
          <w:sz w:val="16"/>
          <w:szCs w:val="16"/>
          <w:b w:val="1"/>
          <w:bCs w:val="1"/>
          <w:color w:val="auto"/>
        </w:rPr>
        <w:t xml:space="preserve">Mibanco, </w:t>
      </w:r>
      <w:r>
        <w:rPr>
          <w:rFonts w:ascii="Arial" w:cs="Arial" w:eastAsia="Arial" w:hAnsi="Arial"/>
          <w:sz w:val="16"/>
          <w:szCs w:val="16"/>
          <w:color w:val="auto"/>
        </w:rPr>
        <w:t>where the loan balance fell due to changes in the loan</w:t>
      </w:r>
      <w:r>
        <w:rPr>
          <w:rFonts w:ascii="Arial" w:cs="Arial" w:eastAsia="Arial" w:hAnsi="Arial"/>
          <w:sz w:val="16"/>
          <w:szCs w:val="16"/>
          <w:b w:val="1"/>
          <w:bCs w:val="1"/>
          <w:color w:val="auto"/>
        </w:rPr>
        <w:t xml:space="preserve"> </w:t>
      </w:r>
      <w:r>
        <w:rPr>
          <w:rFonts w:ascii="Arial" w:cs="Arial" w:eastAsia="Arial" w:hAnsi="Arial"/>
          <w:sz w:val="16"/>
          <w:szCs w:val="16"/>
          <w:color w:val="auto"/>
        </w:rPr>
        <w:t>origination guidelines, which reflects a focus on improving quality.</w:t>
      </w:r>
    </w:p>
    <w:p>
      <w:pPr>
        <w:spacing w:after="0" w:line="77" w:lineRule="exact"/>
        <w:rPr>
          <w:sz w:val="20"/>
          <w:szCs w:val="20"/>
          <w:color w:val="auto"/>
        </w:rPr>
      </w:pPr>
    </w:p>
    <w:p>
      <w:pPr>
        <w:ind w:right="500"/>
        <w:spacing w:after="0" w:line="285" w:lineRule="auto"/>
        <w:rPr>
          <w:sz w:val="20"/>
          <w:szCs w:val="20"/>
          <w:color w:val="auto"/>
        </w:rPr>
      </w:pPr>
      <w:r>
        <w:rPr>
          <w:rFonts w:ascii="Arial" w:cs="Arial" w:eastAsia="Arial" w:hAnsi="Arial"/>
          <w:sz w:val="16"/>
          <w:szCs w:val="16"/>
          <w:b w:val="1"/>
          <w:bCs w:val="1"/>
          <w:color w:val="auto"/>
        </w:rPr>
        <w:t xml:space="preserve">YoY, </w:t>
      </w:r>
      <w:r>
        <w:rPr>
          <w:rFonts w:ascii="Arial" w:cs="Arial" w:eastAsia="Arial" w:hAnsi="Arial"/>
          <w:sz w:val="16"/>
          <w:szCs w:val="16"/>
          <w:color w:val="auto"/>
        </w:rPr>
        <w:t>structural loans in average daily balances rose 1.2% (+3.9 FX</w:t>
      </w:r>
      <w:r>
        <w:rPr>
          <w:rFonts w:ascii="Arial" w:cs="Arial" w:eastAsia="Arial" w:hAnsi="Arial"/>
          <w:sz w:val="16"/>
          <w:szCs w:val="16"/>
          <w:b w:val="1"/>
          <w:bCs w:val="1"/>
          <w:color w:val="auto"/>
        </w:rPr>
        <w:t xml:space="preserve"> </w:t>
      </w:r>
      <w:r>
        <w:rPr>
          <w:rFonts w:ascii="Arial" w:cs="Arial" w:eastAsia="Arial" w:hAnsi="Arial"/>
          <w:sz w:val="16"/>
          <w:szCs w:val="16"/>
          <w:color w:val="auto"/>
        </w:rPr>
        <w:t>Neutral). Growth was driven primarily by:</w:t>
      </w:r>
    </w:p>
    <w:p>
      <w:pPr>
        <w:spacing w:after="0" w:line="70" w:lineRule="exact"/>
        <w:rPr>
          <w:sz w:val="20"/>
          <w:szCs w:val="20"/>
          <w:color w:val="auto"/>
        </w:rPr>
      </w:pPr>
    </w:p>
    <w:p>
      <w:pPr>
        <w:ind w:left="600" w:hanging="304"/>
        <w:spacing w:after="0" w:line="285" w:lineRule="auto"/>
        <w:tabs>
          <w:tab w:leader="none" w:pos="600" w:val="left"/>
        </w:tabs>
        <w:numPr>
          <w:ilvl w:val="0"/>
          <w:numId w:val="19"/>
        </w:numPr>
        <w:rPr>
          <w:rFonts w:ascii="Arial" w:cs="Arial" w:eastAsia="Arial" w:hAnsi="Arial"/>
          <w:sz w:val="16"/>
          <w:szCs w:val="16"/>
          <w:color w:val="auto"/>
        </w:rPr>
      </w:pPr>
      <w:r>
        <w:rPr>
          <w:rFonts w:ascii="Arial" w:cs="Arial" w:eastAsia="Arial" w:hAnsi="Arial"/>
          <w:sz w:val="16"/>
          <w:szCs w:val="16"/>
          <w:b w:val="1"/>
          <w:bCs w:val="1"/>
          <w:color w:val="auto"/>
        </w:rPr>
        <w:t xml:space="preserve">Retail banking, </w:t>
      </w:r>
      <w:r>
        <w:rPr>
          <w:rFonts w:ascii="Arial" w:cs="Arial" w:eastAsia="Arial" w:hAnsi="Arial"/>
          <w:sz w:val="16"/>
          <w:szCs w:val="16"/>
          <w:color w:val="auto"/>
        </w:rPr>
        <w:t>where all segments have evolved positively in</w:t>
      </w:r>
      <w:r>
        <w:rPr>
          <w:rFonts w:ascii="Arial" w:cs="Arial" w:eastAsia="Arial" w:hAnsi="Arial"/>
          <w:sz w:val="16"/>
          <w:szCs w:val="16"/>
          <w:b w:val="1"/>
          <w:bCs w:val="1"/>
          <w:color w:val="auto"/>
        </w:rPr>
        <w:t xml:space="preserve"> </w:t>
      </w:r>
      <w:r>
        <w:rPr>
          <w:rFonts w:ascii="Arial" w:cs="Arial" w:eastAsia="Arial" w:hAnsi="Arial"/>
          <w:sz w:val="16"/>
          <w:szCs w:val="16"/>
          <w:color w:val="auto"/>
        </w:rPr>
        <w:t>comparison to 3Q22. This evolution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666750</wp:posOffset>
            </wp:positionH>
            <wp:positionV relativeFrom="paragraph">
              <wp:posOffset>81280</wp:posOffset>
            </wp:positionV>
            <wp:extent cx="2096135" cy="17506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096135" cy="17506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480"/>
        <w:spacing w:after="0"/>
        <w:rPr>
          <w:sz w:val="20"/>
          <w:szCs w:val="20"/>
          <w:color w:val="auto"/>
        </w:rPr>
      </w:pPr>
      <w:r>
        <w:rPr>
          <w:rFonts w:ascii="Arial" w:cs="Arial" w:eastAsia="Arial" w:hAnsi="Arial"/>
          <w:sz w:val="18"/>
          <w:szCs w:val="18"/>
          <w:b w:val="1"/>
          <w:bCs w:val="1"/>
          <w:color w:val="E93CAC"/>
        </w:rPr>
        <w:t>Analysis of 3Q23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-240030</wp:posOffset>
            </wp:positionV>
            <wp:extent cx="7143750" cy="5886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3750" cy="588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was led by SME-Pyme and driven primarily by growth in loans to larger clients and better risk profiles and secondarily by an uptick in the Credit Card segment, which registered growth in balances for existing cards and by an uptick in Mortgage balances after new products were launched.</w:t>
      </w:r>
    </w:p>
    <w:p>
      <w:pPr>
        <w:spacing w:after="0" w:line="196" w:lineRule="exact"/>
        <w:rPr>
          <w:sz w:val="20"/>
          <w:szCs w:val="20"/>
          <w:color w:val="auto"/>
        </w:rPr>
      </w:pPr>
    </w:p>
    <w:p>
      <w:pPr>
        <w:ind w:left="600" w:hanging="294"/>
        <w:spacing w:after="0" w:line="285" w:lineRule="auto"/>
        <w:tabs>
          <w:tab w:leader="none" w:pos="600" w:val="left"/>
        </w:tabs>
        <w:numPr>
          <w:ilvl w:val="0"/>
          <w:numId w:val="20"/>
        </w:numPr>
        <w:rPr>
          <w:rFonts w:ascii="Arial" w:cs="Arial" w:eastAsia="Arial" w:hAnsi="Arial"/>
          <w:sz w:val="16"/>
          <w:szCs w:val="16"/>
          <w:color w:val="auto"/>
        </w:rPr>
      </w:pPr>
      <w:r>
        <w:rPr>
          <w:rFonts w:ascii="Arial" w:cs="Arial" w:eastAsia="Arial" w:hAnsi="Arial"/>
          <w:sz w:val="16"/>
          <w:szCs w:val="16"/>
          <w:b w:val="1"/>
          <w:bCs w:val="1"/>
          <w:color w:val="auto"/>
        </w:rPr>
        <w:t>Mibanco</w:t>
      </w:r>
      <w:r>
        <w:rPr>
          <w:rFonts w:ascii="Arial" w:cs="Arial" w:eastAsia="Arial" w:hAnsi="Arial"/>
          <w:sz w:val="16"/>
          <w:szCs w:val="16"/>
          <w:color w:val="auto"/>
        </w:rPr>
        <w:t>, where growth in balances reflects disbursements to</w:t>
      </w:r>
      <w:r>
        <w:rPr>
          <w:rFonts w:ascii="Arial" w:cs="Arial" w:eastAsia="Arial" w:hAnsi="Arial"/>
          <w:sz w:val="16"/>
          <w:szCs w:val="16"/>
          <w:b w:val="1"/>
          <w:bCs w:val="1"/>
          <w:color w:val="auto"/>
        </w:rPr>
        <w:t xml:space="preserve"> </w:t>
      </w:r>
      <w:r>
        <w:rPr>
          <w:rFonts w:ascii="Arial" w:cs="Arial" w:eastAsia="Arial" w:hAnsi="Arial"/>
          <w:sz w:val="16"/>
          <w:szCs w:val="16"/>
          <w:color w:val="auto"/>
        </w:rPr>
        <w:t>clients with better risk profiles.</w:t>
      </w:r>
    </w:p>
    <w:p>
      <w:pPr>
        <w:spacing w:after="0" w:line="115"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 xml:space="preserve">This growth was partially offset by a drop in average daily balances in </w:t>
      </w:r>
      <w:r>
        <w:rPr>
          <w:rFonts w:ascii="Arial" w:cs="Arial" w:eastAsia="Arial" w:hAnsi="Arial"/>
          <w:sz w:val="16"/>
          <w:szCs w:val="16"/>
          <w:b w:val="1"/>
          <w:bCs w:val="1"/>
          <w:color w:val="auto"/>
        </w:rPr>
        <w:t>Wholesale Banking</w:t>
      </w:r>
      <w:r>
        <w:rPr>
          <w:rFonts w:ascii="Arial" w:cs="Arial" w:eastAsia="Arial" w:hAnsi="Arial"/>
          <w:sz w:val="16"/>
          <w:szCs w:val="16"/>
          <w:color w:val="auto"/>
        </w:rPr>
        <w:t>, which was negatively impacted by a drop in private</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and the fact that the first fishing campaign of the year was canceled.</w:t>
      </w:r>
    </w:p>
    <w:p>
      <w:pPr>
        <w:spacing w:after="0" w:line="28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b w:val="1"/>
          <w:bCs w:val="1"/>
          <w:color w:val="auto"/>
        </w:rPr>
        <w:t>YTD</w:t>
      </w:r>
      <w:r>
        <w:rPr>
          <w:rFonts w:ascii="Arial" w:cs="Arial" w:eastAsia="Arial" w:hAnsi="Arial"/>
          <w:sz w:val="16"/>
          <w:szCs w:val="16"/>
          <w:color w:val="auto"/>
        </w:rPr>
        <w:t>, loans in average daily balances grew 5.5%. The growth was driven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by higher disbursements in Retail Banking, where the growth of </w:t>
      </w:r>
      <w:r>
        <w:rPr>
          <w:rFonts w:ascii="Arial" w:cs="Arial" w:eastAsia="Arial" w:hAnsi="Arial"/>
          <w:sz w:val="16"/>
          <w:szCs w:val="16"/>
          <w:b w:val="1"/>
          <w:bCs w:val="1"/>
          <w:color w:val="auto"/>
        </w:rPr>
        <w:t>SMEs</w:t>
      </w:r>
      <w:r>
        <w:rPr>
          <w:rFonts w:ascii="Arial" w:cs="Arial" w:eastAsia="Arial" w:hAnsi="Arial"/>
          <w:sz w:val="16"/>
          <w:szCs w:val="16"/>
          <w:color w:val="auto"/>
        </w:rPr>
        <w:t>,</w:t>
      </w:r>
      <w:r>
        <w:rPr>
          <w:rFonts w:ascii="Arial" w:cs="Arial" w:eastAsia="Arial" w:hAnsi="Arial"/>
          <w:sz w:val="16"/>
          <w:szCs w:val="16"/>
          <w:b w:val="1"/>
          <w:bCs w:val="1"/>
          <w:color w:val="auto"/>
        </w:rPr>
        <w:t xml:space="preserve"> Credit Cards</w:t>
      </w:r>
      <w:r>
        <w:rPr>
          <w:rFonts w:ascii="Arial" w:cs="Arial" w:eastAsia="Arial" w:hAnsi="Arial"/>
          <w:sz w:val="16"/>
          <w:szCs w:val="16"/>
          <w:color w:val="auto"/>
        </w:rPr>
        <w:t>,</w:t>
      </w:r>
      <w:r>
        <w:rPr>
          <w:rFonts w:ascii="Arial" w:cs="Arial" w:eastAsia="Arial" w:hAnsi="Arial"/>
          <w:sz w:val="16"/>
          <w:szCs w:val="16"/>
          <w:b w:val="1"/>
          <w:bCs w:val="1"/>
          <w:color w:val="auto"/>
        </w:rPr>
        <w:t xml:space="preserve"> Mortgage, </w:t>
      </w:r>
      <w:r>
        <w:rPr>
          <w:rFonts w:ascii="Arial" w:cs="Arial" w:eastAsia="Arial" w:hAnsi="Arial"/>
          <w:sz w:val="16"/>
          <w:szCs w:val="16"/>
          <w:color w:val="auto"/>
        </w:rPr>
        <w:t>and</w:t>
      </w:r>
      <w:r>
        <w:rPr>
          <w:rFonts w:ascii="Arial" w:cs="Arial" w:eastAsia="Arial" w:hAnsi="Arial"/>
          <w:sz w:val="16"/>
          <w:szCs w:val="16"/>
          <w:b w:val="1"/>
          <w:bCs w:val="1"/>
          <w:color w:val="auto"/>
        </w:rPr>
        <w:t xml:space="preserve"> Consumer </w:t>
      </w:r>
      <w:r>
        <w:rPr>
          <w:rFonts w:ascii="Arial" w:cs="Arial" w:eastAsia="Arial" w:hAnsi="Arial"/>
          <w:sz w:val="16"/>
          <w:szCs w:val="16"/>
          <w:color w:val="auto"/>
        </w:rPr>
        <w:t>stands out due to the</w:t>
      </w:r>
      <w:r>
        <w:rPr>
          <w:rFonts w:ascii="Arial" w:cs="Arial" w:eastAsia="Arial" w:hAnsi="Arial"/>
          <w:sz w:val="16"/>
          <w:szCs w:val="16"/>
          <w:b w:val="1"/>
          <w:bCs w:val="1"/>
          <w:color w:val="auto"/>
        </w:rPr>
        <w:t xml:space="preserve"> </w:t>
      </w:r>
      <w:r>
        <w:rPr>
          <w:rFonts w:ascii="Arial" w:cs="Arial" w:eastAsia="Arial" w:hAnsi="Arial"/>
          <w:sz w:val="16"/>
          <w:szCs w:val="16"/>
          <w:color w:val="auto"/>
        </w:rPr>
        <w:t>same factors mentioned in the YoY dynamics.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ADB balances for Government Program Loans (GP) fell 20.9% QoQ and 66.6% YoY, driven primarily by amortizations at BCP and Mibanco. GP loans represented 3.2% of total ADBs at quarter-end (vs 4.0% on June 23 and 8.9% on Sep 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33020</wp:posOffset>
            </wp:positionV>
            <wp:extent cx="7143750" cy="158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2">
            <w:col w:w="5380" w:space="460"/>
            <w:col w:w="5400"/>
          </w:cols>
          <w:pgMar w:left="320" w:top="312" w:right="339" w:bottom="1440" w:gutter="0" w:footer="0" w:header="0"/>
        </w:sectPr>
      </w:pPr>
    </w:p>
    <w:bookmarkStart w:id="19" w:name="page20"/>
    <w:bookmarkEnd w:id="19"/>
    <w:p>
      <w:pPr>
        <w:ind w:left="2961"/>
        <w:spacing w:after="0"/>
        <w:tabs>
          <w:tab w:leader="none" w:pos="3141" w:val="left"/>
          <w:tab w:leader="none" w:pos="7301" w:val="left"/>
        </w:tabs>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202565</wp:posOffset>
            </wp:positionH>
            <wp:positionV relativeFrom="page">
              <wp:posOffset>88900</wp:posOffset>
            </wp:positionV>
            <wp:extent cx="7143750" cy="3848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3750" cy="384810"/>
                    </a:xfrm>
                    <a:prstGeom prst="rect">
                      <a:avLst/>
                    </a:prstGeom>
                    <a:noFill/>
                  </pic:spPr>
                </pic:pic>
              </a:graphicData>
            </a:graphic>
          </wp:anchor>
        </w:drawing>
        <w:t>|</w:t>
      </w:r>
      <w:r>
        <w:rPr>
          <w:sz w:val="20"/>
          <w:szCs w:val="20"/>
          <w:color w:val="auto"/>
        </w:rPr>
        <w:tab/>
      </w:r>
      <w:r>
        <w:rPr>
          <w:rFonts w:ascii="Arial" w:cs="Arial" w:eastAsia="Arial" w:hAnsi="Arial"/>
          <w:sz w:val="16"/>
          <w:szCs w:val="16"/>
          <w:b w:val="1"/>
          <w:bCs w:val="1"/>
          <w:color w:val="FFFFFF"/>
        </w:rPr>
        <w:t>Earnings Release 3Q / 2023</w:t>
      </w:r>
      <w:r>
        <w:rPr>
          <w:sz w:val="20"/>
          <w:szCs w:val="20"/>
          <w:color w:val="auto"/>
        </w:rPr>
        <w:tab/>
      </w:r>
      <w:r>
        <w:rPr>
          <w:rFonts w:ascii="Arial" w:cs="Arial" w:eastAsia="Arial" w:hAnsi="Arial"/>
          <w:sz w:val="18"/>
          <w:szCs w:val="18"/>
          <w:b w:val="1"/>
          <w:bCs w:val="1"/>
          <w:color w:val="E93CAC"/>
        </w:rPr>
        <w:t>Analysis of 3Q23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143510</wp:posOffset>
            </wp:positionV>
            <wp:extent cx="7143750" cy="2038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3750" cy="203835"/>
                    </a:xfrm>
                    <a:prstGeom prst="rect">
                      <a:avLst/>
                    </a:prstGeom>
                    <a:noFill/>
                  </pic:spPr>
                </pic:pic>
              </a:graphicData>
            </a:graphic>
          </wp:anchor>
        </w:drawing>
      </w:r>
    </w:p>
    <w:p>
      <w:pPr>
        <w:spacing w:after="0" w:line="226"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FFFFFF"/>
        </w:rPr>
        <w:t>01. Loan Portfolio</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 xml:space="preserve">Total Loans (in Average Daily Balances) </w:t>
      </w:r>
      <w:r>
        <w:rPr>
          <w:rFonts w:ascii="Arial" w:cs="Arial" w:eastAsia="Arial" w:hAnsi="Arial"/>
          <w:sz w:val="27"/>
          <w:szCs w:val="27"/>
          <w:b w:val="1"/>
          <w:bCs w:val="1"/>
          <w:color w:val="auto"/>
          <w:vertAlign w:val="superscript"/>
        </w:rPr>
        <w:t>(1)(2)</w:t>
      </w:r>
    </w:p>
    <w:p>
      <w:pPr>
        <w:spacing w:after="0" w:line="40" w:lineRule="exact"/>
        <w:rPr>
          <w:sz w:val="20"/>
          <w:szCs w:val="20"/>
          <w:color w:val="auto"/>
        </w:rPr>
      </w:pPr>
    </w:p>
    <w:tbl>
      <w:tblPr>
        <w:tblLayout w:type="fixed"/>
        <w:tblInd w:w="11" w:type="dxa"/>
        <w:tblCellMar>
          <w:top w:w="0" w:type="dxa"/>
          <w:left w:w="0" w:type="dxa"/>
          <w:bottom w:w="0" w:type="dxa"/>
          <w:right w:w="0" w:type="dxa"/>
        </w:tblCellMar>
      </w:tblPr>
      <w:tr>
        <w:trPr>
          <w:trHeight w:val="165"/>
        </w:trPr>
        <w:tc>
          <w:tcPr>
            <w:tcW w:w="2260" w:type="dxa"/>
            <w:vAlign w:val="bottom"/>
            <w:tcBorders>
              <w:top w:val="single" w:sz="8" w:color="auto"/>
              <w:left w:val="single" w:sz="8" w:color="auto"/>
              <w:right w:val="single" w:sz="8" w:color="auto"/>
            </w:tcBorders>
            <w:shd w:val="clear" w:color="auto" w:fill="33CCCC"/>
          </w:tcPr>
          <w:p>
            <w:pPr>
              <w:ind w:left="20"/>
              <w:spacing w:after="0" w:line="165" w:lineRule="exact"/>
              <w:rPr>
                <w:sz w:val="20"/>
                <w:szCs w:val="20"/>
                <w:color w:val="auto"/>
              </w:rPr>
            </w:pPr>
            <w:r>
              <w:rPr>
                <w:rFonts w:ascii="Arial" w:cs="Arial" w:eastAsia="Arial" w:hAnsi="Arial"/>
                <w:sz w:val="16"/>
                <w:szCs w:val="16"/>
                <w:b w:val="1"/>
                <w:bCs w:val="1"/>
                <w:color w:val="FFFFFF"/>
              </w:rPr>
              <w:t>Total Loans</w:t>
            </w:r>
          </w:p>
        </w:tc>
        <w:tc>
          <w:tcPr>
            <w:tcW w:w="900" w:type="dxa"/>
            <w:vAlign w:val="bottom"/>
            <w:tcBorders>
              <w:top w:val="single" w:sz="8" w:color="auto"/>
            </w:tcBorders>
            <w:shd w:val="clear" w:color="auto" w:fill="33CCCC"/>
          </w:tcPr>
          <w:p>
            <w:pPr>
              <w:spacing w:after="0"/>
              <w:rPr>
                <w:sz w:val="14"/>
                <w:szCs w:val="14"/>
                <w:color w:val="auto"/>
              </w:rPr>
            </w:pPr>
          </w:p>
        </w:tc>
        <w:tc>
          <w:tcPr>
            <w:tcW w:w="940" w:type="dxa"/>
            <w:vAlign w:val="bottom"/>
            <w:tcBorders>
              <w:top w:val="single" w:sz="8" w:color="auto"/>
            </w:tcBorders>
            <w:vMerge w:val="restart"/>
            <w:shd w:val="clear" w:color="auto" w:fill="33CCCC"/>
          </w:tcPr>
          <w:p>
            <w:pPr>
              <w:ind w:left="300"/>
              <w:spacing w:after="0"/>
              <w:rPr>
                <w:sz w:val="20"/>
                <w:szCs w:val="20"/>
                <w:color w:val="auto"/>
              </w:rPr>
            </w:pPr>
            <w:r>
              <w:rPr>
                <w:rFonts w:ascii="Arial" w:cs="Arial" w:eastAsia="Arial" w:hAnsi="Arial"/>
                <w:sz w:val="16"/>
                <w:szCs w:val="16"/>
                <w:b w:val="1"/>
                <w:bCs w:val="1"/>
                <w:color w:val="FFFFFF"/>
              </w:rPr>
              <w:t>As of</w:t>
            </w:r>
          </w:p>
        </w:tc>
        <w:tc>
          <w:tcPr>
            <w:tcW w:w="980" w:type="dxa"/>
            <w:vAlign w:val="bottom"/>
            <w:tcBorders>
              <w:top w:val="single" w:sz="8" w:color="auto"/>
              <w:right w:val="single" w:sz="8" w:color="auto"/>
            </w:tcBorders>
            <w:shd w:val="clear" w:color="auto" w:fill="33CCCC"/>
          </w:tcPr>
          <w:p>
            <w:pPr>
              <w:spacing w:after="0"/>
              <w:rPr>
                <w:sz w:val="14"/>
                <w:szCs w:val="14"/>
                <w:color w:val="auto"/>
              </w:rPr>
            </w:pPr>
          </w:p>
        </w:tc>
        <w:tc>
          <w:tcPr>
            <w:tcW w:w="1720" w:type="dxa"/>
            <w:vAlign w:val="bottom"/>
            <w:tcBorders>
              <w:top w:val="single" w:sz="8" w:color="auto"/>
              <w:right w:val="single" w:sz="8" w:color="auto"/>
            </w:tcBorders>
            <w:gridSpan w:val="2"/>
            <w:vMerge w:val="restart"/>
            <w:shd w:val="clear" w:color="auto" w:fill="33CCCC"/>
          </w:tcPr>
          <w:p>
            <w:pPr>
              <w:ind w:left="240"/>
              <w:spacing w:after="0"/>
              <w:rPr>
                <w:sz w:val="20"/>
                <w:szCs w:val="20"/>
                <w:color w:val="auto"/>
              </w:rPr>
            </w:pPr>
            <w:r>
              <w:rPr>
                <w:rFonts w:ascii="Arial" w:cs="Arial" w:eastAsia="Arial" w:hAnsi="Arial"/>
                <w:sz w:val="16"/>
                <w:szCs w:val="16"/>
                <w:b w:val="1"/>
                <w:bCs w:val="1"/>
                <w:color w:val="FFFFFF"/>
              </w:rPr>
              <w:t>Volume change</w:t>
            </w:r>
          </w:p>
        </w:tc>
        <w:tc>
          <w:tcPr>
            <w:tcW w:w="1840" w:type="dxa"/>
            <w:vAlign w:val="bottom"/>
            <w:tcBorders>
              <w:top w:val="single" w:sz="8" w:color="auto"/>
              <w:right w:val="single" w:sz="8" w:color="auto"/>
            </w:tcBorders>
            <w:gridSpan w:val="2"/>
            <w:vMerge w:val="restart"/>
            <w:shd w:val="clear" w:color="auto" w:fill="33CCCC"/>
          </w:tcPr>
          <w:p>
            <w:pPr>
              <w:ind w:left="520"/>
              <w:spacing w:after="0"/>
              <w:rPr>
                <w:sz w:val="20"/>
                <w:szCs w:val="20"/>
                <w:color w:val="auto"/>
              </w:rPr>
            </w:pPr>
            <w:r>
              <w:rPr>
                <w:rFonts w:ascii="Arial" w:cs="Arial" w:eastAsia="Arial" w:hAnsi="Arial"/>
                <w:sz w:val="16"/>
                <w:szCs w:val="16"/>
                <w:b w:val="1"/>
                <w:bCs w:val="1"/>
                <w:color w:val="FFFFFF"/>
              </w:rPr>
              <w:t>% change</w:t>
            </w:r>
          </w:p>
        </w:tc>
        <w:tc>
          <w:tcPr>
            <w:tcW w:w="2620" w:type="dxa"/>
            <w:vAlign w:val="bottom"/>
            <w:tcBorders>
              <w:top w:val="single" w:sz="8" w:color="auto"/>
              <w:right w:val="single" w:sz="8" w:color="auto"/>
            </w:tcBorders>
            <w:gridSpan w:val="3"/>
            <w:vMerge w:val="restart"/>
            <w:shd w:val="clear" w:color="auto" w:fill="33CCCC"/>
          </w:tcPr>
          <w:p>
            <w:pPr>
              <w:ind w:left="460"/>
              <w:spacing w:after="0"/>
              <w:rPr>
                <w:sz w:val="20"/>
                <w:szCs w:val="20"/>
                <w:color w:val="auto"/>
              </w:rPr>
            </w:pPr>
            <w:r>
              <w:rPr>
                <w:rFonts w:ascii="Arial" w:cs="Arial" w:eastAsia="Arial" w:hAnsi="Arial"/>
                <w:sz w:val="16"/>
                <w:szCs w:val="16"/>
                <w:b w:val="1"/>
                <w:bCs w:val="1"/>
                <w:color w:val="FFFFFF"/>
              </w:rPr>
              <w:t>% Part. in total loans</w:t>
            </w:r>
          </w:p>
        </w:tc>
        <w:tc>
          <w:tcPr>
            <w:tcW w:w="0" w:type="dxa"/>
            <w:vAlign w:val="bottom"/>
          </w:tcPr>
          <w:p>
            <w:pPr>
              <w:spacing w:after="0"/>
              <w:rPr>
                <w:sz w:val="1"/>
                <w:szCs w:val="1"/>
                <w:color w:val="auto"/>
              </w:rPr>
            </w:pPr>
          </w:p>
        </w:tc>
      </w:tr>
      <w:tr>
        <w:trPr>
          <w:trHeight w:val="122"/>
        </w:trPr>
        <w:tc>
          <w:tcPr>
            <w:tcW w:w="2260" w:type="dxa"/>
            <w:vAlign w:val="bottom"/>
            <w:tcBorders>
              <w:left w:val="single" w:sz="8" w:color="auto"/>
              <w:right w:val="single" w:sz="8" w:color="auto"/>
            </w:tcBorders>
            <w:vMerge w:val="restart"/>
            <w:shd w:val="clear" w:color="auto" w:fill="33CCCC"/>
          </w:tcPr>
          <w:p>
            <w:pPr>
              <w:ind w:left="20"/>
              <w:spacing w:after="0"/>
              <w:rPr>
                <w:sz w:val="20"/>
                <w:szCs w:val="20"/>
                <w:color w:val="auto"/>
              </w:rPr>
            </w:pPr>
            <w:r>
              <w:rPr>
                <w:rFonts w:ascii="Arial" w:cs="Arial" w:eastAsia="Arial" w:hAnsi="Arial"/>
                <w:sz w:val="16"/>
                <w:szCs w:val="16"/>
                <w:color w:val="FFFFFF"/>
              </w:rPr>
              <w:t>(S/ millions)</w:t>
            </w:r>
          </w:p>
        </w:tc>
        <w:tc>
          <w:tcPr>
            <w:tcW w:w="900" w:type="dxa"/>
            <w:vAlign w:val="bottom"/>
            <w:shd w:val="clear" w:color="auto" w:fill="33CCCC"/>
          </w:tcPr>
          <w:p>
            <w:pPr>
              <w:spacing w:after="0"/>
              <w:rPr>
                <w:sz w:val="10"/>
                <w:szCs w:val="10"/>
                <w:color w:val="auto"/>
              </w:rPr>
            </w:pPr>
          </w:p>
        </w:tc>
        <w:tc>
          <w:tcPr>
            <w:tcW w:w="940" w:type="dxa"/>
            <w:vAlign w:val="bottom"/>
            <w:vMerge w:val="continue"/>
            <w:shd w:val="clear" w:color="auto" w:fill="33CCCC"/>
          </w:tcPr>
          <w:p>
            <w:pPr>
              <w:spacing w:after="0"/>
              <w:rPr>
                <w:sz w:val="10"/>
                <w:szCs w:val="10"/>
                <w:color w:val="auto"/>
              </w:rPr>
            </w:pPr>
          </w:p>
        </w:tc>
        <w:tc>
          <w:tcPr>
            <w:tcW w:w="980" w:type="dxa"/>
            <w:vAlign w:val="bottom"/>
            <w:tcBorders>
              <w:right w:val="single" w:sz="8" w:color="auto"/>
            </w:tcBorders>
            <w:shd w:val="clear" w:color="auto" w:fill="33CCCC"/>
          </w:tcPr>
          <w:p>
            <w:pPr>
              <w:spacing w:after="0"/>
              <w:rPr>
                <w:sz w:val="10"/>
                <w:szCs w:val="10"/>
                <w:color w:val="auto"/>
              </w:rPr>
            </w:pPr>
          </w:p>
        </w:tc>
        <w:tc>
          <w:tcPr>
            <w:tcW w:w="1720" w:type="dxa"/>
            <w:vAlign w:val="bottom"/>
            <w:tcBorders>
              <w:right w:val="single" w:sz="8" w:color="auto"/>
            </w:tcBorders>
            <w:gridSpan w:val="2"/>
            <w:vMerge w:val="continue"/>
            <w:shd w:val="clear" w:color="auto" w:fill="33CCCC"/>
          </w:tcPr>
          <w:p>
            <w:pPr>
              <w:spacing w:after="0"/>
              <w:rPr>
                <w:sz w:val="10"/>
                <w:szCs w:val="10"/>
                <w:color w:val="auto"/>
              </w:rPr>
            </w:pPr>
          </w:p>
        </w:tc>
        <w:tc>
          <w:tcPr>
            <w:tcW w:w="1840" w:type="dxa"/>
            <w:vAlign w:val="bottom"/>
            <w:tcBorders>
              <w:right w:val="single" w:sz="8" w:color="auto"/>
            </w:tcBorders>
            <w:gridSpan w:val="2"/>
            <w:vMerge w:val="continue"/>
            <w:shd w:val="clear" w:color="auto" w:fill="33CCCC"/>
          </w:tcPr>
          <w:p>
            <w:pPr>
              <w:spacing w:after="0"/>
              <w:rPr>
                <w:sz w:val="10"/>
                <w:szCs w:val="10"/>
                <w:color w:val="auto"/>
              </w:rPr>
            </w:pPr>
          </w:p>
        </w:tc>
        <w:tc>
          <w:tcPr>
            <w:tcW w:w="2620" w:type="dxa"/>
            <w:vAlign w:val="bottom"/>
            <w:tcBorders>
              <w:right w:val="single" w:sz="8" w:color="auto"/>
            </w:tcBorders>
            <w:gridSpan w:val="3"/>
            <w:vMerge w:val="continue"/>
            <w:shd w:val="clear" w:color="auto" w:fill="33CCCC"/>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260" w:type="dxa"/>
            <w:vAlign w:val="bottom"/>
            <w:tcBorders>
              <w:left w:val="single" w:sz="8" w:color="auto"/>
              <w:right w:val="single" w:sz="8" w:color="auto"/>
            </w:tcBorders>
            <w:vMerge w:val="continue"/>
            <w:shd w:val="clear" w:color="auto" w:fill="33CCCC"/>
          </w:tcPr>
          <w:p>
            <w:pPr>
              <w:spacing w:after="0"/>
              <w:rPr>
                <w:sz w:val="5"/>
                <w:szCs w:val="5"/>
                <w:color w:val="auto"/>
              </w:rPr>
            </w:pPr>
          </w:p>
        </w:tc>
        <w:tc>
          <w:tcPr>
            <w:tcW w:w="900" w:type="dxa"/>
            <w:vAlign w:val="bottom"/>
            <w:vMerge w:val="restart"/>
            <w:shd w:val="clear" w:color="auto" w:fill="33CCCC"/>
          </w:tcPr>
          <w:p>
            <w:pPr>
              <w:ind w:left="180"/>
              <w:spacing w:after="0"/>
              <w:rPr>
                <w:sz w:val="20"/>
                <w:szCs w:val="20"/>
                <w:color w:val="auto"/>
              </w:rPr>
            </w:pPr>
            <w:r>
              <w:rPr>
                <w:rFonts w:ascii="Arial" w:cs="Arial" w:eastAsia="Arial" w:hAnsi="Arial"/>
                <w:sz w:val="16"/>
                <w:szCs w:val="16"/>
                <w:b w:val="1"/>
                <w:bCs w:val="1"/>
                <w:color w:val="FFFFFF"/>
              </w:rPr>
              <w:t>Sep 22</w:t>
            </w:r>
          </w:p>
        </w:tc>
        <w:tc>
          <w:tcPr>
            <w:tcW w:w="940" w:type="dxa"/>
            <w:vAlign w:val="bottom"/>
            <w:vMerge w:val="restart"/>
            <w:shd w:val="clear" w:color="auto" w:fill="33CCCC"/>
          </w:tcPr>
          <w:p>
            <w:pPr>
              <w:ind w:left="200"/>
              <w:spacing w:after="0"/>
              <w:rPr>
                <w:sz w:val="20"/>
                <w:szCs w:val="20"/>
                <w:color w:val="auto"/>
              </w:rPr>
            </w:pPr>
            <w:r>
              <w:rPr>
                <w:rFonts w:ascii="Arial" w:cs="Arial" w:eastAsia="Arial" w:hAnsi="Arial"/>
                <w:sz w:val="16"/>
                <w:szCs w:val="16"/>
                <w:b w:val="1"/>
                <w:bCs w:val="1"/>
                <w:color w:val="FFFFFF"/>
              </w:rPr>
              <w:t>Jun 23</w:t>
            </w:r>
          </w:p>
        </w:tc>
        <w:tc>
          <w:tcPr>
            <w:tcW w:w="980" w:type="dxa"/>
            <w:vAlign w:val="bottom"/>
            <w:tcBorders>
              <w:right w:val="single" w:sz="8" w:color="auto"/>
            </w:tcBorders>
            <w:vMerge w:val="restart"/>
            <w:shd w:val="clear" w:color="auto" w:fill="33CCCC"/>
          </w:tcPr>
          <w:p>
            <w:pPr>
              <w:ind w:left="220"/>
              <w:spacing w:after="0"/>
              <w:rPr>
                <w:sz w:val="20"/>
                <w:szCs w:val="20"/>
                <w:color w:val="auto"/>
              </w:rPr>
            </w:pPr>
            <w:r>
              <w:rPr>
                <w:rFonts w:ascii="Arial" w:cs="Arial" w:eastAsia="Arial" w:hAnsi="Arial"/>
                <w:sz w:val="16"/>
                <w:szCs w:val="16"/>
                <w:b w:val="1"/>
                <w:bCs w:val="1"/>
                <w:color w:val="FFFFFF"/>
              </w:rPr>
              <w:t>Sep 23</w:t>
            </w:r>
          </w:p>
        </w:tc>
        <w:tc>
          <w:tcPr>
            <w:tcW w:w="860" w:type="dxa"/>
            <w:vAlign w:val="bottom"/>
            <w:vMerge w:val="restart"/>
            <w:shd w:val="clear" w:color="auto" w:fill="33CCCC"/>
          </w:tcPr>
          <w:p>
            <w:pPr>
              <w:ind w:left="240"/>
              <w:spacing w:after="0"/>
              <w:rPr>
                <w:sz w:val="20"/>
                <w:szCs w:val="20"/>
                <w:color w:val="auto"/>
              </w:rPr>
            </w:pPr>
            <w:r>
              <w:rPr>
                <w:rFonts w:ascii="Arial" w:cs="Arial" w:eastAsia="Arial" w:hAnsi="Arial"/>
                <w:sz w:val="16"/>
                <w:szCs w:val="16"/>
                <w:b w:val="1"/>
                <w:bCs w:val="1"/>
                <w:color w:val="FFFFFF"/>
              </w:rPr>
              <w:t>QoQ</w:t>
            </w:r>
          </w:p>
        </w:tc>
        <w:tc>
          <w:tcPr>
            <w:tcW w:w="860" w:type="dxa"/>
            <w:vAlign w:val="bottom"/>
            <w:tcBorders>
              <w:right w:val="single" w:sz="8" w:color="auto"/>
            </w:tcBorders>
            <w:vMerge w:val="restart"/>
            <w:shd w:val="clear" w:color="auto" w:fill="33CCCC"/>
          </w:tcPr>
          <w:p>
            <w:pPr>
              <w:ind w:left="280"/>
              <w:spacing w:after="0"/>
              <w:rPr>
                <w:sz w:val="20"/>
                <w:szCs w:val="20"/>
                <w:color w:val="auto"/>
              </w:rPr>
            </w:pPr>
            <w:r>
              <w:rPr>
                <w:rFonts w:ascii="Arial" w:cs="Arial" w:eastAsia="Arial" w:hAnsi="Arial"/>
                <w:sz w:val="16"/>
                <w:szCs w:val="16"/>
                <w:b w:val="1"/>
                <w:bCs w:val="1"/>
                <w:color w:val="FFFFFF"/>
              </w:rPr>
              <w:t>YoY</w:t>
            </w:r>
          </w:p>
        </w:tc>
        <w:tc>
          <w:tcPr>
            <w:tcW w:w="880" w:type="dxa"/>
            <w:vAlign w:val="bottom"/>
            <w:vMerge w:val="restart"/>
            <w:shd w:val="clear" w:color="auto" w:fill="33CCCC"/>
          </w:tcPr>
          <w:p>
            <w:pPr>
              <w:ind w:left="260"/>
              <w:spacing w:after="0"/>
              <w:rPr>
                <w:sz w:val="20"/>
                <w:szCs w:val="20"/>
                <w:color w:val="auto"/>
              </w:rPr>
            </w:pPr>
            <w:r>
              <w:rPr>
                <w:rFonts w:ascii="Arial" w:cs="Arial" w:eastAsia="Arial" w:hAnsi="Arial"/>
                <w:sz w:val="16"/>
                <w:szCs w:val="16"/>
                <w:b w:val="1"/>
                <w:bCs w:val="1"/>
                <w:color w:val="FFFFFF"/>
              </w:rPr>
              <w:t>QoQ</w:t>
            </w:r>
          </w:p>
        </w:tc>
        <w:tc>
          <w:tcPr>
            <w:tcW w:w="960" w:type="dxa"/>
            <w:vAlign w:val="bottom"/>
            <w:tcBorders>
              <w:right w:val="single" w:sz="8" w:color="auto"/>
            </w:tcBorders>
            <w:vMerge w:val="restart"/>
            <w:shd w:val="clear" w:color="auto" w:fill="33CCCC"/>
          </w:tcPr>
          <w:p>
            <w:pPr>
              <w:ind w:left="320"/>
              <w:spacing w:after="0"/>
              <w:rPr>
                <w:sz w:val="20"/>
                <w:szCs w:val="20"/>
                <w:color w:val="auto"/>
              </w:rPr>
            </w:pPr>
            <w:r>
              <w:rPr>
                <w:rFonts w:ascii="Arial" w:cs="Arial" w:eastAsia="Arial" w:hAnsi="Arial"/>
                <w:sz w:val="16"/>
                <w:szCs w:val="16"/>
                <w:b w:val="1"/>
                <w:bCs w:val="1"/>
                <w:color w:val="FFFFFF"/>
              </w:rPr>
              <w:t>YoY</w:t>
            </w:r>
          </w:p>
        </w:tc>
        <w:tc>
          <w:tcPr>
            <w:tcW w:w="880" w:type="dxa"/>
            <w:vAlign w:val="bottom"/>
            <w:vMerge w:val="restart"/>
            <w:shd w:val="clear" w:color="auto" w:fill="33CCCC"/>
          </w:tcPr>
          <w:p>
            <w:pPr>
              <w:ind w:left="160"/>
              <w:spacing w:after="0"/>
              <w:rPr>
                <w:sz w:val="20"/>
                <w:szCs w:val="20"/>
                <w:color w:val="auto"/>
              </w:rPr>
            </w:pPr>
            <w:r>
              <w:rPr>
                <w:rFonts w:ascii="Arial" w:cs="Arial" w:eastAsia="Arial" w:hAnsi="Arial"/>
                <w:sz w:val="16"/>
                <w:szCs w:val="16"/>
                <w:b w:val="1"/>
                <w:bCs w:val="1"/>
                <w:color w:val="FFFFFF"/>
              </w:rPr>
              <w:t>Sep 22</w:t>
            </w:r>
          </w:p>
        </w:tc>
        <w:tc>
          <w:tcPr>
            <w:tcW w:w="880" w:type="dxa"/>
            <w:vAlign w:val="bottom"/>
            <w:vMerge w:val="restart"/>
            <w:shd w:val="clear" w:color="auto" w:fill="33CCCC"/>
          </w:tcPr>
          <w:p>
            <w:pPr>
              <w:ind w:left="200"/>
              <w:spacing w:after="0"/>
              <w:rPr>
                <w:sz w:val="20"/>
                <w:szCs w:val="20"/>
                <w:color w:val="auto"/>
              </w:rPr>
            </w:pPr>
            <w:r>
              <w:rPr>
                <w:rFonts w:ascii="Arial" w:cs="Arial" w:eastAsia="Arial" w:hAnsi="Arial"/>
                <w:sz w:val="16"/>
                <w:szCs w:val="16"/>
                <w:b w:val="1"/>
                <w:bCs w:val="1"/>
                <w:color w:val="FFFFFF"/>
              </w:rPr>
              <w:t>Jun 23</w:t>
            </w:r>
          </w:p>
        </w:tc>
        <w:tc>
          <w:tcPr>
            <w:tcW w:w="860" w:type="dxa"/>
            <w:vAlign w:val="bottom"/>
            <w:tcBorders>
              <w:right w:val="single" w:sz="8" w:color="auto"/>
            </w:tcBorders>
            <w:vMerge w:val="restart"/>
            <w:shd w:val="clear" w:color="auto" w:fill="33CCCC"/>
          </w:tcPr>
          <w:p>
            <w:pPr>
              <w:ind w:left="180"/>
              <w:spacing w:after="0"/>
              <w:rPr>
                <w:sz w:val="20"/>
                <w:szCs w:val="20"/>
                <w:color w:val="auto"/>
              </w:rPr>
            </w:pPr>
            <w:r>
              <w:rPr>
                <w:rFonts w:ascii="Arial" w:cs="Arial" w:eastAsia="Arial" w:hAnsi="Arial"/>
                <w:sz w:val="16"/>
                <w:szCs w:val="16"/>
                <w:b w:val="1"/>
                <w:bCs w:val="1"/>
                <w:color w:val="FFFFFF"/>
              </w:rPr>
              <w:t>Sep 23</w:t>
            </w:r>
          </w:p>
        </w:tc>
        <w:tc>
          <w:tcPr>
            <w:tcW w:w="0" w:type="dxa"/>
            <w:vAlign w:val="bottom"/>
          </w:tcPr>
          <w:p>
            <w:pPr>
              <w:spacing w:after="0"/>
              <w:rPr>
                <w:sz w:val="1"/>
                <w:szCs w:val="1"/>
                <w:color w:val="auto"/>
              </w:rPr>
            </w:pPr>
          </w:p>
        </w:tc>
      </w:tr>
      <w:tr>
        <w:trPr>
          <w:trHeight w:val="198"/>
        </w:trPr>
        <w:tc>
          <w:tcPr>
            <w:tcW w:w="2260" w:type="dxa"/>
            <w:vAlign w:val="bottom"/>
            <w:tcBorders>
              <w:left w:val="single" w:sz="8" w:color="auto"/>
              <w:bottom w:val="single" w:sz="8" w:color="33CCCC"/>
              <w:right w:val="single" w:sz="8" w:color="auto"/>
            </w:tcBorders>
            <w:shd w:val="clear" w:color="auto" w:fill="33CCCC"/>
          </w:tcPr>
          <w:p>
            <w:pPr>
              <w:ind w:left="20"/>
              <w:spacing w:after="0" w:line="174" w:lineRule="exact"/>
              <w:rPr>
                <w:sz w:val="20"/>
                <w:szCs w:val="20"/>
                <w:color w:val="auto"/>
              </w:rPr>
            </w:pPr>
            <w:r>
              <w:rPr>
                <w:rFonts w:ascii="Arial" w:cs="Arial" w:eastAsia="Arial" w:hAnsi="Arial"/>
                <w:sz w:val="16"/>
                <w:szCs w:val="16"/>
                <w:color w:val="33CCCC"/>
              </w:rPr>
              <w:t>Back to index</w:t>
            </w:r>
          </w:p>
        </w:tc>
        <w:tc>
          <w:tcPr>
            <w:tcW w:w="900" w:type="dxa"/>
            <w:vAlign w:val="bottom"/>
            <w:tcBorders>
              <w:bottom w:val="single" w:sz="8" w:color="33CCCC"/>
            </w:tcBorders>
            <w:vMerge w:val="continue"/>
            <w:shd w:val="clear" w:color="auto" w:fill="33CCCC"/>
          </w:tcPr>
          <w:p>
            <w:pPr>
              <w:spacing w:after="0"/>
              <w:rPr>
                <w:sz w:val="17"/>
                <w:szCs w:val="17"/>
                <w:color w:val="auto"/>
              </w:rPr>
            </w:pPr>
          </w:p>
        </w:tc>
        <w:tc>
          <w:tcPr>
            <w:tcW w:w="940" w:type="dxa"/>
            <w:vAlign w:val="bottom"/>
            <w:tcBorders>
              <w:bottom w:val="single" w:sz="8" w:color="33CCCC"/>
            </w:tcBorders>
            <w:vMerge w:val="continue"/>
            <w:shd w:val="clear" w:color="auto" w:fill="33CCCC"/>
          </w:tcPr>
          <w:p>
            <w:pPr>
              <w:spacing w:after="0"/>
              <w:rPr>
                <w:sz w:val="17"/>
                <w:szCs w:val="17"/>
                <w:color w:val="auto"/>
              </w:rPr>
            </w:pPr>
          </w:p>
        </w:tc>
        <w:tc>
          <w:tcPr>
            <w:tcW w:w="980" w:type="dxa"/>
            <w:vAlign w:val="bottom"/>
            <w:tcBorders>
              <w:bottom w:val="single" w:sz="8" w:color="33CCCC"/>
              <w:right w:val="single" w:sz="8" w:color="auto"/>
            </w:tcBorders>
            <w:vMerge w:val="continue"/>
            <w:shd w:val="clear" w:color="auto" w:fill="33CCCC"/>
          </w:tcPr>
          <w:p>
            <w:pPr>
              <w:spacing w:after="0"/>
              <w:rPr>
                <w:sz w:val="17"/>
                <w:szCs w:val="17"/>
                <w:color w:val="auto"/>
              </w:rPr>
            </w:pPr>
          </w:p>
        </w:tc>
        <w:tc>
          <w:tcPr>
            <w:tcW w:w="860" w:type="dxa"/>
            <w:vAlign w:val="bottom"/>
            <w:tcBorders>
              <w:bottom w:val="single" w:sz="8" w:color="33CCCC"/>
            </w:tcBorders>
            <w:vMerge w:val="continue"/>
            <w:shd w:val="clear" w:color="auto" w:fill="33CCCC"/>
          </w:tcPr>
          <w:p>
            <w:pPr>
              <w:spacing w:after="0"/>
              <w:rPr>
                <w:sz w:val="17"/>
                <w:szCs w:val="17"/>
                <w:color w:val="auto"/>
              </w:rPr>
            </w:pPr>
          </w:p>
        </w:tc>
        <w:tc>
          <w:tcPr>
            <w:tcW w:w="860" w:type="dxa"/>
            <w:vAlign w:val="bottom"/>
            <w:tcBorders>
              <w:bottom w:val="single" w:sz="8" w:color="33CCCC"/>
              <w:right w:val="single" w:sz="8" w:color="auto"/>
            </w:tcBorders>
            <w:vMerge w:val="continue"/>
            <w:shd w:val="clear" w:color="auto" w:fill="33CCCC"/>
          </w:tcPr>
          <w:p>
            <w:pPr>
              <w:spacing w:after="0"/>
              <w:rPr>
                <w:sz w:val="17"/>
                <w:szCs w:val="17"/>
                <w:color w:val="auto"/>
              </w:rPr>
            </w:pPr>
          </w:p>
        </w:tc>
        <w:tc>
          <w:tcPr>
            <w:tcW w:w="880" w:type="dxa"/>
            <w:vAlign w:val="bottom"/>
            <w:tcBorders>
              <w:bottom w:val="single" w:sz="8" w:color="33CCCC"/>
            </w:tcBorders>
            <w:vMerge w:val="continue"/>
            <w:shd w:val="clear" w:color="auto" w:fill="33CCCC"/>
          </w:tcPr>
          <w:p>
            <w:pPr>
              <w:spacing w:after="0"/>
              <w:rPr>
                <w:sz w:val="17"/>
                <w:szCs w:val="17"/>
                <w:color w:val="auto"/>
              </w:rPr>
            </w:pPr>
          </w:p>
        </w:tc>
        <w:tc>
          <w:tcPr>
            <w:tcW w:w="960" w:type="dxa"/>
            <w:vAlign w:val="bottom"/>
            <w:tcBorders>
              <w:bottom w:val="single" w:sz="8" w:color="33CCCC"/>
              <w:right w:val="single" w:sz="8" w:color="auto"/>
            </w:tcBorders>
            <w:vMerge w:val="continue"/>
            <w:shd w:val="clear" w:color="auto" w:fill="33CCCC"/>
          </w:tcPr>
          <w:p>
            <w:pPr>
              <w:spacing w:after="0"/>
              <w:rPr>
                <w:sz w:val="17"/>
                <w:szCs w:val="17"/>
                <w:color w:val="auto"/>
              </w:rPr>
            </w:pPr>
          </w:p>
        </w:tc>
        <w:tc>
          <w:tcPr>
            <w:tcW w:w="880" w:type="dxa"/>
            <w:vAlign w:val="bottom"/>
            <w:tcBorders>
              <w:bottom w:val="single" w:sz="8" w:color="33CCCC"/>
            </w:tcBorders>
            <w:vMerge w:val="continue"/>
            <w:shd w:val="clear" w:color="auto" w:fill="33CCCC"/>
          </w:tcPr>
          <w:p>
            <w:pPr>
              <w:spacing w:after="0"/>
              <w:rPr>
                <w:sz w:val="17"/>
                <w:szCs w:val="17"/>
                <w:color w:val="auto"/>
              </w:rPr>
            </w:pPr>
          </w:p>
        </w:tc>
        <w:tc>
          <w:tcPr>
            <w:tcW w:w="880" w:type="dxa"/>
            <w:vAlign w:val="bottom"/>
            <w:tcBorders>
              <w:bottom w:val="single" w:sz="8" w:color="33CCCC"/>
            </w:tcBorders>
            <w:vMerge w:val="continue"/>
            <w:shd w:val="clear" w:color="auto" w:fill="33CCCC"/>
          </w:tcPr>
          <w:p>
            <w:pPr>
              <w:spacing w:after="0"/>
              <w:rPr>
                <w:sz w:val="17"/>
                <w:szCs w:val="17"/>
                <w:color w:val="auto"/>
              </w:rPr>
            </w:pPr>
          </w:p>
        </w:tc>
        <w:tc>
          <w:tcPr>
            <w:tcW w:w="860" w:type="dxa"/>
            <w:vAlign w:val="bottom"/>
            <w:tcBorders>
              <w:bottom w:val="single" w:sz="8" w:color="33CCCC"/>
              <w:right w:val="single" w:sz="8" w:color="auto"/>
            </w:tcBorders>
            <w:vMerge w:val="continue"/>
            <w:shd w:val="clear" w:color="auto" w:fill="33CCCC"/>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260" w:type="dxa"/>
            <w:vAlign w:val="bottom"/>
            <w:tcBorders>
              <w:top w:val="single" w:sz="8" w:color="auto"/>
              <w:left w:val="single" w:sz="8" w:color="auto"/>
              <w:right w:val="single" w:sz="8" w:color="auto"/>
            </w:tcBorders>
          </w:tcPr>
          <w:p>
            <w:pPr>
              <w:ind w:left="20"/>
              <w:spacing w:after="0" w:line="157" w:lineRule="exact"/>
              <w:rPr>
                <w:sz w:val="20"/>
                <w:szCs w:val="20"/>
                <w:color w:val="auto"/>
              </w:rPr>
            </w:pPr>
            <w:r>
              <w:rPr>
                <w:rFonts w:ascii="Arial" w:cs="Arial" w:eastAsia="Arial" w:hAnsi="Arial"/>
                <w:sz w:val="16"/>
                <w:szCs w:val="16"/>
                <w:b w:val="1"/>
                <w:bCs w:val="1"/>
                <w:color w:val="auto"/>
              </w:rPr>
              <w:t>BCP Stand-alone</w:t>
            </w:r>
          </w:p>
        </w:tc>
        <w:tc>
          <w:tcPr>
            <w:tcW w:w="900" w:type="dxa"/>
            <w:vAlign w:val="bottom"/>
            <w:tcBorders>
              <w:top w:val="single" w:sz="8" w:color="auto"/>
            </w:tcBorders>
          </w:tcPr>
          <w:p>
            <w:pPr>
              <w:jc w:val="center"/>
              <w:spacing w:after="0" w:line="157" w:lineRule="exact"/>
              <w:rPr>
                <w:sz w:val="20"/>
                <w:szCs w:val="20"/>
                <w:color w:val="auto"/>
              </w:rPr>
            </w:pPr>
            <w:r>
              <w:rPr>
                <w:rFonts w:ascii="Arial" w:cs="Arial" w:eastAsia="Arial" w:hAnsi="Arial"/>
                <w:sz w:val="16"/>
                <w:szCs w:val="16"/>
                <w:b w:val="1"/>
                <w:bCs w:val="1"/>
                <w:color w:val="auto"/>
              </w:rPr>
              <w:t>122,986</w:t>
            </w:r>
          </w:p>
        </w:tc>
        <w:tc>
          <w:tcPr>
            <w:tcW w:w="940" w:type="dxa"/>
            <w:vAlign w:val="bottom"/>
            <w:tcBorders>
              <w:top w:val="single" w:sz="8" w:color="auto"/>
            </w:tcBorders>
          </w:tcPr>
          <w:p>
            <w:pPr>
              <w:jc w:val="center"/>
              <w:spacing w:after="0" w:line="157" w:lineRule="exact"/>
              <w:rPr>
                <w:sz w:val="20"/>
                <w:szCs w:val="20"/>
                <w:color w:val="auto"/>
              </w:rPr>
            </w:pPr>
            <w:r>
              <w:rPr>
                <w:rFonts w:ascii="Arial" w:cs="Arial" w:eastAsia="Arial" w:hAnsi="Arial"/>
                <w:sz w:val="16"/>
                <w:szCs w:val="16"/>
                <w:b w:val="1"/>
                <w:bCs w:val="1"/>
                <w:color w:val="auto"/>
              </w:rPr>
              <w:t>115,772</w:t>
            </w:r>
          </w:p>
        </w:tc>
        <w:tc>
          <w:tcPr>
            <w:tcW w:w="980" w:type="dxa"/>
            <w:vAlign w:val="bottom"/>
            <w:tcBorders>
              <w:top w:val="single" w:sz="8" w:color="auto"/>
              <w:right w:val="single" w:sz="8" w:color="auto"/>
            </w:tcBorders>
          </w:tcPr>
          <w:p>
            <w:pPr>
              <w:jc w:val="center"/>
              <w:spacing w:after="0" w:line="157" w:lineRule="exact"/>
              <w:rPr>
                <w:sz w:val="20"/>
                <w:szCs w:val="20"/>
                <w:color w:val="auto"/>
              </w:rPr>
            </w:pPr>
            <w:r>
              <w:rPr>
                <w:rFonts w:ascii="Arial" w:cs="Arial" w:eastAsia="Arial" w:hAnsi="Arial"/>
                <w:sz w:val="16"/>
                <w:szCs w:val="16"/>
                <w:b w:val="1"/>
                <w:bCs w:val="1"/>
                <w:color w:val="auto"/>
              </w:rPr>
              <w:t>115,851</w:t>
            </w:r>
          </w:p>
        </w:tc>
        <w:tc>
          <w:tcPr>
            <w:tcW w:w="860" w:type="dxa"/>
            <w:vAlign w:val="bottom"/>
            <w:tcBorders>
              <w:top w:val="single" w:sz="8" w:color="auto"/>
            </w:tcBorders>
          </w:tcPr>
          <w:p>
            <w:pPr>
              <w:jc w:val="center"/>
              <w:spacing w:after="0" w:line="157" w:lineRule="exact"/>
              <w:rPr>
                <w:sz w:val="20"/>
                <w:szCs w:val="20"/>
                <w:color w:val="auto"/>
              </w:rPr>
            </w:pPr>
            <w:r>
              <w:rPr>
                <w:rFonts w:ascii="Arial" w:cs="Arial" w:eastAsia="Arial" w:hAnsi="Arial"/>
                <w:sz w:val="16"/>
                <w:szCs w:val="16"/>
                <w:b w:val="1"/>
                <w:bCs w:val="1"/>
                <w:color w:val="auto"/>
              </w:rPr>
              <w:t>79</w:t>
            </w:r>
          </w:p>
        </w:tc>
        <w:tc>
          <w:tcPr>
            <w:tcW w:w="860" w:type="dxa"/>
            <w:vAlign w:val="bottom"/>
            <w:tcBorders>
              <w:top w:val="single" w:sz="8" w:color="auto"/>
              <w:right w:val="single" w:sz="8" w:color="auto"/>
            </w:tcBorders>
          </w:tcPr>
          <w:p>
            <w:pPr>
              <w:jc w:val="center"/>
              <w:spacing w:after="0" w:line="157" w:lineRule="exact"/>
              <w:rPr>
                <w:sz w:val="20"/>
                <w:szCs w:val="20"/>
                <w:color w:val="auto"/>
              </w:rPr>
            </w:pPr>
            <w:r>
              <w:rPr>
                <w:rFonts w:ascii="Arial" w:cs="Arial" w:eastAsia="Arial" w:hAnsi="Arial"/>
                <w:sz w:val="16"/>
                <w:szCs w:val="16"/>
                <w:b w:val="1"/>
                <w:bCs w:val="1"/>
                <w:color w:val="auto"/>
              </w:rPr>
              <w:t>-7,135</w:t>
            </w:r>
          </w:p>
        </w:tc>
        <w:tc>
          <w:tcPr>
            <w:tcW w:w="880" w:type="dxa"/>
            <w:vAlign w:val="bottom"/>
            <w:tcBorders>
              <w:top w:val="single" w:sz="8" w:color="auto"/>
            </w:tcBorders>
          </w:tcPr>
          <w:p>
            <w:pPr>
              <w:jc w:val="center"/>
              <w:spacing w:after="0" w:line="157" w:lineRule="exact"/>
              <w:rPr>
                <w:sz w:val="20"/>
                <w:szCs w:val="20"/>
                <w:color w:val="auto"/>
              </w:rPr>
            </w:pPr>
            <w:r>
              <w:rPr>
                <w:rFonts w:ascii="Arial" w:cs="Arial" w:eastAsia="Arial" w:hAnsi="Arial"/>
                <w:sz w:val="16"/>
                <w:szCs w:val="16"/>
                <w:b w:val="1"/>
                <w:bCs w:val="1"/>
                <w:color w:val="auto"/>
              </w:rPr>
              <w:t>0.1%</w:t>
            </w:r>
          </w:p>
        </w:tc>
        <w:tc>
          <w:tcPr>
            <w:tcW w:w="960" w:type="dxa"/>
            <w:vAlign w:val="bottom"/>
            <w:tcBorders>
              <w:top w:val="single" w:sz="8" w:color="auto"/>
              <w:right w:val="single" w:sz="8" w:color="auto"/>
            </w:tcBorders>
          </w:tcPr>
          <w:p>
            <w:pPr>
              <w:jc w:val="center"/>
              <w:spacing w:after="0" w:line="157" w:lineRule="exact"/>
              <w:rPr>
                <w:sz w:val="20"/>
                <w:szCs w:val="20"/>
                <w:color w:val="auto"/>
              </w:rPr>
            </w:pPr>
            <w:r>
              <w:rPr>
                <w:rFonts w:ascii="Arial" w:cs="Arial" w:eastAsia="Arial" w:hAnsi="Arial"/>
                <w:sz w:val="16"/>
                <w:szCs w:val="16"/>
                <w:b w:val="1"/>
                <w:bCs w:val="1"/>
                <w:color w:val="auto"/>
              </w:rPr>
              <w:t>-5.8%</w:t>
            </w:r>
          </w:p>
        </w:tc>
        <w:tc>
          <w:tcPr>
            <w:tcW w:w="880" w:type="dxa"/>
            <w:vAlign w:val="bottom"/>
            <w:tcBorders>
              <w:top w:val="single" w:sz="8" w:color="auto"/>
            </w:tcBorders>
          </w:tcPr>
          <w:p>
            <w:pPr>
              <w:jc w:val="center"/>
              <w:spacing w:after="0" w:line="157" w:lineRule="exact"/>
              <w:rPr>
                <w:sz w:val="20"/>
                <w:szCs w:val="20"/>
                <w:color w:val="auto"/>
              </w:rPr>
            </w:pPr>
            <w:r>
              <w:rPr>
                <w:rFonts w:ascii="Arial" w:cs="Arial" w:eastAsia="Arial" w:hAnsi="Arial"/>
                <w:sz w:val="16"/>
                <w:szCs w:val="16"/>
                <w:b w:val="1"/>
                <w:bCs w:val="1"/>
                <w:color w:val="auto"/>
              </w:rPr>
              <w:t>82.3%</w:t>
            </w:r>
          </w:p>
        </w:tc>
        <w:tc>
          <w:tcPr>
            <w:tcW w:w="880" w:type="dxa"/>
            <w:vAlign w:val="bottom"/>
            <w:tcBorders>
              <w:top w:val="single" w:sz="8" w:color="auto"/>
            </w:tcBorders>
          </w:tcPr>
          <w:p>
            <w:pPr>
              <w:jc w:val="center"/>
              <w:spacing w:after="0" w:line="157" w:lineRule="exact"/>
              <w:rPr>
                <w:sz w:val="20"/>
                <w:szCs w:val="20"/>
                <w:color w:val="auto"/>
              </w:rPr>
            </w:pPr>
            <w:r>
              <w:rPr>
                <w:rFonts w:ascii="Arial" w:cs="Arial" w:eastAsia="Arial" w:hAnsi="Arial"/>
                <w:sz w:val="16"/>
                <w:szCs w:val="16"/>
                <w:b w:val="1"/>
                <w:bCs w:val="1"/>
                <w:color w:val="auto"/>
              </w:rPr>
              <w:t>81.5%</w:t>
            </w:r>
          </w:p>
        </w:tc>
        <w:tc>
          <w:tcPr>
            <w:tcW w:w="860" w:type="dxa"/>
            <w:vAlign w:val="bottom"/>
            <w:tcBorders>
              <w:top w:val="single" w:sz="8" w:color="auto"/>
              <w:right w:val="single" w:sz="8" w:color="auto"/>
            </w:tcBorders>
          </w:tcPr>
          <w:p>
            <w:pPr>
              <w:jc w:val="center"/>
              <w:spacing w:after="0" w:line="157" w:lineRule="exact"/>
              <w:rPr>
                <w:sz w:val="20"/>
                <w:szCs w:val="20"/>
                <w:color w:val="auto"/>
              </w:rPr>
            </w:pPr>
            <w:r>
              <w:rPr>
                <w:rFonts w:ascii="Arial" w:cs="Arial" w:eastAsia="Arial" w:hAnsi="Arial"/>
                <w:sz w:val="16"/>
                <w:szCs w:val="16"/>
                <w:b w:val="1"/>
                <w:bCs w:val="1"/>
                <w:color w:val="auto"/>
              </w:rPr>
              <w:t>81.5%</w:t>
            </w:r>
          </w:p>
        </w:tc>
        <w:tc>
          <w:tcPr>
            <w:tcW w:w="0" w:type="dxa"/>
            <w:vAlign w:val="bottom"/>
          </w:tcPr>
          <w:p>
            <w:pPr>
              <w:spacing w:after="0"/>
              <w:rPr>
                <w:sz w:val="1"/>
                <w:szCs w:val="1"/>
                <w:color w:val="auto"/>
              </w:rPr>
            </w:pPr>
          </w:p>
        </w:tc>
      </w:tr>
      <w:tr>
        <w:trPr>
          <w:trHeight w:val="193"/>
        </w:trPr>
        <w:tc>
          <w:tcPr>
            <w:tcW w:w="22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b w:val="1"/>
                <w:bCs w:val="1"/>
                <w:color w:val="auto"/>
              </w:rPr>
              <w:t>Wholesale Banking</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rPr>
              <w:t>58,318</w:t>
            </w: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rPr>
              <w:t>52,944</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52,796</w:t>
            </w: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rPr>
              <w:t>-148</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-5,522</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rPr>
              <w:t>-0.3%</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-9.5%</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rPr>
              <w:t>39.0%</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rPr>
              <w:t>37.3%</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37.1%</w:t>
            </w:r>
          </w:p>
        </w:tc>
        <w:tc>
          <w:tcPr>
            <w:tcW w:w="0" w:type="dxa"/>
            <w:vAlign w:val="bottom"/>
          </w:tcPr>
          <w:p>
            <w:pPr>
              <w:spacing w:after="0"/>
              <w:rPr>
                <w:sz w:val="1"/>
                <w:szCs w:val="1"/>
                <w:color w:val="auto"/>
              </w:rPr>
            </w:pPr>
          </w:p>
        </w:tc>
      </w:tr>
      <w:tr>
        <w:trPr>
          <w:trHeight w:val="185"/>
        </w:trPr>
        <w:tc>
          <w:tcPr>
            <w:tcW w:w="226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6"/>
                <w:szCs w:val="16"/>
                <w:color w:val="auto"/>
              </w:rPr>
              <w:t>Corporate</w:t>
            </w:r>
          </w:p>
        </w:tc>
        <w:tc>
          <w:tcPr>
            <w:tcW w:w="900" w:type="dxa"/>
            <w:vAlign w:val="bottom"/>
          </w:tcPr>
          <w:p>
            <w:pPr>
              <w:jc w:val="center"/>
              <w:spacing w:after="0"/>
              <w:rPr>
                <w:sz w:val="20"/>
                <w:szCs w:val="20"/>
                <w:color w:val="auto"/>
              </w:rPr>
            </w:pPr>
            <w:r>
              <w:rPr>
                <w:rFonts w:ascii="Arial" w:cs="Arial" w:eastAsia="Arial" w:hAnsi="Arial"/>
                <w:sz w:val="16"/>
                <w:szCs w:val="16"/>
                <w:color w:val="auto"/>
              </w:rPr>
              <w:t>34,180</w:t>
            </w:r>
          </w:p>
        </w:tc>
        <w:tc>
          <w:tcPr>
            <w:tcW w:w="940" w:type="dxa"/>
            <w:vAlign w:val="bottom"/>
          </w:tcPr>
          <w:p>
            <w:pPr>
              <w:jc w:val="center"/>
              <w:spacing w:after="0"/>
              <w:rPr>
                <w:sz w:val="20"/>
                <w:szCs w:val="20"/>
                <w:color w:val="auto"/>
              </w:rPr>
            </w:pPr>
            <w:r>
              <w:rPr>
                <w:rFonts w:ascii="Arial" w:cs="Arial" w:eastAsia="Arial" w:hAnsi="Arial"/>
                <w:sz w:val="16"/>
                <w:szCs w:val="16"/>
                <w:color w:val="auto"/>
              </w:rPr>
              <w:t>32,093</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31,134</w:t>
            </w:r>
          </w:p>
        </w:tc>
        <w:tc>
          <w:tcPr>
            <w:tcW w:w="860" w:type="dxa"/>
            <w:vAlign w:val="bottom"/>
            <w:shd w:val="clear" w:color="auto" w:fill="E93CAC"/>
          </w:tcPr>
          <w:p>
            <w:pPr>
              <w:jc w:val="center"/>
              <w:spacing w:after="0"/>
              <w:rPr>
                <w:sz w:val="20"/>
                <w:szCs w:val="20"/>
                <w:color w:val="auto"/>
              </w:rPr>
            </w:pPr>
            <w:r>
              <w:rPr>
                <w:rFonts w:ascii="Arial" w:cs="Arial" w:eastAsia="Arial" w:hAnsi="Arial"/>
                <w:sz w:val="16"/>
                <w:szCs w:val="16"/>
                <w:color w:val="auto"/>
              </w:rPr>
              <w:t>-959</w:t>
            </w:r>
          </w:p>
        </w:tc>
        <w:tc>
          <w:tcPr>
            <w:tcW w:w="860" w:type="dxa"/>
            <w:vAlign w:val="bottom"/>
            <w:tcBorders>
              <w:right w:val="single" w:sz="8" w:color="auto"/>
            </w:tcBorders>
            <w:shd w:val="clear" w:color="auto" w:fill="E93CAC"/>
          </w:tcPr>
          <w:p>
            <w:pPr>
              <w:jc w:val="center"/>
              <w:spacing w:after="0"/>
              <w:rPr>
                <w:sz w:val="20"/>
                <w:szCs w:val="20"/>
                <w:color w:val="auto"/>
              </w:rPr>
            </w:pPr>
            <w:r>
              <w:rPr>
                <w:rFonts w:ascii="Arial" w:cs="Arial" w:eastAsia="Arial" w:hAnsi="Arial"/>
                <w:sz w:val="16"/>
                <w:szCs w:val="16"/>
                <w:color w:val="auto"/>
              </w:rPr>
              <w:t>-3,046</w:t>
            </w:r>
          </w:p>
        </w:tc>
        <w:tc>
          <w:tcPr>
            <w:tcW w:w="880" w:type="dxa"/>
            <w:vAlign w:val="bottom"/>
          </w:tcPr>
          <w:p>
            <w:pPr>
              <w:jc w:val="center"/>
              <w:spacing w:after="0"/>
              <w:rPr>
                <w:sz w:val="20"/>
                <w:szCs w:val="20"/>
                <w:color w:val="auto"/>
              </w:rPr>
            </w:pPr>
            <w:r>
              <w:rPr>
                <w:rFonts w:ascii="Arial" w:cs="Arial" w:eastAsia="Arial" w:hAnsi="Arial"/>
                <w:sz w:val="16"/>
                <w:szCs w:val="16"/>
                <w:color w:val="auto"/>
              </w:rPr>
              <w:t>-3.0%</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-8.9%</w:t>
            </w:r>
          </w:p>
        </w:tc>
        <w:tc>
          <w:tcPr>
            <w:tcW w:w="880" w:type="dxa"/>
            <w:vAlign w:val="bottom"/>
          </w:tcPr>
          <w:p>
            <w:pPr>
              <w:jc w:val="center"/>
              <w:spacing w:after="0"/>
              <w:rPr>
                <w:sz w:val="20"/>
                <w:szCs w:val="20"/>
                <w:color w:val="auto"/>
              </w:rPr>
            </w:pPr>
            <w:r>
              <w:rPr>
                <w:rFonts w:ascii="Arial" w:cs="Arial" w:eastAsia="Arial" w:hAnsi="Arial"/>
                <w:sz w:val="16"/>
                <w:szCs w:val="16"/>
                <w:color w:val="auto"/>
              </w:rPr>
              <w:t>22.9%</w:t>
            </w:r>
          </w:p>
        </w:tc>
        <w:tc>
          <w:tcPr>
            <w:tcW w:w="880" w:type="dxa"/>
            <w:vAlign w:val="bottom"/>
          </w:tcPr>
          <w:p>
            <w:pPr>
              <w:jc w:val="center"/>
              <w:spacing w:after="0"/>
              <w:rPr>
                <w:sz w:val="20"/>
                <w:szCs w:val="20"/>
                <w:color w:val="auto"/>
              </w:rPr>
            </w:pPr>
            <w:r>
              <w:rPr>
                <w:rFonts w:ascii="Arial" w:cs="Arial" w:eastAsia="Arial" w:hAnsi="Arial"/>
                <w:sz w:val="16"/>
                <w:szCs w:val="16"/>
                <w:color w:val="auto"/>
              </w:rPr>
              <w:t>22.6%</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178"/>
        </w:trPr>
        <w:tc>
          <w:tcPr>
            <w:tcW w:w="2260" w:type="dxa"/>
            <w:vAlign w:val="bottom"/>
            <w:tcBorders>
              <w:left w:val="single" w:sz="8" w:color="auto"/>
              <w:right w:val="single" w:sz="8" w:color="auto"/>
            </w:tcBorders>
          </w:tcPr>
          <w:p>
            <w:pPr>
              <w:ind w:left="300"/>
              <w:spacing w:after="0" w:line="178" w:lineRule="exact"/>
              <w:rPr>
                <w:sz w:val="20"/>
                <w:szCs w:val="20"/>
                <w:color w:val="auto"/>
              </w:rPr>
            </w:pPr>
            <w:r>
              <w:rPr>
                <w:rFonts w:ascii="Arial" w:cs="Arial" w:eastAsia="Arial" w:hAnsi="Arial"/>
                <w:sz w:val="16"/>
                <w:szCs w:val="16"/>
                <w:color w:val="auto"/>
              </w:rPr>
              <w:t>Middle - Market</w:t>
            </w:r>
          </w:p>
        </w:tc>
        <w:tc>
          <w:tcPr>
            <w:tcW w:w="900" w:type="dxa"/>
            <w:vAlign w:val="bottom"/>
          </w:tcPr>
          <w:p>
            <w:pPr>
              <w:jc w:val="center"/>
              <w:spacing w:after="0" w:line="178" w:lineRule="exact"/>
              <w:rPr>
                <w:sz w:val="20"/>
                <w:szCs w:val="20"/>
                <w:color w:val="auto"/>
              </w:rPr>
            </w:pPr>
            <w:r>
              <w:rPr>
                <w:rFonts w:ascii="Arial" w:cs="Arial" w:eastAsia="Arial" w:hAnsi="Arial"/>
                <w:sz w:val="16"/>
                <w:szCs w:val="16"/>
                <w:color w:val="auto"/>
              </w:rPr>
              <w:t>24,138</w:t>
            </w:r>
          </w:p>
        </w:tc>
        <w:tc>
          <w:tcPr>
            <w:tcW w:w="940" w:type="dxa"/>
            <w:vAlign w:val="bottom"/>
          </w:tcPr>
          <w:p>
            <w:pPr>
              <w:jc w:val="center"/>
              <w:spacing w:after="0" w:line="178" w:lineRule="exact"/>
              <w:rPr>
                <w:sz w:val="20"/>
                <w:szCs w:val="20"/>
                <w:color w:val="auto"/>
              </w:rPr>
            </w:pPr>
            <w:r>
              <w:rPr>
                <w:rFonts w:ascii="Arial" w:cs="Arial" w:eastAsia="Arial" w:hAnsi="Arial"/>
                <w:sz w:val="16"/>
                <w:szCs w:val="16"/>
                <w:color w:val="auto"/>
              </w:rPr>
              <w:t>20,851</w:t>
            </w:r>
          </w:p>
        </w:tc>
        <w:tc>
          <w:tcPr>
            <w:tcW w:w="98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6"/>
                <w:szCs w:val="16"/>
                <w:color w:val="auto"/>
              </w:rPr>
              <w:t>21,662</w:t>
            </w:r>
          </w:p>
        </w:tc>
        <w:tc>
          <w:tcPr>
            <w:tcW w:w="860" w:type="dxa"/>
            <w:vAlign w:val="bottom"/>
            <w:tcBorders>
              <w:bottom w:val="single" w:sz="8" w:color="00D274"/>
            </w:tcBorders>
            <w:shd w:val="clear" w:color="auto" w:fill="00D274"/>
          </w:tcPr>
          <w:p>
            <w:pPr>
              <w:jc w:val="center"/>
              <w:spacing w:after="0" w:line="178" w:lineRule="exact"/>
              <w:rPr>
                <w:sz w:val="20"/>
                <w:szCs w:val="20"/>
                <w:color w:val="auto"/>
              </w:rPr>
            </w:pPr>
            <w:r>
              <w:rPr>
                <w:rFonts w:ascii="Arial" w:cs="Arial" w:eastAsia="Arial" w:hAnsi="Arial"/>
                <w:sz w:val="16"/>
                <w:szCs w:val="16"/>
                <w:color w:val="auto"/>
                <w:w w:val="97"/>
              </w:rPr>
              <w:t>811</w:t>
            </w:r>
          </w:p>
        </w:tc>
        <w:tc>
          <w:tcPr>
            <w:tcW w:w="860" w:type="dxa"/>
            <w:vAlign w:val="bottom"/>
            <w:tcBorders>
              <w:bottom w:val="single" w:sz="8" w:color="E93CAC"/>
              <w:right w:val="single" w:sz="8" w:color="auto"/>
            </w:tcBorders>
            <w:shd w:val="clear" w:color="auto" w:fill="E93CAC"/>
          </w:tcPr>
          <w:p>
            <w:pPr>
              <w:jc w:val="center"/>
              <w:spacing w:after="0" w:line="178" w:lineRule="exact"/>
              <w:rPr>
                <w:sz w:val="20"/>
                <w:szCs w:val="20"/>
                <w:color w:val="auto"/>
              </w:rPr>
            </w:pPr>
            <w:r>
              <w:rPr>
                <w:rFonts w:ascii="Arial" w:cs="Arial" w:eastAsia="Arial" w:hAnsi="Arial"/>
                <w:sz w:val="16"/>
                <w:szCs w:val="16"/>
                <w:color w:val="auto"/>
              </w:rPr>
              <w:t>-2,476</w:t>
            </w:r>
          </w:p>
        </w:tc>
        <w:tc>
          <w:tcPr>
            <w:tcW w:w="880" w:type="dxa"/>
            <w:vAlign w:val="bottom"/>
          </w:tcPr>
          <w:p>
            <w:pPr>
              <w:jc w:val="center"/>
              <w:spacing w:after="0" w:line="178" w:lineRule="exact"/>
              <w:rPr>
                <w:sz w:val="20"/>
                <w:szCs w:val="20"/>
                <w:color w:val="auto"/>
              </w:rPr>
            </w:pPr>
            <w:r>
              <w:rPr>
                <w:rFonts w:ascii="Arial" w:cs="Arial" w:eastAsia="Arial" w:hAnsi="Arial"/>
                <w:sz w:val="16"/>
                <w:szCs w:val="16"/>
                <w:color w:val="auto"/>
              </w:rPr>
              <w:t>3.9%</w:t>
            </w:r>
          </w:p>
        </w:tc>
        <w:tc>
          <w:tcPr>
            <w:tcW w:w="96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6"/>
                <w:szCs w:val="16"/>
                <w:color w:val="auto"/>
              </w:rPr>
              <w:t>-10.3%</w:t>
            </w:r>
          </w:p>
        </w:tc>
        <w:tc>
          <w:tcPr>
            <w:tcW w:w="880" w:type="dxa"/>
            <w:vAlign w:val="bottom"/>
          </w:tcPr>
          <w:p>
            <w:pPr>
              <w:jc w:val="center"/>
              <w:spacing w:after="0" w:line="178" w:lineRule="exact"/>
              <w:rPr>
                <w:sz w:val="20"/>
                <w:szCs w:val="20"/>
                <w:color w:val="auto"/>
              </w:rPr>
            </w:pPr>
            <w:r>
              <w:rPr>
                <w:rFonts w:ascii="Arial" w:cs="Arial" w:eastAsia="Arial" w:hAnsi="Arial"/>
                <w:sz w:val="16"/>
                <w:szCs w:val="16"/>
                <w:color w:val="auto"/>
              </w:rPr>
              <w:t>16.1%</w:t>
            </w:r>
          </w:p>
        </w:tc>
        <w:tc>
          <w:tcPr>
            <w:tcW w:w="880" w:type="dxa"/>
            <w:vAlign w:val="bottom"/>
          </w:tcPr>
          <w:p>
            <w:pPr>
              <w:jc w:val="center"/>
              <w:spacing w:after="0" w:line="178" w:lineRule="exact"/>
              <w:rPr>
                <w:sz w:val="20"/>
                <w:szCs w:val="20"/>
                <w:color w:val="auto"/>
              </w:rPr>
            </w:pPr>
            <w:r>
              <w:rPr>
                <w:rFonts w:ascii="Arial" w:cs="Arial" w:eastAsia="Arial" w:hAnsi="Arial"/>
                <w:sz w:val="16"/>
                <w:szCs w:val="16"/>
                <w:color w:val="auto"/>
              </w:rPr>
              <w:t>14.7%</w:t>
            </w:r>
          </w:p>
        </w:tc>
        <w:tc>
          <w:tcPr>
            <w:tcW w:w="86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173"/>
        </w:trPr>
        <w:tc>
          <w:tcPr>
            <w:tcW w:w="2260" w:type="dxa"/>
            <w:vAlign w:val="bottom"/>
            <w:tcBorders>
              <w:left w:val="single" w:sz="8" w:color="auto"/>
              <w:right w:val="single" w:sz="8" w:color="auto"/>
            </w:tcBorders>
          </w:tcPr>
          <w:p>
            <w:pPr>
              <w:ind w:left="160"/>
              <w:spacing w:after="0" w:line="173" w:lineRule="exact"/>
              <w:rPr>
                <w:sz w:val="20"/>
                <w:szCs w:val="20"/>
                <w:color w:val="auto"/>
              </w:rPr>
            </w:pPr>
            <w:r>
              <w:rPr>
                <w:rFonts w:ascii="Arial" w:cs="Arial" w:eastAsia="Arial" w:hAnsi="Arial"/>
                <w:sz w:val="16"/>
                <w:szCs w:val="16"/>
                <w:b w:val="1"/>
                <w:bCs w:val="1"/>
                <w:color w:val="auto"/>
              </w:rPr>
              <w:t>Retail Banking</w:t>
            </w:r>
          </w:p>
        </w:tc>
        <w:tc>
          <w:tcPr>
            <w:tcW w:w="900" w:type="dxa"/>
            <w:vAlign w:val="bottom"/>
          </w:tcPr>
          <w:p>
            <w:pPr>
              <w:jc w:val="center"/>
              <w:spacing w:after="0" w:line="173" w:lineRule="exact"/>
              <w:rPr>
                <w:sz w:val="20"/>
                <w:szCs w:val="20"/>
                <w:color w:val="auto"/>
              </w:rPr>
            </w:pPr>
            <w:r>
              <w:rPr>
                <w:rFonts w:ascii="Arial" w:cs="Arial" w:eastAsia="Arial" w:hAnsi="Arial"/>
                <w:sz w:val="16"/>
                <w:szCs w:val="16"/>
                <w:b w:val="1"/>
                <w:bCs w:val="1"/>
                <w:color w:val="auto"/>
              </w:rPr>
              <w:t>64,668</w:t>
            </w:r>
          </w:p>
        </w:tc>
        <w:tc>
          <w:tcPr>
            <w:tcW w:w="940" w:type="dxa"/>
            <w:vAlign w:val="bottom"/>
          </w:tcPr>
          <w:p>
            <w:pPr>
              <w:jc w:val="center"/>
              <w:spacing w:after="0" w:line="173" w:lineRule="exact"/>
              <w:rPr>
                <w:sz w:val="20"/>
                <w:szCs w:val="20"/>
                <w:color w:val="auto"/>
              </w:rPr>
            </w:pPr>
            <w:r>
              <w:rPr>
                <w:rFonts w:ascii="Arial" w:cs="Arial" w:eastAsia="Arial" w:hAnsi="Arial"/>
                <w:sz w:val="16"/>
                <w:szCs w:val="16"/>
                <w:b w:val="1"/>
                <w:bCs w:val="1"/>
                <w:color w:val="auto"/>
              </w:rPr>
              <w:t>62,828</w:t>
            </w:r>
          </w:p>
        </w:tc>
        <w:tc>
          <w:tcPr>
            <w:tcW w:w="980" w:type="dxa"/>
            <w:vAlign w:val="bottom"/>
            <w:tcBorders>
              <w:right w:val="single" w:sz="8" w:color="auto"/>
            </w:tcBorders>
          </w:tcPr>
          <w:p>
            <w:pPr>
              <w:jc w:val="center"/>
              <w:spacing w:after="0" w:line="173" w:lineRule="exact"/>
              <w:rPr>
                <w:sz w:val="20"/>
                <w:szCs w:val="20"/>
                <w:color w:val="auto"/>
              </w:rPr>
            </w:pPr>
            <w:r>
              <w:rPr>
                <w:rFonts w:ascii="Arial" w:cs="Arial" w:eastAsia="Arial" w:hAnsi="Arial"/>
                <w:sz w:val="16"/>
                <w:szCs w:val="16"/>
                <w:b w:val="1"/>
                <w:bCs w:val="1"/>
                <w:color w:val="auto"/>
              </w:rPr>
              <w:t>63,055</w:t>
            </w:r>
          </w:p>
        </w:tc>
        <w:tc>
          <w:tcPr>
            <w:tcW w:w="860" w:type="dxa"/>
            <w:vAlign w:val="bottom"/>
          </w:tcPr>
          <w:p>
            <w:pPr>
              <w:jc w:val="center"/>
              <w:spacing w:after="0" w:line="173" w:lineRule="exact"/>
              <w:rPr>
                <w:sz w:val="20"/>
                <w:szCs w:val="20"/>
                <w:color w:val="auto"/>
              </w:rPr>
            </w:pPr>
            <w:r>
              <w:rPr>
                <w:rFonts w:ascii="Arial" w:cs="Arial" w:eastAsia="Arial" w:hAnsi="Arial"/>
                <w:sz w:val="16"/>
                <w:szCs w:val="16"/>
                <w:b w:val="1"/>
                <w:bCs w:val="1"/>
                <w:color w:val="auto"/>
              </w:rPr>
              <w:t>227</w:t>
            </w:r>
          </w:p>
        </w:tc>
        <w:tc>
          <w:tcPr>
            <w:tcW w:w="860" w:type="dxa"/>
            <w:vAlign w:val="bottom"/>
            <w:tcBorders>
              <w:right w:val="single" w:sz="8" w:color="auto"/>
            </w:tcBorders>
          </w:tcPr>
          <w:p>
            <w:pPr>
              <w:jc w:val="center"/>
              <w:spacing w:after="0" w:line="173" w:lineRule="exact"/>
              <w:rPr>
                <w:sz w:val="20"/>
                <w:szCs w:val="20"/>
                <w:color w:val="auto"/>
              </w:rPr>
            </w:pPr>
            <w:r>
              <w:rPr>
                <w:rFonts w:ascii="Arial" w:cs="Arial" w:eastAsia="Arial" w:hAnsi="Arial"/>
                <w:sz w:val="16"/>
                <w:szCs w:val="16"/>
                <w:b w:val="1"/>
                <w:bCs w:val="1"/>
                <w:color w:val="auto"/>
              </w:rPr>
              <w:t>-1,613</w:t>
            </w:r>
          </w:p>
        </w:tc>
        <w:tc>
          <w:tcPr>
            <w:tcW w:w="880" w:type="dxa"/>
            <w:vAlign w:val="bottom"/>
          </w:tcPr>
          <w:p>
            <w:pPr>
              <w:jc w:val="center"/>
              <w:spacing w:after="0" w:line="173" w:lineRule="exact"/>
              <w:rPr>
                <w:sz w:val="20"/>
                <w:szCs w:val="20"/>
                <w:color w:val="auto"/>
              </w:rPr>
            </w:pPr>
            <w:r>
              <w:rPr>
                <w:rFonts w:ascii="Arial" w:cs="Arial" w:eastAsia="Arial" w:hAnsi="Arial"/>
                <w:sz w:val="16"/>
                <w:szCs w:val="16"/>
                <w:b w:val="1"/>
                <w:bCs w:val="1"/>
                <w:color w:val="auto"/>
              </w:rPr>
              <w:t>0.4%</w:t>
            </w:r>
          </w:p>
        </w:tc>
        <w:tc>
          <w:tcPr>
            <w:tcW w:w="960" w:type="dxa"/>
            <w:vAlign w:val="bottom"/>
            <w:tcBorders>
              <w:right w:val="single" w:sz="8" w:color="auto"/>
            </w:tcBorders>
          </w:tcPr>
          <w:p>
            <w:pPr>
              <w:jc w:val="center"/>
              <w:spacing w:after="0" w:line="173" w:lineRule="exact"/>
              <w:rPr>
                <w:sz w:val="20"/>
                <w:szCs w:val="20"/>
                <w:color w:val="auto"/>
              </w:rPr>
            </w:pPr>
            <w:r>
              <w:rPr>
                <w:rFonts w:ascii="Arial" w:cs="Arial" w:eastAsia="Arial" w:hAnsi="Arial"/>
                <w:sz w:val="16"/>
                <w:szCs w:val="16"/>
                <w:b w:val="1"/>
                <w:bCs w:val="1"/>
                <w:color w:val="auto"/>
              </w:rPr>
              <w:t>-2.5%</w:t>
            </w:r>
          </w:p>
        </w:tc>
        <w:tc>
          <w:tcPr>
            <w:tcW w:w="880" w:type="dxa"/>
            <w:vAlign w:val="bottom"/>
          </w:tcPr>
          <w:p>
            <w:pPr>
              <w:jc w:val="center"/>
              <w:spacing w:after="0" w:line="173" w:lineRule="exact"/>
              <w:rPr>
                <w:sz w:val="20"/>
                <w:szCs w:val="20"/>
                <w:color w:val="auto"/>
              </w:rPr>
            </w:pPr>
            <w:r>
              <w:rPr>
                <w:rFonts w:ascii="Arial" w:cs="Arial" w:eastAsia="Arial" w:hAnsi="Arial"/>
                <w:sz w:val="16"/>
                <w:szCs w:val="16"/>
                <w:b w:val="1"/>
                <w:bCs w:val="1"/>
                <w:color w:val="auto"/>
              </w:rPr>
              <w:t>43.3%</w:t>
            </w:r>
          </w:p>
        </w:tc>
        <w:tc>
          <w:tcPr>
            <w:tcW w:w="880" w:type="dxa"/>
            <w:vAlign w:val="bottom"/>
          </w:tcPr>
          <w:p>
            <w:pPr>
              <w:jc w:val="center"/>
              <w:spacing w:after="0" w:line="173" w:lineRule="exact"/>
              <w:rPr>
                <w:sz w:val="20"/>
                <w:szCs w:val="20"/>
                <w:color w:val="auto"/>
              </w:rPr>
            </w:pPr>
            <w:r>
              <w:rPr>
                <w:rFonts w:ascii="Arial" w:cs="Arial" w:eastAsia="Arial" w:hAnsi="Arial"/>
                <w:sz w:val="16"/>
                <w:szCs w:val="16"/>
                <w:b w:val="1"/>
                <w:bCs w:val="1"/>
                <w:color w:val="auto"/>
              </w:rPr>
              <w:t>44.2%</w:t>
            </w:r>
          </w:p>
        </w:tc>
        <w:tc>
          <w:tcPr>
            <w:tcW w:w="860" w:type="dxa"/>
            <w:vAlign w:val="bottom"/>
            <w:tcBorders>
              <w:right w:val="single" w:sz="8" w:color="auto"/>
            </w:tcBorders>
          </w:tcPr>
          <w:p>
            <w:pPr>
              <w:jc w:val="center"/>
              <w:spacing w:after="0" w:line="173" w:lineRule="exact"/>
              <w:rPr>
                <w:sz w:val="20"/>
                <w:szCs w:val="20"/>
                <w:color w:val="auto"/>
              </w:rPr>
            </w:pPr>
            <w:r>
              <w:rPr>
                <w:rFonts w:ascii="Arial" w:cs="Arial" w:eastAsia="Arial" w:hAnsi="Arial"/>
                <w:sz w:val="16"/>
                <w:szCs w:val="16"/>
                <w:b w:val="1"/>
                <w:bCs w:val="1"/>
                <w:color w:val="auto"/>
              </w:rPr>
              <w:t>44.3%</w:t>
            </w:r>
          </w:p>
        </w:tc>
        <w:tc>
          <w:tcPr>
            <w:tcW w:w="0" w:type="dxa"/>
            <w:vAlign w:val="bottom"/>
          </w:tcPr>
          <w:p>
            <w:pPr>
              <w:spacing w:after="0"/>
              <w:rPr>
                <w:sz w:val="1"/>
                <w:szCs w:val="1"/>
                <w:color w:val="auto"/>
              </w:rPr>
            </w:pPr>
          </w:p>
        </w:tc>
      </w:tr>
      <w:tr>
        <w:trPr>
          <w:trHeight w:val="185"/>
        </w:trPr>
        <w:tc>
          <w:tcPr>
            <w:tcW w:w="226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6"/>
                <w:szCs w:val="16"/>
                <w:color w:val="auto"/>
              </w:rPr>
              <w:t>SME - Business</w:t>
            </w:r>
          </w:p>
        </w:tc>
        <w:tc>
          <w:tcPr>
            <w:tcW w:w="900" w:type="dxa"/>
            <w:vAlign w:val="bottom"/>
          </w:tcPr>
          <w:p>
            <w:pPr>
              <w:jc w:val="center"/>
              <w:spacing w:after="0"/>
              <w:rPr>
                <w:sz w:val="20"/>
                <w:szCs w:val="20"/>
                <w:color w:val="auto"/>
              </w:rPr>
            </w:pPr>
            <w:r>
              <w:rPr>
                <w:rFonts w:ascii="Arial" w:cs="Arial" w:eastAsia="Arial" w:hAnsi="Arial"/>
                <w:sz w:val="16"/>
                <w:szCs w:val="16"/>
                <w:color w:val="auto"/>
              </w:rPr>
              <w:t>9,156</w:t>
            </w:r>
          </w:p>
        </w:tc>
        <w:tc>
          <w:tcPr>
            <w:tcW w:w="940" w:type="dxa"/>
            <w:vAlign w:val="bottom"/>
          </w:tcPr>
          <w:p>
            <w:pPr>
              <w:jc w:val="center"/>
              <w:spacing w:after="0"/>
              <w:rPr>
                <w:sz w:val="20"/>
                <w:szCs w:val="20"/>
                <w:color w:val="auto"/>
              </w:rPr>
            </w:pPr>
            <w:r>
              <w:rPr>
                <w:rFonts w:ascii="Arial" w:cs="Arial" w:eastAsia="Arial" w:hAnsi="Arial"/>
                <w:sz w:val="16"/>
                <w:szCs w:val="16"/>
                <w:color w:val="auto"/>
              </w:rPr>
              <w:t>7,420</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7,292</w:t>
            </w:r>
          </w:p>
        </w:tc>
        <w:tc>
          <w:tcPr>
            <w:tcW w:w="860" w:type="dxa"/>
            <w:vAlign w:val="bottom"/>
          </w:tcPr>
          <w:p>
            <w:pPr>
              <w:jc w:val="center"/>
              <w:spacing w:after="0"/>
              <w:rPr>
                <w:sz w:val="20"/>
                <w:szCs w:val="20"/>
                <w:color w:val="auto"/>
              </w:rPr>
            </w:pPr>
            <w:r>
              <w:rPr>
                <w:rFonts w:ascii="Arial" w:cs="Arial" w:eastAsia="Arial" w:hAnsi="Arial"/>
                <w:sz w:val="16"/>
                <w:szCs w:val="16"/>
                <w:color w:val="auto"/>
              </w:rPr>
              <w:t>-129</w:t>
            </w:r>
          </w:p>
        </w:tc>
        <w:tc>
          <w:tcPr>
            <w:tcW w:w="860" w:type="dxa"/>
            <w:vAlign w:val="bottom"/>
            <w:tcBorders>
              <w:right w:val="single" w:sz="8" w:color="auto"/>
            </w:tcBorders>
            <w:shd w:val="clear" w:color="auto" w:fill="E93CAC"/>
          </w:tcPr>
          <w:p>
            <w:pPr>
              <w:jc w:val="center"/>
              <w:spacing w:after="0"/>
              <w:rPr>
                <w:sz w:val="20"/>
                <w:szCs w:val="20"/>
                <w:color w:val="auto"/>
              </w:rPr>
            </w:pPr>
            <w:r>
              <w:rPr>
                <w:rFonts w:ascii="Arial" w:cs="Arial" w:eastAsia="Arial" w:hAnsi="Arial"/>
                <w:sz w:val="16"/>
                <w:szCs w:val="16"/>
                <w:color w:val="auto"/>
              </w:rPr>
              <w:t>-1,864</w:t>
            </w:r>
          </w:p>
        </w:tc>
        <w:tc>
          <w:tcPr>
            <w:tcW w:w="880" w:type="dxa"/>
            <w:vAlign w:val="bottom"/>
          </w:tcPr>
          <w:p>
            <w:pPr>
              <w:jc w:val="center"/>
              <w:spacing w:after="0"/>
              <w:rPr>
                <w:sz w:val="20"/>
                <w:szCs w:val="20"/>
                <w:color w:val="auto"/>
              </w:rPr>
            </w:pPr>
            <w:r>
              <w:rPr>
                <w:rFonts w:ascii="Arial" w:cs="Arial" w:eastAsia="Arial" w:hAnsi="Arial"/>
                <w:sz w:val="16"/>
                <w:szCs w:val="16"/>
                <w:color w:val="auto"/>
              </w:rPr>
              <w:t>-1.7%</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-20.4%</w:t>
            </w:r>
          </w:p>
        </w:tc>
        <w:tc>
          <w:tcPr>
            <w:tcW w:w="880" w:type="dxa"/>
            <w:vAlign w:val="bottom"/>
          </w:tcPr>
          <w:p>
            <w:pPr>
              <w:jc w:val="center"/>
              <w:spacing w:after="0"/>
              <w:rPr>
                <w:sz w:val="20"/>
                <w:szCs w:val="20"/>
                <w:color w:val="auto"/>
              </w:rPr>
            </w:pPr>
            <w:r>
              <w:rPr>
                <w:rFonts w:ascii="Arial" w:cs="Arial" w:eastAsia="Arial" w:hAnsi="Arial"/>
                <w:sz w:val="16"/>
                <w:szCs w:val="16"/>
                <w:color w:val="auto"/>
              </w:rPr>
              <w:t>6.1%</w:t>
            </w:r>
          </w:p>
        </w:tc>
        <w:tc>
          <w:tcPr>
            <w:tcW w:w="880" w:type="dxa"/>
            <w:vAlign w:val="bottom"/>
          </w:tcPr>
          <w:p>
            <w:pPr>
              <w:jc w:val="center"/>
              <w:spacing w:after="0"/>
              <w:rPr>
                <w:sz w:val="20"/>
                <w:szCs w:val="20"/>
                <w:color w:val="auto"/>
              </w:rPr>
            </w:pPr>
            <w:r>
              <w:rPr>
                <w:rFonts w:ascii="Arial" w:cs="Arial" w:eastAsia="Arial" w:hAnsi="Arial"/>
                <w:sz w:val="16"/>
                <w:szCs w:val="16"/>
                <w:color w:val="auto"/>
              </w:rPr>
              <w:t>5.2%</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5.1%</w:t>
            </w:r>
          </w:p>
        </w:tc>
        <w:tc>
          <w:tcPr>
            <w:tcW w:w="0" w:type="dxa"/>
            <w:vAlign w:val="bottom"/>
          </w:tcPr>
          <w:p>
            <w:pPr>
              <w:spacing w:after="0"/>
              <w:rPr>
                <w:sz w:val="1"/>
                <w:szCs w:val="1"/>
                <w:color w:val="auto"/>
              </w:rPr>
            </w:pPr>
          </w:p>
        </w:tc>
      </w:tr>
      <w:tr>
        <w:trPr>
          <w:trHeight w:val="185"/>
        </w:trPr>
        <w:tc>
          <w:tcPr>
            <w:tcW w:w="226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6"/>
                <w:szCs w:val="16"/>
                <w:color w:val="auto"/>
              </w:rPr>
              <w:t>SME - Pyme</w:t>
            </w:r>
          </w:p>
        </w:tc>
        <w:tc>
          <w:tcPr>
            <w:tcW w:w="900" w:type="dxa"/>
            <w:vAlign w:val="bottom"/>
          </w:tcPr>
          <w:p>
            <w:pPr>
              <w:jc w:val="center"/>
              <w:spacing w:after="0"/>
              <w:rPr>
                <w:sz w:val="20"/>
                <w:szCs w:val="20"/>
                <w:color w:val="auto"/>
              </w:rPr>
            </w:pPr>
            <w:r>
              <w:rPr>
                <w:rFonts w:ascii="Arial" w:cs="Arial" w:eastAsia="Arial" w:hAnsi="Arial"/>
                <w:sz w:val="16"/>
                <w:szCs w:val="16"/>
                <w:color w:val="auto"/>
              </w:rPr>
              <w:t>18,538</w:t>
            </w:r>
          </w:p>
        </w:tc>
        <w:tc>
          <w:tcPr>
            <w:tcW w:w="940" w:type="dxa"/>
            <w:vAlign w:val="bottom"/>
          </w:tcPr>
          <w:p>
            <w:pPr>
              <w:jc w:val="center"/>
              <w:spacing w:after="0"/>
              <w:rPr>
                <w:sz w:val="20"/>
                <w:szCs w:val="20"/>
                <w:color w:val="auto"/>
              </w:rPr>
            </w:pPr>
            <w:r>
              <w:rPr>
                <w:rFonts w:ascii="Arial" w:cs="Arial" w:eastAsia="Arial" w:hAnsi="Arial"/>
                <w:sz w:val="16"/>
                <w:szCs w:val="16"/>
                <w:color w:val="auto"/>
              </w:rPr>
              <w:t>16,497</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16,549</w:t>
            </w:r>
          </w:p>
        </w:tc>
        <w:tc>
          <w:tcPr>
            <w:tcW w:w="860" w:type="dxa"/>
            <w:vAlign w:val="bottom"/>
          </w:tcPr>
          <w:p>
            <w:pPr>
              <w:jc w:val="center"/>
              <w:spacing w:after="0"/>
              <w:rPr>
                <w:sz w:val="20"/>
                <w:szCs w:val="20"/>
                <w:color w:val="auto"/>
              </w:rPr>
            </w:pPr>
            <w:r>
              <w:rPr>
                <w:rFonts w:ascii="Arial" w:cs="Arial" w:eastAsia="Arial" w:hAnsi="Arial"/>
                <w:sz w:val="16"/>
                <w:szCs w:val="16"/>
                <w:color w:val="auto"/>
              </w:rPr>
              <w:t>52</w:t>
            </w:r>
          </w:p>
        </w:tc>
        <w:tc>
          <w:tcPr>
            <w:tcW w:w="860" w:type="dxa"/>
            <w:vAlign w:val="bottom"/>
            <w:tcBorders>
              <w:right w:val="single" w:sz="8" w:color="auto"/>
            </w:tcBorders>
            <w:shd w:val="clear" w:color="auto" w:fill="E93CAC"/>
          </w:tcPr>
          <w:p>
            <w:pPr>
              <w:jc w:val="center"/>
              <w:spacing w:after="0"/>
              <w:rPr>
                <w:sz w:val="20"/>
                <w:szCs w:val="20"/>
                <w:color w:val="auto"/>
              </w:rPr>
            </w:pPr>
            <w:r>
              <w:rPr>
                <w:rFonts w:ascii="Arial" w:cs="Arial" w:eastAsia="Arial" w:hAnsi="Arial"/>
                <w:sz w:val="16"/>
                <w:szCs w:val="16"/>
                <w:color w:val="auto"/>
              </w:rPr>
              <w:t>-1,990</w:t>
            </w:r>
          </w:p>
        </w:tc>
        <w:tc>
          <w:tcPr>
            <w:tcW w:w="880" w:type="dxa"/>
            <w:vAlign w:val="bottom"/>
          </w:tcPr>
          <w:p>
            <w:pPr>
              <w:jc w:val="center"/>
              <w:spacing w:after="0"/>
              <w:rPr>
                <w:sz w:val="20"/>
                <w:szCs w:val="20"/>
                <w:color w:val="auto"/>
              </w:rPr>
            </w:pPr>
            <w:r>
              <w:rPr>
                <w:rFonts w:ascii="Arial" w:cs="Arial" w:eastAsia="Arial" w:hAnsi="Arial"/>
                <w:sz w:val="16"/>
                <w:szCs w:val="16"/>
                <w:color w:val="auto"/>
              </w:rPr>
              <w:t>0.3%</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-10.7%</w:t>
            </w:r>
          </w:p>
        </w:tc>
        <w:tc>
          <w:tcPr>
            <w:tcW w:w="880" w:type="dxa"/>
            <w:vAlign w:val="bottom"/>
          </w:tcPr>
          <w:p>
            <w:pPr>
              <w:jc w:val="center"/>
              <w:spacing w:after="0"/>
              <w:rPr>
                <w:sz w:val="20"/>
                <w:szCs w:val="20"/>
                <w:color w:val="auto"/>
              </w:rPr>
            </w:pPr>
            <w:r>
              <w:rPr>
                <w:rFonts w:ascii="Arial" w:cs="Arial" w:eastAsia="Arial" w:hAnsi="Arial"/>
                <w:sz w:val="16"/>
                <w:szCs w:val="16"/>
                <w:color w:val="auto"/>
              </w:rPr>
              <w:t>12.4%</w:t>
            </w:r>
          </w:p>
        </w:tc>
        <w:tc>
          <w:tcPr>
            <w:tcW w:w="880" w:type="dxa"/>
            <w:vAlign w:val="bottom"/>
          </w:tcPr>
          <w:p>
            <w:pPr>
              <w:jc w:val="center"/>
              <w:spacing w:after="0"/>
              <w:rPr>
                <w:sz w:val="20"/>
                <w:szCs w:val="20"/>
                <w:color w:val="auto"/>
              </w:rPr>
            </w:pPr>
            <w:r>
              <w:rPr>
                <w:rFonts w:ascii="Arial" w:cs="Arial" w:eastAsia="Arial" w:hAnsi="Arial"/>
                <w:sz w:val="16"/>
                <w:szCs w:val="16"/>
                <w:color w:val="auto"/>
              </w:rPr>
              <w:t>11.6%</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11.6%</w:t>
            </w:r>
          </w:p>
        </w:tc>
        <w:tc>
          <w:tcPr>
            <w:tcW w:w="0" w:type="dxa"/>
            <w:vAlign w:val="bottom"/>
          </w:tcPr>
          <w:p>
            <w:pPr>
              <w:spacing w:after="0"/>
              <w:rPr>
                <w:sz w:val="1"/>
                <w:szCs w:val="1"/>
                <w:color w:val="auto"/>
              </w:rPr>
            </w:pPr>
          </w:p>
        </w:tc>
      </w:tr>
      <w:tr>
        <w:trPr>
          <w:trHeight w:val="198"/>
        </w:trPr>
        <w:tc>
          <w:tcPr>
            <w:tcW w:w="226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6"/>
                <w:szCs w:val="16"/>
                <w:color w:val="auto"/>
              </w:rPr>
              <w:t>Mortgage</w:t>
            </w:r>
          </w:p>
        </w:tc>
        <w:tc>
          <w:tcPr>
            <w:tcW w:w="900" w:type="dxa"/>
            <w:vAlign w:val="bottom"/>
          </w:tcPr>
          <w:p>
            <w:pPr>
              <w:jc w:val="center"/>
              <w:spacing w:after="0"/>
              <w:rPr>
                <w:sz w:val="20"/>
                <w:szCs w:val="20"/>
                <w:color w:val="auto"/>
              </w:rPr>
            </w:pPr>
            <w:r>
              <w:rPr>
                <w:rFonts w:ascii="Arial" w:cs="Arial" w:eastAsia="Arial" w:hAnsi="Arial"/>
                <w:sz w:val="16"/>
                <w:szCs w:val="16"/>
                <w:color w:val="auto"/>
              </w:rPr>
              <w:t>19,736</w:t>
            </w:r>
          </w:p>
        </w:tc>
        <w:tc>
          <w:tcPr>
            <w:tcW w:w="940" w:type="dxa"/>
            <w:vAlign w:val="bottom"/>
          </w:tcPr>
          <w:p>
            <w:pPr>
              <w:jc w:val="center"/>
              <w:spacing w:after="0"/>
              <w:rPr>
                <w:sz w:val="20"/>
                <w:szCs w:val="20"/>
                <w:color w:val="auto"/>
              </w:rPr>
            </w:pPr>
            <w:r>
              <w:rPr>
                <w:rFonts w:ascii="Arial" w:cs="Arial" w:eastAsia="Arial" w:hAnsi="Arial"/>
                <w:sz w:val="16"/>
                <w:szCs w:val="16"/>
                <w:color w:val="auto"/>
              </w:rPr>
              <w:t>20,448</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20,712</w:t>
            </w:r>
          </w:p>
        </w:tc>
        <w:tc>
          <w:tcPr>
            <w:tcW w:w="860" w:type="dxa"/>
            <w:vAlign w:val="bottom"/>
          </w:tcPr>
          <w:p>
            <w:pPr>
              <w:jc w:val="center"/>
              <w:spacing w:after="0"/>
              <w:rPr>
                <w:sz w:val="20"/>
                <w:szCs w:val="20"/>
                <w:color w:val="auto"/>
              </w:rPr>
            </w:pPr>
            <w:r>
              <w:rPr>
                <w:rFonts w:ascii="Arial" w:cs="Arial" w:eastAsia="Arial" w:hAnsi="Arial"/>
                <w:sz w:val="16"/>
                <w:szCs w:val="16"/>
                <w:color w:val="auto"/>
              </w:rPr>
              <w:t>264</w:t>
            </w:r>
          </w:p>
        </w:tc>
        <w:tc>
          <w:tcPr>
            <w:tcW w:w="860" w:type="dxa"/>
            <w:vAlign w:val="bottom"/>
            <w:tcBorders>
              <w:right w:val="single" w:sz="8" w:color="auto"/>
            </w:tcBorders>
            <w:shd w:val="clear" w:color="auto" w:fill="00D274"/>
          </w:tcPr>
          <w:p>
            <w:pPr>
              <w:jc w:val="center"/>
              <w:spacing w:after="0"/>
              <w:rPr>
                <w:sz w:val="20"/>
                <w:szCs w:val="20"/>
                <w:color w:val="auto"/>
              </w:rPr>
            </w:pPr>
            <w:r>
              <w:rPr>
                <w:rFonts w:ascii="Arial" w:cs="Arial" w:eastAsia="Arial" w:hAnsi="Arial"/>
                <w:sz w:val="16"/>
                <w:szCs w:val="16"/>
                <w:color w:val="auto"/>
              </w:rPr>
              <w:t>976</w:t>
            </w:r>
          </w:p>
        </w:tc>
        <w:tc>
          <w:tcPr>
            <w:tcW w:w="880" w:type="dxa"/>
            <w:vAlign w:val="bottom"/>
          </w:tcPr>
          <w:p>
            <w:pPr>
              <w:jc w:val="center"/>
              <w:spacing w:after="0"/>
              <w:rPr>
                <w:sz w:val="20"/>
                <w:szCs w:val="20"/>
                <w:color w:val="auto"/>
              </w:rPr>
            </w:pPr>
            <w:r>
              <w:rPr>
                <w:rFonts w:ascii="Arial" w:cs="Arial" w:eastAsia="Arial" w:hAnsi="Arial"/>
                <w:sz w:val="16"/>
                <w:szCs w:val="16"/>
                <w:color w:val="auto"/>
              </w:rPr>
              <w:t>1.3%</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4.9%</w:t>
            </w:r>
          </w:p>
        </w:tc>
        <w:tc>
          <w:tcPr>
            <w:tcW w:w="880" w:type="dxa"/>
            <w:vAlign w:val="bottom"/>
          </w:tcPr>
          <w:p>
            <w:pPr>
              <w:jc w:val="center"/>
              <w:spacing w:after="0"/>
              <w:rPr>
                <w:sz w:val="20"/>
                <w:szCs w:val="20"/>
                <w:color w:val="auto"/>
              </w:rPr>
            </w:pPr>
            <w:r>
              <w:rPr>
                <w:rFonts w:ascii="Arial" w:cs="Arial" w:eastAsia="Arial" w:hAnsi="Arial"/>
                <w:sz w:val="16"/>
                <w:szCs w:val="16"/>
                <w:color w:val="auto"/>
              </w:rPr>
              <w:t>13.2%</w:t>
            </w:r>
          </w:p>
        </w:tc>
        <w:tc>
          <w:tcPr>
            <w:tcW w:w="880" w:type="dxa"/>
            <w:vAlign w:val="bottom"/>
          </w:tcPr>
          <w:p>
            <w:pPr>
              <w:jc w:val="center"/>
              <w:spacing w:after="0"/>
              <w:rPr>
                <w:sz w:val="20"/>
                <w:szCs w:val="20"/>
                <w:color w:val="auto"/>
              </w:rPr>
            </w:pPr>
            <w:r>
              <w:rPr>
                <w:rFonts w:ascii="Arial" w:cs="Arial" w:eastAsia="Arial" w:hAnsi="Arial"/>
                <w:sz w:val="16"/>
                <w:szCs w:val="16"/>
                <w:color w:val="auto"/>
              </w:rPr>
              <w:t>14.4%</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173"/>
        </w:trPr>
        <w:tc>
          <w:tcPr>
            <w:tcW w:w="2260" w:type="dxa"/>
            <w:vAlign w:val="bottom"/>
            <w:tcBorders>
              <w:left w:val="single" w:sz="8" w:color="auto"/>
              <w:right w:val="single" w:sz="8" w:color="auto"/>
            </w:tcBorders>
          </w:tcPr>
          <w:p>
            <w:pPr>
              <w:ind w:left="300"/>
              <w:spacing w:after="0" w:line="173" w:lineRule="exact"/>
              <w:rPr>
                <w:sz w:val="20"/>
                <w:szCs w:val="20"/>
                <w:color w:val="auto"/>
              </w:rPr>
            </w:pPr>
            <w:r>
              <w:rPr>
                <w:rFonts w:ascii="Arial" w:cs="Arial" w:eastAsia="Arial" w:hAnsi="Arial"/>
                <w:sz w:val="16"/>
                <w:szCs w:val="16"/>
                <w:color w:val="auto"/>
              </w:rPr>
              <w:t>Consumer</w:t>
            </w:r>
          </w:p>
        </w:tc>
        <w:tc>
          <w:tcPr>
            <w:tcW w:w="900" w:type="dxa"/>
            <w:vAlign w:val="bottom"/>
          </w:tcPr>
          <w:p>
            <w:pPr>
              <w:jc w:val="center"/>
              <w:spacing w:after="0" w:line="173" w:lineRule="exact"/>
              <w:rPr>
                <w:sz w:val="20"/>
                <w:szCs w:val="20"/>
                <w:color w:val="auto"/>
              </w:rPr>
            </w:pPr>
            <w:r>
              <w:rPr>
                <w:rFonts w:ascii="Arial" w:cs="Arial" w:eastAsia="Arial" w:hAnsi="Arial"/>
                <w:sz w:val="16"/>
                <w:szCs w:val="16"/>
                <w:color w:val="auto"/>
              </w:rPr>
              <w:t>12,446</w:t>
            </w:r>
          </w:p>
        </w:tc>
        <w:tc>
          <w:tcPr>
            <w:tcW w:w="940" w:type="dxa"/>
            <w:vAlign w:val="bottom"/>
          </w:tcPr>
          <w:p>
            <w:pPr>
              <w:jc w:val="center"/>
              <w:spacing w:after="0" w:line="173" w:lineRule="exact"/>
              <w:rPr>
                <w:sz w:val="20"/>
                <w:szCs w:val="20"/>
                <w:color w:val="auto"/>
              </w:rPr>
            </w:pPr>
            <w:r>
              <w:rPr>
                <w:rFonts w:ascii="Arial" w:cs="Arial" w:eastAsia="Arial" w:hAnsi="Arial"/>
                <w:sz w:val="16"/>
                <w:szCs w:val="16"/>
                <w:color w:val="auto"/>
              </w:rPr>
              <w:t>12,771</w:t>
            </w:r>
          </w:p>
        </w:tc>
        <w:tc>
          <w:tcPr>
            <w:tcW w:w="980" w:type="dxa"/>
            <w:vAlign w:val="bottom"/>
            <w:tcBorders>
              <w:right w:val="single" w:sz="8" w:color="auto"/>
            </w:tcBorders>
          </w:tcPr>
          <w:p>
            <w:pPr>
              <w:jc w:val="center"/>
              <w:spacing w:after="0" w:line="173" w:lineRule="exact"/>
              <w:rPr>
                <w:sz w:val="20"/>
                <w:szCs w:val="20"/>
                <w:color w:val="auto"/>
              </w:rPr>
            </w:pPr>
            <w:r>
              <w:rPr>
                <w:rFonts w:ascii="Arial" w:cs="Arial" w:eastAsia="Arial" w:hAnsi="Arial"/>
                <w:sz w:val="16"/>
                <w:szCs w:val="16"/>
                <w:color w:val="auto"/>
              </w:rPr>
              <w:t>12,654</w:t>
            </w:r>
          </w:p>
        </w:tc>
        <w:tc>
          <w:tcPr>
            <w:tcW w:w="860" w:type="dxa"/>
            <w:vAlign w:val="bottom"/>
          </w:tcPr>
          <w:p>
            <w:pPr>
              <w:jc w:val="center"/>
              <w:spacing w:after="0" w:line="173" w:lineRule="exact"/>
              <w:rPr>
                <w:sz w:val="20"/>
                <w:szCs w:val="20"/>
                <w:color w:val="auto"/>
              </w:rPr>
            </w:pPr>
            <w:r>
              <w:rPr>
                <w:rFonts w:ascii="Arial" w:cs="Arial" w:eastAsia="Arial" w:hAnsi="Arial"/>
                <w:sz w:val="16"/>
                <w:szCs w:val="16"/>
                <w:color w:val="auto"/>
                <w:w w:val="99"/>
              </w:rPr>
              <w:t>-117</w:t>
            </w:r>
          </w:p>
        </w:tc>
        <w:tc>
          <w:tcPr>
            <w:tcW w:w="860" w:type="dxa"/>
            <w:vAlign w:val="bottom"/>
            <w:tcBorders>
              <w:right w:val="single" w:sz="8" w:color="auto"/>
            </w:tcBorders>
          </w:tcPr>
          <w:p>
            <w:pPr>
              <w:jc w:val="center"/>
              <w:spacing w:after="0" w:line="173" w:lineRule="exact"/>
              <w:rPr>
                <w:sz w:val="20"/>
                <w:szCs w:val="20"/>
                <w:color w:val="auto"/>
              </w:rPr>
            </w:pPr>
            <w:r>
              <w:rPr>
                <w:rFonts w:ascii="Arial" w:cs="Arial" w:eastAsia="Arial" w:hAnsi="Arial"/>
                <w:sz w:val="16"/>
                <w:szCs w:val="16"/>
                <w:color w:val="auto"/>
              </w:rPr>
              <w:t>208</w:t>
            </w:r>
          </w:p>
        </w:tc>
        <w:tc>
          <w:tcPr>
            <w:tcW w:w="880" w:type="dxa"/>
            <w:vAlign w:val="bottom"/>
          </w:tcPr>
          <w:p>
            <w:pPr>
              <w:jc w:val="center"/>
              <w:spacing w:after="0" w:line="173" w:lineRule="exact"/>
              <w:rPr>
                <w:sz w:val="20"/>
                <w:szCs w:val="20"/>
                <w:color w:val="auto"/>
              </w:rPr>
            </w:pPr>
            <w:r>
              <w:rPr>
                <w:rFonts w:ascii="Arial" w:cs="Arial" w:eastAsia="Arial" w:hAnsi="Arial"/>
                <w:sz w:val="16"/>
                <w:szCs w:val="16"/>
                <w:color w:val="auto"/>
              </w:rPr>
              <w:t>-0.9%</w:t>
            </w:r>
          </w:p>
        </w:tc>
        <w:tc>
          <w:tcPr>
            <w:tcW w:w="960" w:type="dxa"/>
            <w:vAlign w:val="bottom"/>
            <w:tcBorders>
              <w:right w:val="single" w:sz="8" w:color="auto"/>
            </w:tcBorders>
          </w:tcPr>
          <w:p>
            <w:pPr>
              <w:jc w:val="center"/>
              <w:spacing w:after="0" w:line="173" w:lineRule="exact"/>
              <w:rPr>
                <w:sz w:val="20"/>
                <w:szCs w:val="20"/>
                <w:color w:val="auto"/>
              </w:rPr>
            </w:pPr>
            <w:r>
              <w:rPr>
                <w:rFonts w:ascii="Arial" w:cs="Arial" w:eastAsia="Arial" w:hAnsi="Arial"/>
                <w:sz w:val="16"/>
                <w:szCs w:val="16"/>
                <w:color w:val="auto"/>
              </w:rPr>
              <w:t>1.7%</w:t>
            </w:r>
          </w:p>
        </w:tc>
        <w:tc>
          <w:tcPr>
            <w:tcW w:w="880" w:type="dxa"/>
            <w:vAlign w:val="bottom"/>
          </w:tcPr>
          <w:p>
            <w:pPr>
              <w:jc w:val="center"/>
              <w:spacing w:after="0" w:line="173" w:lineRule="exact"/>
              <w:rPr>
                <w:sz w:val="20"/>
                <w:szCs w:val="20"/>
                <w:color w:val="auto"/>
              </w:rPr>
            </w:pPr>
            <w:r>
              <w:rPr>
                <w:rFonts w:ascii="Arial" w:cs="Arial" w:eastAsia="Arial" w:hAnsi="Arial"/>
                <w:sz w:val="16"/>
                <w:szCs w:val="16"/>
                <w:color w:val="auto"/>
              </w:rPr>
              <w:t>8.3%</w:t>
            </w:r>
          </w:p>
        </w:tc>
        <w:tc>
          <w:tcPr>
            <w:tcW w:w="880" w:type="dxa"/>
            <w:vAlign w:val="bottom"/>
          </w:tcPr>
          <w:p>
            <w:pPr>
              <w:jc w:val="center"/>
              <w:spacing w:after="0" w:line="173" w:lineRule="exact"/>
              <w:rPr>
                <w:sz w:val="20"/>
                <w:szCs w:val="20"/>
                <w:color w:val="auto"/>
              </w:rPr>
            </w:pPr>
            <w:r>
              <w:rPr>
                <w:rFonts w:ascii="Arial" w:cs="Arial" w:eastAsia="Arial" w:hAnsi="Arial"/>
                <w:sz w:val="16"/>
                <w:szCs w:val="16"/>
                <w:color w:val="auto"/>
              </w:rPr>
              <w:t>9.0%</w:t>
            </w:r>
          </w:p>
        </w:tc>
        <w:tc>
          <w:tcPr>
            <w:tcW w:w="860" w:type="dxa"/>
            <w:vAlign w:val="bottom"/>
            <w:tcBorders>
              <w:right w:val="single" w:sz="8" w:color="auto"/>
            </w:tcBorders>
          </w:tcPr>
          <w:p>
            <w:pPr>
              <w:jc w:val="center"/>
              <w:spacing w:after="0" w:line="173" w:lineRule="exact"/>
              <w:rPr>
                <w:sz w:val="20"/>
                <w:szCs w:val="20"/>
                <w:color w:val="auto"/>
              </w:rPr>
            </w:pPr>
            <w:r>
              <w:rPr>
                <w:rFonts w:ascii="Arial" w:cs="Arial" w:eastAsia="Arial" w:hAnsi="Arial"/>
                <w:sz w:val="16"/>
                <w:szCs w:val="16"/>
                <w:color w:val="auto"/>
                <w:w w:val="98"/>
              </w:rPr>
              <w:t>8.9%</w:t>
            </w:r>
          </w:p>
        </w:tc>
        <w:tc>
          <w:tcPr>
            <w:tcW w:w="0" w:type="dxa"/>
            <w:vAlign w:val="bottom"/>
          </w:tcPr>
          <w:p>
            <w:pPr>
              <w:spacing w:after="0"/>
              <w:rPr>
                <w:sz w:val="1"/>
                <w:szCs w:val="1"/>
                <w:color w:val="auto"/>
              </w:rPr>
            </w:pPr>
          </w:p>
        </w:tc>
      </w:tr>
      <w:tr>
        <w:trPr>
          <w:trHeight w:val="178"/>
        </w:trPr>
        <w:tc>
          <w:tcPr>
            <w:tcW w:w="2260" w:type="dxa"/>
            <w:vAlign w:val="bottom"/>
            <w:tcBorders>
              <w:left w:val="single" w:sz="8" w:color="auto"/>
              <w:right w:val="single" w:sz="8" w:color="auto"/>
            </w:tcBorders>
          </w:tcPr>
          <w:p>
            <w:pPr>
              <w:ind w:left="300"/>
              <w:spacing w:after="0" w:line="178" w:lineRule="exact"/>
              <w:rPr>
                <w:sz w:val="20"/>
                <w:szCs w:val="20"/>
                <w:color w:val="auto"/>
              </w:rPr>
            </w:pPr>
            <w:r>
              <w:rPr>
                <w:rFonts w:ascii="Arial" w:cs="Arial" w:eastAsia="Arial" w:hAnsi="Arial"/>
                <w:sz w:val="16"/>
                <w:szCs w:val="16"/>
                <w:color w:val="auto"/>
              </w:rPr>
              <w:t>Credit Card</w:t>
            </w:r>
          </w:p>
        </w:tc>
        <w:tc>
          <w:tcPr>
            <w:tcW w:w="900" w:type="dxa"/>
            <w:vAlign w:val="bottom"/>
          </w:tcPr>
          <w:p>
            <w:pPr>
              <w:jc w:val="center"/>
              <w:spacing w:after="0" w:line="178" w:lineRule="exact"/>
              <w:rPr>
                <w:sz w:val="20"/>
                <w:szCs w:val="20"/>
                <w:color w:val="auto"/>
              </w:rPr>
            </w:pPr>
            <w:r>
              <w:rPr>
                <w:rFonts w:ascii="Arial" w:cs="Arial" w:eastAsia="Arial" w:hAnsi="Arial"/>
                <w:sz w:val="16"/>
                <w:szCs w:val="16"/>
                <w:color w:val="auto"/>
              </w:rPr>
              <w:t>4,792</w:t>
            </w:r>
          </w:p>
        </w:tc>
        <w:tc>
          <w:tcPr>
            <w:tcW w:w="940" w:type="dxa"/>
            <w:vAlign w:val="bottom"/>
          </w:tcPr>
          <w:p>
            <w:pPr>
              <w:jc w:val="center"/>
              <w:spacing w:after="0" w:line="178" w:lineRule="exact"/>
              <w:rPr>
                <w:sz w:val="20"/>
                <w:szCs w:val="20"/>
                <w:color w:val="auto"/>
              </w:rPr>
            </w:pPr>
            <w:r>
              <w:rPr>
                <w:rFonts w:ascii="Arial" w:cs="Arial" w:eastAsia="Arial" w:hAnsi="Arial"/>
                <w:sz w:val="16"/>
                <w:szCs w:val="16"/>
                <w:color w:val="auto"/>
              </w:rPr>
              <w:t>5,692</w:t>
            </w:r>
          </w:p>
        </w:tc>
        <w:tc>
          <w:tcPr>
            <w:tcW w:w="98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6"/>
                <w:szCs w:val="16"/>
                <w:color w:val="auto"/>
                <w:w w:val="99"/>
              </w:rPr>
              <w:t>5,848</w:t>
            </w:r>
          </w:p>
        </w:tc>
        <w:tc>
          <w:tcPr>
            <w:tcW w:w="860" w:type="dxa"/>
            <w:vAlign w:val="bottom"/>
          </w:tcPr>
          <w:p>
            <w:pPr>
              <w:jc w:val="center"/>
              <w:spacing w:after="0" w:line="178" w:lineRule="exact"/>
              <w:rPr>
                <w:sz w:val="20"/>
                <w:szCs w:val="20"/>
                <w:color w:val="auto"/>
              </w:rPr>
            </w:pPr>
            <w:r>
              <w:rPr>
                <w:rFonts w:ascii="Arial" w:cs="Arial" w:eastAsia="Arial" w:hAnsi="Arial"/>
                <w:sz w:val="16"/>
                <w:szCs w:val="16"/>
                <w:color w:val="auto"/>
              </w:rPr>
              <w:t>156</w:t>
            </w:r>
          </w:p>
        </w:tc>
        <w:tc>
          <w:tcPr>
            <w:tcW w:w="860" w:type="dxa"/>
            <w:vAlign w:val="bottom"/>
            <w:tcBorders>
              <w:bottom w:val="single" w:sz="8" w:color="00D274"/>
              <w:right w:val="single" w:sz="8" w:color="auto"/>
            </w:tcBorders>
            <w:shd w:val="clear" w:color="auto" w:fill="00D274"/>
          </w:tcPr>
          <w:p>
            <w:pPr>
              <w:jc w:val="center"/>
              <w:spacing w:after="0" w:line="178" w:lineRule="exact"/>
              <w:rPr>
                <w:sz w:val="20"/>
                <w:szCs w:val="20"/>
                <w:color w:val="auto"/>
              </w:rPr>
            </w:pPr>
            <w:r>
              <w:rPr>
                <w:rFonts w:ascii="Arial" w:cs="Arial" w:eastAsia="Arial" w:hAnsi="Arial"/>
                <w:sz w:val="16"/>
                <w:szCs w:val="16"/>
                <w:color w:val="auto"/>
              </w:rPr>
              <w:t>1,056</w:t>
            </w:r>
          </w:p>
        </w:tc>
        <w:tc>
          <w:tcPr>
            <w:tcW w:w="880" w:type="dxa"/>
            <w:vAlign w:val="bottom"/>
          </w:tcPr>
          <w:p>
            <w:pPr>
              <w:jc w:val="center"/>
              <w:spacing w:after="0" w:line="178" w:lineRule="exact"/>
              <w:rPr>
                <w:sz w:val="20"/>
                <w:szCs w:val="20"/>
                <w:color w:val="auto"/>
              </w:rPr>
            </w:pPr>
            <w:r>
              <w:rPr>
                <w:rFonts w:ascii="Arial" w:cs="Arial" w:eastAsia="Arial" w:hAnsi="Arial"/>
                <w:sz w:val="16"/>
                <w:szCs w:val="16"/>
                <w:color w:val="auto"/>
              </w:rPr>
              <w:t>2.7%</w:t>
            </w:r>
          </w:p>
        </w:tc>
        <w:tc>
          <w:tcPr>
            <w:tcW w:w="96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6"/>
                <w:szCs w:val="16"/>
                <w:color w:val="auto"/>
              </w:rPr>
              <w:t>22.0%</w:t>
            </w:r>
          </w:p>
        </w:tc>
        <w:tc>
          <w:tcPr>
            <w:tcW w:w="880" w:type="dxa"/>
            <w:vAlign w:val="bottom"/>
          </w:tcPr>
          <w:p>
            <w:pPr>
              <w:jc w:val="center"/>
              <w:spacing w:after="0" w:line="178" w:lineRule="exact"/>
              <w:rPr>
                <w:sz w:val="20"/>
                <w:szCs w:val="20"/>
                <w:color w:val="auto"/>
              </w:rPr>
            </w:pPr>
            <w:r>
              <w:rPr>
                <w:rFonts w:ascii="Arial" w:cs="Arial" w:eastAsia="Arial" w:hAnsi="Arial"/>
                <w:sz w:val="16"/>
                <w:szCs w:val="16"/>
                <w:color w:val="auto"/>
              </w:rPr>
              <w:t>3.2%</w:t>
            </w:r>
          </w:p>
        </w:tc>
        <w:tc>
          <w:tcPr>
            <w:tcW w:w="880" w:type="dxa"/>
            <w:vAlign w:val="bottom"/>
          </w:tcPr>
          <w:p>
            <w:pPr>
              <w:jc w:val="center"/>
              <w:spacing w:after="0" w:line="178" w:lineRule="exact"/>
              <w:rPr>
                <w:sz w:val="20"/>
                <w:szCs w:val="20"/>
                <w:color w:val="auto"/>
              </w:rPr>
            </w:pPr>
            <w:r>
              <w:rPr>
                <w:rFonts w:ascii="Arial" w:cs="Arial" w:eastAsia="Arial" w:hAnsi="Arial"/>
                <w:sz w:val="16"/>
                <w:szCs w:val="16"/>
                <w:color w:val="auto"/>
              </w:rPr>
              <w:t>4.0%</w:t>
            </w:r>
          </w:p>
        </w:tc>
        <w:tc>
          <w:tcPr>
            <w:tcW w:w="86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6"/>
                <w:szCs w:val="16"/>
                <w:color w:val="auto"/>
                <w:w w:val="98"/>
              </w:rPr>
              <w:t>4.1%</w:t>
            </w:r>
          </w:p>
        </w:tc>
        <w:tc>
          <w:tcPr>
            <w:tcW w:w="0" w:type="dxa"/>
            <w:vAlign w:val="bottom"/>
          </w:tcPr>
          <w:p>
            <w:pPr>
              <w:spacing w:after="0"/>
              <w:rPr>
                <w:sz w:val="1"/>
                <w:szCs w:val="1"/>
                <w:color w:val="auto"/>
              </w:rPr>
            </w:pPr>
          </w:p>
        </w:tc>
      </w:tr>
      <w:tr>
        <w:trPr>
          <w:trHeight w:val="165"/>
        </w:trPr>
        <w:tc>
          <w:tcPr>
            <w:tcW w:w="2260" w:type="dxa"/>
            <w:vAlign w:val="bottom"/>
            <w:tcBorders>
              <w:left w:val="single" w:sz="8" w:color="auto"/>
              <w:right w:val="single" w:sz="8" w:color="auto"/>
            </w:tcBorders>
          </w:tcPr>
          <w:p>
            <w:pPr>
              <w:ind w:left="20"/>
              <w:spacing w:after="0" w:line="165" w:lineRule="exact"/>
              <w:rPr>
                <w:sz w:val="20"/>
                <w:szCs w:val="20"/>
                <w:color w:val="auto"/>
              </w:rPr>
            </w:pPr>
            <w:r>
              <w:rPr>
                <w:rFonts w:ascii="Arial" w:cs="Arial" w:eastAsia="Arial" w:hAnsi="Arial"/>
                <w:sz w:val="16"/>
                <w:szCs w:val="16"/>
                <w:b w:val="1"/>
                <w:bCs w:val="1"/>
                <w:color w:val="auto"/>
              </w:rPr>
              <w:t>Mibanco</w:t>
            </w:r>
          </w:p>
        </w:tc>
        <w:tc>
          <w:tcPr>
            <w:tcW w:w="90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14,286</w:t>
            </w:r>
          </w:p>
        </w:tc>
        <w:tc>
          <w:tcPr>
            <w:tcW w:w="94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14,232</w:t>
            </w:r>
          </w:p>
        </w:tc>
        <w:tc>
          <w:tcPr>
            <w:tcW w:w="98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6"/>
                <w:szCs w:val="16"/>
                <w:b w:val="1"/>
                <w:bCs w:val="1"/>
                <w:color w:val="auto"/>
              </w:rPr>
              <w:t>14,121</w:t>
            </w:r>
          </w:p>
        </w:tc>
        <w:tc>
          <w:tcPr>
            <w:tcW w:w="86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w w:val="93"/>
              </w:rPr>
              <w:t>-111</w:t>
            </w:r>
          </w:p>
        </w:tc>
        <w:tc>
          <w:tcPr>
            <w:tcW w:w="86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6"/>
                <w:szCs w:val="16"/>
                <w:b w:val="1"/>
                <w:bCs w:val="1"/>
                <w:color w:val="auto"/>
              </w:rPr>
              <w:t>-165</w:t>
            </w:r>
          </w:p>
        </w:tc>
        <w:tc>
          <w:tcPr>
            <w:tcW w:w="88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-0.8%</w:t>
            </w:r>
          </w:p>
        </w:tc>
        <w:tc>
          <w:tcPr>
            <w:tcW w:w="96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6"/>
                <w:szCs w:val="16"/>
                <w:b w:val="1"/>
                <w:bCs w:val="1"/>
                <w:color w:val="auto"/>
              </w:rPr>
              <w:t>-1.2%</w:t>
            </w:r>
          </w:p>
        </w:tc>
        <w:tc>
          <w:tcPr>
            <w:tcW w:w="88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9.6%</w:t>
            </w:r>
          </w:p>
        </w:tc>
        <w:tc>
          <w:tcPr>
            <w:tcW w:w="88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10.0%</w:t>
            </w:r>
          </w:p>
        </w:tc>
        <w:tc>
          <w:tcPr>
            <w:tcW w:w="86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6"/>
                <w:szCs w:val="16"/>
                <w:b w:val="1"/>
                <w:bCs w:val="1"/>
                <w:color w:val="auto"/>
                <w:w w:val="98"/>
              </w:rPr>
              <w:t>9.9%</w:t>
            </w:r>
          </w:p>
        </w:tc>
        <w:tc>
          <w:tcPr>
            <w:tcW w:w="0" w:type="dxa"/>
            <w:vAlign w:val="bottom"/>
          </w:tcPr>
          <w:p>
            <w:pPr>
              <w:spacing w:after="0"/>
              <w:rPr>
                <w:sz w:val="1"/>
                <w:szCs w:val="1"/>
                <w:color w:val="auto"/>
              </w:rPr>
            </w:pPr>
          </w:p>
        </w:tc>
      </w:tr>
      <w:tr>
        <w:trPr>
          <w:trHeight w:val="185"/>
        </w:trPr>
        <w:tc>
          <w:tcPr>
            <w:tcW w:w="2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Mibanco Colombia</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rPr>
              <w:t>1,163</w:t>
            </w: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rPr>
              <w:t>1,340</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1,557</w:t>
            </w: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rPr>
              <w:t>217</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394</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rPr>
              <w:t>16.2%</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33.9%</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rPr>
              <w:t>0.8%</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rPr>
              <w:t>0.9%</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1.1%</w:t>
            </w:r>
          </w:p>
        </w:tc>
        <w:tc>
          <w:tcPr>
            <w:tcW w:w="0" w:type="dxa"/>
            <w:vAlign w:val="bottom"/>
          </w:tcPr>
          <w:p>
            <w:pPr>
              <w:spacing w:after="0"/>
              <w:rPr>
                <w:sz w:val="1"/>
                <w:szCs w:val="1"/>
                <w:color w:val="auto"/>
              </w:rPr>
            </w:pPr>
          </w:p>
        </w:tc>
      </w:tr>
      <w:tr>
        <w:trPr>
          <w:trHeight w:val="185"/>
        </w:trPr>
        <w:tc>
          <w:tcPr>
            <w:tcW w:w="22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Bolivia</w:t>
            </w:r>
          </w:p>
        </w:tc>
        <w:tc>
          <w:tcPr>
            <w:tcW w:w="900" w:type="dxa"/>
            <w:vAlign w:val="bottom"/>
          </w:tcPr>
          <w:p>
            <w:pPr>
              <w:jc w:val="center"/>
              <w:spacing w:after="0"/>
              <w:rPr>
                <w:sz w:val="20"/>
                <w:szCs w:val="20"/>
                <w:color w:val="auto"/>
              </w:rPr>
            </w:pPr>
            <w:r>
              <w:rPr>
                <w:rFonts w:ascii="Arial" w:cs="Arial" w:eastAsia="Arial" w:hAnsi="Arial"/>
                <w:sz w:val="16"/>
                <w:szCs w:val="16"/>
                <w:b w:val="1"/>
                <w:bCs w:val="1"/>
                <w:color w:val="auto"/>
              </w:rPr>
              <w:t>8,992</w:t>
            </w:r>
          </w:p>
        </w:tc>
        <w:tc>
          <w:tcPr>
            <w:tcW w:w="940" w:type="dxa"/>
            <w:vAlign w:val="bottom"/>
          </w:tcPr>
          <w:p>
            <w:pPr>
              <w:jc w:val="center"/>
              <w:spacing w:after="0"/>
              <w:rPr>
                <w:sz w:val="20"/>
                <w:szCs w:val="20"/>
                <w:color w:val="auto"/>
              </w:rPr>
            </w:pPr>
            <w:r>
              <w:rPr>
                <w:rFonts w:ascii="Arial" w:cs="Arial" w:eastAsia="Arial" w:hAnsi="Arial"/>
                <w:sz w:val="16"/>
                <w:szCs w:val="16"/>
                <w:b w:val="1"/>
                <w:bCs w:val="1"/>
                <w:color w:val="auto"/>
              </w:rPr>
              <w:t>8,834</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8,957</w:t>
            </w: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rPr>
              <w:t>123</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-35</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rPr>
              <w:t>1.4%</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-0.4%</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rPr>
              <w:t>6.0%</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rPr>
              <w:t>6.2%</w:t>
            </w:r>
          </w:p>
        </w:tc>
        <w:tc>
          <w:tcPr>
            <w:tcW w:w="8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6.3%</w:t>
            </w:r>
          </w:p>
        </w:tc>
        <w:tc>
          <w:tcPr>
            <w:tcW w:w="0" w:type="dxa"/>
            <w:vAlign w:val="bottom"/>
          </w:tcPr>
          <w:p>
            <w:pPr>
              <w:spacing w:after="0"/>
              <w:rPr>
                <w:sz w:val="1"/>
                <w:szCs w:val="1"/>
                <w:color w:val="auto"/>
              </w:rPr>
            </w:pPr>
          </w:p>
        </w:tc>
      </w:tr>
      <w:tr>
        <w:trPr>
          <w:trHeight w:val="206"/>
        </w:trPr>
        <w:tc>
          <w:tcPr>
            <w:tcW w:w="22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ASB</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2,053</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1,831</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1,733</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-99</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-321</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-5.4%</w:t>
            </w:r>
          </w:p>
        </w:tc>
        <w:tc>
          <w:tcPr>
            <w:tcW w:w="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-15.6%</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1.4%</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1.3%</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1.2%</w:t>
            </w:r>
          </w:p>
        </w:tc>
        <w:tc>
          <w:tcPr>
            <w:tcW w:w="0" w:type="dxa"/>
            <w:vAlign w:val="bottom"/>
          </w:tcPr>
          <w:p>
            <w:pPr>
              <w:spacing w:after="0"/>
              <w:rPr>
                <w:sz w:val="1"/>
                <w:szCs w:val="1"/>
                <w:color w:val="auto"/>
              </w:rPr>
            </w:pPr>
          </w:p>
        </w:tc>
      </w:tr>
      <w:tr>
        <w:trPr>
          <w:trHeight w:val="178"/>
        </w:trPr>
        <w:tc>
          <w:tcPr>
            <w:tcW w:w="2260" w:type="dxa"/>
            <w:vAlign w:val="bottom"/>
            <w:tcBorders>
              <w:left w:val="single" w:sz="8" w:color="auto"/>
              <w:bottom w:val="single" w:sz="8" w:color="auto"/>
              <w:right w:val="single" w:sz="8" w:color="auto"/>
            </w:tcBorders>
          </w:tcPr>
          <w:p>
            <w:pPr>
              <w:ind w:left="20"/>
              <w:spacing w:after="0" w:line="178" w:lineRule="exact"/>
              <w:rPr>
                <w:sz w:val="20"/>
                <w:szCs w:val="20"/>
                <w:color w:val="auto"/>
              </w:rPr>
            </w:pPr>
            <w:r>
              <w:rPr>
                <w:rFonts w:ascii="Arial" w:cs="Arial" w:eastAsia="Arial" w:hAnsi="Arial"/>
                <w:sz w:val="16"/>
                <w:szCs w:val="16"/>
                <w:b w:val="1"/>
                <w:bCs w:val="1"/>
                <w:color w:val="auto"/>
              </w:rPr>
              <w:t>BAP’s total loans</w:t>
            </w:r>
          </w:p>
        </w:tc>
        <w:tc>
          <w:tcPr>
            <w:tcW w:w="900" w:type="dxa"/>
            <w:vAlign w:val="bottom"/>
            <w:tcBorders>
              <w:bottom w:val="single" w:sz="8" w:color="auto"/>
            </w:tcBorders>
          </w:tcPr>
          <w:p>
            <w:pPr>
              <w:jc w:val="center"/>
              <w:spacing w:after="0" w:line="178" w:lineRule="exact"/>
              <w:rPr>
                <w:sz w:val="20"/>
                <w:szCs w:val="20"/>
                <w:color w:val="auto"/>
              </w:rPr>
            </w:pPr>
            <w:r>
              <w:rPr>
                <w:rFonts w:ascii="Arial" w:cs="Arial" w:eastAsia="Arial" w:hAnsi="Arial"/>
                <w:sz w:val="16"/>
                <w:szCs w:val="16"/>
                <w:b w:val="1"/>
                <w:bCs w:val="1"/>
                <w:color w:val="auto"/>
              </w:rPr>
              <w:t>149,480</w:t>
            </w:r>
          </w:p>
        </w:tc>
        <w:tc>
          <w:tcPr>
            <w:tcW w:w="940" w:type="dxa"/>
            <w:vAlign w:val="bottom"/>
            <w:tcBorders>
              <w:bottom w:val="single" w:sz="8" w:color="auto"/>
            </w:tcBorders>
          </w:tcPr>
          <w:p>
            <w:pPr>
              <w:jc w:val="center"/>
              <w:spacing w:after="0" w:line="178" w:lineRule="exact"/>
              <w:rPr>
                <w:sz w:val="20"/>
                <w:szCs w:val="20"/>
                <w:color w:val="auto"/>
              </w:rPr>
            </w:pPr>
            <w:r>
              <w:rPr>
                <w:rFonts w:ascii="Arial" w:cs="Arial" w:eastAsia="Arial" w:hAnsi="Arial"/>
                <w:sz w:val="16"/>
                <w:szCs w:val="16"/>
                <w:b w:val="1"/>
                <w:bCs w:val="1"/>
                <w:color w:val="auto"/>
              </w:rPr>
              <w:t>142,009</w:t>
            </w:r>
          </w:p>
        </w:tc>
        <w:tc>
          <w:tcPr>
            <w:tcW w:w="980" w:type="dxa"/>
            <w:vAlign w:val="bottom"/>
            <w:tcBorders>
              <w:bottom w:val="single" w:sz="8" w:color="auto"/>
              <w:right w:val="single" w:sz="8" w:color="auto"/>
            </w:tcBorders>
          </w:tcPr>
          <w:p>
            <w:pPr>
              <w:jc w:val="center"/>
              <w:spacing w:after="0" w:line="178" w:lineRule="exact"/>
              <w:rPr>
                <w:sz w:val="20"/>
                <w:szCs w:val="20"/>
                <w:color w:val="auto"/>
              </w:rPr>
            </w:pPr>
            <w:r>
              <w:rPr>
                <w:rFonts w:ascii="Arial" w:cs="Arial" w:eastAsia="Arial" w:hAnsi="Arial"/>
                <w:sz w:val="16"/>
                <w:szCs w:val="16"/>
                <w:b w:val="1"/>
                <w:bCs w:val="1"/>
                <w:color w:val="auto"/>
              </w:rPr>
              <w:t>142,219</w:t>
            </w:r>
          </w:p>
        </w:tc>
        <w:tc>
          <w:tcPr>
            <w:tcW w:w="860" w:type="dxa"/>
            <w:vAlign w:val="bottom"/>
            <w:tcBorders>
              <w:bottom w:val="single" w:sz="8" w:color="auto"/>
            </w:tcBorders>
          </w:tcPr>
          <w:p>
            <w:pPr>
              <w:jc w:val="center"/>
              <w:spacing w:after="0" w:line="178" w:lineRule="exact"/>
              <w:rPr>
                <w:sz w:val="20"/>
                <w:szCs w:val="20"/>
                <w:color w:val="auto"/>
              </w:rPr>
            </w:pPr>
            <w:r>
              <w:rPr>
                <w:rFonts w:ascii="Arial" w:cs="Arial" w:eastAsia="Arial" w:hAnsi="Arial"/>
                <w:sz w:val="16"/>
                <w:szCs w:val="16"/>
                <w:b w:val="1"/>
                <w:bCs w:val="1"/>
                <w:color w:val="auto"/>
              </w:rPr>
              <w:t>210</w:t>
            </w:r>
          </w:p>
        </w:tc>
        <w:tc>
          <w:tcPr>
            <w:tcW w:w="860" w:type="dxa"/>
            <w:vAlign w:val="bottom"/>
            <w:tcBorders>
              <w:bottom w:val="single" w:sz="8" w:color="auto"/>
              <w:right w:val="single" w:sz="8" w:color="auto"/>
            </w:tcBorders>
          </w:tcPr>
          <w:p>
            <w:pPr>
              <w:jc w:val="center"/>
              <w:spacing w:after="0" w:line="178" w:lineRule="exact"/>
              <w:rPr>
                <w:sz w:val="20"/>
                <w:szCs w:val="20"/>
                <w:color w:val="auto"/>
              </w:rPr>
            </w:pPr>
            <w:r>
              <w:rPr>
                <w:rFonts w:ascii="Arial" w:cs="Arial" w:eastAsia="Arial" w:hAnsi="Arial"/>
                <w:sz w:val="16"/>
                <w:szCs w:val="16"/>
                <w:b w:val="1"/>
                <w:bCs w:val="1"/>
                <w:color w:val="auto"/>
              </w:rPr>
              <w:t>-7,261</w:t>
            </w:r>
          </w:p>
        </w:tc>
        <w:tc>
          <w:tcPr>
            <w:tcW w:w="880" w:type="dxa"/>
            <w:vAlign w:val="bottom"/>
            <w:tcBorders>
              <w:bottom w:val="single" w:sz="8" w:color="auto"/>
            </w:tcBorders>
          </w:tcPr>
          <w:p>
            <w:pPr>
              <w:jc w:val="center"/>
              <w:spacing w:after="0" w:line="178" w:lineRule="exact"/>
              <w:rPr>
                <w:sz w:val="20"/>
                <w:szCs w:val="20"/>
                <w:color w:val="auto"/>
              </w:rPr>
            </w:pPr>
            <w:r>
              <w:rPr>
                <w:rFonts w:ascii="Arial" w:cs="Arial" w:eastAsia="Arial" w:hAnsi="Arial"/>
                <w:sz w:val="16"/>
                <w:szCs w:val="16"/>
                <w:b w:val="1"/>
                <w:bCs w:val="1"/>
                <w:color w:val="auto"/>
              </w:rPr>
              <w:t>0.1%</w:t>
            </w:r>
          </w:p>
        </w:tc>
        <w:tc>
          <w:tcPr>
            <w:tcW w:w="960" w:type="dxa"/>
            <w:vAlign w:val="bottom"/>
            <w:tcBorders>
              <w:bottom w:val="single" w:sz="8" w:color="auto"/>
              <w:right w:val="single" w:sz="8" w:color="auto"/>
            </w:tcBorders>
          </w:tcPr>
          <w:p>
            <w:pPr>
              <w:jc w:val="center"/>
              <w:spacing w:after="0" w:line="178" w:lineRule="exact"/>
              <w:rPr>
                <w:sz w:val="20"/>
                <w:szCs w:val="20"/>
                <w:color w:val="auto"/>
              </w:rPr>
            </w:pPr>
            <w:r>
              <w:rPr>
                <w:rFonts w:ascii="Arial" w:cs="Arial" w:eastAsia="Arial" w:hAnsi="Arial"/>
                <w:sz w:val="16"/>
                <w:szCs w:val="16"/>
                <w:b w:val="1"/>
                <w:bCs w:val="1"/>
                <w:color w:val="auto"/>
              </w:rPr>
              <w:t>-4.9%</w:t>
            </w:r>
          </w:p>
        </w:tc>
        <w:tc>
          <w:tcPr>
            <w:tcW w:w="880" w:type="dxa"/>
            <w:vAlign w:val="bottom"/>
            <w:tcBorders>
              <w:bottom w:val="single" w:sz="8" w:color="auto"/>
            </w:tcBorders>
          </w:tcPr>
          <w:p>
            <w:pPr>
              <w:jc w:val="center"/>
              <w:spacing w:after="0" w:line="178" w:lineRule="exact"/>
              <w:rPr>
                <w:sz w:val="20"/>
                <w:szCs w:val="20"/>
                <w:color w:val="auto"/>
              </w:rPr>
            </w:pPr>
            <w:r>
              <w:rPr>
                <w:rFonts w:ascii="Arial" w:cs="Arial" w:eastAsia="Arial" w:hAnsi="Arial"/>
                <w:sz w:val="16"/>
                <w:szCs w:val="16"/>
                <w:b w:val="1"/>
                <w:bCs w:val="1"/>
                <w:color w:val="auto"/>
              </w:rPr>
              <w:t>100.0%</w:t>
            </w:r>
          </w:p>
        </w:tc>
        <w:tc>
          <w:tcPr>
            <w:tcW w:w="880" w:type="dxa"/>
            <w:vAlign w:val="bottom"/>
            <w:tcBorders>
              <w:bottom w:val="single" w:sz="8" w:color="auto"/>
            </w:tcBorders>
          </w:tcPr>
          <w:p>
            <w:pPr>
              <w:jc w:val="center"/>
              <w:spacing w:after="0" w:line="178" w:lineRule="exact"/>
              <w:rPr>
                <w:sz w:val="20"/>
                <w:szCs w:val="20"/>
                <w:color w:val="auto"/>
              </w:rPr>
            </w:pPr>
            <w:r>
              <w:rPr>
                <w:rFonts w:ascii="Arial" w:cs="Arial" w:eastAsia="Arial" w:hAnsi="Arial"/>
                <w:sz w:val="16"/>
                <w:szCs w:val="16"/>
                <w:b w:val="1"/>
                <w:bCs w:val="1"/>
                <w:color w:val="auto"/>
              </w:rPr>
              <w:t>100.0%</w:t>
            </w:r>
          </w:p>
        </w:tc>
        <w:tc>
          <w:tcPr>
            <w:tcW w:w="860" w:type="dxa"/>
            <w:vAlign w:val="bottom"/>
            <w:tcBorders>
              <w:bottom w:val="single" w:sz="8" w:color="auto"/>
              <w:right w:val="single" w:sz="8" w:color="auto"/>
            </w:tcBorders>
          </w:tcPr>
          <w:p>
            <w:pPr>
              <w:jc w:val="center"/>
              <w:spacing w:after="0" w:line="178" w:lineRule="exact"/>
              <w:rPr>
                <w:sz w:val="20"/>
                <w:szCs w:val="20"/>
                <w:color w:val="auto"/>
              </w:rPr>
            </w:pPr>
            <w:r>
              <w:rPr>
                <w:rFonts w:ascii="Arial" w:cs="Arial" w:eastAsia="Arial" w:hAnsi="Arial"/>
                <w:sz w:val="16"/>
                <w:szCs w:val="16"/>
                <w:b w:val="1"/>
                <w:bCs w:val="1"/>
                <w:color w:val="auto"/>
              </w:rPr>
              <w:t>100.0%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
        <w:spacing w:after="0"/>
        <w:rPr>
          <w:sz w:val="20"/>
          <w:szCs w:val="20"/>
          <w:color w:val="auto"/>
        </w:rPr>
      </w:pPr>
      <w:r>
        <w:rPr>
          <w:rFonts w:ascii="Arial" w:cs="Arial" w:eastAsia="Arial" w:hAnsi="Arial"/>
          <w:sz w:val="11"/>
          <w:szCs w:val="11"/>
          <w:color w:val="auto"/>
        </w:rPr>
        <w:t>For consolidation purposes. Loans generated in Foreign Currency (FC) are converted into Local Currency (LC).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6193790</wp:posOffset>
            </wp:positionH>
            <wp:positionV relativeFrom="paragraph">
              <wp:posOffset>-75565</wp:posOffset>
            </wp:positionV>
            <wp:extent cx="949960" cy="1803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949960" cy="180340"/>
                    </a:xfrm>
                    <a:prstGeom prst="rect">
                      <a:avLst/>
                    </a:prstGeom>
                    <a:noFill/>
                  </pic:spPr>
                </pic:pic>
              </a:graphicData>
            </a:graphic>
          </wp:anchor>
        </w:drawing>
      </w:r>
    </w:p>
    <w:p>
      <w:pPr>
        <w:ind w:left="161" w:hanging="161"/>
        <w:spacing w:after="0"/>
        <w:tabs>
          <w:tab w:leader="none" w:pos="161" w:val="left"/>
        </w:tabs>
        <w:numPr>
          <w:ilvl w:val="0"/>
          <w:numId w:val="21"/>
        </w:numPr>
        <w:rPr>
          <w:rFonts w:ascii="Arial" w:cs="Arial" w:eastAsia="Arial" w:hAnsi="Arial"/>
          <w:sz w:val="11"/>
          <w:szCs w:val="11"/>
          <w:color w:val="auto"/>
        </w:rPr>
      </w:pPr>
      <w:r>
        <w:rPr>
          <w:rFonts w:ascii="Arial" w:cs="Arial" w:eastAsia="Arial" w:hAnsi="Arial"/>
          <w:sz w:val="11"/>
          <w:szCs w:val="11"/>
          <w:color w:val="auto"/>
        </w:rPr>
        <w:t>Includes Workout unit and other banking. For Quarter-end balance figures, please refer to “12. Annexes – 12.2 Loan Portfolio Quality”.</w:t>
      </w:r>
    </w:p>
    <w:p>
      <w:pPr>
        <w:ind w:left="161" w:hanging="161"/>
        <w:spacing w:after="0"/>
        <w:tabs>
          <w:tab w:leader="none" w:pos="161" w:val="left"/>
        </w:tabs>
        <w:numPr>
          <w:ilvl w:val="0"/>
          <w:numId w:val="21"/>
        </w:numPr>
        <w:rPr>
          <w:rFonts w:ascii="Arial" w:cs="Arial" w:eastAsia="Arial" w:hAnsi="Arial"/>
          <w:sz w:val="11"/>
          <w:szCs w:val="11"/>
          <w:color w:val="auto"/>
        </w:rPr>
      </w:pPr>
      <w:r>
        <w:rPr>
          <w:rFonts w:ascii="Arial" w:cs="Arial" w:eastAsia="Arial" w:hAnsi="Arial"/>
          <w:sz w:val="11"/>
          <w:szCs w:val="11"/>
          <w:color w:val="auto"/>
        </w:rPr>
        <w:t>Internal Management Figures</w:t>
      </w:r>
    </w:p>
    <w:p>
      <w:pPr>
        <w:spacing w:after="0" w:line="180" w:lineRule="exact"/>
        <w:rPr>
          <w:sz w:val="20"/>
          <w:szCs w:val="20"/>
          <w:color w:val="auto"/>
        </w:rPr>
      </w:pPr>
    </w:p>
    <w:p>
      <w:pPr>
        <w:jc w:val="center"/>
        <w:ind w:right="19"/>
        <w:spacing w:after="0" w:line="372" w:lineRule="auto"/>
        <w:rPr>
          <w:sz w:val="20"/>
          <w:szCs w:val="20"/>
          <w:color w:val="auto"/>
        </w:rPr>
      </w:pPr>
      <w:r>
        <w:rPr>
          <w:rFonts w:ascii="Arial" w:cs="Arial" w:eastAsia="Arial" w:hAnsi="Arial"/>
          <w:sz w:val="16"/>
          <w:szCs w:val="16"/>
          <w:color w:val="auto"/>
        </w:rPr>
        <w:t xml:space="preserve">Total loans measured in average daily balances rose QoQ,, but fell YoY given that growth in structural loans was insufficient to offset the drop in GP loans. </w:t>
      </w:r>
      <w:r>
        <w:rPr>
          <w:rFonts w:ascii="Arial" w:cs="Arial" w:eastAsia="Arial" w:hAnsi="Arial"/>
          <w:sz w:val="16"/>
          <w:szCs w:val="16"/>
          <w:b w:val="1"/>
          <w:bCs w:val="1"/>
          <w:color w:val="auto"/>
        </w:rPr>
        <w:t xml:space="preserve">Evolution of Loan Dollarization (in Average Daily Balances) </w:t>
      </w:r>
      <w:r>
        <w:rPr>
          <w:rFonts w:ascii="Arial" w:cs="Arial" w:eastAsia="Arial" w:hAnsi="Arial"/>
          <w:sz w:val="27"/>
          <w:szCs w:val="27"/>
          <w:b w:val="1"/>
          <w:bCs w:val="1"/>
          <w:color w:val="auto"/>
          <w:vertAlign w:val="superscript"/>
        </w:rPr>
        <w:t>(1)(2)</w:t>
      </w:r>
    </w:p>
    <w:tbl>
      <w:tblPr>
        <w:tblLayout w:type="fixed"/>
        <w:tblInd w:w="11" w:type="dxa"/>
        <w:tblCellMar>
          <w:top w:w="0" w:type="dxa"/>
          <w:left w:w="0" w:type="dxa"/>
          <w:bottom w:w="0" w:type="dxa"/>
          <w:right w:w="0" w:type="dxa"/>
        </w:tblCellMar>
      </w:tblPr>
      <w:tr>
        <w:trPr>
          <w:trHeight w:val="158"/>
        </w:trPr>
        <w:tc>
          <w:tcPr>
            <w:tcW w:w="1280" w:type="dxa"/>
            <w:vAlign w:val="bottom"/>
            <w:tcBorders>
              <w:top w:val="single" w:sz="8" w:color="auto"/>
              <w:left w:val="single" w:sz="8" w:color="auto"/>
              <w:right w:val="single" w:sz="8" w:color="auto"/>
            </w:tcBorders>
            <w:shd w:val="clear" w:color="auto" w:fill="33CCCC"/>
          </w:tcPr>
          <w:p>
            <w:pPr>
              <w:spacing w:after="0"/>
              <w:rPr>
                <w:sz w:val="13"/>
                <w:szCs w:val="13"/>
                <w:color w:val="auto"/>
              </w:rPr>
            </w:pPr>
          </w:p>
        </w:tc>
        <w:tc>
          <w:tcPr>
            <w:tcW w:w="800" w:type="dxa"/>
            <w:vAlign w:val="bottom"/>
            <w:tcBorders>
              <w:top w:val="single" w:sz="8" w:color="auto"/>
            </w:tcBorders>
            <w:shd w:val="clear" w:color="auto" w:fill="33CCCC"/>
          </w:tcPr>
          <w:p>
            <w:pPr>
              <w:spacing w:after="0"/>
              <w:rPr>
                <w:sz w:val="13"/>
                <w:szCs w:val="13"/>
                <w:color w:val="auto"/>
              </w:rPr>
            </w:pPr>
          </w:p>
        </w:tc>
        <w:tc>
          <w:tcPr>
            <w:tcW w:w="1820" w:type="dxa"/>
            <w:vAlign w:val="bottom"/>
            <w:tcBorders>
              <w:top w:val="single" w:sz="8" w:color="auto"/>
            </w:tcBorders>
            <w:gridSpan w:val="3"/>
            <w:shd w:val="clear" w:color="auto" w:fill="33CCCC"/>
          </w:tcPr>
          <w:p>
            <w:pPr>
              <w:jc w:val="right"/>
              <w:spacing w:after="0" w:line="158" w:lineRule="exact"/>
              <w:rPr>
                <w:sz w:val="20"/>
                <w:szCs w:val="20"/>
                <w:color w:val="auto"/>
              </w:rPr>
            </w:pPr>
            <w:r>
              <w:rPr>
                <w:rFonts w:ascii="Arial" w:cs="Arial" w:eastAsia="Arial" w:hAnsi="Arial"/>
                <w:sz w:val="16"/>
                <w:szCs w:val="16"/>
                <w:b w:val="1"/>
                <w:bCs w:val="1"/>
                <w:color w:val="FFFFFF"/>
              </w:rPr>
              <w:t>Local Currency (LC)</w:t>
            </w:r>
          </w:p>
        </w:tc>
        <w:tc>
          <w:tcPr>
            <w:tcW w:w="460" w:type="dxa"/>
            <w:vAlign w:val="bottom"/>
            <w:tcBorders>
              <w:top w:val="single" w:sz="8" w:color="auto"/>
            </w:tcBorders>
            <w:shd w:val="clear" w:color="auto" w:fill="33CCCC"/>
          </w:tcPr>
          <w:p>
            <w:pPr>
              <w:spacing w:after="0"/>
              <w:rPr>
                <w:sz w:val="13"/>
                <w:szCs w:val="13"/>
                <w:color w:val="auto"/>
              </w:rPr>
            </w:pPr>
          </w:p>
        </w:tc>
        <w:tc>
          <w:tcPr>
            <w:tcW w:w="580" w:type="dxa"/>
            <w:vAlign w:val="bottom"/>
            <w:tcBorders>
              <w:top w:val="single" w:sz="8" w:color="auto"/>
              <w:right w:val="single" w:sz="8" w:color="auto"/>
            </w:tcBorders>
            <w:shd w:val="clear" w:color="auto" w:fill="33CCCC"/>
          </w:tcPr>
          <w:p>
            <w:pPr>
              <w:spacing w:after="0"/>
              <w:rPr>
                <w:sz w:val="13"/>
                <w:szCs w:val="13"/>
                <w:color w:val="auto"/>
              </w:rPr>
            </w:pPr>
          </w:p>
        </w:tc>
        <w:tc>
          <w:tcPr>
            <w:tcW w:w="1060" w:type="dxa"/>
            <w:vAlign w:val="bottom"/>
            <w:tcBorders>
              <w:top w:val="single" w:sz="8" w:color="auto"/>
              <w:right w:val="single" w:sz="8" w:color="auto"/>
            </w:tcBorders>
            <w:gridSpan w:val="2"/>
            <w:shd w:val="clear" w:color="auto" w:fill="33CCCC"/>
          </w:tcPr>
          <w:p>
            <w:pPr>
              <w:jc w:val="center"/>
              <w:spacing w:after="0" w:line="158" w:lineRule="exact"/>
              <w:rPr>
                <w:sz w:val="20"/>
                <w:szCs w:val="20"/>
                <w:color w:val="auto"/>
              </w:rPr>
            </w:pPr>
            <w:r>
              <w:rPr>
                <w:rFonts w:ascii="Arial" w:cs="Arial" w:eastAsia="Arial" w:hAnsi="Arial"/>
                <w:sz w:val="16"/>
                <w:szCs w:val="16"/>
                <w:b w:val="1"/>
                <w:bCs w:val="1"/>
                <w:color w:val="FFFFFF"/>
              </w:rPr>
              <w:t>% change</w:t>
            </w:r>
          </w:p>
        </w:tc>
        <w:tc>
          <w:tcPr>
            <w:tcW w:w="1020" w:type="dxa"/>
            <w:vAlign w:val="bottom"/>
            <w:tcBorders>
              <w:top w:val="single" w:sz="8" w:color="auto"/>
              <w:right w:val="single" w:sz="8" w:color="auto"/>
            </w:tcBorders>
            <w:gridSpan w:val="2"/>
            <w:shd w:val="clear" w:color="auto" w:fill="33CCCC"/>
          </w:tcPr>
          <w:p>
            <w:pPr>
              <w:jc w:val="center"/>
              <w:spacing w:after="0" w:line="158" w:lineRule="exact"/>
              <w:rPr>
                <w:sz w:val="20"/>
                <w:szCs w:val="20"/>
                <w:color w:val="auto"/>
              </w:rPr>
            </w:pPr>
            <w:r>
              <w:rPr>
                <w:rFonts w:ascii="Arial" w:cs="Arial" w:eastAsia="Arial" w:hAnsi="Arial"/>
                <w:sz w:val="16"/>
                <w:szCs w:val="16"/>
                <w:b w:val="1"/>
                <w:bCs w:val="1"/>
                <w:color w:val="FFFFFF"/>
              </w:rPr>
              <w:t>% change</w:t>
            </w:r>
          </w:p>
        </w:tc>
        <w:tc>
          <w:tcPr>
            <w:tcW w:w="1600" w:type="dxa"/>
            <w:vAlign w:val="bottom"/>
            <w:tcBorders>
              <w:top w:val="single" w:sz="8" w:color="auto"/>
              <w:right w:val="single" w:sz="8" w:color="auto"/>
            </w:tcBorders>
            <w:gridSpan w:val="3"/>
            <w:shd w:val="clear" w:color="auto" w:fill="33CCCC"/>
          </w:tcPr>
          <w:p>
            <w:pPr>
              <w:jc w:val="center"/>
              <w:spacing w:after="0" w:line="158" w:lineRule="exact"/>
              <w:rPr>
                <w:sz w:val="20"/>
                <w:szCs w:val="20"/>
                <w:color w:val="auto"/>
              </w:rPr>
            </w:pPr>
            <w:r>
              <w:rPr>
                <w:rFonts w:ascii="Arial" w:cs="Arial" w:eastAsia="Arial" w:hAnsi="Arial"/>
                <w:sz w:val="16"/>
                <w:szCs w:val="16"/>
                <w:b w:val="1"/>
                <w:bCs w:val="1"/>
                <w:color w:val="FFFFFF"/>
              </w:rPr>
              <w:t>Foreign Currency</w:t>
            </w:r>
          </w:p>
        </w:tc>
        <w:tc>
          <w:tcPr>
            <w:tcW w:w="1080" w:type="dxa"/>
            <w:vAlign w:val="bottom"/>
            <w:tcBorders>
              <w:top w:val="single" w:sz="8" w:color="auto"/>
              <w:right w:val="single" w:sz="8" w:color="auto"/>
            </w:tcBorders>
            <w:gridSpan w:val="2"/>
            <w:shd w:val="clear" w:color="auto" w:fill="33CCCC"/>
          </w:tcPr>
          <w:p>
            <w:pPr>
              <w:jc w:val="center"/>
              <w:spacing w:after="0" w:line="158" w:lineRule="exact"/>
              <w:rPr>
                <w:sz w:val="20"/>
                <w:szCs w:val="20"/>
                <w:color w:val="auto"/>
              </w:rPr>
            </w:pPr>
            <w:r>
              <w:rPr>
                <w:rFonts w:ascii="Arial" w:cs="Arial" w:eastAsia="Arial" w:hAnsi="Arial"/>
                <w:sz w:val="16"/>
                <w:szCs w:val="16"/>
                <w:b w:val="1"/>
                <w:bCs w:val="1"/>
                <w:color w:val="FFFFFF"/>
              </w:rPr>
              <w:t>% change</w:t>
            </w:r>
          </w:p>
        </w:tc>
        <w:tc>
          <w:tcPr>
            <w:tcW w:w="1560" w:type="dxa"/>
            <w:vAlign w:val="bottom"/>
            <w:tcBorders>
              <w:top w:val="single" w:sz="8" w:color="auto"/>
              <w:right w:val="single" w:sz="8" w:color="auto"/>
            </w:tcBorders>
            <w:gridSpan w:val="2"/>
            <w:shd w:val="clear" w:color="auto" w:fill="33CCCC"/>
          </w:tcPr>
          <w:p>
            <w:pPr>
              <w:jc w:val="right"/>
              <w:spacing w:after="0" w:line="158" w:lineRule="exact"/>
              <w:rPr>
                <w:sz w:val="20"/>
                <w:szCs w:val="20"/>
                <w:color w:val="auto"/>
              </w:rPr>
            </w:pPr>
            <w:r>
              <w:rPr>
                <w:rFonts w:ascii="Arial" w:cs="Arial" w:eastAsia="Arial" w:hAnsi="Arial"/>
                <w:sz w:val="16"/>
                <w:szCs w:val="16"/>
                <w:b w:val="1"/>
                <w:bCs w:val="1"/>
                <w:color w:val="FFFFFF"/>
              </w:rPr>
              <w:t>% part. by currency</w:t>
            </w:r>
          </w:p>
        </w:tc>
        <w:tc>
          <w:tcPr>
            <w:tcW w:w="0" w:type="dxa"/>
            <w:vAlign w:val="bottom"/>
          </w:tcPr>
          <w:p>
            <w:pPr>
              <w:spacing w:after="0"/>
              <w:rPr>
                <w:sz w:val="1"/>
                <w:szCs w:val="1"/>
                <w:color w:val="auto"/>
              </w:rPr>
            </w:pPr>
          </w:p>
        </w:tc>
      </w:tr>
      <w:tr>
        <w:trPr>
          <w:trHeight w:val="229"/>
        </w:trPr>
        <w:tc>
          <w:tcPr>
            <w:tcW w:w="1280" w:type="dxa"/>
            <w:vAlign w:val="bottom"/>
            <w:tcBorders>
              <w:left w:val="single" w:sz="8" w:color="auto"/>
              <w:right w:val="single" w:sz="8" w:color="auto"/>
            </w:tcBorders>
            <w:shd w:val="clear" w:color="auto" w:fill="33CCCC"/>
          </w:tcPr>
          <w:p>
            <w:pPr>
              <w:spacing w:after="0"/>
              <w:rPr>
                <w:sz w:val="19"/>
                <w:szCs w:val="19"/>
                <w:color w:val="auto"/>
              </w:rPr>
            </w:pPr>
          </w:p>
        </w:tc>
        <w:tc>
          <w:tcPr>
            <w:tcW w:w="800" w:type="dxa"/>
            <w:vAlign w:val="bottom"/>
            <w:shd w:val="clear" w:color="auto" w:fill="33CCCC"/>
          </w:tcPr>
          <w:p>
            <w:pPr>
              <w:spacing w:after="0"/>
              <w:rPr>
                <w:sz w:val="19"/>
                <w:szCs w:val="19"/>
                <w:color w:val="auto"/>
              </w:rPr>
            </w:pPr>
          </w:p>
        </w:tc>
        <w:tc>
          <w:tcPr>
            <w:tcW w:w="740" w:type="dxa"/>
            <w:vAlign w:val="bottom"/>
            <w:shd w:val="clear" w:color="auto" w:fill="33CCCC"/>
          </w:tcPr>
          <w:p>
            <w:pPr>
              <w:spacing w:after="0"/>
              <w:rPr>
                <w:sz w:val="19"/>
                <w:szCs w:val="19"/>
                <w:color w:val="auto"/>
              </w:rPr>
            </w:pPr>
          </w:p>
        </w:tc>
        <w:tc>
          <w:tcPr>
            <w:tcW w:w="520" w:type="dxa"/>
            <w:vAlign w:val="bottom"/>
            <w:shd w:val="clear" w:color="auto" w:fill="33CCCC"/>
          </w:tcPr>
          <w:p>
            <w:pPr>
              <w:spacing w:after="0"/>
              <w:rPr>
                <w:sz w:val="19"/>
                <w:szCs w:val="19"/>
                <w:color w:val="auto"/>
              </w:rPr>
            </w:pPr>
          </w:p>
        </w:tc>
        <w:tc>
          <w:tcPr>
            <w:tcW w:w="560" w:type="dxa"/>
            <w:vAlign w:val="bottom"/>
            <w:shd w:val="clear" w:color="auto" w:fill="33CCCC"/>
          </w:tcPr>
          <w:p>
            <w:pPr>
              <w:spacing w:after="0"/>
              <w:rPr>
                <w:sz w:val="19"/>
                <w:szCs w:val="19"/>
                <w:color w:val="auto"/>
              </w:rPr>
            </w:pPr>
          </w:p>
        </w:tc>
        <w:tc>
          <w:tcPr>
            <w:tcW w:w="460" w:type="dxa"/>
            <w:vAlign w:val="bottom"/>
            <w:shd w:val="clear" w:color="auto" w:fill="33CCCC"/>
          </w:tcPr>
          <w:p>
            <w:pPr>
              <w:spacing w:after="0"/>
              <w:rPr>
                <w:sz w:val="19"/>
                <w:szCs w:val="19"/>
                <w:color w:val="auto"/>
              </w:rPr>
            </w:pPr>
          </w:p>
        </w:tc>
        <w:tc>
          <w:tcPr>
            <w:tcW w:w="580" w:type="dxa"/>
            <w:vAlign w:val="bottom"/>
            <w:tcBorders>
              <w:right w:val="single" w:sz="8" w:color="auto"/>
            </w:tcBorders>
            <w:shd w:val="clear" w:color="auto" w:fill="33CCCC"/>
          </w:tcPr>
          <w:p>
            <w:pPr>
              <w:spacing w:after="0"/>
              <w:rPr>
                <w:sz w:val="19"/>
                <w:szCs w:val="19"/>
                <w:color w:val="auto"/>
              </w:rPr>
            </w:pPr>
          </w:p>
        </w:tc>
        <w:tc>
          <w:tcPr>
            <w:tcW w:w="480" w:type="dxa"/>
            <w:vAlign w:val="bottom"/>
            <w:shd w:val="clear" w:color="auto" w:fill="33CCCC"/>
          </w:tcPr>
          <w:p>
            <w:pPr>
              <w:spacing w:after="0"/>
              <w:rPr>
                <w:sz w:val="19"/>
                <w:szCs w:val="19"/>
                <w:color w:val="auto"/>
              </w:rPr>
            </w:pPr>
          </w:p>
        </w:tc>
        <w:tc>
          <w:tcPr>
            <w:tcW w:w="580" w:type="dxa"/>
            <w:vAlign w:val="bottom"/>
            <w:tcBorders>
              <w:right w:val="single" w:sz="8" w:color="auto"/>
            </w:tcBorders>
            <w:shd w:val="clear" w:color="auto" w:fill="33CCCC"/>
          </w:tcPr>
          <w:p>
            <w:pPr>
              <w:spacing w:after="0"/>
              <w:rPr>
                <w:sz w:val="19"/>
                <w:szCs w:val="19"/>
                <w:color w:val="auto"/>
              </w:rPr>
            </w:pPr>
          </w:p>
        </w:tc>
        <w:tc>
          <w:tcPr>
            <w:tcW w:w="1020" w:type="dxa"/>
            <w:vAlign w:val="bottom"/>
            <w:tcBorders>
              <w:right w:val="single" w:sz="8" w:color="auto"/>
            </w:tcBorders>
            <w:gridSpan w:val="2"/>
            <w:shd w:val="clear" w:color="auto" w:fill="33CCCC"/>
          </w:tcPr>
          <w:p>
            <w:pPr>
              <w:jc w:val="center"/>
              <w:spacing w:after="0"/>
              <w:rPr>
                <w:sz w:val="20"/>
                <w:szCs w:val="20"/>
                <w:color w:val="auto"/>
              </w:rPr>
            </w:pPr>
            <w:r>
              <w:rPr>
                <w:rFonts w:ascii="Arial" w:cs="Arial" w:eastAsia="Arial" w:hAnsi="Arial"/>
                <w:sz w:val="16"/>
                <w:szCs w:val="16"/>
                <w:b w:val="1"/>
                <w:bCs w:val="1"/>
                <w:color w:val="FFFFFF"/>
              </w:rPr>
              <w:t>Structural</w:t>
            </w:r>
          </w:p>
        </w:tc>
        <w:tc>
          <w:tcPr>
            <w:tcW w:w="500" w:type="dxa"/>
            <w:vAlign w:val="bottom"/>
            <w:shd w:val="clear" w:color="auto" w:fill="33CCCC"/>
          </w:tcPr>
          <w:p>
            <w:pPr>
              <w:spacing w:after="0"/>
              <w:rPr>
                <w:sz w:val="19"/>
                <w:szCs w:val="19"/>
                <w:color w:val="auto"/>
              </w:rPr>
            </w:pPr>
          </w:p>
        </w:tc>
        <w:tc>
          <w:tcPr>
            <w:tcW w:w="560" w:type="dxa"/>
            <w:vAlign w:val="bottom"/>
            <w:shd w:val="clear" w:color="auto" w:fill="33CCCC"/>
          </w:tcPr>
          <w:p>
            <w:pPr>
              <w:jc w:val="center"/>
              <w:spacing w:after="0"/>
              <w:rPr>
                <w:sz w:val="20"/>
                <w:szCs w:val="20"/>
                <w:color w:val="auto"/>
              </w:rPr>
            </w:pPr>
            <w:r>
              <w:rPr>
                <w:rFonts w:ascii="Arial" w:cs="Arial" w:eastAsia="Arial" w:hAnsi="Arial"/>
                <w:sz w:val="16"/>
                <w:szCs w:val="16"/>
                <w:b w:val="1"/>
                <w:bCs w:val="1"/>
                <w:color w:val="FFFFFF"/>
              </w:rPr>
              <w:t>(FC)</w:t>
            </w:r>
          </w:p>
        </w:tc>
        <w:tc>
          <w:tcPr>
            <w:tcW w:w="540" w:type="dxa"/>
            <w:vAlign w:val="bottom"/>
            <w:tcBorders>
              <w:right w:val="single" w:sz="8" w:color="auto"/>
            </w:tcBorders>
            <w:shd w:val="clear" w:color="auto" w:fill="33CCCC"/>
          </w:tcPr>
          <w:p>
            <w:pPr>
              <w:spacing w:after="0"/>
              <w:rPr>
                <w:sz w:val="19"/>
                <w:szCs w:val="19"/>
                <w:color w:val="auto"/>
              </w:rPr>
            </w:pPr>
          </w:p>
        </w:tc>
        <w:tc>
          <w:tcPr>
            <w:tcW w:w="500" w:type="dxa"/>
            <w:vAlign w:val="bottom"/>
            <w:shd w:val="clear" w:color="auto" w:fill="33CCCC"/>
          </w:tcPr>
          <w:p>
            <w:pPr>
              <w:spacing w:after="0"/>
              <w:rPr>
                <w:sz w:val="19"/>
                <w:szCs w:val="19"/>
                <w:color w:val="auto"/>
              </w:rPr>
            </w:pPr>
          </w:p>
        </w:tc>
        <w:tc>
          <w:tcPr>
            <w:tcW w:w="580" w:type="dxa"/>
            <w:vAlign w:val="bottom"/>
            <w:tcBorders>
              <w:right w:val="single" w:sz="8" w:color="auto"/>
            </w:tcBorders>
            <w:shd w:val="clear" w:color="auto" w:fill="33CCCC"/>
          </w:tcPr>
          <w:p>
            <w:pPr>
              <w:spacing w:after="0"/>
              <w:rPr>
                <w:sz w:val="19"/>
                <w:szCs w:val="19"/>
                <w:color w:val="auto"/>
              </w:rPr>
            </w:pPr>
          </w:p>
        </w:tc>
        <w:tc>
          <w:tcPr>
            <w:tcW w:w="820" w:type="dxa"/>
            <w:vAlign w:val="bottom"/>
            <w:shd w:val="clear" w:color="auto" w:fill="33CCCC"/>
          </w:tcPr>
          <w:p>
            <w:pPr>
              <w:spacing w:after="0"/>
              <w:rPr>
                <w:sz w:val="19"/>
                <w:szCs w:val="19"/>
                <w:color w:val="auto"/>
              </w:rPr>
            </w:pPr>
          </w:p>
        </w:tc>
        <w:tc>
          <w:tcPr>
            <w:tcW w:w="740" w:type="dxa"/>
            <w:vAlign w:val="bottom"/>
            <w:tcBorders>
              <w:right w:val="single" w:sz="8" w:color="auto"/>
            </w:tcBorders>
            <w:shd w:val="clear" w:color="auto" w:fill="33CCCC"/>
          </w:tcPr>
          <w:p>
            <w:pPr>
              <w:spacing w:after="0"/>
              <w:rPr>
                <w:sz w:val="19"/>
                <w:szCs w:val="19"/>
                <w:color w:val="auto"/>
              </w:rPr>
            </w:pPr>
          </w:p>
        </w:tc>
        <w:tc>
          <w:tcPr>
            <w:tcW w:w="0" w:type="dxa"/>
            <w:vAlign w:val="bottom"/>
          </w:tcPr>
          <w:p>
            <w:pPr>
              <w:spacing w:after="0"/>
              <w:rPr>
                <w:sz w:val="1"/>
                <w:szCs w:val="1"/>
                <w:color w:val="auto"/>
              </w:rPr>
            </w:pPr>
          </w:p>
        </w:tc>
      </w:tr>
      <w:tr>
        <w:trPr>
          <w:trHeight w:val="327"/>
        </w:trPr>
        <w:tc>
          <w:tcPr>
            <w:tcW w:w="1280" w:type="dxa"/>
            <w:vAlign w:val="bottom"/>
            <w:tcBorders>
              <w:left w:val="single" w:sz="8" w:color="auto"/>
              <w:right w:val="single" w:sz="8" w:color="auto"/>
            </w:tcBorders>
            <w:shd w:val="clear" w:color="auto" w:fill="33CCCC"/>
          </w:tcPr>
          <w:p>
            <w:pPr>
              <w:ind w:left="20"/>
              <w:spacing w:after="0"/>
              <w:rPr>
                <w:sz w:val="20"/>
                <w:szCs w:val="20"/>
                <w:color w:val="auto"/>
              </w:rPr>
            </w:pPr>
            <w:r>
              <w:rPr>
                <w:rFonts w:ascii="Arial" w:cs="Arial" w:eastAsia="Arial" w:hAnsi="Arial"/>
                <w:sz w:val="16"/>
                <w:szCs w:val="16"/>
                <w:b w:val="1"/>
                <w:bCs w:val="1"/>
                <w:color w:val="FFFFFF"/>
              </w:rPr>
              <w:t>Total Loans</w:t>
            </w:r>
          </w:p>
        </w:tc>
        <w:tc>
          <w:tcPr>
            <w:tcW w:w="800" w:type="dxa"/>
            <w:vAlign w:val="bottom"/>
            <w:shd w:val="clear" w:color="auto" w:fill="33CCCC"/>
          </w:tcPr>
          <w:p>
            <w:pPr>
              <w:spacing w:after="0"/>
              <w:rPr>
                <w:sz w:val="24"/>
                <w:szCs w:val="24"/>
                <w:color w:val="auto"/>
              </w:rPr>
            </w:pPr>
          </w:p>
        </w:tc>
        <w:tc>
          <w:tcPr>
            <w:tcW w:w="740" w:type="dxa"/>
            <w:vAlign w:val="bottom"/>
            <w:shd w:val="clear" w:color="auto" w:fill="33CCCC"/>
          </w:tcPr>
          <w:p>
            <w:pPr>
              <w:jc w:val="center"/>
              <w:ind w:right="198"/>
              <w:spacing w:after="0"/>
              <w:rPr>
                <w:sz w:val="20"/>
                <w:szCs w:val="20"/>
                <w:color w:val="auto"/>
              </w:rPr>
            </w:pPr>
            <w:r>
              <w:rPr>
                <w:rFonts w:ascii="Arial" w:cs="Arial" w:eastAsia="Arial" w:hAnsi="Arial"/>
                <w:sz w:val="16"/>
                <w:szCs w:val="16"/>
                <w:b w:val="1"/>
                <w:bCs w:val="1"/>
                <w:color w:val="FFFFFF"/>
                <w:w w:val="99"/>
              </w:rPr>
              <w:t>Total</w:t>
            </w:r>
          </w:p>
        </w:tc>
        <w:tc>
          <w:tcPr>
            <w:tcW w:w="520" w:type="dxa"/>
            <w:vAlign w:val="bottom"/>
            <w:shd w:val="clear" w:color="auto" w:fill="33CCCC"/>
          </w:tcPr>
          <w:p>
            <w:pPr>
              <w:spacing w:after="0"/>
              <w:rPr>
                <w:sz w:val="24"/>
                <w:szCs w:val="24"/>
                <w:color w:val="auto"/>
              </w:rPr>
            </w:pPr>
          </w:p>
        </w:tc>
        <w:tc>
          <w:tcPr>
            <w:tcW w:w="1600" w:type="dxa"/>
            <w:vAlign w:val="bottom"/>
            <w:tcBorders>
              <w:right w:val="single" w:sz="8" w:color="auto"/>
            </w:tcBorders>
            <w:gridSpan w:val="3"/>
            <w:shd w:val="clear" w:color="auto" w:fill="33CCCC"/>
          </w:tcPr>
          <w:p>
            <w:pPr>
              <w:jc w:val="center"/>
              <w:spacing w:after="0"/>
              <w:rPr>
                <w:sz w:val="20"/>
                <w:szCs w:val="20"/>
                <w:color w:val="auto"/>
              </w:rPr>
            </w:pPr>
            <w:r>
              <w:rPr>
                <w:rFonts w:ascii="Arial" w:cs="Arial" w:eastAsia="Arial" w:hAnsi="Arial"/>
                <w:sz w:val="16"/>
                <w:szCs w:val="16"/>
                <w:b w:val="1"/>
                <w:bCs w:val="1"/>
                <w:color w:val="FFFFFF"/>
              </w:rPr>
              <w:t>Structural</w:t>
            </w:r>
          </w:p>
        </w:tc>
        <w:tc>
          <w:tcPr>
            <w:tcW w:w="480" w:type="dxa"/>
            <w:vAlign w:val="bottom"/>
            <w:shd w:val="clear" w:color="auto" w:fill="33CCCC"/>
          </w:tcPr>
          <w:p>
            <w:pPr>
              <w:spacing w:after="0"/>
              <w:rPr>
                <w:sz w:val="24"/>
                <w:szCs w:val="24"/>
                <w:color w:val="auto"/>
              </w:rPr>
            </w:pPr>
          </w:p>
        </w:tc>
        <w:tc>
          <w:tcPr>
            <w:tcW w:w="580" w:type="dxa"/>
            <w:vAlign w:val="bottom"/>
            <w:tcBorders>
              <w:right w:val="single" w:sz="8" w:color="auto"/>
            </w:tcBorders>
            <w:shd w:val="clear" w:color="auto" w:fill="33CCCC"/>
          </w:tcPr>
          <w:p>
            <w:pPr>
              <w:spacing w:after="0"/>
              <w:rPr>
                <w:sz w:val="24"/>
                <w:szCs w:val="24"/>
                <w:color w:val="auto"/>
              </w:rPr>
            </w:pPr>
          </w:p>
        </w:tc>
        <w:tc>
          <w:tcPr>
            <w:tcW w:w="460" w:type="dxa"/>
            <w:vAlign w:val="bottom"/>
            <w:shd w:val="clear" w:color="auto" w:fill="33CCCC"/>
          </w:tcPr>
          <w:p>
            <w:pPr>
              <w:spacing w:after="0"/>
              <w:rPr>
                <w:sz w:val="24"/>
                <w:szCs w:val="24"/>
                <w:color w:val="auto"/>
              </w:rPr>
            </w:pPr>
          </w:p>
        </w:tc>
        <w:tc>
          <w:tcPr>
            <w:tcW w:w="560" w:type="dxa"/>
            <w:vAlign w:val="bottom"/>
            <w:tcBorders>
              <w:right w:val="single" w:sz="8" w:color="auto"/>
            </w:tcBorders>
            <w:shd w:val="clear" w:color="auto" w:fill="33CCCC"/>
          </w:tcPr>
          <w:p>
            <w:pPr>
              <w:spacing w:after="0"/>
              <w:rPr>
                <w:sz w:val="24"/>
                <w:szCs w:val="24"/>
                <w:color w:val="auto"/>
              </w:rPr>
            </w:pPr>
          </w:p>
        </w:tc>
        <w:tc>
          <w:tcPr>
            <w:tcW w:w="500" w:type="dxa"/>
            <w:vAlign w:val="bottom"/>
            <w:shd w:val="clear" w:color="auto" w:fill="33CCCC"/>
          </w:tcPr>
          <w:p>
            <w:pPr>
              <w:spacing w:after="0"/>
              <w:rPr>
                <w:sz w:val="24"/>
                <w:szCs w:val="24"/>
                <w:color w:val="auto"/>
              </w:rPr>
            </w:pPr>
          </w:p>
        </w:tc>
        <w:tc>
          <w:tcPr>
            <w:tcW w:w="560" w:type="dxa"/>
            <w:vAlign w:val="bottom"/>
            <w:shd w:val="clear" w:color="auto" w:fill="33CCCC"/>
          </w:tcPr>
          <w:p>
            <w:pPr>
              <w:jc w:val="center"/>
              <w:spacing w:after="0"/>
              <w:rPr>
                <w:sz w:val="20"/>
                <w:szCs w:val="20"/>
                <w:color w:val="auto"/>
              </w:rPr>
            </w:pPr>
            <w:r>
              <w:rPr>
                <w:rFonts w:ascii="Arial" w:cs="Arial" w:eastAsia="Arial" w:hAnsi="Arial"/>
                <w:sz w:val="16"/>
                <w:szCs w:val="16"/>
                <w:b w:val="1"/>
                <w:bCs w:val="1"/>
                <w:color w:val="FFFFFF"/>
                <w:w w:val="99"/>
              </w:rPr>
              <w:t>Total</w:t>
            </w:r>
          </w:p>
        </w:tc>
        <w:tc>
          <w:tcPr>
            <w:tcW w:w="540" w:type="dxa"/>
            <w:vAlign w:val="bottom"/>
            <w:tcBorders>
              <w:right w:val="single" w:sz="8" w:color="auto"/>
            </w:tcBorders>
            <w:shd w:val="clear" w:color="auto" w:fill="33CCCC"/>
          </w:tcPr>
          <w:p>
            <w:pPr>
              <w:spacing w:after="0"/>
              <w:rPr>
                <w:sz w:val="24"/>
                <w:szCs w:val="24"/>
                <w:color w:val="auto"/>
              </w:rPr>
            </w:pPr>
          </w:p>
        </w:tc>
        <w:tc>
          <w:tcPr>
            <w:tcW w:w="500" w:type="dxa"/>
            <w:vAlign w:val="bottom"/>
            <w:shd w:val="clear" w:color="auto" w:fill="33CCCC"/>
          </w:tcPr>
          <w:p>
            <w:pPr>
              <w:spacing w:after="0"/>
              <w:rPr>
                <w:sz w:val="24"/>
                <w:szCs w:val="24"/>
                <w:color w:val="auto"/>
              </w:rPr>
            </w:pPr>
          </w:p>
        </w:tc>
        <w:tc>
          <w:tcPr>
            <w:tcW w:w="580" w:type="dxa"/>
            <w:vAlign w:val="bottom"/>
            <w:tcBorders>
              <w:right w:val="single" w:sz="8" w:color="auto"/>
            </w:tcBorders>
            <w:shd w:val="clear" w:color="auto" w:fill="33CCCC"/>
          </w:tcPr>
          <w:p>
            <w:pPr>
              <w:spacing w:after="0"/>
              <w:rPr>
                <w:sz w:val="24"/>
                <w:szCs w:val="24"/>
                <w:color w:val="auto"/>
              </w:rPr>
            </w:pPr>
          </w:p>
        </w:tc>
        <w:tc>
          <w:tcPr>
            <w:tcW w:w="1560" w:type="dxa"/>
            <w:vAlign w:val="bottom"/>
            <w:tcBorders>
              <w:right w:val="single" w:sz="8" w:color="auto"/>
            </w:tcBorders>
            <w:gridSpan w:val="2"/>
            <w:shd w:val="clear" w:color="auto" w:fill="33CCCC"/>
          </w:tcPr>
          <w:p>
            <w:pPr>
              <w:jc w:val="right"/>
              <w:ind w:right="458"/>
              <w:spacing w:after="0"/>
              <w:rPr>
                <w:sz w:val="20"/>
                <w:szCs w:val="20"/>
                <w:color w:val="auto"/>
              </w:rPr>
            </w:pPr>
            <w:r>
              <w:rPr>
                <w:rFonts w:ascii="Arial" w:cs="Arial" w:eastAsia="Arial" w:hAnsi="Arial"/>
                <w:sz w:val="16"/>
                <w:szCs w:val="16"/>
                <w:b w:val="1"/>
                <w:bCs w:val="1"/>
                <w:color w:val="FFFFFF"/>
              </w:rPr>
              <w:t>Sep 23</w:t>
            </w:r>
          </w:p>
        </w:tc>
        <w:tc>
          <w:tcPr>
            <w:tcW w:w="0" w:type="dxa"/>
            <w:vAlign w:val="bottom"/>
          </w:tcPr>
          <w:p>
            <w:pPr>
              <w:spacing w:after="0"/>
              <w:rPr>
                <w:sz w:val="1"/>
                <w:szCs w:val="1"/>
                <w:color w:val="auto"/>
              </w:rPr>
            </w:pPr>
          </w:p>
        </w:tc>
      </w:tr>
      <w:tr>
        <w:trPr>
          <w:trHeight w:val="185"/>
        </w:trPr>
        <w:tc>
          <w:tcPr>
            <w:tcW w:w="1280" w:type="dxa"/>
            <w:vAlign w:val="bottom"/>
            <w:tcBorders>
              <w:left w:val="single" w:sz="8" w:color="auto"/>
              <w:right w:val="single" w:sz="8" w:color="auto"/>
            </w:tcBorders>
            <w:shd w:val="clear" w:color="auto" w:fill="33CCCC"/>
          </w:tcPr>
          <w:p>
            <w:pPr>
              <w:ind w:left="20"/>
              <w:spacing w:after="0"/>
              <w:rPr>
                <w:sz w:val="20"/>
                <w:szCs w:val="20"/>
                <w:color w:val="auto"/>
              </w:rPr>
            </w:pPr>
            <w:r>
              <w:rPr>
                <w:rFonts w:ascii="Arial" w:cs="Arial" w:eastAsia="Arial" w:hAnsi="Arial"/>
                <w:sz w:val="16"/>
                <w:szCs w:val="16"/>
                <w:color w:val="FFFFFF"/>
              </w:rPr>
              <w:t>(S/ millions)</w:t>
            </w:r>
          </w:p>
        </w:tc>
        <w:tc>
          <w:tcPr>
            <w:tcW w:w="800" w:type="dxa"/>
            <w:vAlign w:val="bottom"/>
            <w:shd w:val="clear" w:color="auto" w:fill="33CCCC"/>
          </w:tcPr>
          <w:p>
            <w:pPr>
              <w:ind w:left="240"/>
              <w:spacing w:after="0"/>
              <w:rPr>
                <w:sz w:val="20"/>
                <w:szCs w:val="20"/>
                <w:color w:val="auto"/>
              </w:rPr>
            </w:pPr>
            <w:r>
              <w:rPr>
                <w:rFonts w:ascii="Arial" w:cs="Arial" w:eastAsia="Arial" w:hAnsi="Arial"/>
                <w:sz w:val="16"/>
                <w:szCs w:val="16"/>
                <w:b w:val="1"/>
                <w:bCs w:val="1"/>
                <w:color w:val="FFFFFF"/>
              </w:rPr>
              <w:t>Sep 22</w:t>
            </w:r>
          </w:p>
        </w:tc>
        <w:tc>
          <w:tcPr>
            <w:tcW w:w="1820" w:type="dxa"/>
            <w:vAlign w:val="bottom"/>
            <w:gridSpan w:val="3"/>
            <w:shd w:val="clear" w:color="auto" w:fill="33CCCC"/>
          </w:tcPr>
          <w:p>
            <w:pPr>
              <w:jc w:val="right"/>
              <w:ind w:right="58"/>
              <w:spacing w:after="0"/>
              <w:rPr>
                <w:sz w:val="20"/>
                <w:szCs w:val="20"/>
                <w:color w:val="auto"/>
              </w:rPr>
            </w:pPr>
            <w:r>
              <w:rPr>
                <w:rFonts w:ascii="Arial" w:cs="Arial" w:eastAsia="Arial" w:hAnsi="Arial"/>
                <w:sz w:val="16"/>
                <w:szCs w:val="16"/>
                <w:b w:val="1"/>
                <w:bCs w:val="1"/>
                <w:color w:val="FFFFFF"/>
              </w:rPr>
              <w:t>Jun 23Sep 23 Sep</w:t>
            </w:r>
          </w:p>
        </w:tc>
        <w:tc>
          <w:tcPr>
            <w:tcW w:w="460" w:type="dxa"/>
            <w:vAlign w:val="bottom"/>
            <w:shd w:val="clear" w:color="auto" w:fill="33CCCC"/>
          </w:tcPr>
          <w:p>
            <w:pPr>
              <w:jc w:val="center"/>
              <w:spacing w:after="0"/>
              <w:rPr>
                <w:sz w:val="20"/>
                <w:szCs w:val="20"/>
                <w:color w:val="auto"/>
              </w:rPr>
            </w:pPr>
            <w:r>
              <w:rPr>
                <w:rFonts w:ascii="Arial" w:cs="Arial" w:eastAsia="Arial" w:hAnsi="Arial"/>
                <w:sz w:val="16"/>
                <w:szCs w:val="16"/>
                <w:b w:val="1"/>
                <w:bCs w:val="1"/>
                <w:color w:val="FFFFFF"/>
              </w:rPr>
              <w:t>Jun</w:t>
            </w:r>
          </w:p>
        </w:tc>
        <w:tc>
          <w:tcPr>
            <w:tcW w:w="580" w:type="dxa"/>
            <w:vAlign w:val="bottom"/>
            <w:tcBorders>
              <w:right w:val="single" w:sz="8" w:color="auto"/>
            </w:tcBorders>
            <w:shd w:val="clear" w:color="auto" w:fill="33CCCC"/>
          </w:tcPr>
          <w:p>
            <w:pPr>
              <w:jc w:val="center"/>
              <w:spacing w:after="0"/>
              <w:rPr>
                <w:sz w:val="20"/>
                <w:szCs w:val="20"/>
                <w:color w:val="auto"/>
              </w:rPr>
            </w:pPr>
            <w:r>
              <w:rPr>
                <w:rFonts w:ascii="Arial" w:cs="Arial" w:eastAsia="Arial" w:hAnsi="Arial"/>
                <w:sz w:val="16"/>
                <w:szCs w:val="16"/>
                <w:b w:val="1"/>
                <w:bCs w:val="1"/>
                <w:color w:val="FFFFFF"/>
              </w:rPr>
              <w:t>Sep 23</w:t>
            </w:r>
          </w:p>
        </w:tc>
        <w:tc>
          <w:tcPr>
            <w:tcW w:w="480" w:type="dxa"/>
            <w:vAlign w:val="bottom"/>
            <w:shd w:val="clear" w:color="auto" w:fill="33CCCC"/>
          </w:tcPr>
          <w:p>
            <w:pPr>
              <w:ind w:left="60"/>
              <w:spacing w:after="0"/>
              <w:rPr>
                <w:sz w:val="20"/>
                <w:szCs w:val="20"/>
                <w:color w:val="auto"/>
              </w:rPr>
            </w:pPr>
            <w:r>
              <w:rPr>
                <w:rFonts w:ascii="Arial" w:cs="Arial" w:eastAsia="Arial" w:hAnsi="Arial"/>
                <w:sz w:val="16"/>
                <w:szCs w:val="16"/>
                <w:b w:val="1"/>
                <w:bCs w:val="1"/>
                <w:color w:val="FFFFFF"/>
              </w:rPr>
              <w:t>QoQ</w:t>
            </w:r>
          </w:p>
        </w:tc>
        <w:tc>
          <w:tcPr>
            <w:tcW w:w="580" w:type="dxa"/>
            <w:vAlign w:val="bottom"/>
            <w:tcBorders>
              <w:right w:val="single" w:sz="8" w:color="auto"/>
            </w:tcBorders>
            <w:shd w:val="clear" w:color="auto" w:fill="33CCCC"/>
          </w:tcPr>
          <w:p>
            <w:pPr>
              <w:ind w:left="120"/>
              <w:spacing w:after="0"/>
              <w:rPr>
                <w:sz w:val="20"/>
                <w:szCs w:val="20"/>
                <w:color w:val="auto"/>
              </w:rPr>
            </w:pPr>
            <w:r>
              <w:rPr>
                <w:rFonts w:ascii="Arial" w:cs="Arial" w:eastAsia="Arial" w:hAnsi="Arial"/>
                <w:sz w:val="16"/>
                <w:szCs w:val="16"/>
                <w:b w:val="1"/>
                <w:bCs w:val="1"/>
                <w:color w:val="FFFFFF"/>
              </w:rPr>
              <w:t>YoY</w:t>
            </w:r>
          </w:p>
        </w:tc>
        <w:tc>
          <w:tcPr>
            <w:tcW w:w="460" w:type="dxa"/>
            <w:vAlign w:val="bottom"/>
            <w:shd w:val="clear" w:color="auto" w:fill="33CCCC"/>
          </w:tcPr>
          <w:p>
            <w:pPr>
              <w:ind w:left="40"/>
              <w:spacing w:after="0"/>
              <w:rPr>
                <w:sz w:val="20"/>
                <w:szCs w:val="20"/>
                <w:color w:val="auto"/>
              </w:rPr>
            </w:pPr>
            <w:r>
              <w:rPr>
                <w:rFonts w:ascii="Arial" w:cs="Arial" w:eastAsia="Arial" w:hAnsi="Arial"/>
                <w:sz w:val="16"/>
                <w:szCs w:val="16"/>
                <w:b w:val="1"/>
                <w:bCs w:val="1"/>
                <w:color w:val="FFFFFF"/>
              </w:rPr>
              <w:t>QoQ</w:t>
            </w:r>
          </w:p>
        </w:tc>
        <w:tc>
          <w:tcPr>
            <w:tcW w:w="560" w:type="dxa"/>
            <w:vAlign w:val="bottom"/>
            <w:tcBorders>
              <w:right w:val="single" w:sz="8" w:color="auto"/>
            </w:tcBorders>
            <w:shd w:val="clear" w:color="auto" w:fill="33CCCC"/>
          </w:tcPr>
          <w:p>
            <w:pPr>
              <w:ind w:left="120"/>
              <w:spacing w:after="0"/>
              <w:rPr>
                <w:sz w:val="20"/>
                <w:szCs w:val="20"/>
                <w:color w:val="auto"/>
              </w:rPr>
            </w:pPr>
            <w:r>
              <w:rPr>
                <w:rFonts w:ascii="Arial" w:cs="Arial" w:eastAsia="Arial" w:hAnsi="Arial"/>
                <w:sz w:val="16"/>
                <w:szCs w:val="16"/>
                <w:b w:val="1"/>
                <w:bCs w:val="1"/>
                <w:color w:val="FFFFFF"/>
              </w:rPr>
              <w:t>YoY</w:t>
            </w:r>
          </w:p>
        </w:tc>
        <w:tc>
          <w:tcPr>
            <w:tcW w:w="500" w:type="dxa"/>
            <w:vAlign w:val="bottom"/>
            <w:shd w:val="clear" w:color="auto" w:fill="33CCCC"/>
          </w:tcPr>
          <w:p>
            <w:pPr>
              <w:ind w:left="100"/>
              <w:spacing w:after="0"/>
              <w:rPr>
                <w:sz w:val="20"/>
                <w:szCs w:val="20"/>
                <w:color w:val="auto"/>
              </w:rPr>
            </w:pPr>
            <w:r>
              <w:rPr>
                <w:rFonts w:ascii="Arial" w:cs="Arial" w:eastAsia="Arial" w:hAnsi="Arial"/>
                <w:sz w:val="16"/>
                <w:szCs w:val="16"/>
                <w:b w:val="1"/>
                <w:bCs w:val="1"/>
                <w:color w:val="FFFFFF"/>
              </w:rPr>
              <w:t>Sep</w:t>
            </w:r>
          </w:p>
        </w:tc>
        <w:tc>
          <w:tcPr>
            <w:tcW w:w="1100" w:type="dxa"/>
            <w:vAlign w:val="bottom"/>
            <w:tcBorders>
              <w:right w:val="single" w:sz="8" w:color="auto"/>
            </w:tcBorders>
            <w:gridSpan w:val="2"/>
            <w:shd w:val="clear" w:color="auto" w:fill="33CCCC"/>
          </w:tcPr>
          <w:p>
            <w:pPr>
              <w:ind w:left="20"/>
              <w:spacing w:after="0"/>
              <w:rPr>
                <w:sz w:val="20"/>
                <w:szCs w:val="20"/>
                <w:color w:val="auto"/>
              </w:rPr>
            </w:pPr>
            <w:r>
              <w:rPr>
                <w:rFonts w:ascii="Arial" w:cs="Arial" w:eastAsia="Arial" w:hAnsi="Arial"/>
                <w:sz w:val="16"/>
                <w:szCs w:val="16"/>
                <w:b w:val="1"/>
                <w:bCs w:val="1"/>
                <w:color w:val="FFFFFF"/>
              </w:rPr>
              <w:t>Jun 23Sep 23</w:t>
            </w:r>
          </w:p>
        </w:tc>
        <w:tc>
          <w:tcPr>
            <w:tcW w:w="500" w:type="dxa"/>
            <w:vAlign w:val="bottom"/>
            <w:shd w:val="clear" w:color="auto" w:fill="33CCCC"/>
          </w:tcPr>
          <w:p>
            <w:pPr>
              <w:ind w:left="80"/>
              <w:spacing w:after="0"/>
              <w:rPr>
                <w:sz w:val="20"/>
                <w:szCs w:val="20"/>
                <w:color w:val="auto"/>
              </w:rPr>
            </w:pPr>
            <w:r>
              <w:rPr>
                <w:rFonts w:ascii="Arial" w:cs="Arial" w:eastAsia="Arial" w:hAnsi="Arial"/>
                <w:sz w:val="16"/>
                <w:szCs w:val="16"/>
                <w:b w:val="1"/>
                <w:bCs w:val="1"/>
                <w:color w:val="FFFFFF"/>
              </w:rPr>
              <w:t>QoQ</w:t>
            </w:r>
          </w:p>
        </w:tc>
        <w:tc>
          <w:tcPr>
            <w:tcW w:w="580" w:type="dxa"/>
            <w:vAlign w:val="bottom"/>
            <w:tcBorders>
              <w:right w:val="single" w:sz="8" w:color="auto"/>
            </w:tcBorders>
            <w:shd w:val="clear" w:color="auto" w:fill="33CCCC"/>
          </w:tcPr>
          <w:p>
            <w:pPr>
              <w:ind w:left="120"/>
              <w:spacing w:after="0"/>
              <w:rPr>
                <w:sz w:val="20"/>
                <w:szCs w:val="20"/>
                <w:color w:val="auto"/>
              </w:rPr>
            </w:pPr>
            <w:r>
              <w:rPr>
                <w:rFonts w:ascii="Arial" w:cs="Arial" w:eastAsia="Arial" w:hAnsi="Arial"/>
                <w:sz w:val="16"/>
                <w:szCs w:val="16"/>
                <w:b w:val="1"/>
                <w:bCs w:val="1"/>
                <w:color w:val="FFFFFF"/>
              </w:rPr>
              <w:t>YoY</w:t>
            </w:r>
          </w:p>
        </w:tc>
        <w:tc>
          <w:tcPr>
            <w:tcW w:w="820" w:type="dxa"/>
            <w:vAlign w:val="bottom"/>
            <w:shd w:val="clear" w:color="auto" w:fill="33CCCC"/>
          </w:tcPr>
          <w:p>
            <w:pPr>
              <w:jc w:val="center"/>
              <w:ind w:left="38"/>
              <w:spacing w:after="0"/>
              <w:rPr>
                <w:sz w:val="20"/>
                <w:szCs w:val="20"/>
                <w:color w:val="auto"/>
              </w:rPr>
            </w:pPr>
            <w:r>
              <w:rPr>
                <w:rFonts w:ascii="Arial" w:cs="Arial" w:eastAsia="Arial" w:hAnsi="Arial"/>
                <w:sz w:val="16"/>
                <w:szCs w:val="16"/>
                <w:b w:val="1"/>
                <w:bCs w:val="1"/>
                <w:color w:val="FFFFFF"/>
              </w:rPr>
              <w:t>LC</w:t>
            </w:r>
          </w:p>
        </w:tc>
        <w:tc>
          <w:tcPr>
            <w:tcW w:w="740" w:type="dxa"/>
            <w:vAlign w:val="bottom"/>
            <w:tcBorders>
              <w:right w:val="single" w:sz="8" w:color="auto"/>
            </w:tcBorders>
            <w:shd w:val="clear" w:color="auto" w:fill="33CCCC"/>
          </w:tcPr>
          <w:p>
            <w:pPr>
              <w:jc w:val="right"/>
              <w:ind w:right="118"/>
              <w:spacing w:after="0"/>
              <w:rPr>
                <w:sz w:val="20"/>
                <w:szCs w:val="20"/>
                <w:color w:val="auto"/>
              </w:rPr>
            </w:pPr>
            <w:r>
              <w:rPr>
                <w:rFonts w:ascii="Arial" w:cs="Arial" w:eastAsia="Arial" w:hAnsi="Arial"/>
                <w:sz w:val="16"/>
                <w:szCs w:val="16"/>
                <w:b w:val="1"/>
                <w:bCs w:val="1"/>
                <w:color w:val="FFFFFF"/>
              </w:rPr>
              <w:t>FC</w:t>
            </w:r>
          </w:p>
        </w:tc>
        <w:tc>
          <w:tcPr>
            <w:tcW w:w="0" w:type="dxa"/>
            <w:vAlign w:val="bottom"/>
          </w:tcPr>
          <w:p>
            <w:pPr>
              <w:spacing w:after="0"/>
              <w:rPr>
                <w:sz w:val="1"/>
                <w:szCs w:val="1"/>
                <w:color w:val="auto"/>
              </w:rPr>
            </w:pPr>
          </w:p>
        </w:tc>
      </w:tr>
      <w:tr>
        <w:trPr>
          <w:trHeight w:val="219"/>
        </w:trPr>
        <w:tc>
          <w:tcPr>
            <w:tcW w:w="1280" w:type="dxa"/>
            <w:vAlign w:val="bottom"/>
            <w:tcBorders>
              <w:left w:val="single" w:sz="8" w:color="auto"/>
              <w:bottom w:val="single" w:sz="8" w:color="auto"/>
              <w:right w:val="single" w:sz="8" w:color="auto"/>
            </w:tcBorders>
            <w:shd w:val="clear" w:color="auto" w:fill="33CCCC"/>
          </w:tcPr>
          <w:p>
            <w:pPr>
              <w:spacing w:after="0"/>
              <w:rPr>
                <w:sz w:val="19"/>
                <w:szCs w:val="19"/>
                <w:color w:val="auto"/>
              </w:rPr>
            </w:pPr>
          </w:p>
        </w:tc>
        <w:tc>
          <w:tcPr>
            <w:tcW w:w="800" w:type="dxa"/>
            <w:vAlign w:val="bottom"/>
            <w:tcBorders>
              <w:bottom w:val="single" w:sz="8" w:color="auto"/>
            </w:tcBorders>
            <w:shd w:val="clear" w:color="auto" w:fill="33CCCC"/>
          </w:tcPr>
          <w:p>
            <w:pPr>
              <w:spacing w:after="0"/>
              <w:rPr>
                <w:sz w:val="19"/>
                <w:szCs w:val="19"/>
                <w:color w:val="auto"/>
              </w:rPr>
            </w:pPr>
          </w:p>
        </w:tc>
        <w:tc>
          <w:tcPr>
            <w:tcW w:w="740" w:type="dxa"/>
            <w:vAlign w:val="bottom"/>
            <w:tcBorders>
              <w:bottom w:val="single" w:sz="8" w:color="auto"/>
            </w:tcBorders>
            <w:shd w:val="clear" w:color="auto" w:fill="33CCCC"/>
          </w:tcPr>
          <w:p>
            <w:pPr>
              <w:spacing w:after="0"/>
              <w:rPr>
                <w:sz w:val="19"/>
                <w:szCs w:val="19"/>
                <w:color w:val="auto"/>
              </w:rPr>
            </w:pPr>
          </w:p>
        </w:tc>
        <w:tc>
          <w:tcPr>
            <w:tcW w:w="520" w:type="dxa"/>
            <w:vAlign w:val="bottom"/>
            <w:tcBorders>
              <w:bottom w:val="single" w:sz="8" w:color="auto"/>
            </w:tcBorders>
            <w:shd w:val="clear" w:color="auto" w:fill="33CCCC"/>
          </w:tcPr>
          <w:p>
            <w:pPr>
              <w:spacing w:after="0"/>
              <w:rPr>
                <w:sz w:val="19"/>
                <w:szCs w:val="19"/>
                <w:color w:val="auto"/>
              </w:rPr>
            </w:pPr>
          </w:p>
        </w:tc>
        <w:tc>
          <w:tcPr>
            <w:tcW w:w="56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6"/>
                <w:szCs w:val="16"/>
                <w:b w:val="1"/>
                <w:bCs w:val="1"/>
                <w:color w:val="FFFFFF"/>
              </w:rPr>
              <w:t>22</w:t>
            </w:r>
          </w:p>
        </w:tc>
        <w:tc>
          <w:tcPr>
            <w:tcW w:w="460" w:type="dxa"/>
            <w:vAlign w:val="bottom"/>
            <w:tcBorders>
              <w:bottom w:val="single" w:sz="8" w:color="auto"/>
            </w:tcBorders>
            <w:shd w:val="clear" w:color="auto" w:fill="33CCCC"/>
          </w:tcPr>
          <w:p>
            <w:pPr>
              <w:jc w:val="right"/>
              <w:ind w:right="58"/>
              <w:spacing w:after="0"/>
              <w:rPr>
                <w:sz w:val="20"/>
                <w:szCs w:val="20"/>
                <w:color w:val="auto"/>
              </w:rPr>
            </w:pPr>
            <w:r>
              <w:rPr>
                <w:rFonts w:ascii="Arial" w:cs="Arial" w:eastAsia="Arial" w:hAnsi="Arial"/>
                <w:sz w:val="16"/>
                <w:szCs w:val="16"/>
                <w:b w:val="1"/>
                <w:bCs w:val="1"/>
                <w:color w:val="FFFFFF"/>
              </w:rPr>
              <w:t>23</w:t>
            </w:r>
          </w:p>
        </w:tc>
        <w:tc>
          <w:tcPr>
            <w:tcW w:w="580" w:type="dxa"/>
            <w:vAlign w:val="bottom"/>
            <w:tcBorders>
              <w:bottom w:val="single" w:sz="8" w:color="auto"/>
              <w:right w:val="single" w:sz="8" w:color="auto"/>
            </w:tcBorders>
            <w:shd w:val="clear" w:color="auto" w:fill="33CCCC"/>
          </w:tcPr>
          <w:p>
            <w:pPr>
              <w:spacing w:after="0"/>
              <w:rPr>
                <w:sz w:val="19"/>
                <w:szCs w:val="19"/>
                <w:color w:val="auto"/>
              </w:rPr>
            </w:pPr>
          </w:p>
        </w:tc>
        <w:tc>
          <w:tcPr>
            <w:tcW w:w="480" w:type="dxa"/>
            <w:vAlign w:val="bottom"/>
            <w:tcBorders>
              <w:bottom w:val="single" w:sz="8" w:color="auto"/>
            </w:tcBorders>
            <w:shd w:val="clear" w:color="auto" w:fill="33CCCC"/>
          </w:tcPr>
          <w:p>
            <w:pPr>
              <w:spacing w:after="0"/>
              <w:rPr>
                <w:sz w:val="19"/>
                <w:szCs w:val="19"/>
                <w:color w:val="auto"/>
              </w:rPr>
            </w:pPr>
          </w:p>
        </w:tc>
        <w:tc>
          <w:tcPr>
            <w:tcW w:w="580" w:type="dxa"/>
            <w:vAlign w:val="bottom"/>
            <w:tcBorders>
              <w:bottom w:val="single" w:sz="8" w:color="auto"/>
              <w:right w:val="single" w:sz="8" w:color="auto"/>
            </w:tcBorders>
            <w:shd w:val="clear" w:color="auto" w:fill="33CCCC"/>
          </w:tcPr>
          <w:p>
            <w:pPr>
              <w:spacing w:after="0"/>
              <w:rPr>
                <w:sz w:val="19"/>
                <w:szCs w:val="19"/>
                <w:color w:val="auto"/>
              </w:rPr>
            </w:pPr>
          </w:p>
        </w:tc>
        <w:tc>
          <w:tcPr>
            <w:tcW w:w="460" w:type="dxa"/>
            <w:vAlign w:val="bottom"/>
            <w:tcBorders>
              <w:bottom w:val="single" w:sz="8" w:color="auto"/>
            </w:tcBorders>
            <w:shd w:val="clear" w:color="auto" w:fill="33CCCC"/>
          </w:tcPr>
          <w:p>
            <w:pPr>
              <w:spacing w:after="0"/>
              <w:rPr>
                <w:sz w:val="19"/>
                <w:szCs w:val="19"/>
                <w:color w:val="auto"/>
              </w:rPr>
            </w:pPr>
          </w:p>
        </w:tc>
        <w:tc>
          <w:tcPr>
            <w:tcW w:w="560" w:type="dxa"/>
            <w:vAlign w:val="bottom"/>
            <w:tcBorders>
              <w:bottom w:val="single" w:sz="8" w:color="auto"/>
              <w:right w:val="single" w:sz="8" w:color="auto"/>
            </w:tcBorders>
            <w:shd w:val="clear" w:color="auto" w:fill="33CCCC"/>
          </w:tcPr>
          <w:p>
            <w:pPr>
              <w:spacing w:after="0"/>
              <w:rPr>
                <w:sz w:val="19"/>
                <w:szCs w:val="19"/>
                <w:color w:val="auto"/>
              </w:rPr>
            </w:pPr>
          </w:p>
        </w:tc>
        <w:tc>
          <w:tcPr>
            <w:tcW w:w="50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6"/>
                <w:szCs w:val="16"/>
                <w:b w:val="1"/>
                <w:bCs w:val="1"/>
                <w:color w:val="FFFFFF"/>
              </w:rPr>
              <w:t>22</w:t>
            </w:r>
          </w:p>
        </w:tc>
        <w:tc>
          <w:tcPr>
            <w:tcW w:w="560" w:type="dxa"/>
            <w:vAlign w:val="bottom"/>
            <w:tcBorders>
              <w:bottom w:val="single" w:sz="8" w:color="auto"/>
            </w:tcBorders>
            <w:shd w:val="clear" w:color="auto" w:fill="33CCCC"/>
          </w:tcPr>
          <w:p>
            <w:pPr>
              <w:spacing w:after="0"/>
              <w:rPr>
                <w:sz w:val="19"/>
                <w:szCs w:val="19"/>
                <w:color w:val="auto"/>
              </w:rPr>
            </w:pPr>
          </w:p>
        </w:tc>
        <w:tc>
          <w:tcPr>
            <w:tcW w:w="540" w:type="dxa"/>
            <w:vAlign w:val="bottom"/>
            <w:tcBorders>
              <w:bottom w:val="single" w:sz="8" w:color="auto"/>
              <w:right w:val="single" w:sz="8" w:color="auto"/>
            </w:tcBorders>
            <w:shd w:val="clear" w:color="auto" w:fill="33CCCC"/>
          </w:tcPr>
          <w:p>
            <w:pPr>
              <w:spacing w:after="0"/>
              <w:rPr>
                <w:sz w:val="19"/>
                <w:szCs w:val="19"/>
                <w:color w:val="auto"/>
              </w:rPr>
            </w:pPr>
          </w:p>
        </w:tc>
        <w:tc>
          <w:tcPr>
            <w:tcW w:w="500" w:type="dxa"/>
            <w:vAlign w:val="bottom"/>
            <w:tcBorders>
              <w:bottom w:val="single" w:sz="8" w:color="auto"/>
            </w:tcBorders>
            <w:shd w:val="clear" w:color="auto" w:fill="33CCCC"/>
          </w:tcPr>
          <w:p>
            <w:pPr>
              <w:spacing w:after="0"/>
              <w:rPr>
                <w:sz w:val="19"/>
                <w:szCs w:val="19"/>
                <w:color w:val="auto"/>
              </w:rPr>
            </w:pPr>
          </w:p>
        </w:tc>
        <w:tc>
          <w:tcPr>
            <w:tcW w:w="580" w:type="dxa"/>
            <w:vAlign w:val="bottom"/>
            <w:tcBorders>
              <w:bottom w:val="single" w:sz="8" w:color="auto"/>
              <w:right w:val="single" w:sz="8" w:color="auto"/>
            </w:tcBorders>
            <w:shd w:val="clear" w:color="auto" w:fill="33CCCC"/>
          </w:tcPr>
          <w:p>
            <w:pPr>
              <w:spacing w:after="0"/>
              <w:rPr>
                <w:sz w:val="19"/>
                <w:szCs w:val="19"/>
                <w:color w:val="auto"/>
              </w:rPr>
            </w:pPr>
          </w:p>
        </w:tc>
        <w:tc>
          <w:tcPr>
            <w:tcW w:w="820" w:type="dxa"/>
            <w:vAlign w:val="bottom"/>
            <w:tcBorders>
              <w:bottom w:val="single" w:sz="8" w:color="auto"/>
            </w:tcBorders>
            <w:shd w:val="clear" w:color="auto" w:fill="33CCCC"/>
          </w:tcPr>
          <w:p>
            <w:pPr>
              <w:spacing w:after="0"/>
              <w:rPr>
                <w:sz w:val="19"/>
                <w:szCs w:val="19"/>
                <w:color w:val="auto"/>
              </w:rPr>
            </w:pPr>
          </w:p>
        </w:tc>
        <w:tc>
          <w:tcPr>
            <w:tcW w:w="740" w:type="dxa"/>
            <w:vAlign w:val="bottom"/>
            <w:tcBorders>
              <w:bottom w:val="single" w:sz="8" w:color="auto"/>
              <w:right w:val="single" w:sz="8" w:color="auto"/>
            </w:tcBorders>
            <w:shd w:val="clear" w:color="auto" w:fill="33CCCC"/>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128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6"/>
                <w:szCs w:val="16"/>
                <w:b w:val="1"/>
                <w:bCs w:val="1"/>
                <w:color w:val="auto"/>
              </w:rPr>
              <w:t>BCP Stand-</w:t>
            </w:r>
          </w:p>
        </w:tc>
        <w:tc>
          <w:tcPr>
            <w:tcW w:w="800" w:type="dxa"/>
            <w:vAlign w:val="bottom"/>
          </w:tcPr>
          <w:p>
            <w:pPr>
              <w:jc w:val="center"/>
              <w:ind w:left="118"/>
              <w:spacing w:after="0" w:line="157" w:lineRule="exact"/>
              <w:rPr>
                <w:sz w:val="20"/>
                <w:szCs w:val="20"/>
                <w:color w:val="auto"/>
              </w:rPr>
            </w:pPr>
            <w:r>
              <w:rPr>
                <w:rFonts w:ascii="Arial" w:cs="Arial" w:eastAsia="Arial" w:hAnsi="Arial"/>
                <w:sz w:val="16"/>
                <w:szCs w:val="16"/>
                <w:b w:val="1"/>
                <w:bCs w:val="1"/>
                <w:color w:val="auto"/>
              </w:rPr>
              <w:t>85,883</w:t>
            </w:r>
          </w:p>
        </w:tc>
        <w:tc>
          <w:tcPr>
            <w:tcW w:w="740" w:type="dxa"/>
            <w:vAlign w:val="bottom"/>
          </w:tcPr>
          <w:p>
            <w:pPr>
              <w:jc w:val="center"/>
              <w:ind w:left="118"/>
              <w:spacing w:after="0" w:line="157" w:lineRule="exact"/>
              <w:rPr>
                <w:sz w:val="20"/>
                <w:szCs w:val="20"/>
                <w:color w:val="auto"/>
              </w:rPr>
            </w:pPr>
            <w:r>
              <w:rPr>
                <w:rFonts w:ascii="Arial" w:cs="Arial" w:eastAsia="Arial" w:hAnsi="Arial"/>
                <w:sz w:val="16"/>
                <w:szCs w:val="16"/>
                <w:b w:val="1"/>
                <w:bCs w:val="1"/>
                <w:color w:val="auto"/>
              </w:rPr>
              <w:t>80,560</w:t>
            </w:r>
          </w:p>
        </w:tc>
        <w:tc>
          <w:tcPr>
            <w:tcW w:w="2120" w:type="dxa"/>
            <w:vAlign w:val="bottom"/>
            <w:tcBorders>
              <w:right w:val="single" w:sz="8" w:color="auto"/>
            </w:tcBorders>
            <w:gridSpan w:val="4"/>
          </w:tcPr>
          <w:p>
            <w:pPr>
              <w:jc w:val="right"/>
              <w:spacing w:after="0" w:line="157" w:lineRule="exact"/>
              <w:rPr>
                <w:sz w:val="20"/>
                <w:szCs w:val="20"/>
                <w:color w:val="auto"/>
              </w:rPr>
            </w:pPr>
            <w:r>
              <w:rPr>
                <w:rFonts w:ascii="Arial" w:cs="Arial" w:eastAsia="Arial" w:hAnsi="Arial"/>
                <w:sz w:val="16"/>
                <w:szCs w:val="16"/>
                <w:b w:val="1"/>
                <w:bCs w:val="1"/>
                <w:color w:val="auto"/>
              </w:rPr>
              <w:t>79,89671,25375,20175,489</w:t>
            </w:r>
          </w:p>
        </w:tc>
        <w:tc>
          <w:tcPr>
            <w:tcW w:w="1060" w:type="dxa"/>
            <w:vAlign w:val="bottom"/>
            <w:tcBorders>
              <w:right w:val="single" w:sz="8" w:color="auto"/>
            </w:tcBorders>
            <w:gridSpan w:val="2"/>
          </w:tcPr>
          <w:p>
            <w:pPr>
              <w:jc w:val="center"/>
              <w:spacing w:after="0" w:line="157" w:lineRule="exact"/>
              <w:rPr>
                <w:sz w:val="20"/>
                <w:szCs w:val="20"/>
                <w:color w:val="auto"/>
              </w:rPr>
            </w:pPr>
            <w:r>
              <w:rPr>
                <w:rFonts w:ascii="Arial" w:cs="Arial" w:eastAsia="Arial" w:hAnsi="Arial"/>
                <w:sz w:val="16"/>
                <w:szCs w:val="16"/>
                <w:b w:val="1"/>
                <w:bCs w:val="1"/>
                <w:color w:val="auto"/>
              </w:rPr>
              <w:t>-0.8% -7.0%</w:t>
            </w:r>
          </w:p>
        </w:tc>
        <w:tc>
          <w:tcPr>
            <w:tcW w:w="460" w:type="dxa"/>
            <w:vAlign w:val="bottom"/>
          </w:tcPr>
          <w:p>
            <w:pPr>
              <w:jc w:val="center"/>
              <w:spacing w:after="0" w:line="157" w:lineRule="exact"/>
              <w:rPr>
                <w:sz w:val="20"/>
                <w:szCs w:val="20"/>
                <w:color w:val="auto"/>
              </w:rPr>
            </w:pPr>
            <w:r>
              <w:rPr>
                <w:rFonts w:ascii="Arial" w:cs="Arial" w:eastAsia="Arial" w:hAnsi="Arial"/>
                <w:sz w:val="16"/>
                <w:szCs w:val="16"/>
                <w:b w:val="1"/>
                <w:bCs w:val="1"/>
                <w:color w:val="auto"/>
              </w:rPr>
              <w:t>0.4%</w:t>
            </w:r>
          </w:p>
        </w:tc>
        <w:tc>
          <w:tcPr>
            <w:tcW w:w="56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6"/>
                <w:szCs w:val="16"/>
                <w:b w:val="1"/>
                <w:bCs w:val="1"/>
                <w:color w:val="auto"/>
              </w:rPr>
              <w:t>5.9%</w:t>
            </w:r>
          </w:p>
        </w:tc>
        <w:tc>
          <w:tcPr>
            <w:tcW w:w="500" w:type="dxa"/>
            <w:vAlign w:val="bottom"/>
          </w:tcPr>
          <w:p>
            <w:pPr>
              <w:jc w:val="center"/>
              <w:spacing w:after="0" w:line="157" w:lineRule="exact"/>
              <w:rPr>
                <w:sz w:val="20"/>
                <w:szCs w:val="20"/>
                <w:color w:val="auto"/>
              </w:rPr>
            </w:pPr>
            <w:r>
              <w:rPr>
                <w:rFonts w:ascii="Arial" w:cs="Arial" w:eastAsia="Arial" w:hAnsi="Arial"/>
                <w:sz w:val="16"/>
                <w:szCs w:val="16"/>
                <w:b w:val="1"/>
                <w:bCs w:val="1"/>
                <w:color w:val="auto"/>
                <w:w w:val="99"/>
              </w:rPr>
              <w:t>9,478</w:t>
            </w:r>
          </w:p>
        </w:tc>
        <w:tc>
          <w:tcPr>
            <w:tcW w:w="560" w:type="dxa"/>
            <w:vAlign w:val="bottom"/>
          </w:tcPr>
          <w:p>
            <w:pPr>
              <w:jc w:val="center"/>
              <w:spacing w:after="0" w:line="157" w:lineRule="exact"/>
              <w:rPr>
                <w:sz w:val="20"/>
                <w:szCs w:val="20"/>
                <w:color w:val="auto"/>
              </w:rPr>
            </w:pPr>
            <w:r>
              <w:rPr>
                <w:rFonts w:ascii="Arial" w:cs="Arial" w:eastAsia="Arial" w:hAnsi="Arial"/>
                <w:sz w:val="16"/>
                <w:szCs w:val="16"/>
                <w:b w:val="1"/>
                <w:bCs w:val="1"/>
                <w:color w:val="auto"/>
              </w:rPr>
              <w:t>9,585</w:t>
            </w:r>
          </w:p>
        </w:tc>
        <w:tc>
          <w:tcPr>
            <w:tcW w:w="54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6"/>
                <w:szCs w:val="16"/>
                <w:b w:val="1"/>
                <w:bCs w:val="1"/>
                <w:color w:val="auto"/>
                <w:w w:val="99"/>
              </w:rPr>
              <w:t>9,722</w:t>
            </w:r>
          </w:p>
        </w:tc>
        <w:tc>
          <w:tcPr>
            <w:tcW w:w="500" w:type="dxa"/>
            <w:vAlign w:val="bottom"/>
          </w:tcPr>
          <w:p>
            <w:pPr>
              <w:jc w:val="center"/>
              <w:spacing w:after="0" w:line="157" w:lineRule="exact"/>
              <w:rPr>
                <w:sz w:val="20"/>
                <w:szCs w:val="20"/>
                <w:color w:val="auto"/>
              </w:rPr>
            </w:pPr>
            <w:r>
              <w:rPr>
                <w:rFonts w:ascii="Arial" w:cs="Arial" w:eastAsia="Arial" w:hAnsi="Arial"/>
                <w:sz w:val="16"/>
                <w:szCs w:val="16"/>
                <w:b w:val="1"/>
                <w:bCs w:val="1"/>
                <w:color w:val="auto"/>
              </w:rPr>
              <w:t>1.4%</w:t>
            </w:r>
          </w:p>
        </w:tc>
        <w:tc>
          <w:tcPr>
            <w:tcW w:w="58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6"/>
                <w:szCs w:val="16"/>
                <w:b w:val="1"/>
                <w:bCs w:val="1"/>
                <w:color w:val="auto"/>
                <w:w w:val="98"/>
              </w:rPr>
              <w:t>2.6%</w:t>
            </w:r>
          </w:p>
        </w:tc>
        <w:tc>
          <w:tcPr>
            <w:tcW w:w="820" w:type="dxa"/>
            <w:vAlign w:val="bottom"/>
          </w:tcPr>
          <w:p>
            <w:pPr>
              <w:jc w:val="center"/>
              <w:ind w:left="58"/>
              <w:spacing w:after="0" w:line="157" w:lineRule="exact"/>
              <w:rPr>
                <w:sz w:val="20"/>
                <w:szCs w:val="20"/>
                <w:color w:val="auto"/>
              </w:rPr>
            </w:pPr>
            <w:r>
              <w:rPr>
                <w:rFonts w:ascii="Arial" w:cs="Arial" w:eastAsia="Arial" w:hAnsi="Arial"/>
                <w:sz w:val="16"/>
                <w:szCs w:val="16"/>
                <w:b w:val="1"/>
                <w:bCs w:val="1"/>
                <w:color w:val="auto"/>
              </w:rPr>
              <w:t>69.6%</w:t>
            </w:r>
          </w:p>
        </w:tc>
        <w:tc>
          <w:tcPr>
            <w:tcW w:w="740" w:type="dxa"/>
            <w:vAlign w:val="bottom"/>
            <w:tcBorders>
              <w:right w:val="single" w:sz="8" w:color="auto"/>
            </w:tcBorders>
          </w:tcPr>
          <w:p>
            <w:pPr>
              <w:jc w:val="center"/>
              <w:ind w:left="38"/>
              <w:spacing w:after="0" w:line="157" w:lineRule="exact"/>
              <w:rPr>
                <w:sz w:val="20"/>
                <w:szCs w:val="20"/>
                <w:color w:val="auto"/>
              </w:rPr>
            </w:pPr>
            <w:r>
              <w:rPr>
                <w:rFonts w:ascii="Arial" w:cs="Arial" w:eastAsia="Arial" w:hAnsi="Arial"/>
                <w:sz w:val="16"/>
                <w:szCs w:val="16"/>
                <w:b w:val="1"/>
                <w:bCs w:val="1"/>
                <w:color w:val="auto"/>
              </w:rPr>
              <w:t>30.4%</w:t>
            </w:r>
          </w:p>
        </w:tc>
        <w:tc>
          <w:tcPr>
            <w:tcW w:w="0" w:type="dxa"/>
            <w:vAlign w:val="bottom"/>
          </w:tcPr>
          <w:p>
            <w:pPr>
              <w:spacing w:after="0"/>
              <w:rPr>
                <w:sz w:val="1"/>
                <w:szCs w:val="1"/>
                <w:color w:val="auto"/>
              </w:rPr>
            </w:pPr>
          </w:p>
        </w:tc>
      </w:tr>
      <w:tr>
        <w:trPr>
          <w:trHeight w:val="185"/>
        </w:trPr>
        <w:tc>
          <w:tcPr>
            <w:tcW w:w="12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b w:val="1"/>
                <w:bCs w:val="1"/>
                <w:color w:val="auto"/>
              </w:rPr>
              <w:t>alone</w:t>
            </w: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2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b w:val="1"/>
                <w:bCs w:val="1"/>
                <w:color w:val="auto"/>
              </w:rPr>
              <w:t>Wholesale</w:t>
            </w:r>
          </w:p>
        </w:tc>
        <w:tc>
          <w:tcPr>
            <w:tcW w:w="800" w:type="dxa"/>
            <w:vAlign w:val="bottom"/>
          </w:tcPr>
          <w:p>
            <w:pPr>
              <w:jc w:val="center"/>
              <w:ind w:left="118"/>
              <w:spacing w:after="0"/>
              <w:rPr>
                <w:sz w:val="20"/>
                <w:szCs w:val="20"/>
                <w:color w:val="auto"/>
              </w:rPr>
            </w:pPr>
            <w:r>
              <w:rPr>
                <w:rFonts w:ascii="Arial" w:cs="Arial" w:eastAsia="Arial" w:hAnsi="Arial"/>
                <w:sz w:val="16"/>
                <w:szCs w:val="16"/>
                <w:b w:val="1"/>
                <w:bCs w:val="1"/>
                <w:color w:val="auto"/>
              </w:rPr>
              <w:t>28,929</w:t>
            </w:r>
          </w:p>
        </w:tc>
        <w:tc>
          <w:tcPr>
            <w:tcW w:w="740" w:type="dxa"/>
            <w:vAlign w:val="bottom"/>
          </w:tcPr>
          <w:p>
            <w:pPr>
              <w:jc w:val="center"/>
              <w:ind w:left="118"/>
              <w:spacing w:after="0"/>
              <w:rPr>
                <w:sz w:val="20"/>
                <w:szCs w:val="20"/>
                <w:color w:val="auto"/>
              </w:rPr>
            </w:pPr>
            <w:r>
              <w:rPr>
                <w:rFonts w:ascii="Arial" w:cs="Arial" w:eastAsia="Arial" w:hAnsi="Arial"/>
                <w:sz w:val="16"/>
                <w:szCs w:val="16"/>
                <w:b w:val="1"/>
                <w:bCs w:val="1"/>
                <w:color w:val="auto"/>
              </w:rPr>
              <w:t>25,062</w:t>
            </w:r>
          </w:p>
        </w:tc>
        <w:tc>
          <w:tcPr>
            <w:tcW w:w="2120" w:type="dxa"/>
            <w:vAlign w:val="bottom"/>
            <w:tcBorders>
              <w:right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24,34125,41624,61624,143</w:t>
            </w:r>
          </w:p>
        </w:tc>
        <w:tc>
          <w:tcPr>
            <w:tcW w:w="106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-2.9% -15.9%</w:t>
            </w:r>
          </w:p>
        </w:tc>
        <w:tc>
          <w:tcPr>
            <w:tcW w:w="1020" w:type="dxa"/>
            <w:vAlign w:val="bottom"/>
            <w:tcBorders>
              <w:right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-1.9% -5.0%</w:t>
            </w:r>
          </w:p>
        </w:tc>
        <w:tc>
          <w:tcPr>
            <w:tcW w:w="500" w:type="dxa"/>
            <w:vAlign w:val="bottom"/>
          </w:tcPr>
          <w:p>
            <w:pPr>
              <w:jc w:val="center"/>
              <w:spacing w:after="0"/>
              <w:rPr>
                <w:sz w:val="20"/>
                <w:szCs w:val="20"/>
                <w:color w:val="auto"/>
              </w:rPr>
            </w:pPr>
            <w:r>
              <w:rPr>
                <w:rFonts w:ascii="Arial" w:cs="Arial" w:eastAsia="Arial" w:hAnsi="Arial"/>
                <w:sz w:val="16"/>
                <w:szCs w:val="16"/>
                <w:b w:val="1"/>
                <w:bCs w:val="1"/>
                <w:color w:val="auto"/>
                <w:w w:val="99"/>
              </w:rPr>
              <w:t>7,507</w:t>
            </w:r>
          </w:p>
        </w:tc>
        <w:tc>
          <w:tcPr>
            <w:tcW w:w="560" w:type="dxa"/>
            <w:vAlign w:val="bottom"/>
          </w:tcPr>
          <w:p>
            <w:pPr>
              <w:jc w:val="center"/>
              <w:spacing w:after="0"/>
              <w:rPr>
                <w:sz w:val="20"/>
                <w:szCs w:val="20"/>
                <w:color w:val="auto"/>
              </w:rPr>
            </w:pPr>
            <w:r>
              <w:rPr>
                <w:rFonts w:ascii="Arial" w:cs="Arial" w:eastAsia="Arial" w:hAnsi="Arial"/>
                <w:sz w:val="16"/>
                <w:szCs w:val="16"/>
                <w:b w:val="1"/>
                <w:bCs w:val="1"/>
                <w:color w:val="auto"/>
              </w:rPr>
              <w:t>7,589</w:t>
            </w:r>
          </w:p>
        </w:tc>
        <w:tc>
          <w:tcPr>
            <w:tcW w:w="5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7,694</w:t>
            </w:r>
          </w:p>
        </w:tc>
        <w:tc>
          <w:tcPr>
            <w:tcW w:w="500" w:type="dxa"/>
            <w:vAlign w:val="bottom"/>
          </w:tcPr>
          <w:p>
            <w:pPr>
              <w:jc w:val="center"/>
              <w:spacing w:after="0"/>
              <w:rPr>
                <w:sz w:val="20"/>
                <w:szCs w:val="20"/>
                <w:color w:val="auto"/>
              </w:rPr>
            </w:pPr>
            <w:r>
              <w:rPr>
                <w:rFonts w:ascii="Arial" w:cs="Arial" w:eastAsia="Arial" w:hAnsi="Arial"/>
                <w:sz w:val="16"/>
                <w:szCs w:val="16"/>
                <w:b w:val="1"/>
                <w:bCs w:val="1"/>
                <w:color w:val="auto"/>
              </w:rPr>
              <w:t>1.4%</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2.5%</w:t>
            </w:r>
          </w:p>
        </w:tc>
        <w:tc>
          <w:tcPr>
            <w:tcW w:w="820" w:type="dxa"/>
            <w:vAlign w:val="bottom"/>
          </w:tcPr>
          <w:p>
            <w:pPr>
              <w:jc w:val="center"/>
              <w:ind w:left="58"/>
              <w:spacing w:after="0"/>
              <w:rPr>
                <w:sz w:val="20"/>
                <w:szCs w:val="20"/>
                <w:color w:val="auto"/>
              </w:rPr>
            </w:pPr>
            <w:r>
              <w:rPr>
                <w:rFonts w:ascii="Arial" w:cs="Arial" w:eastAsia="Arial" w:hAnsi="Arial"/>
                <w:sz w:val="16"/>
                <w:szCs w:val="16"/>
                <w:b w:val="1"/>
                <w:bCs w:val="1"/>
                <w:color w:val="auto"/>
              </w:rPr>
              <w:t>47.3%</w:t>
            </w:r>
          </w:p>
        </w:tc>
        <w:tc>
          <w:tcPr>
            <w:tcW w:w="740" w:type="dxa"/>
            <w:vAlign w:val="bottom"/>
            <w:tcBorders>
              <w:right w:val="single" w:sz="8" w:color="auto"/>
            </w:tcBorders>
          </w:tcPr>
          <w:p>
            <w:pPr>
              <w:jc w:val="center"/>
              <w:ind w:left="38"/>
              <w:spacing w:after="0"/>
              <w:rPr>
                <w:sz w:val="20"/>
                <w:szCs w:val="20"/>
                <w:color w:val="auto"/>
              </w:rPr>
            </w:pPr>
            <w:r>
              <w:rPr>
                <w:rFonts w:ascii="Arial" w:cs="Arial" w:eastAsia="Arial" w:hAnsi="Arial"/>
                <w:sz w:val="16"/>
                <w:szCs w:val="16"/>
                <w:b w:val="1"/>
                <w:bCs w:val="1"/>
                <w:color w:val="auto"/>
              </w:rPr>
              <w:t>52.7%</w:t>
            </w:r>
          </w:p>
        </w:tc>
        <w:tc>
          <w:tcPr>
            <w:tcW w:w="0" w:type="dxa"/>
            <w:vAlign w:val="bottom"/>
          </w:tcPr>
          <w:p>
            <w:pPr>
              <w:spacing w:after="0"/>
              <w:rPr>
                <w:sz w:val="1"/>
                <w:szCs w:val="1"/>
                <w:color w:val="auto"/>
              </w:rPr>
            </w:pPr>
          </w:p>
        </w:tc>
      </w:tr>
      <w:tr>
        <w:trPr>
          <w:trHeight w:val="193"/>
        </w:trPr>
        <w:tc>
          <w:tcPr>
            <w:tcW w:w="128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6"/>
                <w:szCs w:val="16"/>
                <w:b w:val="1"/>
                <w:bCs w:val="1"/>
                <w:color w:val="auto"/>
              </w:rPr>
              <w:t>Banking</w:t>
            </w: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28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6"/>
                <w:szCs w:val="16"/>
                <w:color w:val="auto"/>
              </w:rPr>
              <w:t>Corporate</w:t>
            </w:r>
          </w:p>
        </w:tc>
        <w:tc>
          <w:tcPr>
            <w:tcW w:w="800" w:type="dxa"/>
            <w:vAlign w:val="bottom"/>
          </w:tcPr>
          <w:p>
            <w:pPr>
              <w:jc w:val="center"/>
              <w:ind w:left="118"/>
              <w:spacing w:after="0"/>
              <w:rPr>
                <w:sz w:val="20"/>
                <w:szCs w:val="20"/>
                <w:color w:val="auto"/>
              </w:rPr>
            </w:pPr>
            <w:r>
              <w:rPr>
                <w:rFonts w:ascii="Arial" w:cs="Arial" w:eastAsia="Arial" w:hAnsi="Arial"/>
                <w:sz w:val="16"/>
                <w:szCs w:val="16"/>
                <w:color w:val="auto"/>
              </w:rPr>
              <w:t>16,303</w:t>
            </w:r>
          </w:p>
        </w:tc>
        <w:tc>
          <w:tcPr>
            <w:tcW w:w="740" w:type="dxa"/>
            <w:vAlign w:val="bottom"/>
          </w:tcPr>
          <w:p>
            <w:pPr>
              <w:jc w:val="center"/>
              <w:ind w:left="118"/>
              <w:spacing w:after="0"/>
              <w:rPr>
                <w:sz w:val="20"/>
                <w:szCs w:val="20"/>
                <w:color w:val="auto"/>
              </w:rPr>
            </w:pPr>
            <w:r>
              <w:rPr>
                <w:rFonts w:ascii="Arial" w:cs="Arial" w:eastAsia="Arial" w:hAnsi="Arial"/>
                <w:sz w:val="16"/>
                <w:szCs w:val="16"/>
                <w:color w:val="auto"/>
              </w:rPr>
              <w:t>15,267</w:t>
            </w:r>
          </w:p>
        </w:tc>
        <w:tc>
          <w:tcPr>
            <w:tcW w:w="2120" w:type="dxa"/>
            <w:vAlign w:val="bottom"/>
            <w:tcBorders>
              <w:right w:val="single" w:sz="8" w:color="auto"/>
            </w:tcBorders>
            <w:gridSpan w:val="4"/>
          </w:tcPr>
          <w:p>
            <w:pPr>
              <w:jc w:val="right"/>
              <w:spacing w:after="0"/>
              <w:rPr>
                <w:sz w:val="20"/>
                <w:szCs w:val="20"/>
                <w:color w:val="auto"/>
              </w:rPr>
            </w:pPr>
            <w:r>
              <w:rPr>
                <w:rFonts w:ascii="Arial" w:cs="Arial" w:eastAsia="Arial" w:hAnsi="Arial"/>
                <w:sz w:val="16"/>
                <w:szCs w:val="16"/>
                <w:color w:val="auto"/>
              </w:rPr>
              <w:t>14,59215,04014,89015,140</w:t>
            </w:r>
          </w:p>
        </w:tc>
        <w:tc>
          <w:tcPr>
            <w:tcW w:w="1060" w:type="dxa"/>
            <w:vAlign w:val="bottom"/>
            <w:tcBorders>
              <w:right w:val="single" w:sz="8" w:color="auto"/>
            </w:tcBorders>
            <w:gridSpan w:val="2"/>
            <w:shd w:val="clear" w:color="auto" w:fill="E93CAC"/>
          </w:tcPr>
          <w:p>
            <w:pPr>
              <w:jc w:val="center"/>
              <w:spacing w:after="0"/>
              <w:rPr>
                <w:sz w:val="20"/>
                <w:szCs w:val="20"/>
                <w:color w:val="auto"/>
              </w:rPr>
            </w:pPr>
            <w:r>
              <w:rPr>
                <w:rFonts w:ascii="Arial" w:cs="Arial" w:eastAsia="Arial" w:hAnsi="Arial"/>
                <w:sz w:val="16"/>
                <w:szCs w:val="16"/>
                <w:color w:val="auto"/>
              </w:rPr>
              <w:t>-4.4% -10.5%</w:t>
            </w:r>
          </w:p>
        </w:tc>
        <w:tc>
          <w:tcPr>
            <w:tcW w:w="460" w:type="dxa"/>
            <w:vAlign w:val="bottom"/>
          </w:tcPr>
          <w:p>
            <w:pPr>
              <w:jc w:val="center"/>
              <w:spacing w:after="0"/>
              <w:rPr>
                <w:sz w:val="20"/>
                <w:szCs w:val="20"/>
                <w:color w:val="auto"/>
              </w:rPr>
            </w:pPr>
            <w:r>
              <w:rPr>
                <w:rFonts w:ascii="Arial" w:cs="Arial" w:eastAsia="Arial" w:hAnsi="Arial"/>
                <w:sz w:val="16"/>
                <w:szCs w:val="16"/>
                <w:color w:val="auto"/>
              </w:rPr>
              <w:t>1.7%</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0.7%</w:t>
            </w:r>
          </w:p>
        </w:tc>
        <w:tc>
          <w:tcPr>
            <w:tcW w:w="1600" w:type="dxa"/>
            <w:vAlign w:val="bottom"/>
            <w:tcBorders>
              <w:right w:val="single" w:sz="8" w:color="auto"/>
            </w:tcBorders>
            <w:gridSpan w:val="3"/>
          </w:tcPr>
          <w:p>
            <w:pPr>
              <w:jc w:val="center"/>
              <w:spacing w:after="0"/>
              <w:rPr>
                <w:sz w:val="20"/>
                <w:szCs w:val="20"/>
                <w:color w:val="auto"/>
              </w:rPr>
            </w:pPr>
            <w:r>
              <w:rPr>
                <w:rFonts w:ascii="Arial" w:cs="Arial" w:eastAsia="Arial" w:hAnsi="Arial"/>
                <w:sz w:val="16"/>
                <w:szCs w:val="16"/>
                <w:color w:val="auto"/>
              </w:rPr>
              <w:t>4,567 4,580  4,475</w:t>
            </w:r>
          </w:p>
        </w:tc>
        <w:tc>
          <w:tcPr>
            <w:tcW w:w="1080" w:type="dxa"/>
            <w:vAlign w:val="bottom"/>
            <w:tcBorders>
              <w:right w:val="single" w:sz="8" w:color="auto"/>
            </w:tcBorders>
            <w:gridSpan w:val="2"/>
            <w:shd w:val="clear" w:color="auto" w:fill="E93CAC"/>
          </w:tcPr>
          <w:p>
            <w:pPr>
              <w:jc w:val="right"/>
              <w:spacing w:after="0"/>
              <w:rPr>
                <w:sz w:val="20"/>
                <w:szCs w:val="20"/>
                <w:color w:val="auto"/>
              </w:rPr>
            </w:pPr>
            <w:r>
              <w:rPr>
                <w:rFonts w:ascii="Arial" w:cs="Arial" w:eastAsia="Arial" w:hAnsi="Arial"/>
                <w:sz w:val="16"/>
                <w:szCs w:val="16"/>
                <w:color w:val="auto"/>
              </w:rPr>
              <w:t>-2.3% -2.0%</w:t>
            </w:r>
          </w:p>
        </w:tc>
        <w:tc>
          <w:tcPr>
            <w:tcW w:w="820" w:type="dxa"/>
            <w:vAlign w:val="bottom"/>
          </w:tcPr>
          <w:p>
            <w:pPr>
              <w:jc w:val="center"/>
              <w:ind w:left="58"/>
              <w:spacing w:after="0"/>
              <w:rPr>
                <w:sz w:val="20"/>
                <w:szCs w:val="20"/>
                <w:color w:val="auto"/>
              </w:rPr>
            </w:pPr>
            <w:r>
              <w:rPr>
                <w:rFonts w:ascii="Arial" w:cs="Arial" w:eastAsia="Arial" w:hAnsi="Arial"/>
                <w:sz w:val="16"/>
                <w:szCs w:val="16"/>
                <w:color w:val="auto"/>
              </w:rPr>
              <w:t>47.6%</w:t>
            </w:r>
          </w:p>
        </w:tc>
        <w:tc>
          <w:tcPr>
            <w:tcW w:w="740" w:type="dxa"/>
            <w:vAlign w:val="bottom"/>
            <w:tcBorders>
              <w:right w:val="single" w:sz="8" w:color="auto"/>
            </w:tcBorders>
          </w:tcPr>
          <w:p>
            <w:pPr>
              <w:jc w:val="center"/>
              <w:ind w:left="38"/>
              <w:spacing w:after="0"/>
              <w:rPr>
                <w:sz w:val="20"/>
                <w:szCs w:val="20"/>
                <w:color w:val="auto"/>
              </w:rPr>
            </w:pPr>
            <w:r>
              <w:rPr>
                <w:rFonts w:ascii="Arial" w:cs="Arial" w:eastAsia="Arial" w:hAnsi="Arial"/>
                <w:sz w:val="16"/>
                <w:szCs w:val="16"/>
                <w:color w:val="auto"/>
              </w:rPr>
              <w:t>52.4%</w:t>
            </w:r>
          </w:p>
        </w:tc>
        <w:tc>
          <w:tcPr>
            <w:tcW w:w="0" w:type="dxa"/>
            <w:vAlign w:val="bottom"/>
          </w:tcPr>
          <w:p>
            <w:pPr>
              <w:spacing w:after="0"/>
              <w:rPr>
                <w:sz w:val="1"/>
                <w:szCs w:val="1"/>
                <w:color w:val="auto"/>
              </w:rPr>
            </w:pPr>
          </w:p>
        </w:tc>
      </w:tr>
      <w:tr>
        <w:trPr>
          <w:trHeight w:val="173"/>
        </w:trPr>
        <w:tc>
          <w:tcPr>
            <w:tcW w:w="1280" w:type="dxa"/>
            <w:vAlign w:val="bottom"/>
            <w:tcBorders>
              <w:left w:val="single" w:sz="8" w:color="auto"/>
              <w:right w:val="single" w:sz="8" w:color="auto"/>
            </w:tcBorders>
          </w:tcPr>
          <w:p>
            <w:pPr>
              <w:ind w:left="300"/>
              <w:spacing w:after="0" w:line="173" w:lineRule="exact"/>
              <w:rPr>
                <w:sz w:val="20"/>
                <w:szCs w:val="20"/>
                <w:color w:val="auto"/>
              </w:rPr>
            </w:pPr>
            <w:r>
              <w:rPr>
                <w:rFonts w:ascii="Arial" w:cs="Arial" w:eastAsia="Arial" w:hAnsi="Arial"/>
                <w:sz w:val="16"/>
                <w:szCs w:val="16"/>
                <w:color w:val="auto"/>
              </w:rPr>
              <w:t>Middle-</w:t>
            </w:r>
          </w:p>
        </w:tc>
        <w:tc>
          <w:tcPr>
            <w:tcW w:w="800" w:type="dxa"/>
            <w:vAlign w:val="bottom"/>
          </w:tcPr>
          <w:p>
            <w:pPr>
              <w:jc w:val="center"/>
              <w:ind w:left="118"/>
              <w:spacing w:after="0" w:line="173" w:lineRule="exact"/>
              <w:rPr>
                <w:sz w:val="20"/>
                <w:szCs w:val="20"/>
                <w:color w:val="auto"/>
              </w:rPr>
            </w:pPr>
            <w:r>
              <w:rPr>
                <w:rFonts w:ascii="Arial" w:cs="Arial" w:eastAsia="Arial" w:hAnsi="Arial"/>
                <w:sz w:val="16"/>
                <w:szCs w:val="16"/>
                <w:color w:val="auto"/>
              </w:rPr>
              <w:t>12,626</w:t>
            </w:r>
          </w:p>
        </w:tc>
        <w:tc>
          <w:tcPr>
            <w:tcW w:w="740" w:type="dxa"/>
            <w:vAlign w:val="bottom"/>
          </w:tcPr>
          <w:p>
            <w:pPr>
              <w:jc w:val="center"/>
              <w:ind w:left="118"/>
              <w:spacing w:after="0" w:line="173" w:lineRule="exact"/>
              <w:rPr>
                <w:sz w:val="20"/>
                <w:szCs w:val="20"/>
                <w:color w:val="auto"/>
              </w:rPr>
            </w:pPr>
            <w:r>
              <w:rPr>
                <w:rFonts w:ascii="Arial" w:cs="Arial" w:eastAsia="Arial" w:hAnsi="Arial"/>
                <w:sz w:val="16"/>
                <w:szCs w:val="16"/>
                <w:color w:val="auto"/>
              </w:rPr>
              <w:t>9,795</w:t>
            </w:r>
          </w:p>
        </w:tc>
        <w:tc>
          <w:tcPr>
            <w:tcW w:w="1540" w:type="dxa"/>
            <w:vAlign w:val="bottom"/>
            <w:gridSpan w:val="3"/>
          </w:tcPr>
          <w:p>
            <w:pPr>
              <w:jc w:val="center"/>
              <w:spacing w:after="0" w:line="173" w:lineRule="exact"/>
              <w:rPr>
                <w:sz w:val="20"/>
                <w:szCs w:val="20"/>
                <w:color w:val="auto"/>
              </w:rPr>
            </w:pPr>
            <w:r>
              <w:rPr>
                <w:rFonts w:ascii="Arial" w:cs="Arial" w:eastAsia="Arial" w:hAnsi="Arial"/>
                <w:sz w:val="16"/>
                <w:szCs w:val="16"/>
                <w:color w:val="auto"/>
              </w:rPr>
              <w:t>9,748 10,377 9,725</w:t>
            </w:r>
          </w:p>
        </w:tc>
        <w:tc>
          <w:tcPr>
            <w:tcW w:w="580" w:type="dxa"/>
            <w:vAlign w:val="bottom"/>
            <w:tcBorders>
              <w:right w:val="single" w:sz="8" w:color="auto"/>
            </w:tcBorders>
          </w:tcPr>
          <w:p>
            <w:pPr>
              <w:jc w:val="center"/>
              <w:spacing w:after="0" w:line="173" w:lineRule="exact"/>
              <w:rPr>
                <w:sz w:val="20"/>
                <w:szCs w:val="20"/>
                <w:color w:val="auto"/>
              </w:rPr>
            </w:pPr>
            <w:r>
              <w:rPr>
                <w:rFonts w:ascii="Arial" w:cs="Arial" w:eastAsia="Arial" w:hAnsi="Arial"/>
                <w:sz w:val="16"/>
                <w:szCs w:val="16"/>
                <w:color w:val="auto"/>
              </w:rPr>
              <w:t>9,003</w:t>
            </w:r>
          </w:p>
        </w:tc>
        <w:tc>
          <w:tcPr>
            <w:tcW w:w="480" w:type="dxa"/>
            <w:vAlign w:val="bottom"/>
          </w:tcPr>
          <w:p>
            <w:pPr>
              <w:jc w:val="center"/>
              <w:spacing w:after="0" w:line="173" w:lineRule="exact"/>
              <w:rPr>
                <w:sz w:val="20"/>
                <w:szCs w:val="20"/>
                <w:color w:val="auto"/>
              </w:rPr>
            </w:pPr>
            <w:r>
              <w:rPr>
                <w:rFonts w:ascii="Arial" w:cs="Arial" w:eastAsia="Arial" w:hAnsi="Arial"/>
                <w:sz w:val="16"/>
                <w:szCs w:val="16"/>
                <w:color w:val="auto"/>
              </w:rPr>
              <w:t>-0.5%</w:t>
            </w:r>
          </w:p>
        </w:tc>
        <w:tc>
          <w:tcPr>
            <w:tcW w:w="580" w:type="dxa"/>
            <w:vAlign w:val="bottom"/>
            <w:tcBorders>
              <w:right w:val="single" w:sz="8" w:color="auto"/>
            </w:tcBorders>
            <w:shd w:val="clear" w:color="auto" w:fill="E93CAC"/>
          </w:tcPr>
          <w:p>
            <w:pPr>
              <w:jc w:val="center"/>
              <w:spacing w:after="0" w:line="173" w:lineRule="exact"/>
              <w:rPr>
                <w:sz w:val="20"/>
                <w:szCs w:val="20"/>
                <w:color w:val="auto"/>
              </w:rPr>
            </w:pPr>
            <w:r>
              <w:rPr>
                <w:rFonts w:ascii="Arial" w:cs="Arial" w:eastAsia="Arial" w:hAnsi="Arial"/>
                <w:sz w:val="16"/>
                <w:szCs w:val="16"/>
                <w:color w:val="auto"/>
              </w:rPr>
              <w:t>-22.8%</w:t>
            </w:r>
          </w:p>
        </w:tc>
        <w:tc>
          <w:tcPr>
            <w:tcW w:w="1020" w:type="dxa"/>
            <w:vAlign w:val="bottom"/>
            <w:tcBorders>
              <w:right w:val="single" w:sz="8" w:color="auto"/>
            </w:tcBorders>
            <w:gridSpan w:val="2"/>
            <w:shd w:val="clear" w:color="auto" w:fill="E93CAC"/>
          </w:tcPr>
          <w:p>
            <w:pPr>
              <w:jc w:val="center"/>
              <w:spacing w:after="0" w:line="173" w:lineRule="exact"/>
              <w:rPr>
                <w:sz w:val="20"/>
                <w:szCs w:val="20"/>
                <w:color w:val="auto"/>
              </w:rPr>
            </w:pPr>
            <w:r>
              <w:rPr>
                <w:rFonts w:ascii="Arial" w:cs="Arial" w:eastAsia="Arial" w:hAnsi="Arial"/>
                <w:sz w:val="16"/>
                <w:szCs w:val="16"/>
                <w:color w:val="auto"/>
              </w:rPr>
              <w:t>-7.4% -13.2%</w:t>
            </w:r>
          </w:p>
        </w:tc>
        <w:tc>
          <w:tcPr>
            <w:tcW w:w="500" w:type="dxa"/>
            <w:vAlign w:val="bottom"/>
          </w:tcPr>
          <w:p>
            <w:pPr>
              <w:jc w:val="center"/>
              <w:spacing w:after="0" w:line="173" w:lineRule="exact"/>
              <w:rPr>
                <w:sz w:val="20"/>
                <w:szCs w:val="20"/>
                <w:color w:val="auto"/>
              </w:rPr>
            </w:pPr>
            <w:r>
              <w:rPr>
                <w:rFonts w:ascii="Arial" w:cs="Arial" w:eastAsia="Arial" w:hAnsi="Arial"/>
                <w:sz w:val="16"/>
                <w:szCs w:val="16"/>
                <w:color w:val="auto"/>
                <w:w w:val="99"/>
              </w:rPr>
              <w:t>2,940</w:t>
            </w:r>
          </w:p>
        </w:tc>
        <w:tc>
          <w:tcPr>
            <w:tcW w:w="560" w:type="dxa"/>
            <w:vAlign w:val="bottom"/>
          </w:tcPr>
          <w:p>
            <w:pPr>
              <w:jc w:val="center"/>
              <w:spacing w:after="0" w:line="173" w:lineRule="exact"/>
              <w:rPr>
                <w:sz w:val="20"/>
                <w:szCs w:val="20"/>
                <w:color w:val="auto"/>
              </w:rPr>
            </w:pPr>
            <w:r>
              <w:rPr>
                <w:rFonts w:ascii="Arial" w:cs="Arial" w:eastAsia="Arial" w:hAnsi="Arial"/>
                <w:sz w:val="16"/>
                <w:szCs w:val="16"/>
                <w:color w:val="auto"/>
              </w:rPr>
              <w:t>3,009</w:t>
            </w:r>
          </w:p>
        </w:tc>
        <w:tc>
          <w:tcPr>
            <w:tcW w:w="540" w:type="dxa"/>
            <w:vAlign w:val="bottom"/>
            <w:tcBorders>
              <w:right w:val="single" w:sz="8" w:color="auto"/>
            </w:tcBorders>
          </w:tcPr>
          <w:p>
            <w:pPr>
              <w:jc w:val="center"/>
              <w:spacing w:after="0" w:line="173" w:lineRule="exact"/>
              <w:rPr>
                <w:sz w:val="20"/>
                <w:szCs w:val="20"/>
                <w:color w:val="auto"/>
              </w:rPr>
            </w:pPr>
            <w:r>
              <w:rPr>
                <w:rFonts w:ascii="Arial" w:cs="Arial" w:eastAsia="Arial" w:hAnsi="Arial"/>
                <w:sz w:val="16"/>
                <w:szCs w:val="16"/>
                <w:color w:val="auto"/>
                <w:w w:val="99"/>
              </w:rPr>
              <w:t>3,220</w:t>
            </w:r>
          </w:p>
        </w:tc>
        <w:tc>
          <w:tcPr>
            <w:tcW w:w="500" w:type="dxa"/>
            <w:vAlign w:val="bottom"/>
            <w:shd w:val="clear" w:color="auto" w:fill="00D274"/>
          </w:tcPr>
          <w:p>
            <w:pPr>
              <w:jc w:val="center"/>
              <w:spacing w:after="0" w:line="173" w:lineRule="exact"/>
              <w:rPr>
                <w:sz w:val="20"/>
                <w:szCs w:val="20"/>
                <w:color w:val="auto"/>
              </w:rPr>
            </w:pPr>
            <w:r>
              <w:rPr>
                <w:rFonts w:ascii="Arial" w:cs="Arial" w:eastAsia="Arial" w:hAnsi="Arial"/>
                <w:sz w:val="16"/>
                <w:szCs w:val="16"/>
                <w:color w:val="auto"/>
              </w:rPr>
              <w:t>7.0%</w:t>
            </w:r>
          </w:p>
        </w:tc>
        <w:tc>
          <w:tcPr>
            <w:tcW w:w="580" w:type="dxa"/>
            <w:vAlign w:val="bottom"/>
            <w:tcBorders>
              <w:right w:val="single" w:sz="8" w:color="auto"/>
            </w:tcBorders>
            <w:shd w:val="clear" w:color="auto" w:fill="00D274"/>
          </w:tcPr>
          <w:p>
            <w:pPr>
              <w:jc w:val="center"/>
              <w:spacing w:after="0" w:line="173" w:lineRule="exact"/>
              <w:rPr>
                <w:sz w:val="20"/>
                <w:szCs w:val="20"/>
                <w:color w:val="auto"/>
              </w:rPr>
            </w:pPr>
            <w:r>
              <w:rPr>
                <w:rFonts w:ascii="Arial" w:cs="Arial" w:eastAsia="Arial" w:hAnsi="Arial"/>
                <w:sz w:val="16"/>
                <w:szCs w:val="16"/>
                <w:color w:val="auto"/>
                <w:w w:val="98"/>
              </w:rPr>
              <w:t>9.5%</w:t>
            </w:r>
          </w:p>
        </w:tc>
        <w:tc>
          <w:tcPr>
            <w:tcW w:w="820" w:type="dxa"/>
            <w:vAlign w:val="bottom"/>
          </w:tcPr>
          <w:p>
            <w:pPr>
              <w:jc w:val="center"/>
              <w:ind w:left="58"/>
              <w:spacing w:after="0" w:line="173" w:lineRule="exact"/>
              <w:rPr>
                <w:sz w:val="20"/>
                <w:szCs w:val="20"/>
                <w:color w:val="auto"/>
              </w:rPr>
            </w:pPr>
            <w:r>
              <w:rPr>
                <w:rFonts w:ascii="Arial" w:cs="Arial" w:eastAsia="Arial" w:hAnsi="Arial"/>
                <w:sz w:val="16"/>
                <w:szCs w:val="16"/>
                <w:color w:val="auto"/>
              </w:rPr>
              <w:t>47.0%</w:t>
            </w:r>
          </w:p>
        </w:tc>
        <w:tc>
          <w:tcPr>
            <w:tcW w:w="740" w:type="dxa"/>
            <w:vAlign w:val="bottom"/>
            <w:tcBorders>
              <w:right w:val="single" w:sz="8" w:color="auto"/>
            </w:tcBorders>
          </w:tcPr>
          <w:p>
            <w:pPr>
              <w:jc w:val="center"/>
              <w:ind w:left="38"/>
              <w:spacing w:after="0" w:line="173" w:lineRule="exact"/>
              <w:rPr>
                <w:sz w:val="20"/>
                <w:szCs w:val="20"/>
                <w:color w:val="auto"/>
              </w:rPr>
            </w:pPr>
            <w:r>
              <w:rPr>
                <w:rFonts w:ascii="Arial" w:cs="Arial" w:eastAsia="Arial" w:hAnsi="Arial"/>
                <w:sz w:val="16"/>
                <w:szCs w:val="16"/>
                <w:color w:val="auto"/>
              </w:rPr>
              <w:t>53.0%</w:t>
            </w:r>
          </w:p>
        </w:tc>
        <w:tc>
          <w:tcPr>
            <w:tcW w:w="0" w:type="dxa"/>
            <w:vAlign w:val="bottom"/>
          </w:tcPr>
          <w:p>
            <w:pPr>
              <w:spacing w:after="0"/>
              <w:rPr>
                <w:sz w:val="1"/>
                <w:szCs w:val="1"/>
                <w:color w:val="auto"/>
              </w:rPr>
            </w:pPr>
          </w:p>
        </w:tc>
      </w:tr>
      <w:tr>
        <w:trPr>
          <w:trHeight w:val="178"/>
        </w:trPr>
        <w:tc>
          <w:tcPr>
            <w:tcW w:w="1280" w:type="dxa"/>
            <w:vAlign w:val="bottom"/>
            <w:tcBorders>
              <w:left w:val="single" w:sz="8" w:color="auto"/>
              <w:right w:val="single" w:sz="8" w:color="auto"/>
            </w:tcBorders>
          </w:tcPr>
          <w:p>
            <w:pPr>
              <w:ind w:left="460"/>
              <w:spacing w:after="0" w:line="178" w:lineRule="exact"/>
              <w:rPr>
                <w:sz w:val="20"/>
                <w:szCs w:val="20"/>
                <w:color w:val="auto"/>
              </w:rPr>
            </w:pPr>
            <w:r>
              <w:rPr>
                <w:rFonts w:ascii="Arial" w:cs="Arial" w:eastAsia="Arial" w:hAnsi="Arial"/>
                <w:sz w:val="16"/>
                <w:szCs w:val="16"/>
                <w:color w:val="auto"/>
              </w:rPr>
              <w:t>Market</w:t>
            </w: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Borders>
              <w:right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Borders>
              <w:bottom w:val="single" w:sz="8" w:color="E93CAC"/>
              <w:right w:val="single" w:sz="8" w:color="auto"/>
            </w:tcBorders>
            <w:shd w:val="clear" w:color="auto" w:fill="E93CAC"/>
          </w:tcPr>
          <w:p>
            <w:pPr>
              <w:spacing w:after="0"/>
              <w:rPr>
                <w:sz w:val="15"/>
                <w:szCs w:val="15"/>
                <w:color w:val="auto"/>
              </w:rPr>
            </w:pPr>
          </w:p>
        </w:tc>
        <w:tc>
          <w:tcPr>
            <w:tcW w:w="460" w:type="dxa"/>
            <w:vAlign w:val="bottom"/>
            <w:tcBorders>
              <w:bottom w:val="single" w:sz="8" w:color="E93CAC"/>
            </w:tcBorders>
            <w:shd w:val="clear" w:color="auto" w:fill="E93CAC"/>
          </w:tcPr>
          <w:p>
            <w:pPr>
              <w:spacing w:after="0"/>
              <w:rPr>
                <w:sz w:val="15"/>
                <w:szCs w:val="15"/>
                <w:color w:val="auto"/>
              </w:rPr>
            </w:pPr>
          </w:p>
        </w:tc>
        <w:tc>
          <w:tcPr>
            <w:tcW w:w="560" w:type="dxa"/>
            <w:vAlign w:val="bottom"/>
            <w:tcBorders>
              <w:bottom w:val="single" w:sz="8" w:color="E93CAC"/>
              <w:right w:val="single" w:sz="8" w:color="auto"/>
            </w:tcBorders>
            <w:shd w:val="clear" w:color="auto" w:fill="E93CAC"/>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500" w:type="dxa"/>
            <w:vAlign w:val="bottom"/>
            <w:tcBorders>
              <w:bottom w:val="single" w:sz="8" w:color="00D274"/>
            </w:tcBorders>
            <w:shd w:val="clear" w:color="auto" w:fill="00D274"/>
          </w:tcPr>
          <w:p>
            <w:pPr>
              <w:spacing w:after="0"/>
              <w:rPr>
                <w:sz w:val="15"/>
                <w:szCs w:val="15"/>
                <w:color w:val="auto"/>
              </w:rPr>
            </w:pPr>
          </w:p>
        </w:tc>
        <w:tc>
          <w:tcPr>
            <w:tcW w:w="580" w:type="dxa"/>
            <w:vAlign w:val="bottom"/>
            <w:tcBorders>
              <w:bottom w:val="single" w:sz="8" w:color="00D274"/>
              <w:right w:val="single" w:sz="8" w:color="auto"/>
            </w:tcBorders>
            <w:shd w:val="clear" w:color="auto" w:fill="00D274"/>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280" w:type="dxa"/>
            <w:vAlign w:val="bottom"/>
            <w:tcBorders>
              <w:left w:val="single" w:sz="8" w:color="auto"/>
              <w:right w:val="single" w:sz="8" w:color="auto"/>
            </w:tcBorders>
          </w:tcPr>
          <w:p>
            <w:pPr>
              <w:ind w:left="160"/>
              <w:spacing w:after="0" w:line="165" w:lineRule="exact"/>
              <w:rPr>
                <w:sz w:val="20"/>
                <w:szCs w:val="20"/>
                <w:color w:val="auto"/>
              </w:rPr>
            </w:pPr>
            <w:r>
              <w:rPr>
                <w:rFonts w:ascii="Arial" w:cs="Arial" w:eastAsia="Arial" w:hAnsi="Arial"/>
                <w:sz w:val="16"/>
                <w:szCs w:val="16"/>
                <w:b w:val="1"/>
                <w:bCs w:val="1"/>
                <w:color w:val="auto"/>
              </w:rPr>
              <w:t>Retail</w:t>
            </w:r>
          </w:p>
        </w:tc>
        <w:tc>
          <w:tcPr>
            <w:tcW w:w="800" w:type="dxa"/>
            <w:vAlign w:val="bottom"/>
          </w:tcPr>
          <w:p>
            <w:pPr>
              <w:jc w:val="center"/>
              <w:ind w:left="118"/>
              <w:spacing w:after="0" w:line="165" w:lineRule="exact"/>
              <w:rPr>
                <w:sz w:val="20"/>
                <w:szCs w:val="20"/>
                <w:color w:val="auto"/>
              </w:rPr>
            </w:pPr>
            <w:r>
              <w:rPr>
                <w:rFonts w:ascii="Arial" w:cs="Arial" w:eastAsia="Arial" w:hAnsi="Arial"/>
                <w:sz w:val="16"/>
                <w:szCs w:val="16"/>
                <w:b w:val="1"/>
                <w:bCs w:val="1"/>
                <w:color w:val="auto"/>
              </w:rPr>
              <w:t>56,954</w:t>
            </w:r>
          </w:p>
        </w:tc>
        <w:tc>
          <w:tcPr>
            <w:tcW w:w="740" w:type="dxa"/>
            <w:vAlign w:val="bottom"/>
          </w:tcPr>
          <w:p>
            <w:pPr>
              <w:jc w:val="center"/>
              <w:ind w:left="118"/>
              <w:spacing w:after="0" w:line="165" w:lineRule="exact"/>
              <w:rPr>
                <w:sz w:val="20"/>
                <w:szCs w:val="20"/>
                <w:color w:val="auto"/>
              </w:rPr>
            </w:pPr>
            <w:r>
              <w:rPr>
                <w:rFonts w:ascii="Arial" w:cs="Arial" w:eastAsia="Arial" w:hAnsi="Arial"/>
                <w:sz w:val="16"/>
                <w:szCs w:val="16"/>
                <w:b w:val="1"/>
                <w:bCs w:val="1"/>
                <w:color w:val="auto"/>
              </w:rPr>
              <w:t>55,498</w:t>
            </w:r>
          </w:p>
        </w:tc>
        <w:tc>
          <w:tcPr>
            <w:tcW w:w="2120" w:type="dxa"/>
            <w:vAlign w:val="bottom"/>
            <w:tcBorders>
              <w:right w:val="single" w:sz="8" w:color="auto"/>
            </w:tcBorders>
            <w:gridSpan w:val="4"/>
          </w:tcPr>
          <w:p>
            <w:pPr>
              <w:jc w:val="right"/>
              <w:spacing w:after="0" w:line="165" w:lineRule="exact"/>
              <w:rPr>
                <w:sz w:val="20"/>
                <w:szCs w:val="20"/>
                <w:color w:val="auto"/>
              </w:rPr>
            </w:pPr>
            <w:r>
              <w:rPr>
                <w:rFonts w:ascii="Arial" w:cs="Arial" w:eastAsia="Arial" w:hAnsi="Arial"/>
                <w:sz w:val="16"/>
                <w:szCs w:val="16"/>
                <w:b w:val="1"/>
                <w:bCs w:val="1"/>
                <w:color w:val="auto"/>
              </w:rPr>
              <w:t>55,55545,83750,58651,346</w:t>
            </w:r>
          </w:p>
        </w:tc>
        <w:tc>
          <w:tcPr>
            <w:tcW w:w="48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0.1%</w:t>
            </w:r>
          </w:p>
        </w:tc>
        <w:tc>
          <w:tcPr>
            <w:tcW w:w="58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6"/>
                <w:szCs w:val="16"/>
                <w:b w:val="1"/>
                <w:bCs w:val="1"/>
                <w:color w:val="auto"/>
              </w:rPr>
              <w:t>-2.5%</w:t>
            </w:r>
          </w:p>
        </w:tc>
        <w:tc>
          <w:tcPr>
            <w:tcW w:w="46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1.5%</w:t>
            </w:r>
          </w:p>
        </w:tc>
        <w:tc>
          <w:tcPr>
            <w:tcW w:w="56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6"/>
                <w:szCs w:val="16"/>
                <w:b w:val="1"/>
                <w:bCs w:val="1"/>
                <w:color w:val="auto"/>
              </w:rPr>
              <w:t>12.0%</w:t>
            </w:r>
          </w:p>
        </w:tc>
        <w:tc>
          <w:tcPr>
            <w:tcW w:w="50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w w:val="99"/>
              </w:rPr>
              <w:t>1,970</w:t>
            </w:r>
          </w:p>
        </w:tc>
        <w:tc>
          <w:tcPr>
            <w:tcW w:w="56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1,996</w:t>
            </w:r>
          </w:p>
        </w:tc>
        <w:tc>
          <w:tcPr>
            <w:tcW w:w="54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6"/>
                <w:szCs w:val="16"/>
                <w:b w:val="1"/>
                <w:bCs w:val="1"/>
                <w:color w:val="auto"/>
                <w:w w:val="99"/>
              </w:rPr>
              <w:t>2,028</w:t>
            </w:r>
          </w:p>
        </w:tc>
        <w:tc>
          <w:tcPr>
            <w:tcW w:w="50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1.6%</w:t>
            </w:r>
          </w:p>
        </w:tc>
        <w:tc>
          <w:tcPr>
            <w:tcW w:w="58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6"/>
                <w:szCs w:val="16"/>
                <w:b w:val="1"/>
                <w:bCs w:val="1"/>
                <w:color w:val="auto"/>
                <w:w w:val="98"/>
              </w:rPr>
              <w:t>2.9%</w:t>
            </w:r>
          </w:p>
        </w:tc>
        <w:tc>
          <w:tcPr>
            <w:tcW w:w="820" w:type="dxa"/>
            <w:vAlign w:val="bottom"/>
          </w:tcPr>
          <w:p>
            <w:pPr>
              <w:jc w:val="center"/>
              <w:ind w:left="58"/>
              <w:spacing w:after="0" w:line="165" w:lineRule="exact"/>
              <w:rPr>
                <w:sz w:val="20"/>
                <w:szCs w:val="20"/>
                <w:color w:val="auto"/>
              </w:rPr>
            </w:pPr>
            <w:r>
              <w:rPr>
                <w:rFonts w:ascii="Arial" w:cs="Arial" w:eastAsia="Arial" w:hAnsi="Arial"/>
                <w:sz w:val="16"/>
                <w:szCs w:val="16"/>
                <w:b w:val="1"/>
                <w:bCs w:val="1"/>
                <w:color w:val="auto"/>
              </w:rPr>
              <w:t>88.3%</w:t>
            </w:r>
          </w:p>
        </w:tc>
        <w:tc>
          <w:tcPr>
            <w:tcW w:w="740" w:type="dxa"/>
            <w:vAlign w:val="bottom"/>
            <w:tcBorders>
              <w:right w:val="single" w:sz="8" w:color="auto"/>
            </w:tcBorders>
          </w:tcPr>
          <w:p>
            <w:pPr>
              <w:jc w:val="center"/>
              <w:ind w:left="38"/>
              <w:spacing w:after="0" w:line="165" w:lineRule="exact"/>
              <w:rPr>
                <w:sz w:val="20"/>
                <w:szCs w:val="20"/>
                <w:color w:val="auto"/>
              </w:rPr>
            </w:pPr>
            <w:r>
              <w:rPr>
                <w:rFonts w:ascii="Arial" w:cs="Arial" w:eastAsia="Arial" w:hAnsi="Arial"/>
                <w:sz w:val="16"/>
                <w:szCs w:val="16"/>
                <w:b w:val="1"/>
                <w:bCs w:val="1"/>
                <w:color w:val="auto"/>
              </w:rPr>
              <w:t>11.7%</w:t>
            </w:r>
          </w:p>
        </w:tc>
        <w:tc>
          <w:tcPr>
            <w:tcW w:w="0" w:type="dxa"/>
            <w:vAlign w:val="bottom"/>
          </w:tcPr>
          <w:p>
            <w:pPr>
              <w:spacing w:after="0"/>
              <w:rPr>
                <w:sz w:val="1"/>
                <w:szCs w:val="1"/>
                <w:color w:val="auto"/>
              </w:rPr>
            </w:pPr>
          </w:p>
        </w:tc>
      </w:tr>
      <w:tr>
        <w:trPr>
          <w:trHeight w:val="193"/>
        </w:trPr>
        <w:tc>
          <w:tcPr>
            <w:tcW w:w="128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6"/>
                <w:szCs w:val="16"/>
                <w:b w:val="1"/>
                <w:bCs w:val="1"/>
                <w:color w:val="auto"/>
              </w:rPr>
              <w:t>Banking</w:t>
            </w: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580" w:type="dxa"/>
            <w:vAlign w:val="bottom"/>
            <w:tcBorders>
              <w:right w:val="single" w:sz="8" w:color="auto"/>
            </w:tcBorders>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28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6"/>
                <w:szCs w:val="16"/>
                <w:color w:val="auto"/>
              </w:rPr>
              <w:t>SME -</w:t>
            </w:r>
          </w:p>
        </w:tc>
        <w:tc>
          <w:tcPr>
            <w:tcW w:w="800" w:type="dxa"/>
            <w:vAlign w:val="bottom"/>
          </w:tcPr>
          <w:p>
            <w:pPr>
              <w:jc w:val="center"/>
              <w:ind w:left="118"/>
              <w:spacing w:after="0"/>
              <w:rPr>
                <w:sz w:val="20"/>
                <w:szCs w:val="20"/>
                <w:color w:val="auto"/>
              </w:rPr>
            </w:pPr>
            <w:r>
              <w:rPr>
                <w:rFonts w:ascii="Arial" w:cs="Arial" w:eastAsia="Arial" w:hAnsi="Arial"/>
                <w:sz w:val="16"/>
                <w:szCs w:val="16"/>
                <w:color w:val="auto"/>
                <w:w w:val="99"/>
              </w:rPr>
              <w:t>6,099</w:t>
            </w:r>
          </w:p>
        </w:tc>
        <w:tc>
          <w:tcPr>
            <w:tcW w:w="740" w:type="dxa"/>
            <w:vAlign w:val="bottom"/>
          </w:tcPr>
          <w:p>
            <w:pPr>
              <w:jc w:val="center"/>
              <w:ind w:left="118"/>
              <w:spacing w:after="0"/>
              <w:rPr>
                <w:sz w:val="20"/>
                <w:szCs w:val="20"/>
                <w:color w:val="auto"/>
              </w:rPr>
            </w:pPr>
            <w:r>
              <w:rPr>
                <w:rFonts w:ascii="Arial" w:cs="Arial" w:eastAsia="Arial" w:hAnsi="Arial"/>
                <w:sz w:val="16"/>
                <w:szCs w:val="16"/>
                <w:color w:val="auto"/>
              </w:rPr>
              <w:t>4,486</w:t>
            </w:r>
          </w:p>
        </w:tc>
        <w:tc>
          <w:tcPr>
            <w:tcW w:w="520" w:type="dxa"/>
            <w:vAlign w:val="bottom"/>
          </w:tcPr>
          <w:p>
            <w:pPr>
              <w:jc w:val="center"/>
              <w:spacing w:after="0"/>
              <w:rPr>
                <w:sz w:val="20"/>
                <w:szCs w:val="20"/>
                <w:color w:val="auto"/>
              </w:rPr>
            </w:pPr>
            <w:r>
              <w:rPr>
                <w:rFonts w:ascii="Arial" w:cs="Arial" w:eastAsia="Arial" w:hAnsi="Arial"/>
                <w:sz w:val="16"/>
                <w:szCs w:val="16"/>
                <w:color w:val="auto"/>
                <w:w w:val="99"/>
              </w:rPr>
              <w:t>4,302</w:t>
            </w:r>
          </w:p>
        </w:tc>
        <w:tc>
          <w:tcPr>
            <w:tcW w:w="560" w:type="dxa"/>
            <w:vAlign w:val="bottom"/>
          </w:tcPr>
          <w:p>
            <w:pPr>
              <w:jc w:val="center"/>
              <w:spacing w:after="0"/>
              <w:rPr>
                <w:sz w:val="20"/>
                <w:szCs w:val="20"/>
                <w:color w:val="auto"/>
              </w:rPr>
            </w:pPr>
            <w:r>
              <w:rPr>
                <w:rFonts w:ascii="Arial" w:cs="Arial" w:eastAsia="Arial" w:hAnsi="Arial"/>
                <w:sz w:val="16"/>
                <w:szCs w:val="16"/>
                <w:color w:val="auto"/>
              </w:rPr>
              <w:t>2,399</w:t>
            </w:r>
          </w:p>
        </w:tc>
        <w:tc>
          <w:tcPr>
            <w:tcW w:w="460" w:type="dxa"/>
            <w:vAlign w:val="bottom"/>
          </w:tcPr>
          <w:p>
            <w:pPr>
              <w:jc w:val="right"/>
              <w:spacing w:after="0"/>
              <w:rPr>
                <w:sz w:val="20"/>
                <w:szCs w:val="20"/>
                <w:color w:val="auto"/>
              </w:rPr>
            </w:pPr>
            <w:r>
              <w:rPr>
                <w:rFonts w:ascii="Arial" w:cs="Arial" w:eastAsia="Arial" w:hAnsi="Arial"/>
                <w:sz w:val="16"/>
                <w:szCs w:val="16"/>
                <w:color w:val="auto"/>
              </w:rPr>
              <w:t>2,836</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2,987</w:t>
            </w:r>
          </w:p>
        </w:tc>
        <w:tc>
          <w:tcPr>
            <w:tcW w:w="1060" w:type="dxa"/>
            <w:vAlign w:val="bottom"/>
            <w:tcBorders>
              <w:right w:val="single" w:sz="8" w:color="auto"/>
            </w:tcBorders>
            <w:gridSpan w:val="2"/>
            <w:shd w:val="clear" w:color="auto" w:fill="E93CAC"/>
          </w:tcPr>
          <w:p>
            <w:pPr>
              <w:jc w:val="center"/>
              <w:spacing w:after="0"/>
              <w:rPr>
                <w:sz w:val="20"/>
                <w:szCs w:val="20"/>
                <w:color w:val="auto"/>
              </w:rPr>
            </w:pPr>
            <w:r>
              <w:rPr>
                <w:rFonts w:ascii="Arial" w:cs="Arial" w:eastAsia="Arial" w:hAnsi="Arial"/>
                <w:sz w:val="16"/>
                <w:szCs w:val="16"/>
                <w:color w:val="auto"/>
              </w:rPr>
              <w:t>-4.1% -29.5%</w:t>
            </w:r>
          </w:p>
        </w:tc>
        <w:tc>
          <w:tcPr>
            <w:tcW w:w="460" w:type="dxa"/>
            <w:vAlign w:val="bottom"/>
            <w:shd w:val="clear" w:color="auto" w:fill="00D274"/>
          </w:tcPr>
          <w:p>
            <w:pPr>
              <w:jc w:val="center"/>
              <w:spacing w:after="0"/>
              <w:rPr>
                <w:sz w:val="20"/>
                <w:szCs w:val="20"/>
                <w:color w:val="auto"/>
              </w:rPr>
            </w:pPr>
            <w:r>
              <w:rPr>
                <w:rFonts w:ascii="Arial" w:cs="Arial" w:eastAsia="Arial" w:hAnsi="Arial"/>
                <w:sz w:val="16"/>
                <w:szCs w:val="16"/>
                <w:color w:val="auto"/>
              </w:rPr>
              <w:t>5.3%</w:t>
            </w:r>
          </w:p>
        </w:tc>
        <w:tc>
          <w:tcPr>
            <w:tcW w:w="560" w:type="dxa"/>
            <w:vAlign w:val="bottom"/>
            <w:tcBorders>
              <w:right w:val="single" w:sz="8" w:color="auto"/>
            </w:tcBorders>
            <w:shd w:val="clear" w:color="auto" w:fill="00D274"/>
          </w:tcPr>
          <w:p>
            <w:pPr>
              <w:jc w:val="center"/>
              <w:spacing w:after="0"/>
              <w:rPr>
                <w:sz w:val="20"/>
                <w:szCs w:val="20"/>
                <w:color w:val="auto"/>
              </w:rPr>
            </w:pPr>
            <w:r>
              <w:rPr>
                <w:rFonts w:ascii="Arial" w:cs="Arial" w:eastAsia="Arial" w:hAnsi="Arial"/>
                <w:sz w:val="16"/>
                <w:szCs w:val="16"/>
                <w:color w:val="auto"/>
              </w:rPr>
              <w:t>24.5%</w:t>
            </w:r>
          </w:p>
        </w:tc>
        <w:tc>
          <w:tcPr>
            <w:tcW w:w="500" w:type="dxa"/>
            <w:vAlign w:val="bottom"/>
          </w:tcPr>
          <w:p>
            <w:pPr>
              <w:jc w:val="center"/>
              <w:spacing w:after="0"/>
              <w:rPr>
                <w:sz w:val="20"/>
                <w:szCs w:val="20"/>
                <w:color w:val="auto"/>
              </w:rPr>
            </w:pPr>
            <w:r>
              <w:rPr>
                <w:rFonts w:ascii="Arial" w:cs="Arial" w:eastAsia="Arial" w:hAnsi="Arial"/>
                <w:sz w:val="16"/>
                <w:szCs w:val="16"/>
                <w:color w:val="auto"/>
              </w:rPr>
              <w:t>781</w:t>
            </w:r>
          </w:p>
        </w:tc>
        <w:tc>
          <w:tcPr>
            <w:tcW w:w="560" w:type="dxa"/>
            <w:vAlign w:val="bottom"/>
          </w:tcPr>
          <w:p>
            <w:pPr>
              <w:jc w:val="center"/>
              <w:spacing w:after="0"/>
              <w:rPr>
                <w:sz w:val="20"/>
                <w:szCs w:val="20"/>
                <w:color w:val="auto"/>
              </w:rPr>
            </w:pPr>
            <w:r>
              <w:rPr>
                <w:rFonts w:ascii="Arial" w:cs="Arial" w:eastAsia="Arial" w:hAnsi="Arial"/>
                <w:sz w:val="16"/>
                <w:szCs w:val="16"/>
                <w:color w:val="auto"/>
              </w:rPr>
              <w:t>799</w:t>
            </w:r>
          </w:p>
        </w:tc>
        <w:tc>
          <w:tcPr>
            <w:tcW w:w="5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809</w:t>
            </w:r>
          </w:p>
        </w:tc>
        <w:tc>
          <w:tcPr>
            <w:tcW w:w="500" w:type="dxa"/>
            <w:vAlign w:val="bottom"/>
          </w:tcPr>
          <w:p>
            <w:pPr>
              <w:jc w:val="center"/>
              <w:spacing w:after="0"/>
              <w:rPr>
                <w:sz w:val="20"/>
                <w:szCs w:val="20"/>
                <w:color w:val="auto"/>
              </w:rPr>
            </w:pPr>
            <w:r>
              <w:rPr>
                <w:rFonts w:ascii="Arial" w:cs="Arial" w:eastAsia="Arial" w:hAnsi="Arial"/>
                <w:sz w:val="16"/>
                <w:szCs w:val="16"/>
                <w:color w:val="auto"/>
              </w:rPr>
              <w:t>1.2%</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3.6%</w:t>
            </w:r>
          </w:p>
        </w:tc>
        <w:tc>
          <w:tcPr>
            <w:tcW w:w="820" w:type="dxa"/>
            <w:vAlign w:val="bottom"/>
          </w:tcPr>
          <w:p>
            <w:pPr>
              <w:jc w:val="center"/>
              <w:ind w:left="58"/>
              <w:spacing w:after="0"/>
              <w:rPr>
                <w:sz w:val="20"/>
                <w:szCs w:val="20"/>
                <w:color w:val="auto"/>
              </w:rPr>
            </w:pPr>
            <w:r>
              <w:rPr>
                <w:rFonts w:ascii="Arial" w:cs="Arial" w:eastAsia="Arial" w:hAnsi="Arial"/>
                <w:sz w:val="16"/>
                <w:szCs w:val="16"/>
                <w:color w:val="auto"/>
              </w:rPr>
              <w:t>60.5%</w:t>
            </w:r>
          </w:p>
        </w:tc>
        <w:tc>
          <w:tcPr>
            <w:tcW w:w="740" w:type="dxa"/>
            <w:vAlign w:val="bottom"/>
            <w:tcBorders>
              <w:right w:val="single" w:sz="8" w:color="auto"/>
            </w:tcBorders>
          </w:tcPr>
          <w:p>
            <w:pPr>
              <w:jc w:val="center"/>
              <w:ind w:left="38"/>
              <w:spacing w:after="0"/>
              <w:rPr>
                <w:sz w:val="20"/>
                <w:szCs w:val="20"/>
                <w:color w:val="auto"/>
              </w:rPr>
            </w:pPr>
            <w:r>
              <w:rPr>
                <w:rFonts w:ascii="Arial" w:cs="Arial" w:eastAsia="Arial" w:hAnsi="Arial"/>
                <w:sz w:val="16"/>
                <w:szCs w:val="16"/>
                <w:color w:val="auto"/>
              </w:rPr>
              <w:t>39.5%</w:t>
            </w:r>
          </w:p>
        </w:tc>
        <w:tc>
          <w:tcPr>
            <w:tcW w:w="0" w:type="dxa"/>
            <w:vAlign w:val="bottom"/>
          </w:tcPr>
          <w:p>
            <w:pPr>
              <w:spacing w:after="0"/>
              <w:rPr>
                <w:sz w:val="1"/>
                <w:szCs w:val="1"/>
                <w:color w:val="auto"/>
              </w:rPr>
            </w:pPr>
          </w:p>
        </w:tc>
      </w:tr>
      <w:tr>
        <w:trPr>
          <w:trHeight w:val="198"/>
        </w:trPr>
        <w:tc>
          <w:tcPr>
            <w:tcW w:w="1280" w:type="dxa"/>
            <w:vAlign w:val="bottom"/>
            <w:tcBorders>
              <w:left w:val="single" w:sz="8" w:color="auto"/>
              <w:right w:val="single" w:sz="8" w:color="auto"/>
            </w:tcBorders>
          </w:tcPr>
          <w:p>
            <w:pPr>
              <w:ind w:left="460"/>
              <w:spacing w:after="0"/>
              <w:rPr>
                <w:sz w:val="20"/>
                <w:szCs w:val="20"/>
                <w:color w:val="auto"/>
              </w:rPr>
            </w:pPr>
            <w:r>
              <w:rPr>
                <w:rFonts w:ascii="Arial" w:cs="Arial" w:eastAsia="Arial" w:hAnsi="Arial"/>
                <w:sz w:val="16"/>
                <w:szCs w:val="16"/>
                <w:color w:val="auto"/>
              </w:rPr>
              <w:t>Business</w:t>
            </w: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480" w:type="dxa"/>
            <w:vAlign w:val="bottom"/>
            <w:shd w:val="clear" w:color="auto" w:fill="E93CAC"/>
          </w:tcPr>
          <w:p>
            <w:pPr>
              <w:spacing w:after="0"/>
              <w:rPr>
                <w:sz w:val="17"/>
                <w:szCs w:val="17"/>
                <w:color w:val="auto"/>
              </w:rPr>
            </w:pPr>
          </w:p>
        </w:tc>
        <w:tc>
          <w:tcPr>
            <w:tcW w:w="580" w:type="dxa"/>
            <w:vAlign w:val="bottom"/>
            <w:tcBorders>
              <w:right w:val="single" w:sz="8" w:color="auto"/>
            </w:tcBorders>
            <w:shd w:val="clear" w:color="auto" w:fill="E93CAC"/>
          </w:tcPr>
          <w:p>
            <w:pPr>
              <w:spacing w:after="0"/>
              <w:rPr>
                <w:sz w:val="17"/>
                <w:szCs w:val="17"/>
                <w:color w:val="auto"/>
              </w:rPr>
            </w:pPr>
          </w:p>
        </w:tc>
        <w:tc>
          <w:tcPr>
            <w:tcW w:w="460" w:type="dxa"/>
            <w:vAlign w:val="bottom"/>
            <w:shd w:val="clear" w:color="auto" w:fill="00D274"/>
          </w:tcPr>
          <w:p>
            <w:pPr>
              <w:spacing w:after="0"/>
              <w:rPr>
                <w:sz w:val="17"/>
                <w:szCs w:val="17"/>
                <w:color w:val="auto"/>
              </w:rPr>
            </w:pPr>
          </w:p>
        </w:tc>
        <w:tc>
          <w:tcPr>
            <w:tcW w:w="560" w:type="dxa"/>
            <w:vAlign w:val="bottom"/>
            <w:tcBorders>
              <w:right w:val="single" w:sz="8" w:color="auto"/>
            </w:tcBorders>
            <w:shd w:val="clear" w:color="auto" w:fill="00D274"/>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580" w:type="dxa"/>
            <w:vAlign w:val="bottom"/>
            <w:tcBorders>
              <w:right w:val="single" w:sz="8" w:color="auto"/>
            </w:tcBorders>
          </w:tcPr>
          <w:p>
            <w:pPr>
              <w:spacing w:after="0"/>
              <w:rPr>
                <w:sz w:val="17"/>
                <w:szCs w:val="17"/>
                <w:color w:val="auto"/>
              </w:rPr>
            </w:pPr>
          </w:p>
        </w:tc>
        <w:tc>
          <w:tcPr>
            <w:tcW w:w="82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128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6"/>
                <w:szCs w:val="16"/>
                <w:color w:val="auto"/>
              </w:rPr>
              <w:t>SME - Pyme</w:t>
            </w:r>
          </w:p>
        </w:tc>
        <w:tc>
          <w:tcPr>
            <w:tcW w:w="800" w:type="dxa"/>
            <w:vAlign w:val="bottom"/>
          </w:tcPr>
          <w:p>
            <w:pPr>
              <w:jc w:val="center"/>
              <w:ind w:left="118"/>
              <w:spacing w:after="0"/>
              <w:rPr>
                <w:sz w:val="20"/>
                <w:szCs w:val="20"/>
                <w:color w:val="auto"/>
              </w:rPr>
            </w:pPr>
            <w:r>
              <w:rPr>
                <w:rFonts w:ascii="Arial" w:cs="Arial" w:eastAsia="Arial" w:hAnsi="Arial"/>
                <w:sz w:val="16"/>
                <w:szCs w:val="16"/>
                <w:color w:val="auto"/>
              </w:rPr>
              <w:t>18,376</w:t>
            </w:r>
          </w:p>
        </w:tc>
        <w:tc>
          <w:tcPr>
            <w:tcW w:w="740" w:type="dxa"/>
            <w:vAlign w:val="bottom"/>
          </w:tcPr>
          <w:p>
            <w:pPr>
              <w:jc w:val="center"/>
              <w:ind w:left="118"/>
              <w:spacing w:after="0"/>
              <w:rPr>
                <w:sz w:val="20"/>
                <w:szCs w:val="20"/>
                <w:color w:val="auto"/>
              </w:rPr>
            </w:pPr>
            <w:r>
              <w:rPr>
                <w:rFonts w:ascii="Arial" w:cs="Arial" w:eastAsia="Arial" w:hAnsi="Arial"/>
                <w:sz w:val="16"/>
                <w:szCs w:val="16"/>
                <w:color w:val="auto"/>
              </w:rPr>
              <w:t>16,332</w:t>
            </w:r>
          </w:p>
        </w:tc>
        <w:tc>
          <w:tcPr>
            <w:tcW w:w="2120" w:type="dxa"/>
            <w:vAlign w:val="bottom"/>
            <w:tcBorders>
              <w:right w:val="single" w:sz="8" w:color="auto"/>
            </w:tcBorders>
            <w:gridSpan w:val="4"/>
          </w:tcPr>
          <w:p>
            <w:pPr>
              <w:jc w:val="right"/>
              <w:spacing w:after="0"/>
              <w:rPr>
                <w:sz w:val="20"/>
                <w:szCs w:val="20"/>
                <w:color w:val="auto"/>
              </w:rPr>
            </w:pPr>
            <w:r>
              <w:rPr>
                <w:rFonts w:ascii="Arial" w:cs="Arial" w:eastAsia="Arial" w:hAnsi="Arial"/>
                <w:sz w:val="16"/>
                <w:szCs w:val="16"/>
                <w:color w:val="auto"/>
              </w:rPr>
              <w:t>16,37812,04613,41713,680</w:t>
            </w:r>
          </w:p>
        </w:tc>
        <w:tc>
          <w:tcPr>
            <w:tcW w:w="480" w:type="dxa"/>
            <w:vAlign w:val="bottom"/>
          </w:tcPr>
          <w:p>
            <w:pPr>
              <w:jc w:val="center"/>
              <w:spacing w:after="0" w:line="173" w:lineRule="exact"/>
              <w:rPr>
                <w:sz w:val="20"/>
                <w:szCs w:val="20"/>
                <w:color w:val="auto"/>
              </w:rPr>
            </w:pPr>
            <w:r>
              <w:rPr>
                <w:rFonts w:ascii="Arial" w:cs="Arial" w:eastAsia="Arial" w:hAnsi="Arial"/>
                <w:sz w:val="16"/>
                <w:szCs w:val="16"/>
                <w:color w:val="auto"/>
              </w:rPr>
              <w:t>0.3%</w:t>
            </w:r>
          </w:p>
        </w:tc>
        <w:tc>
          <w:tcPr>
            <w:tcW w:w="580" w:type="dxa"/>
            <w:vAlign w:val="bottom"/>
            <w:tcBorders>
              <w:right w:val="single" w:sz="8" w:color="auto"/>
            </w:tcBorders>
            <w:shd w:val="clear" w:color="auto" w:fill="E93CAC"/>
          </w:tcPr>
          <w:p>
            <w:pPr>
              <w:jc w:val="center"/>
              <w:spacing w:after="0" w:line="173" w:lineRule="exact"/>
              <w:rPr>
                <w:sz w:val="20"/>
                <w:szCs w:val="20"/>
                <w:color w:val="auto"/>
              </w:rPr>
            </w:pPr>
            <w:r>
              <w:rPr>
                <w:rFonts w:ascii="Arial" w:cs="Arial" w:eastAsia="Arial" w:hAnsi="Arial"/>
                <w:sz w:val="16"/>
                <w:szCs w:val="16"/>
                <w:color w:val="auto"/>
              </w:rPr>
              <w:t>-10.9%</w:t>
            </w:r>
          </w:p>
        </w:tc>
        <w:tc>
          <w:tcPr>
            <w:tcW w:w="460" w:type="dxa"/>
            <w:vAlign w:val="bottom"/>
            <w:shd w:val="clear" w:color="auto" w:fill="00D274"/>
          </w:tcPr>
          <w:p>
            <w:pPr>
              <w:jc w:val="center"/>
              <w:spacing w:after="0"/>
              <w:rPr>
                <w:sz w:val="20"/>
                <w:szCs w:val="20"/>
                <w:color w:val="auto"/>
              </w:rPr>
            </w:pPr>
            <w:r>
              <w:rPr>
                <w:rFonts w:ascii="Arial" w:cs="Arial" w:eastAsia="Arial" w:hAnsi="Arial"/>
                <w:sz w:val="16"/>
                <w:szCs w:val="16"/>
                <w:color w:val="auto"/>
              </w:rPr>
              <w:t>2.0%</w:t>
            </w:r>
          </w:p>
        </w:tc>
        <w:tc>
          <w:tcPr>
            <w:tcW w:w="560" w:type="dxa"/>
            <w:vAlign w:val="bottom"/>
            <w:tcBorders>
              <w:right w:val="single" w:sz="8" w:color="auto"/>
            </w:tcBorders>
            <w:shd w:val="clear" w:color="auto" w:fill="00D274"/>
          </w:tcPr>
          <w:p>
            <w:pPr>
              <w:jc w:val="center"/>
              <w:spacing w:after="0"/>
              <w:rPr>
                <w:sz w:val="20"/>
                <w:szCs w:val="20"/>
                <w:color w:val="auto"/>
              </w:rPr>
            </w:pPr>
            <w:r>
              <w:rPr>
                <w:rFonts w:ascii="Arial" w:cs="Arial" w:eastAsia="Arial" w:hAnsi="Arial"/>
                <w:sz w:val="16"/>
                <w:szCs w:val="16"/>
                <w:color w:val="auto"/>
              </w:rPr>
              <w:t>13.6%</w:t>
            </w:r>
          </w:p>
        </w:tc>
        <w:tc>
          <w:tcPr>
            <w:tcW w:w="500" w:type="dxa"/>
            <w:vAlign w:val="bottom"/>
          </w:tcPr>
          <w:p>
            <w:pPr>
              <w:jc w:val="center"/>
              <w:spacing w:after="0"/>
              <w:rPr>
                <w:sz w:val="20"/>
                <w:szCs w:val="20"/>
                <w:color w:val="auto"/>
              </w:rPr>
            </w:pPr>
            <w:r>
              <w:rPr>
                <w:rFonts w:ascii="Arial" w:cs="Arial" w:eastAsia="Arial" w:hAnsi="Arial"/>
                <w:sz w:val="16"/>
                <w:szCs w:val="16"/>
                <w:color w:val="auto"/>
              </w:rPr>
              <w:t>41</w:t>
            </w:r>
          </w:p>
        </w:tc>
        <w:tc>
          <w:tcPr>
            <w:tcW w:w="560" w:type="dxa"/>
            <w:vAlign w:val="bottom"/>
          </w:tcPr>
          <w:p>
            <w:pPr>
              <w:jc w:val="center"/>
              <w:spacing w:after="0"/>
              <w:rPr>
                <w:sz w:val="20"/>
                <w:szCs w:val="20"/>
                <w:color w:val="auto"/>
              </w:rPr>
            </w:pPr>
            <w:r>
              <w:rPr>
                <w:rFonts w:ascii="Arial" w:cs="Arial" w:eastAsia="Arial" w:hAnsi="Arial"/>
                <w:sz w:val="16"/>
                <w:szCs w:val="16"/>
                <w:color w:val="auto"/>
              </w:rPr>
              <w:t>45</w:t>
            </w:r>
          </w:p>
        </w:tc>
        <w:tc>
          <w:tcPr>
            <w:tcW w:w="5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46</w:t>
            </w:r>
          </w:p>
        </w:tc>
        <w:tc>
          <w:tcPr>
            <w:tcW w:w="500" w:type="dxa"/>
            <w:vAlign w:val="bottom"/>
          </w:tcPr>
          <w:p>
            <w:pPr>
              <w:jc w:val="center"/>
              <w:spacing w:after="0"/>
              <w:rPr>
                <w:sz w:val="20"/>
                <w:szCs w:val="20"/>
                <w:color w:val="auto"/>
              </w:rPr>
            </w:pPr>
            <w:r>
              <w:rPr>
                <w:rFonts w:ascii="Arial" w:cs="Arial" w:eastAsia="Arial" w:hAnsi="Arial"/>
                <w:sz w:val="16"/>
                <w:szCs w:val="16"/>
                <w:color w:val="auto"/>
              </w:rPr>
              <w:t>3.0%</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6"/>
              </w:rPr>
              <w:t>11.5%</w:t>
            </w:r>
          </w:p>
        </w:tc>
        <w:tc>
          <w:tcPr>
            <w:tcW w:w="820" w:type="dxa"/>
            <w:vAlign w:val="bottom"/>
          </w:tcPr>
          <w:p>
            <w:pPr>
              <w:jc w:val="center"/>
              <w:ind w:left="58"/>
              <w:spacing w:after="0"/>
              <w:rPr>
                <w:sz w:val="20"/>
                <w:szCs w:val="20"/>
                <w:color w:val="auto"/>
              </w:rPr>
            </w:pPr>
            <w:r>
              <w:rPr>
                <w:rFonts w:ascii="Arial" w:cs="Arial" w:eastAsia="Arial" w:hAnsi="Arial"/>
                <w:sz w:val="16"/>
                <w:szCs w:val="16"/>
                <w:color w:val="auto"/>
              </w:rPr>
              <w:t>99.0%</w:t>
            </w:r>
          </w:p>
        </w:tc>
        <w:tc>
          <w:tcPr>
            <w:tcW w:w="740" w:type="dxa"/>
            <w:vAlign w:val="bottom"/>
            <w:tcBorders>
              <w:right w:val="single" w:sz="8" w:color="auto"/>
            </w:tcBorders>
          </w:tcPr>
          <w:p>
            <w:pPr>
              <w:jc w:val="center"/>
              <w:ind w:left="38"/>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73"/>
        </w:trPr>
        <w:tc>
          <w:tcPr>
            <w:tcW w:w="1280" w:type="dxa"/>
            <w:vAlign w:val="bottom"/>
            <w:tcBorders>
              <w:left w:val="single" w:sz="8" w:color="auto"/>
              <w:right w:val="single" w:sz="8" w:color="auto"/>
            </w:tcBorders>
          </w:tcPr>
          <w:p>
            <w:pPr>
              <w:ind w:left="300"/>
              <w:spacing w:after="0" w:line="173" w:lineRule="exact"/>
              <w:rPr>
                <w:sz w:val="20"/>
                <w:szCs w:val="20"/>
                <w:color w:val="auto"/>
              </w:rPr>
            </w:pPr>
            <w:r>
              <w:rPr>
                <w:rFonts w:ascii="Arial" w:cs="Arial" w:eastAsia="Arial" w:hAnsi="Arial"/>
                <w:sz w:val="16"/>
                <w:szCs w:val="16"/>
                <w:color w:val="auto"/>
              </w:rPr>
              <w:t>Mortgage</w:t>
            </w:r>
          </w:p>
        </w:tc>
        <w:tc>
          <w:tcPr>
            <w:tcW w:w="800" w:type="dxa"/>
            <w:vAlign w:val="bottom"/>
          </w:tcPr>
          <w:p>
            <w:pPr>
              <w:jc w:val="center"/>
              <w:ind w:left="118"/>
              <w:spacing w:after="0" w:line="173" w:lineRule="exact"/>
              <w:rPr>
                <w:sz w:val="20"/>
                <w:szCs w:val="20"/>
                <w:color w:val="auto"/>
              </w:rPr>
            </w:pPr>
            <w:r>
              <w:rPr>
                <w:rFonts w:ascii="Arial" w:cs="Arial" w:eastAsia="Arial" w:hAnsi="Arial"/>
                <w:sz w:val="16"/>
                <w:szCs w:val="16"/>
                <w:color w:val="auto"/>
              </w:rPr>
              <w:t>17,682</w:t>
            </w:r>
          </w:p>
        </w:tc>
        <w:tc>
          <w:tcPr>
            <w:tcW w:w="740" w:type="dxa"/>
            <w:vAlign w:val="bottom"/>
          </w:tcPr>
          <w:p>
            <w:pPr>
              <w:jc w:val="center"/>
              <w:ind w:left="118"/>
              <w:spacing w:after="0" w:line="173" w:lineRule="exact"/>
              <w:rPr>
                <w:sz w:val="20"/>
                <w:szCs w:val="20"/>
                <w:color w:val="auto"/>
              </w:rPr>
            </w:pPr>
            <w:r>
              <w:rPr>
                <w:rFonts w:ascii="Arial" w:cs="Arial" w:eastAsia="Arial" w:hAnsi="Arial"/>
                <w:sz w:val="16"/>
                <w:szCs w:val="16"/>
                <w:color w:val="auto"/>
              </w:rPr>
              <w:t>18,495</w:t>
            </w:r>
          </w:p>
        </w:tc>
        <w:tc>
          <w:tcPr>
            <w:tcW w:w="2120" w:type="dxa"/>
            <w:vAlign w:val="bottom"/>
            <w:tcBorders>
              <w:right w:val="single" w:sz="8" w:color="auto"/>
            </w:tcBorders>
            <w:gridSpan w:val="4"/>
          </w:tcPr>
          <w:p>
            <w:pPr>
              <w:jc w:val="right"/>
              <w:spacing w:after="0" w:line="173" w:lineRule="exact"/>
              <w:rPr>
                <w:sz w:val="20"/>
                <w:szCs w:val="20"/>
                <w:color w:val="auto"/>
              </w:rPr>
            </w:pPr>
            <w:r>
              <w:rPr>
                <w:rFonts w:ascii="Arial" w:cs="Arial" w:eastAsia="Arial" w:hAnsi="Arial"/>
                <w:sz w:val="16"/>
                <w:szCs w:val="16"/>
                <w:color w:val="auto"/>
              </w:rPr>
              <w:t>18,76817,35118,26418,495</w:t>
            </w:r>
          </w:p>
        </w:tc>
        <w:tc>
          <w:tcPr>
            <w:tcW w:w="480" w:type="dxa"/>
            <w:vAlign w:val="bottom"/>
          </w:tcPr>
          <w:p>
            <w:pPr>
              <w:jc w:val="center"/>
              <w:spacing w:after="0" w:line="173" w:lineRule="exact"/>
              <w:rPr>
                <w:sz w:val="20"/>
                <w:szCs w:val="20"/>
                <w:color w:val="auto"/>
              </w:rPr>
            </w:pPr>
            <w:r>
              <w:rPr>
                <w:rFonts w:ascii="Arial" w:cs="Arial" w:eastAsia="Arial" w:hAnsi="Arial"/>
                <w:sz w:val="16"/>
                <w:szCs w:val="16"/>
                <w:color w:val="auto"/>
              </w:rPr>
              <w:t>1.5%</w:t>
            </w:r>
          </w:p>
        </w:tc>
        <w:tc>
          <w:tcPr>
            <w:tcW w:w="580" w:type="dxa"/>
            <w:vAlign w:val="bottom"/>
            <w:tcBorders>
              <w:right w:val="single" w:sz="8" w:color="auto"/>
            </w:tcBorders>
            <w:shd w:val="clear" w:color="auto" w:fill="00D274"/>
          </w:tcPr>
          <w:p>
            <w:pPr>
              <w:jc w:val="center"/>
              <w:spacing w:after="0" w:line="173" w:lineRule="exact"/>
              <w:rPr>
                <w:sz w:val="20"/>
                <w:szCs w:val="20"/>
                <w:color w:val="auto"/>
              </w:rPr>
            </w:pPr>
            <w:r>
              <w:rPr>
                <w:rFonts w:ascii="Arial" w:cs="Arial" w:eastAsia="Arial" w:hAnsi="Arial"/>
                <w:sz w:val="16"/>
                <w:szCs w:val="16"/>
                <w:color w:val="auto"/>
              </w:rPr>
              <w:t>6.1%</w:t>
            </w:r>
          </w:p>
        </w:tc>
        <w:tc>
          <w:tcPr>
            <w:tcW w:w="460" w:type="dxa"/>
            <w:vAlign w:val="bottom"/>
          </w:tcPr>
          <w:p>
            <w:pPr>
              <w:jc w:val="center"/>
              <w:spacing w:after="0" w:line="173" w:lineRule="exact"/>
              <w:rPr>
                <w:sz w:val="20"/>
                <w:szCs w:val="20"/>
                <w:color w:val="auto"/>
              </w:rPr>
            </w:pPr>
            <w:r>
              <w:rPr>
                <w:rFonts w:ascii="Arial" w:cs="Arial" w:eastAsia="Arial" w:hAnsi="Arial"/>
                <w:sz w:val="16"/>
                <w:szCs w:val="16"/>
                <w:color w:val="auto"/>
              </w:rPr>
              <w:t>1.3%</w:t>
            </w:r>
          </w:p>
        </w:tc>
        <w:tc>
          <w:tcPr>
            <w:tcW w:w="560" w:type="dxa"/>
            <w:vAlign w:val="bottom"/>
            <w:tcBorders>
              <w:right w:val="single" w:sz="8" w:color="auto"/>
            </w:tcBorders>
            <w:shd w:val="clear" w:color="auto" w:fill="00D274"/>
          </w:tcPr>
          <w:p>
            <w:pPr>
              <w:jc w:val="center"/>
              <w:spacing w:after="0" w:line="173" w:lineRule="exact"/>
              <w:rPr>
                <w:sz w:val="20"/>
                <w:szCs w:val="20"/>
                <w:color w:val="auto"/>
              </w:rPr>
            </w:pPr>
            <w:r>
              <w:rPr>
                <w:rFonts w:ascii="Arial" w:cs="Arial" w:eastAsia="Arial" w:hAnsi="Arial"/>
                <w:sz w:val="16"/>
                <w:szCs w:val="16"/>
                <w:color w:val="auto"/>
              </w:rPr>
              <w:t>6.6%</w:t>
            </w:r>
          </w:p>
        </w:tc>
        <w:tc>
          <w:tcPr>
            <w:tcW w:w="500" w:type="dxa"/>
            <w:vAlign w:val="bottom"/>
          </w:tcPr>
          <w:p>
            <w:pPr>
              <w:jc w:val="center"/>
              <w:spacing w:after="0" w:line="173" w:lineRule="exact"/>
              <w:rPr>
                <w:sz w:val="20"/>
                <w:szCs w:val="20"/>
                <w:color w:val="auto"/>
              </w:rPr>
            </w:pPr>
            <w:r>
              <w:rPr>
                <w:rFonts w:ascii="Arial" w:cs="Arial" w:eastAsia="Arial" w:hAnsi="Arial"/>
                <w:sz w:val="16"/>
                <w:szCs w:val="16"/>
                <w:color w:val="auto"/>
              </w:rPr>
              <w:t>525</w:t>
            </w:r>
          </w:p>
        </w:tc>
        <w:tc>
          <w:tcPr>
            <w:tcW w:w="560" w:type="dxa"/>
            <w:vAlign w:val="bottom"/>
          </w:tcPr>
          <w:p>
            <w:pPr>
              <w:jc w:val="center"/>
              <w:spacing w:after="0" w:line="173" w:lineRule="exact"/>
              <w:rPr>
                <w:sz w:val="20"/>
                <w:szCs w:val="20"/>
                <w:color w:val="auto"/>
              </w:rPr>
            </w:pPr>
            <w:r>
              <w:rPr>
                <w:rFonts w:ascii="Arial" w:cs="Arial" w:eastAsia="Arial" w:hAnsi="Arial"/>
                <w:sz w:val="16"/>
                <w:szCs w:val="16"/>
                <w:color w:val="auto"/>
              </w:rPr>
              <w:t>532</w:t>
            </w:r>
          </w:p>
        </w:tc>
        <w:tc>
          <w:tcPr>
            <w:tcW w:w="540" w:type="dxa"/>
            <w:vAlign w:val="bottom"/>
            <w:tcBorders>
              <w:right w:val="single" w:sz="8" w:color="auto"/>
            </w:tcBorders>
          </w:tcPr>
          <w:p>
            <w:pPr>
              <w:jc w:val="center"/>
              <w:spacing w:after="0" w:line="173" w:lineRule="exact"/>
              <w:rPr>
                <w:sz w:val="20"/>
                <w:szCs w:val="20"/>
                <w:color w:val="auto"/>
              </w:rPr>
            </w:pPr>
            <w:r>
              <w:rPr>
                <w:rFonts w:ascii="Arial" w:cs="Arial" w:eastAsia="Arial" w:hAnsi="Arial"/>
                <w:sz w:val="16"/>
                <w:szCs w:val="16"/>
                <w:color w:val="auto"/>
              </w:rPr>
              <w:t>526</w:t>
            </w:r>
          </w:p>
        </w:tc>
        <w:tc>
          <w:tcPr>
            <w:tcW w:w="500" w:type="dxa"/>
            <w:vAlign w:val="bottom"/>
          </w:tcPr>
          <w:p>
            <w:pPr>
              <w:jc w:val="center"/>
              <w:spacing w:after="0" w:line="173" w:lineRule="exact"/>
              <w:rPr>
                <w:sz w:val="20"/>
                <w:szCs w:val="20"/>
                <w:color w:val="auto"/>
              </w:rPr>
            </w:pPr>
            <w:r>
              <w:rPr>
                <w:rFonts w:ascii="Arial" w:cs="Arial" w:eastAsia="Arial" w:hAnsi="Arial"/>
                <w:sz w:val="16"/>
                <w:szCs w:val="16"/>
                <w:color w:val="auto"/>
              </w:rPr>
              <w:t>-1.1%</w:t>
            </w:r>
          </w:p>
        </w:tc>
        <w:tc>
          <w:tcPr>
            <w:tcW w:w="580" w:type="dxa"/>
            <w:vAlign w:val="bottom"/>
            <w:tcBorders>
              <w:right w:val="single" w:sz="8" w:color="auto"/>
            </w:tcBorders>
          </w:tcPr>
          <w:p>
            <w:pPr>
              <w:jc w:val="center"/>
              <w:spacing w:after="0" w:line="173" w:lineRule="exact"/>
              <w:rPr>
                <w:sz w:val="20"/>
                <w:szCs w:val="20"/>
                <w:color w:val="auto"/>
              </w:rPr>
            </w:pPr>
            <w:r>
              <w:rPr>
                <w:rFonts w:ascii="Arial" w:cs="Arial" w:eastAsia="Arial" w:hAnsi="Arial"/>
                <w:sz w:val="16"/>
                <w:szCs w:val="16"/>
                <w:color w:val="auto"/>
                <w:w w:val="98"/>
              </w:rPr>
              <w:t>0.2%</w:t>
            </w:r>
          </w:p>
        </w:tc>
        <w:tc>
          <w:tcPr>
            <w:tcW w:w="820" w:type="dxa"/>
            <w:vAlign w:val="bottom"/>
          </w:tcPr>
          <w:p>
            <w:pPr>
              <w:jc w:val="center"/>
              <w:ind w:left="58"/>
              <w:spacing w:after="0" w:line="173" w:lineRule="exact"/>
              <w:rPr>
                <w:sz w:val="20"/>
                <w:szCs w:val="20"/>
                <w:color w:val="auto"/>
              </w:rPr>
            </w:pPr>
            <w:r>
              <w:rPr>
                <w:rFonts w:ascii="Arial" w:cs="Arial" w:eastAsia="Arial" w:hAnsi="Arial"/>
                <w:sz w:val="16"/>
                <w:szCs w:val="16"/>
                <w:color w:val="auto"/>
              </w:rPr>
              <w:t>90.4%</w:t>
            </w:r>
          </w:p>
        </w:tc>
        <w:tc>
          <w:tcPr>
            <w:tcW w:w="740" w:type="dxa"/>
            <w:vAlign w:val="bottom"/>
            <w:tcBorders>
              <w:right w:val="single" w:sz="8" w:color="auto"/>
            </w:tcBorders>
          </w:tcPr>
          <w:p>
            <w:pPr>
              <w:jc w:val="center"/>
              <w:ind w:left="38"/>
              <w:spacing w:after="0" w:line="173" w:lineRule="exact"/>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185"/>
        </w:trPr>
        <w:tc>
          <w:tcPr>
            <w:tcW w:w="128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6"/>
                <w:szCs w:val="16"/>
                <w:color w:val="auto"/>
              </w:rPr>
              <w:t>Consumer</w:t>
            </w:r>
          </w:p>
        </w:tc>
        <w:tc>
          <w:tcPr>
            <w:tcW w:w="800" w:type="dxa"/>
            <w:vAlign w:val="bottom"/>
          </w:tcPr>
          <w:p>
            <w:pPr>
              <w:jc w:val="center"/>
              <w:ind w:left="118"/>
              <w:spacing w:after="0"/>
              <w:rPr>
                <w:sz w:val="20"/>
                <w:szCs w:val="20"/>
                <w:color w:val="auto"/>
              </w:rPr>
            </w:pPr>
            <w:r>
              <w:rPr>
                <w:rFonts w:ascii="Arial" w:cs="Arial" w:eastAsia="Arial" w:hAnsi="Arial"/>
                <w:sz w:val="16"/>
                <w:szCs w:val="16"/>
                <w:color w:val="auto"/>
              </w:rPr>
              <w:t>10,851</w:t>
            </w:r>
          </w:p>
        </w:tc>
        <w:tc>
          <w:tcPr>
            <w:tcW w:w="2860" w:type="dxa"/>
            <w:vAlign w:val="bottom"/>
            <w:tcBorders>
              <w:right w:val="single" w:sz="8" w:color="auto"/>
            </w:tcBorders>
            <w:gridSpan w:val="5"/>
          </w:tcPr>
          <w:p>
            <w:pPr>
              <w:jc w:val="right"/>
              <w:spacing w:after="0"/>
              <w:rPr>
                <w:sz w:val="20"/>
                <w:szCs w:val="20"/>
                <w:color w:val="auto"/>
              </w:rPr>
            </w:pPr>
            <w:r>
              <w:rPr>
                <w:rFonts w:ascii="Arial" w:cs="Arial" w:eastAsia="Arial" w:hAnsi="Arial"/>
                <w:sz w:val="16"/>
                <w:szCs w:val="16"/>
                <w:color w:val="auto"/>
              </w:rPr>
              <w:t>11,388 11,210 10,36711,514 11,388</w:t>
            </w:r>
          </w:p>
        </w:tc>
        <w:tc>
          <w:tcPr>
            <w:tcW w:w="480" w:type="dxa"/>
            <w:vAlign w:val="bottom"/>
          </w:tcPr>
          <w:p>
            <w:pPr>
              <w:jc w:val="center"/>
              <w:spacing w:after="0"/>
              <w:rPr>
                <w:sz w:val="20"/>
                <w:szCs w:val="20"/>
                <w:color w:val="auto"/>
              </w:rPr>
            </w:pPr>
            <w:r>
              <w:rPr>
                <w:rFonts w:ascii="Arial" w:cs="Arial" w:eastAsia="Arial" w:hAnsi="Arial"/>
                <w:sz w:val="16"/>
                <w:szCs w:val="16"/>
                <w:color w:val="auto"/>
              </w:rPr>
              <w:t>-1.6%</w:t>
            </w:r>
          </w:p>
        </w:tc>
        <w:tc>
          <w:tcPr>
            <w:tcW w:w="580" w:type="dxa"/>
            <w:vAlign w:val="bottom"/>
            <w:tcBorders>
              <w:right w:val="single" w:sz="8" w:color="auto"/>
            </w:tcBorders>
            <w:shd w:val="clear" w:color="auto" w:fill="00D274"/>
          </w:tcPr>
          <w:p>
            <w:pPr>
              <w:jc w:val="center"/>
              <w:spacing w:after="0"/>
              <w:rPr>
                <w:sz w:val="20"/>
                <w:szCs w:val="20"/>
                <w:color w:val="auto"/>
              </w:rPr>
            </w:pPr>
            <w:r>
              <w:rPr>
                <w:rFonts w:ascii="Arial" w:cs="Arial" w:eastAsia="Arial" w:hAnsi="Arial"/>
                <w:sz w:val="16"/>
                <w:szCs w:val="16"/>
                <w:color w:val="auto"/>
              </w:rPr>
              <w:t>3.3%</w:t>
            </w:r>
          </w:p>
        </w:tc>
        <w:tc>
          <w:tcPr>
            <w:tcW w:w="460" w:type="dxa"/>
            <w:vAlign w:val="bottom"/>
          </w:tcPr>
          <w:p>
            <w:pPr>
              <w:jc w:val="center"/>
              <w:spacing w:after="0"/>
              <w:rPr>
                <w:sz w:val="20"/>
                <w:szCs w:val="20"/>
                <w:color w:val="auto"/>
              </w:rPr>
            </w:pPr>
            <w:r>
              <w:rPr>
                <w:rFonts w:ascii="Arial" w:cs="Arial" w:eastAsia="Arial" w:hAnsi="Arial"/>
                <w:sz w:val="16"/>
                <w:szCs w:val="16"/>
                <w:color w:val="auto"/>
              </w:rPr>
              <w:t>-1.1%</w:t>
            </w:r>
          </w:p>
        </w:tc>
        <w:tc>
          <w:tcPr>
            <w:tcW w:w="560" w:type="dxa"/>
            <w:vAlign w:val="bottom"/>
            <w:tcBorders>
              <w:right w:val="single" w:sz="8" w:color="auto"/>
            </w:tcBorders>
            <w:shd w:val="clear" w:color="auto" w:fill="00D274"/>
          </w:tcPr>
          <w:p>
            <w:pPr>
              <w:jc w:val="center"/>
              <w:spacing w:after="0"/>
              <w:rPr>
                <w:sz w:val="20"/>
                <w:szCs w:val="20"/>
                <w:color w:val="auto"/>
              </w:rPr>
            </w:pPr>
            <w:r>
              <w:rPr>
                <w:rFonts w:ascii="Arial" w:cs="Arial" w:eastAsia="Arial" w:hAnsi="Arial"/>
                <w:sz w:val="16"/>
                <w:szCs w:val="16"/>
                <w:color w:val="auto"/>
              </w:rPr>
              <w:t>9.8%</w:t>
            </w:r>
          </w:p>
        </w:tc>
        <w:tc>
          <w:tcPr>
            <w:tcW w:w="500" w:type="dxa"/>
            <w:vAlign w:val="bottom"/>
          </w:tcPr>
          <w:p>
            <w:pPr>
              <w:jc w:val="center"/>
              <w:spacing w:after="0"/>
              <w:rPr>
                <w:sz w:val="20"/>
                <w:szCs w:val="20"/>
                <w:color w:val="auto"/>
              </w:rPr>
            </w:pPr>
            <w:r>
              <w:rPr>
                <w:rFonts w:ascii="Arial" w:cs="Arial" w:eastAsia="Arial" w:hAnsi="Arial"/>
                <w:sz w:val="16"/>
                <w:szCs w:val="16"/>
                <w:color w:val="auto"/>
              </w:rPr>
              <w:t>407</w:t>
            </w:r>
          </w:p>
        </w:tc>
        <w:tc>
          <w:tcPr>
            <w:tcW w:w="560" w:type="dxa"/>
            <w:vAlign w:val="bottom"/>
          </w:tcPr>
          <w:p>
            <w:pPr>
              <w:jc w:val="center"/>
              <w:spacing w:after="0"/>
              <w:rPr>
                <w:sz w:val="20"/>
                <w:szCs w:val="20"/>
                <w:color w:val="auto"/>
              </w:rPr>
            </w:pPr>
            <w:r>
              <w:rPr>
                <w:rFonts w:ascii="Arial" w:cs="Arial" w:eastAsia="Arial" w:hAnsi="Arial"/>
                <w:sz w:val="16"/>
                <w:szCs w:val="16"/>
                <w:color w:val="auto"/>
              </w:rPr>
              <w:t>376</w:t>
            </w:r>
          </w:p>
        </w:tc>
        <w:tc>
          <w:tcPr>
            <w:tcW w:w="5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390</w:t>
            </w:r>
          </w:p>
        </w:tc>
        <w:tc>
          <w:tcPr>
            <w:tcW w:w="500" w:type="dxa"/>
            <w:vAlign w:val="bottom"/>
          </w:tcPr>
          <w:p>
            <w:pPr>
              <w:jc w:val="center"/>
              <w:spacing w:after="0"/>
              <w:rPr>
                <w:sz w:val="20"/>
                <w:szCs w:val="20"/>
                <w:color w:val="auto"/>
              </w:rPr>
            </w:pPr>
            <w:r>
              <w:rPr>
                <w:rFonts w:ascii="Arial" w:cs="Arial" w:eastAsia="Arial" w:hAnsi="Arial"/>
                <w:sz w:val="16"/>
                <w:szCs w:val="16"/>
                <w:color w:val="auto"/>
              </w:rPr>
              <w:t>3.7%</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-4.1%</w:t>
            </w:r>
          </w:p>
        </w:tc>
        <w:tc>
          <w:tcPr>
            <w:tcW w:w="820" w:type="dxa"/>
            <w:vAlign w:val="bottom"/>
          </w:tcPr>
          <w:p>
            <w:pPr>
              <w:jc w:val="center"/>
              <w:ind w:left="58"/>
              <w:spacing w:after="0"/>
              <w:rPr>
                <w:sz w:val="20"/>
                <w:szCs w:val="20"/>
                <w:color w:val="auto"/>
              </w:rPr>
            </w:pPr>
            <w:r>
              <w:rPr>
                <w:rFonts w:ascii="Arial" w:cs="Arial" w:eastAsia="Arial" w:hAnsi="Arial"/>
                <w:sz w:val="16"/>
                <w:szCs w:val="16"/>
                <w:color w:val="auto"/>
              </w:rPr>
              <w:t>89.2%</w:t>
            </w:r>
          </w:p>
        </w:tc>
        <w:tc>
          <w:tcPr>
            <w:tcW w:w="740" w:type="dxa"/>
            <w:vAlign w:val="bottom"/>
            <w:tcBorders>
              <w:right w:val="single" w:sz="8" w:color="auto"/>
            </w:tcBorders>
          </w:tcPr>
          <w:p>
            <w:pPr>
              <w:jc w:val="center"/>
              <w:ind w:left="38"/>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178"/>
        </w:trPr>
        <w:tc>
          <w:tcPr>
            <w:tcW w:w="1280" w:type="dxa"/>
            <w:vAlign w:val="bottom"/>
            <w:tcBorders>
              <w:left w:val="single" w:sz="8" w:color="auto"/>
              <w:right w:val="single" w:sz="8" w:color="auto"/>
            </w:tcBorders>
          </w:tcPr>
          <w:p>
            <w:pPr>
              <w:ind w:left="300"/>
              <w:spacing w:after="0" w:line="178" w:lineRule="exact"/>
              <w:rPr>
                <w:sz w:val="20"/>
                <w:szCs w:val="20"/>
                <w:color w:val="auto"/>
              </w:rPr>
            </w:pPr>
            <w:r>
              <w:rPr>
                <w:rFonts w:ascii="Arial" w:cs="Arial" w:eastAsia="Arial" w:hAnsi="Arial"/>
                <w:sz w:val="16"/>
                <w:szCs w:val="16"/>
                <w:color w:val="auto"/>
              </w:rPr>
              <w:t>Credit Card</w:t>
            </w:r>
          </w:p>
        </w:tc>
        <w:tc>
          <w:tcPr>
            <w:tcW w:w="800" w:type="dxa"/>
            <w:vAlign w:val="bottom"/>
          </w:tcPr>
          <w:p>
            <w:pPr>
              <w:jc w:val="center"/>
              <w:ind w:left="118"/>
              <w:spacing w:after="0" w:line="178" w:lineRule="exact"/>
              <w:rPr>
                <w:sz w:val="20"/>
                <w:szCs w:val="20"/>
                <w:color w:val="auto"/>
              </w:rPr>
            </w:pPr>
            <w:r>
              <w:rPr>
                <w:rFonts w:ascii="Arial" w:cs="Arial" w:eastAsia="Arial" w:hAnsi="Arial"/>
                <w:sz w:val="16"/>
                <w:szCs w:val="16"/>
                <w:color w:val="auto"/>
                <w:w w:val="99"/>
              </w:rPr>
              <w:t>3,946</w:t>
            </w:r>
          </w:p>
        </w:tc>
        <w:tc>
          <w:tcPr>
            <w:tcW w:w="2860" w:type="dxa"/>
            <w:vAlign w:val="bottom"/>
            <w:tcBorders>
              <w:right w:val="single" w:sz="8" w:color="auto"/>
            </w:tcBorders>
            <w:gridSpan w:val="5"/>
          </w:tcPr>
          <w:p>
            <w:pPr>
              <w:jc w:val="center"/>
              <w:ind w:left="98"/>
              <w:spacing w:after="0" w:line="178" w:lineRule="exact"/>
              <w:rPr>
                <w:sz w:val="20"/>
                <w:szCs w:val="20"/>
                <w:color w:val="auto"/>
              </w:rPr>
            </w:pPr>
            <w:r>
              <w:rPr>
                <w:rFonts w:ascii="Arial" w:cs="Arial" w:eastAsia="Arial" w:hAnsi="Arial"/>
                <w:sz w:val="16"/>
                <w:szCs w:val="16"/>
                <w:color w:val="auto"/>
              </w:rPr>
              <w:t>4,796  4,898 3,674 4,555 4,796</w:t>
            </w:r>
          </w:p>
        </w:tc>
        <w:tc>
          <w:tcPr>
            <w:tcW w:w="480" w:type="dxa"/>
            <w:vAlign w:val="bottom"/>
            <w:tcBorders>
              <w:bottom w:val="single" w:sz="8" w:color="00D274"/>
            </w:tcBorders>
            <w:shd w:val="clear" w:color="auto" w:fill="00D274"/>
          </w:tcPr>
          <w:p>
            <w:pPr>
              <w:jc w:val="center"/>
              <w:spacing w:after="0" w:line="178" w:lineRule="exact"/>
              <w:rPr>
                <w:sz w:val="20"/>
                <w:szCs w:val="20"/>
                <w:color w:val="auto"/>
              </w:rPr>
            </w:pPr>
            <w:r>
              <w:rPr>
                <w:rFonts w:ascii="Arial" w:cs="Arial" w:eastAsia="Arial" w:hAnsi="Arial"/>
                <w:sz w:val="16"/>
                <w:szCs w:val="16"/>
                <w:color w:val="auto"/>
              </w:rPr>
              <w:t>2.1%</w:t>
            </w:r>
          </w:p>
        </w:tc>
        <w:tc>
          <w:tcPr>
            <w:tcW w:w="580" w:type="dxa"/>
            <w:vAlign w:val="bottom"/>
            <w:tcBorders>
              <w:bottom w:val="single" w:sz="8" w:color="00D274"/>
              <w:right w:val="single" w:sz="8" w:color="auto"/>
            </w:tcBorders>
            <w:shd w:val="clear" w:color="auto" w:fill="00D274"/>
          </w:tcPr>
          <w:p>
            <w:pPr>
              <w:jc w:val="center"/>
              <w:spacing w:after="0" w:line="178" w:lineRule="exact"/>
              <w:rPr>
                <w:sz w:val="20"/>
                <w:szCs w:val="20"/>
                <w:color w:val="auto"/>
              </w:rPr>
            </w:pPr>
            <w:r>
              <w:rPr>
                <w:rFonts w:ascii="Arial" w:cs="Arial" w:eastAsia="Arial" w:hAnsi="Arial"/>
                <w:sz w:val="16"/>
                <w:szCs w:val="16"/>
                <w:color w:val="auto"/>
              </w:rPr>
              <w:t>24.1%</w:t>
            </w:r>
          </w:p>
        </w:tc>
        <w:tc>
          <w:tcPr>
            <w:tcW w:w="460" w:type="dxa"/>
            <w:vAlign w:val="bottom"/>
            <w:tcBorders>
              <w:bottom w:val="single" w:sz="8" w:color="00D274"/>
            </w:tcBorders>
            <w:shd w:val="clear" w:color="auto" w:fill="00D274"/>
          </w:tcPr>
          <w:p>
            <w:pPr>
              <w:jc w:val="center"/>
              <w:spacing w:after="0" w:line="178" w:lineRule="exact"/>
              <w:rPr>
                <w:sz w:val="20"/>
                <w:szCs w:val="20"/>
                <w:color w:val="auto"/>
              </w:rPr>
            </w:pPr>
            <w:r>
              <w:rPr>
                <w:rFonts w:ascii="Arial" w:cs="Arial" w:eastAsia="Arial" w:hAnsi="Arial"/>
                <w:sz w:val="16"/>
                <w:szCs w:val="16"/>
                <w:color w:val="auto"/>
              </w:rPr>
              <w:t>5.3%</w:t>
            </w:r>
          </w:p>
        </w:tc>
        <w:tc>
          <w:tcPr>
            <w:tcW w:w="560" w:type="dxa"/>
            <w:vAlign w:val="bottom"/>
            <w:tcBorders>
              <w:bottom w:val="single" w:sz="8" w:color="00D274"/>
              <w:right w:val="single" w:sz="8" w:color="auto"/>
            </w:tcBorders>
            <w:shd w:val="clear" w:color="auto" w:fill="00D274"/>
          </w:tcPr>
          <w:p>
            <w:pPr>
              <w:jc w:val="center"/>
              <w:spacing w:after="0" w:line="178" w:lineRule="exact"/>
              <w:rPr>
                <w:sz w:val="20"/>
                <w:szCs w:val="20"/>
                <w:color w:val="auto"/>
              </w:rPr>
            </w:pPr>
            <w:r>
              <w:rPr>
                <w:rFonts w:ascii="Arial" w:cs="Arial" w:eastAsia="Arial" w:hAnsi="Arial"/>
                <w:sz w:val="16"/>
                <w:szCs w:val="16"/>
                <w:color w:val="auto"/>
              </w:rPr>
              <w:t>30.5%</w:t>
            </w:r>
          </w:p>
        </w:tc>
        <w:tc>
          <w:tcPr>
            <w:tcW w:w="500" w:type="dxa"/>
            <w:vAlign w:val="bottom"/>
          </w:tcPr>
          <w:p>
            <w:pPr>
              <w:jc w:val="center"/>
              <w:spacing w:after="0" w:line="178" w:lineRule="exact"/>
              <w:rPr>
                <w:sz w:val="20"/>
                <w:szCs w:val="20"/>
                <w:color w:val="auto"/>
              </w:rPr>
            </w:pPr>
            <w:r>
              <w:rPr>
                <w:rFonts w:ascii="Arial" w:cs="Arial" w:eastAsia="Arial" w:hAnsi="Arial"/>
                <w:sz w:val="16"/>
                <w:szCs w:val="16"/>
                <w:color w:val="auto"/>
              </w:rPr>
              <w:t>216</w:t>
            </w:r>
          </w:p>
        </w:tc>
        <w:tc>
          <w:tcPr>
            <w:tcW w:w="560" w:type="dxa"/>
            <w:vAlign w:val="bottom"/>
          </w:tcPr>
          <w:p>
            <w:pPr>
              <w:jc w:val="center"/>
              <w:spacing w:after="0" w:line="178" w:lineRule="exact"/>
              <w:rPr>
                <w:sz w:val="20"/>
                <w:szCs w:val="20"/>
                <w:color w:val="auto"/>
              </w:rPr>
            </w:pPr>
            <w:r>
              <w:rPr>
                <w:rFonts w:ascii="Arial" w:cs="Arial" w:eastAsia="Arial" w:hAnsi="Arial"/>
                <w:sz w:val="16"/>
                <w:szCs w:val="16"/>
                <w:color w:val="auto"/>
              </w:rPr>
              <w:t>244</w:t>
            </w:r>
          </w:p>
        </w:tc>
        <w:tc>
          <w:tcPr>
            <w:tcW w:w="54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6"/>
                <w:szCs w:val="16"/>
                <w:color w:val="auto"/>
              </w:rPr>
              <w:t>257</w:t>
            </w:r>
          </w:p>
        </w:tc>
        <w:tc>
          <w:tcPr>
            <w:tcW w:w="500" w:type="dxa"/>
            <w:vAlign w:val="bottom"/>
          </w:tcPr>
          <w:p>
            <w:pPr>
              <w:jc w:val="center"/>
              <w:spacing w:after="0" w:line="178" w:lineRule="exact"/>
              <w:rPr>
                <w:sz w:val="20"/>
                <w:szCs w:val="20"/>
                <w:color w:val="auto"/>
              </w:rPr>
            </w:pPr>
            <w:r>
              <w:rPr>
                <w:rFonts w:ascii="Arial" w:cs="Arial" w:eastAsia="Arial" w:hAnsi="Arial"/>
                <w:sz w:val="16"/>
                <w:szCs w:val="16"/>
                <w:color w:val="auto"/>
              </w:rPr>
              <w:t>5.3%</w:t>
            </w:r>
          </w:p>
        </w:tc>
        <w:tc>
          <w:tcPr>
            <w:tcW w:w="580" w:type="dxa"/>
            <w:vAlign w:val="bottom"/>
            <w:tcBorders>
              <w:bottom w:val="single" w:sz="8" w:color="00D274"/>
              <w:right w:val="single" w:sz="8" w:color="auto"/>
            </w:tcBorders>
            <w:shd w:val="clear" w:color="auto" w:fill="00D274"/>
          </w:tcPr>
          <w:p>
            <w:pPr>
              <w:jc w:val="center"/>
              <w:spacing w:after="0" w:line="178" w:lineRule="exact"/>
              <w:rPr>
                <w:sz w:val="20"/>
                <w:szCs w:val="20"/>
                <w:color w:val="auto"/>
              </w:rPr>
            </w:pPr>
            <w:r>
              <w:rPr>
                <w:rFonts w:ascii="Arial" w:cs="Arial" w:eastAsia="Arial" w:hAnsi="Arial"/>
                <w:sz w:val="16"/>
                <w:szCs w:val="16"/>
                <w:color w:val="auto"/>
              </w:rPr>
              <w:t>18.8%</w:t>
            </w:r>
          </w:p>
        </w:tc>
        <w:tc>
          <w:tcPr>
            <w:tcW w:w="820" w:type="dxa"/>
            <w:vAlign w:val="bottom"/>
          </w:tcPr>
          <w:p>
            <w:pPr>
              <w:jc w:val="center"/>
              <w:ind w:left="58"/>
              <w:spacing w:after="0" w:line="178" w:lineRule="exact"/>
              <w:rPr>
                <w:sz w:val="20"/>
                <w:szCs w:val="20"/>
                <w:color w:val="auto"/>
              </w:rPr>
            </w:pPr>
            <w:r>
              <w:rPr>
                <w:rFonts w:ascii="Arial" w:cs="Arial" w:eastAsia="Arial" w:hAnsi="Arial"/>
                <w:sz w:val="16"/>
                <w:szCs w:val="16"/>
                <w:color w:val="auto"/>
              </w:rPr>
              <w:t>84.3%</w:t>
            </w:r>
          </w:p>
        </w:tc>
        <w:tc>
          <w:tcPr>
            <w:tcW w:w="740" w:type="dxa"/>
            <w:vAlign w:val="bottom"/>
            <w:tcBorders>
              <w:right w:val="single" w:sz="8" w:color="auto"/>
            </w:tcBorders>
          </w:tcPr>
          <w:p>
            <w:pPr>
              <w:jc w:val="center"/>
              <w:ind w:left="38"/>
              <w:spacing w:after="0" w:line="178" w:lineRule="exact"/>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165"/>
        </w:trPr>
        <w:tc>
          <w:tcPr>
            <w:tcW w:w="1280" w:type="dxa"/>
            <w:vAlign w:val="bottom"/>
            <w:tcBorders>
              <w:left w:val="single" w:sz="8" w:color="auto"/>
              <w:right w:val="single" w:sz="8" w:color="auto"/>
            </w:tcBorders>
          </w:tcPr>
          <w:p>
            <w:pPr>
              <w:ind w:left="20"/>
              <w:spacing w:after="0" w:line="165" w:lineRule="exact"/>
              <w:rPr>
                <w:sz w:val="20"/>
                <w:szCs w:val="20"/>
                <w:color w:val="auto"/>
              </w:rPr>
            </w:pPr>
            <w:r>
              <w:rPr>
                <w:rFonts w:ascii="Arial" w:cs="Arial" w:eastAsia="Arial" w:hAnsi="Arial"/>
                <w:sz w:val="16"/>
                <w:szCs w:val="16"/>
                <w:b w:val="1"/>
                <w:bCs w:val="1"/>
                <w:color w:val="auto"/>
              </w:rPr>
              <w:t>Mibanco</w:t>
            </w:r>
          </w:p>
        </w:tc>
        <w:tc>
          <w:tcPr>
            <w:tcW w:w="800" w:type="dxa"/>
            <w:vAlign w:val="bottom"/>
          </w:tcPr>
          <w:p>
            <w:pPr>
              <w:jc w:val="center"/>
              <w:ind w:left="118"/>
              <w:spacing w:after="0" w:line="165" w:lineRule="exact"/>
              <w:rPr>
                <w:sz w:val="20"/>
                <w:szCs w:val="20"/>
                <w:color w:val="auto"/>
              </w:rPr>
            </w:pPr>
            <w:r>
              <w:rPr>
                <w:rFonts w:ascii="Arial" w:cs="Arial" w:eastAsia="Arial" w:hAnsi="Arial"/>
                <w:sz w:val="16"/>
                <w:szCs w:val="16"/>
                <w:b w:val="1"/>
                <w:bCs w:val="1"/>
                <w:color w:val="auto"/>
              </w:rPr>
              <w:t>13,812</w:t>
            </w:r>
          </w:p>
        </w:tc>
        <w:tc>
          <w:tcPr>
            <w:tcW w:w="740" w:type="dxa"/>
            <w:vAlign w:val="bottom"/>
          </w:tcPr>
          <w:p>
            <w:pPr>
              <w:jc w:val="center"/>
              <w:ind w:left="118"/>
              <w:spacing w:after="0" w:line="165" w:lineRule="exact"/>
              <w:rPr>
                <w:sz w:val="20"/>
                <w:szCs w:val="20"/>
                <w:color w:val="auto"/>
              </w:rPr>
            </w:pPr>
            <w:r>
              <w:rPr>
                <w:rFonts w:ascii="Arial" w:cs="Arial" w:eastAsia="Arial" w:hAnsi="Arial"/>
                <w:sz w:val="16"/>
                <w:szCs w:val="16"/>
                <w:b w:val="1"/>
                <w:bCs w:val="1"/>
                <w:color w:val="auto"/>
              </w:rPr>
              <w:t>13,746</w:t>
            </w:r>
          </w:p>
        </w:tc>
        <w:tc>
          <w:tcPr>
            <w:tcW w:w="2120" w:type="dxa"/>
            <w:vAlign w:val="bottom"/>
            <w:tcBorders>
              <w:right w:val="single" w:sz="8" w:color="auto"/>
            </w:tcBorders>
            <w:gridSpan w:val="4"/>
          </w:tcPr>
          <w:p>
            <w:pPr>
              <w:jc w:val="right"/>
              <w:spacing w:after="0" w:line="165" w:lineRule="exact"/>
              <w:rPr>
                <w:sz w:val="20"/>
                <w:szCs w:val="20"/>
                <w:color w:val="auto"/>
              </w:rPr>
            </w:pPr>
            <w:r>
              <w:rPr>
                <w:rFonts w:ascii="Arial" w:cs="Arial" w:eastAsia="Arial" w:hAnsi="Arial"/>
                <w:sz w:val="16"/>
                <w:szCs w:val="16"/>
                <w:b w:val="1"/>
                <w:bCs w:val="1"/>
                <w:color w:val="auto"/>
              </w:rPr>
              <w:t>13,633 11,83712,85613,268</w:t>
            </w:r>
          </w:p>
        </w:tc>
        <w:tc>
          <w:tcPr>
            <w:tcW w:w="48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-0.8%</w:t>
            </w:r>
          </w:p>
        </w:tc>
        <w:tc>
          <w:tcPr>
            <w:tcW w:w="58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6"/>
                <w:szCs w:val="16"/>
                <w:b w:val="1"/>
                <w:bCs w:val="1"/>
                <w:color w:val="auto"/>
              </w:rPr>
              <w:t>-1.3%</w:t>
            </w:r>
          </w:p>
        </w:tc>
        <w:tc>
          <w:tcPr>
            <w:tcW w:w="460" w:type="dxa"/>
            <w:vAlign w:val="bottom"/>
            <w:tcBorders>
              <w:bottom w:val="single" w:sz="8" w:color="00D274"/>
            </w:tcBorders>
            <w:shd w:val="clear" w:color="auto" w:fill="00D274"/>
          </w:tcPr>
          <w:p>
            <w:pPr>
              <w:jc w:val="center"/>
              <w:spacing w:after="0" w:line="165" w:lineRule="exact"/>
              <w:rPr>
                <w:sz w:val="20"/>
                <w:szCs w:val="20"/>
                <w:color w:val="auto"/>
              </w:rPr>
            </w:pPr>
            <w:r>
              <w:rPr>
                <w:rFonts w:ascii="Arial" w:cs="Arial" w:eastAsia="Arial" w:hAnsi="Arial"/>
                <w:sz w:val="16"/>
                <w:szCs w:val="16"/>
                <w:b w:val="1"/>
                <w:bCs w:val="1"/>
                <w:color w:val="auto"/>
              </w:rPr>
              <w:t>3.2%</w:t>
            </w:r>
          </w:p>
        </w:tc>
        <w:tc>
          <w:tcPr>
            <w:tcW w:w="560" w:type="dxa"/>
            <w:vAlign w:val="bottom"/>
            <w:tcBorders>
              <w:bottom w:val="single" w:sz="8" w:color="00D274"/>
              <w:right w:val="single" w:sz="8" w:color="auto"/>
            </w:tcBorders>
            <w:shd w:val="clear" w:color="auto" w:fill="00D274"/>
          </w:tcPr>
          <w:p>
            <w:pPr>
              <w:jc w:val="center"/>
              <w:spacing w:after="0" w:line="165" w:lineRule="exact"/>
              <w:rPr>
                <w:sz w:val="20"/>
                <w:szCs w:val="20"/>
                <w:color w:val="auto"/>
              </w:rPr>
            </w:pPr>
            <w:r>
              <w:rPr>
                <w:rFonts w:ascii="Arial" w:cs="Arial" w:eastAsia="Arial" w:hAnsi="Arial"/>
                <w:sz w:val="16"/>
                <w:szCs w:val="16"/>
                <w:b w:val="1"/>
                <w:bCs w:val="1"/>
                <w:color w:val="auto"/>
              </w:rPr>
              <w:t>12.1%</w:t>
            </w:r>
          </w:p>
        </w:tc>
        <w:tc>
          <w:tcPr>
            <w:tcW w:w="50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121</w:t>
            </w:r>
          </w:p>
        </w:tc>
        <w:tc>
          <w:tcPr>
            <w:tcW w:w="56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132</w:t>
            </w:r>
          </w:p>
        </w:tc>
        <w:tc>
          <w:tcPr>
            <w:tcW w:w="54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6"/>
                <w:szCs w:val="16"/>
                <w:b w:val="1"/>
                <w:bCs w:val="1"/>
                <w:color w:val="auto"/>
              </w:rPr>
              <w:t>132</w:t>
            </w:r>
          </w:p>
        </w:tc>
        <w:tc>
          <w:tcPr>
            <w:tcW w:w="50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-0.2%</w:t>
            </w:r>
          </w:p>
        </w:tc>
        <w:tc>
          <w:tcPr>
            <w:tcW w:w="58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6"/>
                <w:szCs w:val="16"/>
                <w:b w:val="1"/>
                <w:bCs w:val="1"/>
                <w:color w:val="auto"/>
                <w:w w:val="98"/>
              </w:rPr>
              <w:t>9.2%</w:t>
            </w:r>
          </w:p>
        </w:tc>
        <w:tc>
          <w:tcPr>
            <w:tcW w:w="820" w:type="dxa"/>
            <w:vAlign w:val="bottom"/>
          </w:tcPr>
          <w:p>
            <w:pPr>
              <w:jc w:val="center"/>
              <w:ind w:left="58"/>
              <w:spacing w:after="0" w:line="165" w:lineRule="exact"/>
              <w:rPr>
                <w:sz w:val="20"/>
                <w:szCs w:val="20"/>
                <w:color w:val="auto"/>
              </w:rPr>
            </w:pPr>
            <w:r>
              <w:rPr>
                <w:rFonts w:ascii="Arial" w:cs="Arial" w:eastAsia="Arial" w:hAnsi="Arial"/>
                <w:sz w:val="16"/>
                <w:szCs w:val="16"/>
                <w:b w:val="1"/>
                <w:bCs w:val="1"/>
                <w:color w:val="auto"/>
              </w:rPr>
              <w:t>96.6%</w:t>
            </w:r>
          </w:p>
        </w:tc>
        <w:tc>
          <w:tcPr>
            <w:tcW w:w="740" w:type="dxa"/>
            <w:vAlign w:val="bottom"/>
            <w:tcBorders>
              <w:right w:val="single" w:sz="8" w:color="auto"/>
            </w:tcBorders>
          </w:tcPr>
          <w:p>
            <w:pPr>
              <w:jc w:val="center"/>
              <w:ind w:left="38"/>
              <w:spacing w:after="0" w:line="165" w:lineRule="exact"/>
              <w:rPr>
                <w:sz w:val="20"/>
                <w:szCs w:val="20"/>
                <w:color w:val="auto"/>
              </w:rPr>
            </w:pPr>
            <w:r>
              <w:rPr>
                <w:rFonts w:ascii="Arial" w:cs="Arial" w:eastAsia="Arial" w:hAnsi="Arial"/>
                <w:sz w:val="16"/>
                <w:szCs w:val="16"/>
                <w:b w:val="1"/>
                <w:bCs w:val="1"/>
                <w:color w:val="auto"/>
              </w:rPr>
              <w:t>3.4%</w:t>
            </w:r>
          </w:p>
        </w:tc>
        <w:tc>
          <w:tcPr>
            <w:tcW w:w="0" w:type="dxa"/>
            <w:vAlign w:val="bottom"/>
          </w:tcPr>
          <w:p>
            <w:pPr>
              <w:spacing w:after="0"/>
              <w:rPr>
                <w:sz w:val="1"/>
                <w:szCs w:val="1"/>
                <w:color w:val="auto"/>
              </w:rPr>
            </w:pPr>
          </w:p>
        </w:tc>
      </w:tr>
      <w:tr>
        <w:trPr>
          <w:trHeight w:val="165"/>
        </w:trPr>
        <w:tc>
          <w:tcPr>
            <w:tcW w:w="1280" w:type="dxa"/>
            <w:vAlign w:val="bottom"/>
            <w:tcBorders>
              <w:left w:val="single" w:sz="8" w:color="auto"/>
              <w:right w:val="single" w:sz="8" w:color="auto"/>
            </w:tcBorders>
          </w:tcPr>
          <w:p>
            <w:pPr>
              <w:ind w:left="20"/>
              <w:spacing w:after="0" w:line="165" w:lineRule="exact"/>
              <w:rPr>
                <w:sz w:val="20"/>
                <w:szCs w:val="20"/>
                <w:color w:val="auto"/>
              </w:rPr>
            </w:pPr>
            <w:r>
              <w:rPr>
                <w:rFonts w:ascii="Arial" w:cs="Arial" w:eastAsia="Arial" w:hAnsi="Arial"/>
                <w:sz w:val="16"/>
                <w:szCs w:val="16"/>
                <w:b w:val="1"/>
                <w:bCs w:val="1"/>
                <w:color w:val="auto"/>
              </w:rPr>
              <w:t>Mibanco</w:t>
            </w:r>
          </w:p>
        </w:tc>
        <w:tc>
          <w:tcPr>
            <w:tcW w:w="800" w:type="dxa"/>
            <w:vAlign w:val="bottom"/>
            <w:vMerge w:val="restart"/>
          </w:tcPr>
          <w:p>
            <w:pPr>
              <w:jc w:val="center"/>
              <w:ind w:left="118"/>
              <w:spacing w:after="0"/>
              <w:rPr>
                <w:sz w:val="20"/>
                <w:szCs w:val="20"/>
                <w:color w:val="auto"/>
              </w:rPr>
            </w:pPr>
            <w:r>
              <w:rPr>
                <w:rFonts w:ascii="Arial" w:cs="Arial" w:eastAsia="Arial" w:hAnsi="Arial"/>
                <w:sz w:val="16"/>
                <w:szCs w:val="16"/>
                <w:b w:val="1"/>
                <w:bCs w:val="1"/>
                <w:color w:val="auto"/>
                <w:w w:val="74"/>
              </w:rPr>
              <w:t>-</w:t>
            </w:r>
          </w:p>
        </w:tc>
        <w:tc>
          <w:tcPr>
            <w:tcW w:w="740" w:type="dxa"/>
            <w:vAlign w:val="bottom"/>
            <w:vMerge w:val="restart"/>
          </w:tcPr>
          <w:p>
            <w:pPr>
              <w:jc w:val="center"/>
              <w:ind w:left="118"/>
              <w:spacing w:after="0"/>
              <w:rPr>
                <w:sz w:val="20"/>
                <w:szCs w:val="20"/>
                <w:color w:val="auto"/>
              </w:rPr>
            </w:pPr>
            <w:r>
              <w:rPr>
                <w:rFonts w:ascii="Arial" w:cs="Arial" w:eastAsia="Arial" w:hAnsi="Arial"/>
                <w:sz w:val="16"/>
                <w:szCs w:val="16"/>
                <w:b w:val="1"/>
                <w:bCs w:val="1"/>
                <w:color w:val="auto"/>
              </w:rPr>
              <w:t>-</w:t>
            </w:r>
          </w:p>
        </w:tc>
        <w:tc>
          <w:tcPr>
            <w:tcW w:w="52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jc w:val="right"/>
              <w:ind w:right="158"/>
              <w:spacing w:after="0" w:line="165" w:lineRule="exact"/>
              <w:rPr>
                <w:sz w:val="20"/>
                <w:szCs w:val="20"/>
                <w:color w:val="auto"/>
              </w:rPr>
            </w:pPr>
            <w:r>
              <w:rPr>
                <w:rFonts w:ascii="Arial" w:cs="Arial" w:eastAsia="Arial" w:hAnsi="Arial"/>
                <w:sz w:val="16"/>
                <w:szCs w:val="16"/>
                <w:b w:val="1"/>
                <w:bCs w:val="1"/>
                <w:color w:val="auto"/>
              </w:rPr>
              <w:t>-</w:t>
            </w:r>
          </w:p>
        </w:tc>
        <w:tc>
          <w:tcPr>
            <w:tcW w:w="46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w:t>
            </w:r>
          </w:p>
        </w:tc>
        <w:tc>
          <w:tcPr>
            <w:tcW w:w="58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6"/>
                <w:szCs w:val="16"/>
                <w:b w:val="1"/>
                <w:bCs w:val="1"/>
                <w:color w:val="auto"/>
              </w:rPr>
              <w:t>-</w:t>
            </w:r>
          </w:p>
        </w:tc>
        <w:tc>
          <w:tcPr>
            <w:tcW w:w="48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w:t>
            </w:r>
          </w:p>
        </w:tc>
        <w:tc>
          <w:tcPr>
            <w:tcW w:w="58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6"/>
                <w:szCs w:val="16"/>
                <w:b w:val="1"/>
                <w:bCs w:val="1"/>
                <w:color w:val="auto"/>
              </w:rPr>
              <w:t>-</w:t>
            </w:r>
          </w:p>
        </w:tc>
        <w:tc>
          <w:tcPr>
            <w:tcW w:w="46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w w:val="74"/>
              </w:rPr>
              <w:t>-</w:t>
            </w:r>
          </w:p>
        </w:tc>
        <w:tc>
          <w:tcPr>
            <w:tcW w:w="56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6"/>
                <w:szCs w:val="16"/>
                <w:b w:val="1"/>
                <w:bCs w:val="1"/>
                <w:color w:val="auto"/>
              </w:rPr>
              <w:t>-</w:t>
            </w:r>
          </w:p>
        </w:tc>
        <w:tc>
          <w:tcPr>
            <w:tcW w:w="50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297</w:t>
            </w:r>
          </w:p>
        </w:tc>
        <w:tc>
          <w:tcPr>
            <w:tcW w:w="56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365</w:t>
            </w:r>
          </w:p>
        </w:tc>
        <w:tc>
          <w:tcPr>
            <w:tcW w:w="54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6"/>
                <w:szCs w:val="16"/>
                <w:b w:val="1"/>
                <w:bCs w:val="1"/>
                <w:color w:val="auto"/>
              </w:rPr>
              <w:t>421</w:t>
            </w:r>
          </w:p>
        </w:tc>
        <w:tc>
          <w:tcPr>
            <w:tcW w:w="1080" w:type="dxa"/>
            <w:vAlign w:val="bottom"/>
            <w:tcBorders>
              <w:right w:val="single" w:sz="8" w:color="auto"/>
            </w:tcBorders>
            <w:gridSpan w:val="2"/>
          </w:tcPr>
          <w:p>
            <w:pPr>
              <w:jc w:val="right"/>
              <w:spacing w:after="0" w:line="165" w:lineRule="exact"/>
              <w:rPr>
                <w:sz w:val="20"/>
                <w:szCs w:val="20"/>
                <w:color w:val="auto"/>
              </w:rPr>
            </w:pPr>
            <w:r>
              <w:rPr>
                <w:rFonts w:ascii="Arial" w:cs="Arial" w:eastAsia="Arial" w:hAnsi="Arial"/>
                <w:sz w:val="16"/>
                <w:szCs w:val="16"/>
                <w:b w:val="1"/>
                <w:bCs w:val="1"/>
                <w:color w:val="auto"/>
              </w:rPr>
              <w:t>15.3% 41.7%</w:t>
            </w:r>
          </w:p>
        </w:tc>
        <w:tc>
          <w:tcPr>
            <w:tcW w:w="820" w:type="dxa"/>
            <w:vAlign w:val="bottom"/>
          </w:tcPr>
          <w:p>
            <w:pPr>
              <w:spacing w:after="0"/>
              <w:rPr>
                <w:sz w:val="14"/>
                <w:szCs w:val="14"/>
                <w:color w:val="auto"/>
              </w:rPr>
            </w:pPr>
          </w:p>
        </w:tc>
        <w:tc>
          <w:tcPr>
            <w:tcW w:w="740" w:type="dxa"/>
            <w:vAlign w:val="bottom"/>
            <w:tcBorders>
              <w:right w:val="single" w:sz="8" w:color="auto"/>
            </w:tcBorders>
          </w:tcPr>
          <w:p>
            <w:pPr>
              <w:jc w:val="right"/>
              <w:spacing w:after="0" w:line="165" w:lineRule="exact"/>
              <w:rPr>
                <w:sz w:val="20"/>
                <w:szCs w:val="20"/>
                <w:color w:val="auto"/>
              </w:rPr>
            </w:pPr>
            <w:r>
              <w:rPr>
                <w:rFonts w:ascii="Arial" w:cs="Arial" w:eastAsia="Arial" w:hAnsi="Arial"/>
                <w:sz w:val="16"/>
                <w:szCs w:val="16"/>
                <w:b w:val="1"/>
                <w:bCs w:val="1"/>
                <w:color w:val="auto"/>
              </w:rPr>
              <w:t>-100.0%</w:t>
            </w:r>
          </w:p>
        </w:tc>
        <w:tc>
          <w:tcPr>
            <w:tcW w:w="0" w:type="dxa"/>
            <w:vAlign w:val="bottom"/>
          </w:tcPr>
          <w:p>
            <w:pPr>
              <w:spacing w:after="0"/>
              <w:rPr>
                <w:sz w:val="1"/>
                <w:szCs w:val="1"/>
                <w:color w:val="auto"/>
              </w:rPr>
            </w:pPr>
          </w:p>
        </w:tc>
      </w:tr>
      <w:tr>
        <w:trPr>
          <w:trHeight w:val="130"/>
        </w:trPr>
        <w:tc>
          <w:tcPr>
            <w:tcW w:w="1280" w:type="dxa"/>
            <w:vAlign w:val="bottom"/>
            <w:tcBorders>
              <w:left w:val="single" w:sz="8" w:color="auto"/>
              <w:right w:val="single" w:sz="8" w:color="auto"/>
            </w:tcBorders>
            <w:vMerge w:val="restart"/>
          </w:tcPr>
          <w:p>
            <w:pPr>
              <w:ind w:left="160"/>
              <w:spacing w:after="0"/>
              <w:rPr>
                <w:sz w:val="20"/>
                <w:szCs w:val="20"/>
                <w:color w:val="auto"/>
              </w:rPr>
            </w:pPr>
            <w:r>
              <w:rPr>
                <w:rFonts w:ascii="Arial" w:cs="Arial" w:eastAsia="Arial" w:hAnsi="Arial"/>
                <w:sz w:val="16"/>
                <w:szCs w:val="16"/>
                <w:b w:val="1"/>
                <w:bCs w:val="1"/>
                <w:color w:val="auto"/>
              </w:rPr>
              <w:t>Colombia</w:t>
            </w:r>
          </w:p>
        </w:tc>
        <w:tc>
          <w:tcPr>
            <w:tcW w:w="8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Borders>
              <w:righ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1280" w:type="dxa"/>
            <w:vAlign w:val="bottom"/>
            <w:tcBorders>
              <w:left w:val="single" w:sz="8" w:color="auto"/>
              <w:right w:val="single" w:sz="8" w:color="auto"/>
            </w:tcBorders>
            <w:vMerge w:val="continue"/>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520" w:type="dxa"/>
            <w:vAlign w:val="bottom"/>
          </w:tcPr>
          <w:p>
            <w:pPr>
              <w:spacing w:after="0"/>
              <w:rPr>
                <w:sz w:val="4"/>
                <w:szCs w:val="4"/>
                <w:color w:val="auto"/>
              </w:rPr>
            </w:pPr>
          </w:p>
        </w:tc>
        <w:tc>
          <w:tcPr>
            <w:tcW w:w="56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Borders>
              <w:right w:val="single" w:sz="8" w:color="auto"/>
            </w:tcBorders>
          </w:tcPr>
          <w:p>
            <w:pPr>
              <w:spacing w:after="0"/>
              <w:rPr>
                <w:sz w:val="4"/>
                <w:szCs w:val="4"/>
                <w:color w:val="auto"/>
              </w:rPr>
            </w:pPr>
          </w:p>
        </w:tc>
        <w:tc>
          <w:tcPr>
            <w:tcW w:w="480" w:type="dxa"/>
            <w:vAlign w:val="bottom"/>
          </w:tcPr>
          <w:p>
            <w:pPr>
              <w:spacing w:after="0"/>
              <w:rPr>
                <w:sz w:val="4"/>
                <w:szCs w:val="4"/>
                <w:color w:val="auto"/>
              </w:rPr>
            </w:pPr>
          </w:p>
        </w:tc>
        <w:tc>
          <w:tcPr>
            <w:tcW w:w="580" w:type="dxa"/>
            <w:vAlign w:val="bottom"/>
            <w:tcBorders>
              <w:right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560" w:type="dxa"/>
            <w:vAlign w:val="bottom"/>
            <w:tcBorders>
              <w:right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Borders>
              <w:right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580" w:type="dxa"/>
            <w:vAlign w:val="bottom"/>
            <w:tcBorders>
              <w:right w:val="single" w:sz="8" w:color="auto"/>
            </w:tcBorders>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12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Bolivia</w:t>
            </w:r>
          </w:p>
        </w:tc>
        <w:tc>
          <w:tcPr>
            <w:tcW w:w="800" w:type="dxa"/>
            <w:vAlign w:val="bottom"/>
          </w:tcPr>
          <w:p>
            <w:pPr>
              <w:jc w:val="center"/>
              <w:ind w:left="118"/>
              <w:spacing w:after="0"/>
              <w:rPr>
                <w:sz w:val="20"/>
                <w:szCs w:val="20"/>
                <w:color w:val="auto"/>
              </w:rPr>
            </w:pPr>
            <w:r>
              <w:rPr>
                <w:rFonts w:ascii="Arial" w:cs="Arial" w:eastAsia="Arial" w:hAnsi="Arial"/>
                <w:sz w:val="16"/>
                <w:szCs w:val="16"/>
                <w:b w:val="1"/>
                <w:bCs w:val="1"/>
                <w:color w:val="auto"/>
                <w:w w:val="74"/>
              </w:rPr>
              <w:t>-</w:t>
            </w:r>
          </w:p>
        </w:tc>
        <w:tc>
          <w:tcPr>
            <w:tcW w:w="740" w:type="dxa"/>
            <w:vAlign w:val="bottom"/>
          </w:tcPr>
          <w:p>
            <w:pPr>
              <w:jc w:val="center"/>
              <w:ind w:left="118"/>
              <w:spacing w:after="0"/>
              <w:rPr>
                <w:sz w:val="20"/>
                <w:szCs w:val="20"/>
                <w:color w:val="auto"/>
              </w:rPr>
            </w:pPr>
            <w:r>
              <w:rPr>
                <w:rFonts w:ascii="Arial" w:cs="Arial" w:eastAsia="Arial" w:hAnsi="Arial"/>
                <w:sz w:val="16"/>
                <w:szCs w:val="16"/>
                <w:b w:val="1"/>
                <w:bCs w:val="1"/>
                <w:color w:val="auto"/>
              </w:rPr>
              <w:t>-</w:t>
            </w:r>
          </w:p>
        </w:tc>
        <w:tc>
          <w:tcPr>
            <w:tcW w:w="52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560" w:type="dxa"/>
            <w:vAlign w:val="bottom"/>
          </w:tcPr>
          <w:p>
            <w:pPr>
              <w:jc w:val="right"/>
              <w:ind w:right="158"/>
              <w:spacing w:after="0"/>
              <w:rPr>
                <w:sz w:val="20"/>
                <w:szCs w:val="20"/>
                <w:color w:val="auto"/>
              </w:rPr>
            </w:pPr>
            <w:r>
              <w:rPr>
                <w:rFonts w:ascii="Arial" w:cs="Arial" w:eastAsia="Arial" w:hAnsi="Arial"/>
                <w:sz w:val="16"/>
                <w:szCs w:val="16"/>
                <w:b w:val="1"/>
                <w:bCs w:val="1"/>
                <w:color w:val="auto"/>
              </w:rPr>
              <w:t>-</w:t>
            </w:r>
          </w:p>
        </w:tc>
        <w:tc>
          <w:tcPr>
            <w:tcW w:w="46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48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460" w:type="dxa"/>
            <w:vAlign w:val="bottom"/>
          </w:tcPr>
          <w:p>
            <w:pPr>
              <w:jc w:val="center"/>
              <w:spacing w:after="0"/>
              <w:rPr>
                <w:sz w:val="20"/>
                <w:szCs w:val="20"/>
                <w:color w:val="auto"/>
              </w:rPr>
            </w:pPr>
            <w:r>
              <w:rPr>
                <w:rFonts w:ascii="Arial" w:cs="Arial" w:eastAsia="Arial" w:hAnsi="Arial"/>
                <w:sz w:val="16"/>
                <w:szCs w:val="16"/>
                <w:b w:val="1"/>
                <w:bCs w:val="1"/>
                <w:color w:val="auto"/>
                <w:w w:val="74"/>
              </w:rPr>
              <w:t>-</w:t>
            </w:r>
          </w:p>
        </w:tc>
        <w:tc>
          <w:tcPr>
            <w:tcW w:w="5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jc w:val="center"/>
              <w:spacing w:after="0"/>
              <w:rPr>
                <w:sz w:val="20"/>
                <w:szCs w:val="20"/>
                <w:color w:val="auto"/>
              </w:rPr>
            </w:pPr>
            <w:r>
              <w:rPr>
                <w:rFonts w:ascii="Arial" w:cs="Arial" w:eastAsia="Arial" w:hAnsi="Arial"/>
                <w:sz w:val="16"/>
                <w:szCs w:val="16"/>
                <w:b w:val="1"/>
                <w:bCs w:val="1"/>
                <w:color w:val="auto"/>
                <w:w w:val="99"/>
              </w:rPr>
              <w:t>2,297</w:t>
            </w:r>
          </w:p>
        </w:tc>
        <w:tc>
          <w:tcPr>
            <w:tcW w:w="560" w:type="dxa"/>
            <w:vAlign w:val="bottom"/>
          </w:tcPr>
          <w:p>
            <w:pPr>
              <w:jc w:val="center"/>
              <w:spacing w:after="0"/>
              <w:rPr>
                <w:sz w:val="20"/>
                <w:szCs w:val="20"/>
                <w:color w:val="auto"/>
              </w:rPr>
            </w:pPr>
            <w:r>
              <w:rPr>
                <w:rFonts w:ascii="Arial" w:cs="Arial" w:eastAsia="Arial" w:hAnsi="Arial"/>
                <w:sz w:val="16"/>
                <w:szCs w:val="16"/>
                <w:b w:val="1"/>
                <w:bCs w:val="1"/>
                <w:color w:val="auto"/>
              </w:rPr>
              <w:t>2,405</w:t>
            </w:r>
          </w:p>
        </w:tc>
        <w:tc>
          <w:tcPr>
            <w:tcW w:w="5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2,422</w:t>
            </w:r>
          </w:p>
        </w:tc>
        <w:tc>
          <w:tcPr>
            <w:tcW w:w="500" w:type="dxa"/>
            <w:vAlign w:val="bottom"/>
          </w:tcPr>
          <w:p>
            <w:pPr>
              <w:jc w:val="center"/>
              <w:spacing w:after="0"/>
              <w:rPr>
                <w:sz w:val="20"/>
                <w:szCs w:val="20"/>
                <w:color w:val="auto"/>
              </w:rPr>
            </w:pPr>
            <w:r>
              <w:rPr>
                <w:rFonts w:ascii="Arial" w:cs="Arial" w:eastAsia="Arial" w:hAnsi="Arial"/>
                <w:sz w:val="16"/>
                <w:szCs w:val="16"/>
                <w:b w:val="1"/>
                <w:bCs w:val="1"/>
                <w:color w:val="auto"/>
              </w:rPr>
              <w:t>0.7%</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5.4%</w:t>
            </w:r>
          </w:p>
        </w:tc>
        <w:tc>
          <w:tcPr>
            <w:tcW w:w="820" w:type="dxa"/>
            <w:vAlign w:val="bottom"/>
          </w:tcPr>
          <w:p>
            <w:pPr>
              <w:spacing w:after="0"/>
              <w:rPr>
                <w:sz w:val="16"/>
                <w:szCs w:val="16"/>
                <w:color w:val="auto"/>
              </w:rPr>
            </w:pP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-100.0%</w:t>
            </w:r>
          </w:p>
        </w:tc>
        <w:tc>
          <w:tcPr>
            <w:tcW w:w="0" w:type="dxa"/>
            <w:vAlign w:val="bottom"/>
          </w:tcPr>
          <w:p>
            <w:pPr>
              <w:spacing w:after="0"/>
              <w:rPr>
                <w:sz w:val="1"/>
                <w:szCs w:val="1"/>
                <w:color w:val="auto"/>
              </w:rPr>
            </w:pPr>
          </w:p>
        </w:tc>
      </w:tr>
      <w:tr>
        <w:trPr>
          <w:trHeight w:val="206"/>
        </w:trPr>
        <w:tc>
          <w:tcPr>
            <w:tcW w:w="12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ASB</w:t>
            </w:r>
          </w:p>
        </w:tc>
        <w:tc>
          <w:tcPr>
            <w:tcW w:w="800" w:type="dxa"/>
            <w:vAlign w:val="bottom"/>
            <w:tcBorders>
              <w:bottom w:val="single" w:sz="8" w:color="auto"/>
            </w:tcBorders>
          </w:tcPr>
          <w:p>
            <w:pPr>
              <w:jc w:val="center"/>
              <w:ind w:left="118"/>
              <w:spacing w:after="0"/>
              <w:rPr>
                <w:sz w:val="20"/>
                <w:szCs w:val="20"/>
                <w:color w:val="auto"/>
              </w:rPr>
            </w:pPr>
            <w:r>
              <w:rPr>
                <w:rFonts w:ascii="Arial" w:cs="Arial" w:eastAsia="Arial" w:hAnsi="Arial"/>
                <w:sz w:val="16"/>
                <w:szCs w:val="16"/>
                <w:b w:val="1"/>
                <w:bCs w:val="1"/>
                <w:color w:val="auto"/>
                <w:w w:val="74"/>
              </w:rPr>
              <w:t>-</w:t>
            </w:r>
          </w:p>
        </w:tc>
        <w:tc>
          <w:tcPr>
            <w:tcW w:w="740" w:type="dxa"/>
            <w:vAlign w:val="bottom"/>
            <w:tcBorders>
              <w:bottom w:val="single" w:sz="8" w:color="auto"/>
            </w:tcBorders>
          </w:tcPr>
          <w:p>
            <w:pPr>
              <w:jc w:val="center"/>
              <w:ind w:left="118"/>
              <w:spacing w:after="0"/>
              <w:rPr>
                <w:sz w:val="20"/>
                <w:szCs w:val="20"/>
                <w:color w:val="auto"/>
              </w:rPr>
            </w:pPr>
            <w:r>
              <w:rPr>
                <w:rFonts w:ascii="Arial" w:cs="Arial" w:eastAsia="Arial" w:hAnsi="Arial"/>
                <w:sz w:val="16"/>
                <w:szCs w:val="16"/>
                <w:b w:val="1"/>
                <w:bCs w:val="1"/>
                <w:color w:val="auto"/>
              </w:rPr>
              <w:t>-</w:t>
            </w: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560" w:type="dxa"/>
            <w:vAlign w:val="bottom"/>
            <w:tcBorders>
              <w:bottom w:val="single" w:sz="8" w:color="auto"/>
            </w:tcBorders>
          </w:tcPr>
          <w:p>
            <w:pPr>
              <w:jc w:val="right"/>
              <w:ind w:right="158"/>
              <w:spacing w:after="0"/>
              <w:rPr>
                <w:sz w:val="20"/>
                <w:szCs w:val="20"/>
                <w:color w:val="auto"/>
              </w:rPr>
            </w:pPr>
            <w:r>
              <w:rPr>
                <w:rFonts w:ascii="Arial" w:cs="Arial" w:eastAsia="Arial" w:hAnsi="Arial"/>
                <w:sz w:val="16"/>
                <w:szCs w:val="16"/>
                <w:b w:val="1"/>
                <w:bCs w:val="1"/>
                <w:color w:val="auto"/>
              </w:rPr>
              <w:t>-</w:t>
            </w: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74"/>
              </w:rPr>
              <w:t>-</w:t>
            </w:r>
          </w:p>
        </w:tc>
        <w:tc>
          <w:tcPr>
            <w:tcW w:w="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525</w:t>
            </w: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498</w:t>
            </w:r>
          </w:p>
        </w:tc>
        <w:tc>
          <w:tcPr>
            <w:tcW w:w="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469</w:t>
            </w:r>
          </w:p>
        </w:tc>
        <w:tc>
          <w:tcPr>
            <w:tcW w:w="108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-6.0% -10.7%</w:t>
            </w:r>
          </w:p>
        </w:tc>
        <w:tc>
          <w:tcPr>
            <w:tcW w:w="820" w:type="dxa"/>
            <w:vAlign w:val="bottom"/>
            <w:tcBorders>
              <w:bottom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-100.0%</w:t>
            </w:r>
          </w:p>
        </w:tc>
        <w:tc>
          <w:tcPr>
            <w:tcW w:w="0" w:type="dxa"/>
            <w:vAlign w:val="bottom"/>
          </w:tcPr>
          <w:p>
            <w:pPr>
              <w:spacing w:after="0"/>
              <w:rPr>
                <w:sz w:val="1"/>
                <w:szCs w:val="1"/>
                <w:color w:val="auto"/>
              </w:rPr>
            </w:pPr>
          </w:p>
        </w:tc>
      </w:tr>
      <w:tr>
        <w:trPr>
          <w:trHeight w:val="178"/>
        </w:trPr>
        <w:tc>
          <w:tcPr>
            <w:tcW w:w="1280" w:type="dxa"/>
            <w:vAlign w:val="bottom"/>
            <w:tcBorders>
              <w:left w:val="single" w:sz="8" w:color="auto"/>
              <w:bottom w:val="single" w:sz="8" w:color="auto"/>
              <w:right w:val="single" w:sz="8" w:color="auto"/>
            </w:tcBorders>
          </w:tcPr>
          <w:p>
            <w:pPr>
              <w:ind w:left="20"/>
              <w:spacing w:after="0" w:line="178" w:lineRule="exact"/>
              <w:rPr>
                <w:sz w:val="20"/>
                <w:szCs w:val="20"/>
                <w:color w:val="auto"/>
              </w:rPr>
            </w:pPr>
            <w:r>
              <w:rPr>
                <w:rFonts w:ascii="Arial" w:cs="Arial" w:eastAsia="Arial" w:hAnsi="Arial"/>
                <w:sz w:val="16"/>
                <w:szCs w:val="16"/>
                <w:b w:val="1"/>
                <w:bCs w:val="1"/>
                <w:color w:val="auto"/>
              </w:rPr>
              <w:t>Total loans</w:t>
            </w:r>
          </w:p>
        </w:tc>
        <w:tc>
          <w:tcPr>
            <w:tcW w:w="1540" w:type="dxa"/>
            <w:vAlign w:val="bottom"/>
            <w:tcBorders>
              <w:bottom w:val="single" w:sz="8" w:color="auto"/>
            </w:tcBorders>
            <w:gridSpan w:val="2"/>
          </w:tcPr>
          <w:p>
            <w:pPr>
              <w:jc w:val="right"/>
              <w:spacing w:after="0" w:line="178" w:lineRule="exact"/>
              <w:rPr>
                <w:sz w:val="20"/>
                <w:szCs w:val="20"/>
                <w:color w:val="auto"/>
              </w:rPr>
            </w:pPr>
            <w:r>
              <w:rPr>
                <w:rFonts w:ascii="Arial" w:cs="Arial" w:eastAsia="Arial" w:hAnsi="Arial"/>
                <w:sz w:val="16"/>
                <w:szCs w:val="16"/>
                <w:b w:val="1"/>
                <w:bCs w:val="1"/>
                <w:color w:val="auto"/>
              </w:rPr>
              <w:t>99,69694,306</w:t>
            </w:r>
          </w:p>
        </w:tc>
        <w:tc>
          <w:tcPr>
            <w:tcW w:w="2120" w:type="dxa"/>
            <w:vAlign w:val="bottom"/>
            <w:tcBorders>
              <w:bottom w:val="single" w:sz="8" w:color="auto"/>
              <w:right w:val="single" w:sz="8" w:color="auto"/>
            </w:tcBorders>
            <w:gridSpan w:val="4"/>
          </w:tcPr>
          <w:p>
            <w:pPr>
              <w:jc w:val="right"/>
              <w:spacing w:after="0" w:line="178" w:lineRule="exact"/>
              <w:rPr>
                <w:sz w:val="20"/>
                <w:szCs w:val="20"/>
                <w:color w:val="auto"/>
              </w:rPr>
            </w:pPr>
            <w:r>
              <w:rPr>
                <w:rFonts w:ascii="Arial" w:cs="Arial" w:eastAsia="Arial" w:hAnsi="Arial"/>
                <w:sz w:val="16"/>
                <w:szCs w:val="16"/>
                <w:b w:val="1"/>
                <w:bCs w:val="1"/>
                <w:color w:val="auto"/>
              </w:rPr>
              <w:t>93,52983,09188,05888,757</w:t>
            </w:r>
          </w:p>
        </w:tc>
        <w:tc>
          <w:tcPr>
            <w:tcW w:w="1060" w:type="dxa"/>
            <w:vAlign w:val="bottom"/>
            <w:tcBorders>
              <w:bottom w:val="single" w:sz="8" w:color="auto"/>
              <w:right w:val="single" w:sz="8" w:color="auto"/>
            </w:tcBorders>
            <w:gridSpan w:val="2"/>
          </w:tcPr>
          <w:p>
            <w:pPr>
              <w:jc w:val="center"/>
              <w:spacing w:after="0" w:line="178" w:lineRule="exact"/>
              <w:rPr>
                <w:sz w:val="20"/>
                <w:szCs w:val="20"/>
                <w:color w:val="auto"/>
              </w:rPr>
            </w:pPr>
            <w:r>
              <w:rPr>
                <w:rFonts w:ascii="Arial" w:cs="Arial" w:eastAsia="Arial" w:hAnsi="Arial"/>
                <w:sz w:val="16"/>
                <w:szCs w:val="16"/>
                <w:b w:val="1"/>
                <w:bCs w:val="1"/>
                <w:color w:val="auto"/>
              </w:rPr>
              <w:t>-0.8% -6.2%</w:t>
            </w:r>
          </w:p>
        </w:tc>
        <w:tc>
          <w:tcPr>
            <w:tcW w:w="460" w:type="dxa"/>
            <w:vAlign w:val="bottom"/>
            <w:tcBorders>
              <w:bottom w:val="single" w:sz="8" w:color="auto"/>
            </w:tcBorders>
          </w:tcPr>
          <w:p>
            <w:pPr>
              <w:jc w:val="center"/>
              <w:spacing w:after="0" w:line="178" w:lineRule="exact"/>
              <w:rPr>
                <w:sz w:val="20"/>
                <w:szCs w:val="20"/>
                <w:color w:val="auto"/>
              </w:rPr>
            </w:pPr>
            <w:r>
              <w:rPr>
                <w:rFonts w:ascii="Arial" w:cs="Arial" w:eastAsia="Arial" w:hAnsi="Arial"/>
                <w:sz w:val="16"/>
                <w:szCs w:val="16"/>
                <w:b w:val="1"/>
                <w:bCs w:val="1"/>
                <w:color w:val="auto"/>
              </w:rPr>
              <w:t>0.8%</w:t>
            </w:r>
          </w:p>
        </w:tc>
        <w:tc>
          <w:tcPr>
            <w:tcW w:w="560" w:type="dxa"/>
            <w:vAlign w:val="bottom"/>
            <w:tcBorders>
              <w:bottom w:val="single" w:sz="8" w:color="auto"/>
              <w:right w:val="single" w:sz="8" w:color="auto"/>
            </w:tcBorders>
          </w:tcPr>
          <w:p>
            <w:pPr>
              <w:jc w:val="center"/>
              <w:spacing w:after="0" w:line="178" w:lineRule="exact"/>
              <w:rPr>
                <w:sz w:val="20"/>
                <w:szCs w:val="20"/>
                <w:color w:val="auto"/>
              </w:rPr>
            </w:pPr>
            <w:r>
              <w:rPr>
                <w:rFonts w:ascii="Arial" w:cs="Arial" w:eastAsia="Arial" w:hAnsi="Arial"/>
                <w:sz w:val="16"/>
                <w:szCs w:val="16"/>
                <w:b w:val="1"/>
                <w:bCs w:val="1"/>
                <w:color w:val="auto"/>
              </w:rPr>
              <w:t>6.8%</w:t>
            </w:r>
          </w:p>
        </w:tc>
        <w:tc>
          <w:tcPr>
            <w:tcW w:w="1600" w:type="dxa"/>
            <w:vAlign w:val="bottom"/>
            <w:tcBorders>
              <w:bottom w:val="single" w:sz="8" w:color="auto"/>
              <w:right w:val="single" w:sz="8" w:color="auto"/>
            </w:tcBorders>
            <w:gridSpan w:val="3"/>
          </w:tcPr>
          <w:p>
            <w:pPr>
              <w:jc w:val="center"/>
              <w:spacing w:after="0" w:line="178" w:lineRule="exact"/>
              <w:rPr>
                <w:sz w:val="20"/>
                <w:szCs w:val="20"/>
                <w:color w:val="auto"/>
              </w:rPr>
            </w:pPr>
            <w:r>
              <w:rPr>
                <w:rFonts w:ascii="Arial" w:cs="Arial" w:eastAsia="Arial" w:hAnsi="Arial"/>
                <w:sz w:val="16"/>
                <w:szCs w:val="16"/>
                <w:b w:val="1"/>
                <w:bCs w:val="1"/>
                <w:color w:val="auto"/>
              </w:rPr>
              <w:t>12,71712,985 13,166</w:t>
            </w:r>
          </w:p>
        </w:tc>
        <w:tc>
          <w:tcPr>
            <w:tcW w:w="500" w:type="dxa"/>
            <w:vAlign w:val="bottom"/>
            <w:tcBorders>
              <w:bottom w:val="single" w:sz="8" w:color="auto"/>
            </w:tcBorders>
          </w:tcPr>
          <w:p>
            <w:pPr>
              <w:jc w:val="center"/>
              <w:spacing w:after="0" w:line="178" w:lineRule="exact"/>
              <w:rPr>
                <w:sz w:val="20"/>
                <w:szCs w:val="20"/>
                <w:color w:val="auto"/>
              </w:rPr>
            </w:pPr>
            <w:r>
              <w:rPr>
                <w:rFonts w:ascii="Arial" w:cs="Arial" w:eastAsia="Arial" w:hAnsi="Arial"/>
                <w:sz w:val="16"/>
                <w:szCs w:val="16"/>
                <w:b w:val="1"/>
                <w:bCs w:val="1"/>
                <w:color w:val="auto"/>
              </w:rPr>
              <w:t>1.4%</w:t>
            </w:r>
          </w:p>
        </w:tc>
        <w:tc>
          <w:tcPr>
            <w:tcW w:w="580" w:type="dxa"/>
            <w:vAlign w:val="bottom"/>
            <w:tcBorders>
              <w:bottom w:val="single" w:sz="8" w:color="auto"/>
              <w:right w:val="single" w:sz="8" w:color="auto"/>
            </w:tcBorders>
          </w:tcPr>
          <w:p>
            <w:pPr>
              <w:jc w:val="center"/>
              <w:spacing w:after="0" w:line="178" w:lineRule="exact"/>
              <w:rPr>
                <w:sz w:val="20"/>
                <w:szCs w:val="20"/>
                <w:color w:val="auto"/>
              </w:rPr>
            </w:pPr>
            <w:r>
              <w:rPr>
                <w:rFonts w:ascii="Arial" w:cs="Arial" w:eastAsia="Arial" w:hAnsi="Arial"/>
                <w:sz w:val="16"/>
                <w:szCs w:val="16"/>
                <w:b w:val="1"/>
                <w:bCs w:val="1"/>
                <w:color w:val="auto"/>
                <w:w w:val="98"/>
              </w:rPr>
              <w:t>3.5%</w:t>
            </w:r>
          </w:p>
        </w:tc>
        <w:tc>
          <w:tcPr>
            <w:tcW w:w="820" w:type="dxa"/>
            <w:vAlign w:val="bottom"/>
            <w:tcBorders>
              <w:bottom w:val="single" w:sz="8" w:color="auto"/>
            </w:tcBorders>
          </w:tcPr>
          <w:p>
            <w:pPr>
              <w:jc w:val="center"/>
              <w:ind w:left="58"/>
              <w:spacing w:after="0" w:line="178" w:lineRule="exact"/>
              <w:rPr>
                <w:sz w:val="20"/>
                <w:szCs w:val="20"/>
                <w:color w:val="auto"/>
              </w:rPr>
            </w:pPr>
            <w:r>
              <w:rPr>
                <w:rFonts w:ascii="Arial" w:cs="Arial" w:eastAsia="Arial" w:hAnsi="Arial"/>
                <w:sz w:val="16"/>
                <w:szCs w:val="16"/>
                <w:b w:val="1"/>
                <w:bCs w:val="1"/>
                <w:color w:val="auto"/>
              </w:rPr>
              <w:t>66.4%</w:t>
            </w:r>
          </w:p>
        </w:tc>
        <w:tc>
          <w:tcPr>
            <w:tcW w:w="740" w:type="dxa"/>
            <w:vAlign w:val="bottom"/>
            <w:tcBorders>
              <w:bottom w:val="single" w:sz="8" w:color="auto"/>
              <w:right w:val="single" w:sz="8" w:color="auto"/>
            </w:tcBorders>
          </w:tcPr>
          <w:p>
            <w:pPr>
              <w:jc w:val="center"/>
              <w:ind w:left="38"/>
              <w:spacing w:after="0" w:line="178" w:lineRule="exact"/>
              <w:rPr>
                <w:sz w:val="20"/>
                <w:szCs w:val="20"/>
                <w:color w:val="auto"/>
              </w:rPr>
            </w:pPr>
            <w:r>
              <w:rPr>
                <w:rFonts w:ascii="Arial" w:cs="Arial" w:eastAsia="Arial" w:hAnsi="Arial"/>
                <w:sz w:val="16"/>
                <w:szCs w:val="16"/>
                <w:b w:val="1"/>
                <w:bCs w:val="1"/>
                <w:color w:val="auto"/>
              </w:rPr>
              <w:t>33.6%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1346835</wp:posOffset>
            </wp:positionH>
            <wp:positionV relativeFrom="paragraph">
              <wp:posOffset>-2754630</wp:posOffset>
            </wp:positionV>
            <wp:extent cx="241935"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41935" cy="7620"/>
                    </a:xfrm>
                    <a:prstGeom prst="rect">
                      <a:avLst/>
                    </a:prstGeom>
                    <a:noFill/>
                  </pic:spPr>
                </pic:pic>
              </a:graphicData>
            </a:graphic>
          </wp:anchor>
        </w:drawing>
        <w:drawing>
          <wp:anchor simplePos="0" relativeHeight="251657728" behindDoc="1" locked="0" layoutInCell="0" allowOverlap="1">
            <wp:simplePos x="0" y="0"/>
            <wp:positionH relativeFrom="column">
              <wp:posOffset>2378710</wp:posOffset>
            </wp:positionH>
            <wp:positionV relativeFrom="paragraph">
              <wp:posOffset>-2754630</wp:posOffset>
            </wp:positionV>
            <wp:extent cx="494030"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94030" cy="7620"/>
                    </a:xfrm>
                    <a:prstGeom prst="rect">
                      <a:avLst/>
                    </a:prstGeom>
                    <a:noFill/>
                  </pic:spPr>
                </pic:pic>
              </a:graphicData>
            </a:graphic>
          </wp:anchor>
        </w:drawing>
        <w:drawing>
          <wp:anchor simplePos="0" relativeHeight="251657728" behindDoc="1" locked="0" layoutInCell="0" allowOverlap="1">
            <wp:simplePos x="0" y="0"/>
            <wp:positionH relativeFrom="column">
              <wp:posOffset>4840605</wp:posOffset>
            </wp:positionH>
            <wp:positionV relativeFrom="paragraph">
              <wp:posOffset>-2754630</wp:posOffset>
            </wp:positionV>
            <wp:extent cx="241935"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41935" cy="7620"/>
                    </a:xfrm>
                    <a:prstGeom prst="rect">
                      <a:avLst/>
                    </a:prstGeom>
                    <a:noFill/>
                  </pic:spPr>
                </pic:pic>
              </a:graphicData>
            </a:graphic>
          </wp:anchor>
        </w:drawing>
        <w:drawing>
          <wp:anchor simplePos="0" relativeHeight="251657728" behindDoc="1" locked="0" layoutInCell="0" allowOverlap="1">
            <wp:simplePos x="0" y="0"/>
            <wp:positionH relativeFrom="column">
              <wp:posOffset>6146800</wp:posOffset>
            </wp:positionH>
            <wp:positionV relativeFrom="paragraph">
              <wp:posOffset>141605</wp:posOffset>
            </wp:positionV>
            <wp:extent cx="996950" cy="2197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996950" cy="219710"/>
                    </a:xfrm>
                    <a:prstGeom prst="rect">
                      <a:avLst/>
                    </a:prstGeom>
                    <a:noFill/>
                  </pic:spPr>
                </pic:pic>
              </a:graphicData>
            </a:graphic>
          </wp:anchor>
        </w:drawing>
      </w:r>
    </w:p>
    <w:p>
      <w:pPr>
        <w:spacing w:after="0" w:line="234" w:lineRule="exact"/>
        <w:rPr>
          <w:sz w:val="20"/>
          <w:szCs w:val="20"/>
          <w:color w:val="auto"/>
        </w:rPr>
      </w:pPr>
    </w:p>
    <w:p>
      <w:pPr>
        <w:ind w:left="1"/>
        <w:spacing w:after="0"/>
        <w:rPr>
          <w:sz w:val="20"/>
          <w:szCs w:val="20"/>
          <w:color w:val="auto"/>
        </w:rPr>
      </w:pPr>
      <w:r>
        <w:rPr>
          <w:rFonts w:ascii="Arial" w:cs="Arial" w:eastAsia="Arial" w:hAnsi="Arial"/>
          <w:sz w:val="11"/>
          <w:szCs w:val="11"/>
          <w:color w:val="auto"/>
        </w:rPr>
        <w:t>For consolidation purposes. Loans generated in Foreign Currency (FC) are converted into Local Currency (LC).</w:t>
      </w:r>
    </w:p>
    <w:p>
      <w:pPr>
        <w:spacing w:after="0" w:line="2" w:lineRule="exact"/>
        <w:rPr>
          <w:sz w:val="20"/>
          <w:szCs w:val="20"/>
          <w:color w:val="auto"/>
        </w:rPr>
      </w:pPr>
    </w:p>
    <w:p>
      <w:pPr>
        <w:ind w:left="161" w:hanging="161"/>
        <w:spacing w:after="0"/>
        <w:tabs>
          <w:tab w:leader="none" w:pos="161" w:val="left"/>
        </w:tabs>
        <w:numPr>
          <w:ilvl w:val="0"/>
          <w:numId w:val="22"/>
        </w:numPr>
        <w:rPr>
          <w:rFonts w:ascii="Arial" w:cs="Arial" w:eastAsia="Arial" w:hAnsi="Arial"/>
          <w:sz w:val="11"/>
          <w:szCs w:val="11"/>
          <w:color w:val="auto"/>
        </w:rPr>
      </w:pPr>
      <w:r>
        <w:rPr>
          <w:rFonts w:ascii="Arial" w:cs="Arial" w:eastAsia="Arial" w:hAnsi="Arial"/>
          <w:sz w:val="11"/>
          <w:szCs w:val="11"/>
          <w:color w:val="auto"/>
        </w:rPr>
        <w:t>Includes Workout unit and other banking. For Quarter-end balance figures, please refer to “12. Annexes – 12.2 Loan Portfolio Quality”.</w:t>
      </w:r>
    </w:p>
    <w:p>
      <w:pPr>
        <w:ind w:left="161" w:hanging="161"/>
        <w:spacing w:after="0"/>
        <w:tabs>
          <w:tab w:leader="none" w:pos="161" w:val="left"/>
        </w:tabs>
        <w:numPr>
          <w:ilvl w:val="0"/>
          <w:numId w:val="22"/>
        </w:numPr>
        <w:rPr>
          <w:rFonts w:ascii="Arial" w:cs="Arial" w:eastAsia="Arial" w:hAnsi="Arial"/>
          <w:sz w:val="11"/>
          <w:szCs w:val="11"/>
          <w:color w:val="auto"/>
        </w:rPr>
      </w:pPr>
      <w:r>
        <w:rPr>
          <w:rFonts w:ascii="Arial" w:cs="Arial" w:eastAsia="Arial" w:hAnsi="Arial"/>
          <w:sz w:val="11"/>
          <w:szCs w:val="11"/>
          <w:color w:val="auto"/>
        </w:rPr>
        <w:t>Internal Management Figures</w:t>
      </w:r>
    </w:p>
    <w:p>
      <w:pPr>
        <w:spacing w:after="0" w:line="222" w:lineRule="exact"/>
        <w:rPr>
          <w:sz w:val="20"/>
          <w:szCs w:val="20"/>
          <w:color w:val="auto"/>
        </w:rPr>
      </w:pPr>
    </w:p>
    <w:p>
      <w:pPr>
        <w:jc w:val="both"/>
        <w:ind w:left="1"/>
        <w:spacing w:after="0" w:line="263" w:lineRule="auto"/>
        <w:rPr>
          <w:sz w:val="20"/>
          <w:szCs w:val="20"/>
          <w:color w:val="auto"/>
        </w:rPr>
      </w:pPr>
      <w:r>
        <w:rPr>
          <w:rFonts w:ascii="Arial" w:cs="Arial" w:eastAsia="Arial" w:hAnsi="Arial"/>
          <w:sz w:val="16"/>
          <w:szCs w:val="16"/>
          <w:color w:val="auto"/>
        </w:rPr>
        <w:t xml:space="preserve">At the end of September 2023, the dollarization level of structural loans rose 10 bps </w:t>
      </w:r>
      <w:r>
        <w:rPr>
          <w:rFonts w:ascii="Arial" w:cs="Arial" w:eastAsia="Arial" w:hAnsi="Arial"/>
          <w:sz w:val="16"/>
          <w:szCs w:val="16"/>
          <w:b w:val="1"/>
          <w:bCs w:val="1"/>
          <w:color w:val="auto"/>
        </w:rPr>
        <w:t>QoQ</w:t>
      </w:r>
      <w:r>
        <w:rPr>
          <w:rFonts w:ascii="Arial" w:cs="Arial" w:eastAsia="Arial" w:hAnsi="Arial"/>
          <w:sz w:val="16"/>
          <w:szCs w:val="16"/>
          <w:color w:val="auto"/>
        </w:rPr>
        <w:t xml:space="preserve"> (35.6% on Sept 23). This growth was primary attributable to loan growth in </w:t>
      </w:r>
      <w:r>
        <w:rPr>
          <w:rFonts w:ascii="Arial" w:cs="Arial" w:eastAsia="Arial" w:hAnsi="Arial"/>
          <w:sz w:val="16"/>
          <w:szCs w:val="16"/>
          <w:b w:val="1"/>
          <w:bCs w:val="1"/>
          <w:color w:val="auto"/>
        </w:rPr>
        <w:t>Middle Market</w:t>
      </w:r>
      <w:r>
        <w:rPr>
          <w:rFonts w:ascii="Arial" w:cs="Arial" w:eastAsia="Arial" w:hAnsi="Arial"/>
          <w:sz w:val="16"/>
          <w:szCs w:val="16"/>
          <w:color w:val="auto"/>
        </w:rPr>
        <w:t xml:space="preserve"> and secondarily to a variation in the exchange rate (+4.5% QoQ), which mainly affected </w:t>
      </w:r>
      <w:r>
        <w:rPr>
          <w:rFonts w:ascii="Arial" w:cs="Arial" w:eastAsia="Arial" w:hAnsi="Arial"/>
          <w:sz w:val="16"/>
          <w:szCs w:val="16"/>
          <w:b w:val="1"/>
          <w:bCs w:val="1"/>
          <w:color w:val="auto"/>
        </w:rPr>
        <w:t>Wholesale Banking</w:t>
      </w:r>
      <w:r>
        <w:rPr>
          <w:rFonts w:ascii="Arial" w:cs="Arial" w:eastAsia="Arial" w:hAnsi="Arial"/>
          <w:sz w:val="16"/>
          <w:szCs w:val="16"/>
          <w:color w:val="auto"/>
        </w:rPr>
        <w:t>, where it impacted both new disbursements and the stock of loans (disbursements that are generally in US Dollars).</w:t>
      </w:r>
    </w:p>
    <w:p>
      <w:pPr>
        <w:spacing w:after="0" w:line="137" w:lineRule="exact"/>
        <w:rPr>
          <w:sz w:val="20"/>
          <w:szCs w:val="20"/>
          <w:color w:val="auto"/>
        </w:rPr>
      </w:pPr>
    </w:p>
    <w:p>
      <w:pPr>
        <w:ind w:left="1" w:right="220"/>
        <w:spacing w:after="0" w:line="263" w:lineRule="auto"/>
        <w:rPr>
          <w:sz w:val="20"/>
          <w:szCs w:val="20"/>
          <w:color w:val="auto"/>
        </w:rPr>
      </w:pPr>
      <w:r>
        <w:rPr>
          <w:rFonts w:ascii="Arial" w:cs="Arial" w:eastAsia="Arial" w:hAnsi="Arial"/>
          <w:sz w:val="16"/>
          <w:szCs w:val="16"/>
          <w:b w:val="1"/>
          <w:bCs w:val="1"/>
          <w:color w:val="auto"/>
        </w:rPr>
        <w:t>YoY</w:t>
      </w:r>
      <w:r>
        <w:rPr>
          <w:rFonts w:ascii="Arial" w:cs="Arial" w:eastAsia="Arial" w:hAnsi="Arial"/>
          <w:sz w:val="16"/>
          <w:szCs w:val="16"/>
          <w:color w:val="auto"/>
        </w:rPr>
        <w:t>, the level of dollarization in the structural portfolio fell 340 bps. This evolution reflects growth in all of Retail Banking’s products, which are generally</w:t>
      </w:r>
      <w:r>
        <w:rPr>
          <w:rFonts w:ascii="Arial" w:cs="Arial" w:eastAsia="Arial" w:hAnsi="Arial"/>
          <w:sz w:val="16"/>
          <w:szCs w:val="16"/>
          <w:b w:val="1"/>
          <w:bCs w:val="1"/>
          <w:color w:val="auto"/>
        </w:rPr>
        <w:t xml:space="preserve"> </w:t>
      </w:r>
      <w:r>
        <w:rPr>
          <w:rFonts w:ascii="Arial" w:cs="Arial" w:eastAsia="Arial" w:hAnsi="Arial"/>
          <w:sz w:val="16"/>
          <w:szCs w:val="16"/>
          <w:color w:val="auto"/>
        </w:rPr>
        <w:t>disbursed in soles, as well as a drop in the level registered by Wholesale Banking- whose disbursements are primarily in US Dollars- due to a drop in demand for loans in a context marked by a downturn in private investment.</w:t>
      </w:r>
    </w:p>
    <w:p>
      <w:pPr>
        <w:spacing w:after="0" w:line="302" w:lineRule="exact"/>
        <w:rPr>
          <w:sz w:val="20"/>
          <w:szCs w:val="20"/>
          <w:color w:val="auto"/>
        </w:rPr>
      </w:pPr>
    </w:p>
    <w:p>
      <w:pPr>
        <w:ind w:left="11101"/>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40005</wp:posOffset>
            </wp:positionV>
            <wp:extent cx="7143750" cy="158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312" w:right="339" w:bottom="1440" w:gutter="0" w:footer="0" w:header="0"/>
        </w:sectPr>
      </w:pPr>
    </w:p>
    <w:bookmarkStart w:id="20" w:name="page21"/>
    <w:bookmarkEnd w:id="20"/>
    <w:p>
      <w:pPr>
        <w:ind w:left="2961"/>
        <w:spacing w:after="0"/>
        <w:tabs>
          <w:tab w:leader="none" w:pos="3141" w:val="left"/>
          <w:tab w:leader="none" w:pos="7301" w:val="left"/>
        </w:tabs>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202565</wp:posOffset>
            </wp:positionH>
            <wp:positionV relativeFrom="page">
              <wp:posOffset>88900</wp:posOffset>
            </wp:positionV>
            <wp:extent cx="7143750" cy="3848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3750" cy="384810"/>
                    </a:xfrm>
                    <a:prstGeom prst="rect">
                      <a:avLst/>
                    </a:prstGeom>
                    <a:noFill/>
                  </pic:spPr>
                </pic:pic>
              </a:graphicData>
            </a:graphic>
          </wp:anchor>
        </w:drawing>
        <w:t>|</w:t>
      </w:r>
      <w:r>
        <w:rPr>
          <w:sz w:val="20"/>
          <w:szCs w:val="20"/>
          <w:color w:val="auto"/>
        </w:rPr>
        <w:tab/>
      </w:r>
      <w:r>
        <w:rPr>
          <w:rFonts w:ascii="Arial" w:cs="Arial" w:eastAsia="Arial" w:hAnsi="Arial"/>
          <w:sz w:val="16"/>
          <w:szCs w:val="16"/>
          <w:b w:val="1"/>
          <w:bCs w:val="1"/>
          <w:color w:val="FFFFFF"/>
        </w:rPr>
        <w:t>Earnings Release 3Q / 2023</w:t>
      </w:r>
      <w:r>
        <w:rPr>
          <w:sz w:val="20"/>
          <w:szCs w:val="20"/>
          <w:color w:val="auto"/>
        </w:rPr>
        <w:tab/>
      </w:r>
      <w:r>
        <w:rPr>
          <w:rFonts w:ascii="Arial" w:cs="Arial" w:eastAsia="Arial" w:hAnsi="Arial"/>
          <w:sz w:val="18"/>
          <w:szCs w:val="18"/>
          <w:b w:val="1"/>
          <w:bCs w:val="1"/>
          <w:color w:val="E93CAC"/>
        </w:rPr>
        <w:t>Analysis of 3Q23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143510</wp:posOffset>
            </wp:positionV>
            <wp:extent cx="7143750" cy="2038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3750" cy="203835"/>
                    </a:xfrm>
                    <a:prstGeom prst="rect">
                      <a:avLst/>
                    </a:prstGeom>
                    <a:noFill/>
                  </pic:spPr>
                </pic:pic>
              </a:graphicData>
            </a:graphic>
          </wp:anchor>
        </w:drawing>
      </w:r>
    </w:p>
    <w:p>
      <w:pPr>
        <w:spacing w:after="0" w:line="226" w:lineRule="exact"/>
        <w:rPr>
          <w:sz w:val="20"/>
          <w:szCs w:val="20"/>
          <w:color w:val="auto"/>
        </w:rPr>
      </w:pPr>
    </w:p>
    <w:p>
      <w:pPr>
        <w:ind w:left="21"/>
        <w:spacing w:after="0"/>
        <w:rPr>
          <w:sz w:val="20"/>
          <w:szCs w:val="20"/>
          <w:color w:val="auto"/>
        </w:rPr>
      </w:pPr>
      <w:r>
        <w:rPr>
          <w:rFonts w:ascii="Arial" w:cs="Arial" w:eastAsia="Arial" w:hAnsi="Arial"/>
          <w:sz w:val="20"/>
          <w:szCs w:val="20"/>
          <w:b w:val="1"/>
          <w:bCs w:val="1"/>
          <w:color w:val="FFFFFF"/>
        </w:rPr>
        <w:t>01. Loan Portfolio</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Evolution of the Dollarization Level of Structural Loans (in Average Daily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132080</wp:posOffset>
            </wp:positionV>
            <wp:extent cx="5416550" cy="17900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416550" cy="1790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61" w:hanging="161"/>
        <w:spacing w:after="0"/>
        <w:tabs>
          <w:tab w:leader="none" w:pos="161" w:val="left"/>
        </w:tabs>
        <w:numPr>
          <w:ilvl w:val="0"/>
          <w:numId w:val="23"/>
        </w:numPr>
        <w:rPr>
          <w:rFonts w:ascii="Arial" w:cs="Arial" w:eastAsia="Arial" w:hAnsi="Arial"/>
          <w:sz w:val="11"/>
          <w:szCs w:val="11"/>
          <w:color w:val="auto"/>
        </w:rPr>
      </w:pPr>
      <w:r>
        <w:rPr>
          <w:rFonts w:ascii="Arial" w:cs="Arial" w:eastAsia="Arial" w:hAnsi="Arial"/>
          <w:sz w:val="11"/>
          <w:szCs w:val="11"/>
          <w:color w:val="auto"/>
        </w:rPr>
        <w:t>The FC share of Credicorp’s loan portfolio is calculated including BCP Bolivia and ASB Bank Corp., however the chart shows only the loan books of BCP Stand-alone and Mibanco.</w:t>
      </w:r>
    </w:p>
    <w:p>
      <w:pPr>
        <w:spacing w:after="0" w:line="5" w:lineRule="exact"/>
        <w:rPr>
          <w:rFonts w:ascii="Arial" w:cs="Arial" w:eastAsia="Arial" w:hAnsi="Arial"/>
          <w:sz w:val="11"/>
          <w:szCs w:val="11"/>
          <w:color w:val="auto"/>
        </w:rPr>
      </w:pPr>
    </w:p>
    <w:p>
      <w:pPr>
        <w:ind w:left="1" w:right="2500" w:hanging="1"/>
        <w:spacing w:after="0" w:line="239" w:lineRule="auto"/>
        <w:tabs>
          <w:tab w:leader="none" w:pos="161" w:val="left"/>
        </w:tabs>
        <w:numPr>
          <w:ilvl w:val="0"/>
          <w:numId w:val="23"/>
        </w:numPr>
        <w:rPr>
          <w:rFonts w:ascii="Arial" w:cs="Arial" w:eastAsia="Arial" w:hAnsi="Arial"/>
          <w:sz w:val="11"/>
          <w:szCs w:val="11"/>
          <w:color w:val="auto"/>
        </w:rPr>
      </w:pPr>
      <w:r>
        <w:rPr>
          <w:rFonts w:ascii="Arial" w:cs="Arial" w:eastAsia="Arial" w:hAnsi="Arial"/>
          <w:sz w:val="11"/>
          <w:szCs w:val="11"/>
          <w:color w:val="auto"/>
        </w:rPr>
        <w:t>The year with the historic maximum level of dollarization for Wholesale Banking was 2012, for Mibanco was 2016, for Credit Card was in 2021 and for the rest of segments was 2009. * For dollarization figures in the quarter-end period, please refer to “12. Annexes – 12.2 Loan Portfolio Quality</w:t>
      </w:r>
    </w:p>
    <w:p>
      <w:pPr>
        <w:spacing w:after="0" w:line="220"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Evolution of Loans in Quarter-end Balances</w:t>
      </w:r>
    </w:p>
    <w:p>
      <w:pPr>
        <w:spacing w:after="0" w:line="183" w:lineRule="exact"/>
        <w:rPr>
          <w:sz w:val="20"/>
          <w:szCs w:val="20"/>
          <w:color w:val="auto"/>
        </w:rPr>
      </w:pPr>
    </w:p>
    <w:p>
      <w:pPr>
        <w:ind w:left="1" w:right="380"/>
        <w:spacing w:after="0" w:line="274" w:lineRule="auto"/>
        <w:rPr>
          <w:sz w:val="20"/>
          <w:szCs w:val="20"/>
          <w:color w:val="auto"/>
        </w:rPr>
      </w:pPr>
      <w:r>
        <w:rPr>
          <w:rFonts w:ascii="Arial" w:cs="Arial" w:eastAsia="Arial" w:hAnsi="Arial"/>
          <w:sz w:val="16"/>
          <w:szCs w:val="16"/>
          <w:color w:val="auto"/>
        </w:rPr>
        <w:t>Structural loans rose 2.2% in quarter-end balances, driven by the same factors as those seen in the analysis of loans in average daily balances. If we incorporate the contraction in the PG portfolio in the analysis, total loans grew 1.6% QoQ.</w:t>
      </w:r>
    </w:p>
    <w:p>
      <w:pPr>
        <w:spacing w:after="0" w:line="124" w:lineRule="exact"/>
        <w:rPr>
          <w:sz w:val="20"/>
          <w:szCs w:val="20"/>
          <w:color w:val="auto"/>
        </w:rPr>
      </w:pPr>
    </w:p>
    <w:p>
      <w:pPr>
        <w:ind w:left="1" w:right="200"/>
        <w:spacing w:after="0" w:line="274" w:lineRule="auto"/>
        <w:rPr>
          <w:sz w:val="20"/>
          <w:szCs w:val="20"/>
          <w:color w:val="auto"/>
        </w:rPr>
      </w:pPr>
      <w:r>
        <w:rPr>
          <w:rFonts w:ascii="Arial" w:cs="Arial" w:eastAsia="Arial" w:hAnsi="Arial"/>
          <w:sz w:val="16"/>
          <w:szCs w:val="16"/>
          <w:color w:val="auto"/>
        </w:rPr>
        <w:t>In the YoY evolution, structural loans increased 1.3% due to the same factors that drove the evolution of ADBs. If we include the drop in GP loans in the analysis, total loans decreased 4.1%.</w:t>
      </w:r>
    </w:p>
    <w:p>
      <w:pPr>
        <w:spacing w:after="0" w:line="128"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1.2. Portfolio Quality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Quality of the Structural Portfolio (In Quarter-end Balances)</w:t>
      </w:r>
    </w:p>
    <w:p>
      <w:pPr>
        <w:spacing w:after="0" w:line="168" w:lineRule="exact"/>
        <w:rPr>
          <w:sz w:val="20"/>
          <w:szCs w:val="20"/>
          <w:color w:val="auto"/>
        </w:rPr>
      </w:pPr>
    </w:p>
    <w:tbl>
      <w:tblPr>
        <w:tblLayout w:type="fixed"/>
        <w:tblInd w:w="11" w:type="dxa"/>
        <w:tblCellMar>
          <w:top w:w="0" w:type="dxa"/>
          <w:left w:w="0" w:type="dxa"/>
          <w:bottom w:w="0" w:type="dxa"/>
          <w:right w:w="0" w:type="dxa"/>
        </w:tblCellMar>
      </w:tblPr>
      <w:tr>
        <w:trPr>
          <w:trHeight w:val="177"/>
        </w:trPr>
        <w:tc>
          <w:tcPr>
            <w:tcW w:w="5140" w:type="dxa"/>
            <w:vAlign w:val="bottom"/>
            <w:tcBorders>
              <w:top w:val="single" w:sz="8" w:color="auto"/>
              <w:left w:val="single" w:sz="8" w:color="auto"/>
              <w:right w:val="single" w:sz="8" w:color="auto"/>
            </w:tcBorders>
            <w:shd w:val="clear" w:color="auto" w:fill="33CCCC"/>
          </w:tcPr>
          <w:p>
            <w:pPr>
              <w:ind w:left="20"/>
              <w:spacing w:after="0" w:line="177" w:lineRule="exact"/>
              <w:rPr>
                <w:sz w:val="20"/>
                <w:szCs w:val="20"/>
                <w:color w:val="auto"/>
              </w:rPr>
            </w:pPr>
            <w:r>
              <w:rPr>
                <w:rFonts w:ascii="Arial" w:cs="Arial" w:eastAsia="Arial" w:hAnsi="Arial"/>
                <w:sz w:val="16"/>
                <w:szCs w:val="16"/>
                <w:b w:val="1"/>
                <w:bCs w:val="1"/>
                <w:color w:val="FFFFFF"/>
              </w:rPr>
              <w:t>Structural Portfolio quality and Delinquency ratios</w:t>
            </w:r>
          </w:p>
        </w:tc>
        <w:tc>
          <w:tcPr>
            <w:tcW w:w="1360" w:type="dxa"/>
            <w:vAlign w:val="bottom"/>
            <w:tcBorders>
              <w:top w:val="single" w:sz="8" w:color="auto"/>
            </w:tcBorders>
            <w:shd w:val="clear" w:color="auto" w:fill="33CCCC"/>
          </w:tcPr>
          <w:p>
            <w:pPr>
              <w:spacing w:after="0"/>
              <w:rPr>
                <w:sz w:val="15"/>
                <w:szCs w:val="15"/>
                <w:color w:val="auto"/>
              </w:rPr>
            </w:pPr>
          </w:p>
        </w:tc>
        <w:tc>
          <w:tcPr>
            <w:tcW w:w="1220" w:type="dxa"/>
            <w:vAlign w:val="bottom"/>
            <w:tcBorders>
              <w:top w:val="single" w:sz="8" w:color="auto"/>
            </w:tcBorders>
            <w:vMerge w:val="restart"/>
            <w:shd w:val="clear" w:color="auto" w:fill="33CCCC"/>
          </w:tcPr>
          <w:p>
            <w:pPr>
              <w:jc w:val="right"/>
              <w:ind w:right="478"/>
              <w:spacing w:after="0"/>
              <w:rPr>
                <w:sz w:val="20"/>
                <w:szCs w:val="20"/>
                <w:color w:val="auto"/>
              </w:rPr>
            </w:pPr>
            <w:r>
              <w:rPr>
                <w:rFonts w:ascii="Arial" w:cs="Arial" w:eastAsia="Arial" w:hAnsi="Arial"/>
                <w:sz w:val="16"/>
                <w:szCs w:val="16"/>
                <w:b w:val="1"/>
                <w:bCs w:val="1"/>
                <w:color w:val="FFFFFF"/>
              </w:rPr>
              <w:t>As of</w:t>
            </w:r>
          </w:p>
        </w:tc>
        <w:tc>
          <w:tcPr>
            <w:tcW w:w="1080" w:type="dxa"/>
            <w:vAlign w:val="bottom"/>
            <w:tcBorders>
              <w:top w:val="single" w:sz="8" w:color="auto"/>
              <w:right w:val="single" w:sz="8" w:color="auto"/>
            </w:tcBorders>
            <w:shd w:val="clear" w:color="auto" w:fill="33CCCC"/>
          </w:tcPr>
          <w:p>
            <w:pPr>
              <w:spacing w:after="0"/>
              <w:rPr>
                <w:sz w:val="15"/>
                <w:szCs w:val="15"/>
                <w:color w:val="auto"/>
              </w:rPr>
            </w:pPr>
          </w:p>
        </w:tc>
        <w:tc>
          <w:tcPr>
            <w:tcW w:w="2460" w:type="dxa"/>
            <w:vAlign w:val="bottom"/>
            <w:tcBorders>
              <w:top w:val="single" w:sz="8" w:color="auto"/>
              <w:right w:val="single" w:sz="8" w:color="auto"/>
            </w:tcBorders>
            <w:gridSpan w:val="2"/>
            <w:vMerge w:val="restart"/>
            <w:shd w:val="clear" w:color="auto" w:fill="33CCCC"/>
          </w:tcPr>
          <w:p>
            <w:pPr>
              <w:ind w:left="820"/>
              <w:spacing w:after="0"/>
              <w:rPr>
                <w:sz w:val="20"/>
                <w:szCs w:val="20"/>
                <w:color w:val="auto"/>
              </w:rPr>
            </w:pPr>
            <w:r>
              <w:rPr>
                <w:rFonts w:ascii="Arial" w:cs="Arial" w:eastAsia="Arial" w:hAnsi="Arial"/>
                <w:sz w:val="16"/>
                <w:szCs w:val="16"/>
                <w:b w:val="1"/>
                <w:bCs w:val="1"/>
                <w:color w:val="FFFFFF"/>
              </w:rPr>
              <w:t>% change</w:t>
            </w:r>
          </w:p>
        </w:tc>
        <w:tc>
          <w:tcPr>
            <w:tcW w:w="0" w:type="dxa"/>
            <w:vAlign w:val="bottom"/>
          </w:tcPr>
          <w:p>
            <w:pPr>
              <w:spacing w:after="0"/>
              <w:rPr>
                <w:sz w:val="1"/>
                <w:szCs w:val="1"/>
                <w:color w:val="auto"/>
              </w:rPr>
            </w:pPr>
          </w:p>
        </w:tc>
      </w:tr>
      <w:tr>
        <w:trPr>
          <w:trHeight w:val="130"/>
        </w:trPr>
        <w:tc>
          <w:tcPr>
            <w:tcW w:w="5140" w:type="dxa"/>
            <w:vAlign w:val="bottom"/>
            <w:tcBorders>
              <w:left w:val="single" w:sz="8" w:color="auto"/>
              <w:right w:val="single" w:sz="8" w:color="auto"/>
            </w:tcBorders>
            <w:vMerge w:val="restart"/>
            <w:shd w:val="clear" w:color="auto" w:fill="33CCCC"/>
          </w:tcPr>
          <w:p>
            <w:pPr>
              <w:ind w:left="20"/>
              <w:spacing w:after="0"/>
              <w:rPr>
                <w:sz w:val="20"/>
                <w:szCs w:val="20"/>
                <w:color w:val="auto"/>
              </w:rPr>
            </w:pPr>
            <w:r>
              <w:rPr>
                <w:rFonts w:ascii="Arial" w:cs="Arial" w:eastAsia="Arial" w:hAnsi="Arial"/>
                <w:sz w:val="16"/>
                <w:szCs w:val="16"/>
                <w:b w:val="1"/>
                <w:bCs w:val="1"/>
                <w:color w:val="FFFFFF"/>
              </w:rPr>
              <w:t>S/000</w:t>
            </w:r>
          </w:p>
        </w:tc>
        <w:tc>
          <w:tcPr>
            <w:tcW w:w="1360" w:type="dxa"/>
            <w:vAlign w:val="bottom"/>
            <w:shd w:val="clear" w:color="auto" w:fill="33CCCC"/>
          </w:tcPr>
          <w:p>
            <w:pPr>
              <w:spacing w:after="0"/>
              <w:rPr>
                <w:sz w:val="11"/>
                <w:szCs w:val="11"/>
                <w:color w:val="auto"/>
              </w:rPr>
            </w:pPr>
          </w:p>
        </w:tc>
        <w:tc>
          <w:tcPr>
            <w:tcW w:w="1220" w:type="dxa"/>
            <w:vAlign w:val="bottom"/>
            <w:vMerge w:val="continue"/>
            <w:shd w:val="clear" w:color="auto" w:fill="33CCCC"/>
          </w:tcPr>
          <w:p>
            <w:pPr>
              <w:spacing w:after="0"/>
              <w:rPr>
                <w:sz w:val="11"/>
                <w:szCs w:val="11"/>
                <w:color w:val="auto"/>
              </w:rPr>
            </w:pPr>
          </w:p>
        </w:tc>
        <w:tc>
          <w:tcPr>
            <w:tcW w:w="1080" w:type="dxa"/>
            <w:vAlign w:val="bottom"/>
            <w:tcBorders>
              <w:right w:val="single" w:sz="8" w:color="auto"/>
            </w:tcBorders>
            <w:shd w:val="clear" w:color="auto" w:fill="33CCCC"/>
          </w:tcPr>
          <w:p>
            <w:pPr>
              <w:spacing w:after="0"/>
              <w:rPr>
                <w:sz w:val="11"/>
                <w:szCs w:val="11"/>
                <w:color w:val="auto"/>
              </w:rPr>
            </w:pPr>
          </w:p>
        </w:tc>
        <w:tc>
          <w:tcPr>
            <w:tcW w:w="2460" w:type="dxa"/>
            <w:vAlign w:val="bottom"/>
            <w:tcBorders>
              <w:right w:val="single" w:sz="8" w:color="auto"/>
            </w:tcBorders>
            <w:gridSpan w:val="2"/>
            <w:vMerge w:val="continue"/>
            <w:shd w:val="clear" w:color="auto" w:fill="33CCCC"/>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5140" w:type="dxa"/>
            <w:vAlign w:val="bottom"/>
            <w:tcBorders>
              <w:left w:val="single" w:sz="8" w:color="auto"/>
              <w:right w:val="single" w:sz="8" w:color="auto"/>
            </w:tcBorders>
            <w:vMerge w:val="continue"/>
            <w:shd w:val="clear" w:color="auto" w:fill="33CCCC"/>
          </w:tcPr>
          <w:p>
            <w:pPr>
              <w:spacing w:after="0"/>
              <w:rPr>
                <w:sz w:val="8"/>
                <w:szCs w:val="8"/>
                <w:color w:val="auto"/>
              </w:rPr>
            </w:pPr>
          </w:p>
        </w:tc>
        <w:tc>
          <w:tcPr>
            <w:tcW w:w="1360" w:type="dxa"/>
            <w:vAlign w:val="bottom"/>
            <w:vMerge w:val="restart"/>
            <w:shd w:val="clear" w:color="auto" w:fill="33CCCC"/>
          </w:tcPr>
          <w:p>
            <w:pPr>
              <w:jc w:val="right"/>
              <w:ind w:right="418"/>
              <w:spacing w:after="0"/>
              <w:rPr>
                <w:sz w:val="20"/>
                <w:szCs w:val="20"/>
                <w:color w:val="auto"/>
              </w:rPr>
            </w:pPr>
            <w:r>
              <w:rPr>
                <w:rFonts w:ascii="Arial" w:cs="Arial" w:eastAsia="Arial" w:hAnsi="Arial"/>
                <w:sz w:val="16"/>
                <w:szCs w:val="16"/>
                <w:b w:val="1"/>
                <w:bCs w:val="1"/>
                <w:color w:val="FFFFFF"/>
              </w:rPr>
              <w:t>Sep 22</w:t>
            </w:r>
          </w:p>
        </w:tc>
        <w:tc>
          <w:tcPr>
            <w:tcW w:w="1220" w:type="dxa"/>
            <w:vAlign w:val="bottom"/>
            <w:vMerge w:val="restart"/>
            <w:shd w:val="clear" w:color="auto" w:fill="33CCCC"/>
          </w:tcPr>
          <w:p>
            <w:pPr>
              <w:jc w:val="right"/>
              <w:ind w:right="418"/>
              <w:spacing w:after="0"/>
              <w:rPr>
                <w:sz w:val="20"/>
                <w:szCs w:val="20"/>
                <w:color w:val="auto"/>
              </w:rPr>
            </w:pPr>
            <w:r>
              <w:rPr>
                <w:rFonts w:ascii="Arial" w:cs="Arial" w:eastAsia="Arial" w:hAnsi="Arial"/>
                <w:sz w:val="16"/>
                <w:szCs w:val="16"/>
                <w:b w:val="1"/>
                <w:bCs w:val="1"/>
                <w:color w:val="FFFFFF"/>
              </w:rPr>
              <w:t>Jun 23</w:t>
            </w:r>
          </w:p>
        </w:tc>
        <w:tc>
          <w:tcPr>
            <w:tcW w:w="1080" w:type="dxa"/>
            <w:vAlign w:val="bottom"/>
            <w:tcBorders>
              <w:right w:val="single" w:sz="8" w:color="auto"/>
            </w:tcBorders>
            <w:vMerge w:val="restart"/>
            <w:shd w:val="clear" w:color="auto" w:fill="33CCCC"/>
          </w:tcPr>
          <w:p>
            <w:pPr>
              <w:jc w:val="right"/>
              <w:ind w:right="278"/>
              <w:spacing w:after="0"/>
              <w:rPr>
                <w:sz w:val="20"/>
                <w:szCs w:val="20"/>
                <w:color w:val="auto"/>
              </w:rPr>
            </w:pPr>
            <w:r>
              <w:rPr>
                <w:rFonts w:ascii="Arial" w:cs="Arial" w:eastAsia="Arial" w:hAnsi="Arial"/>
                <w:sz w:val="16"/>
                <w:szCs w:val="16"/>
                <w:b w:val="1"/>
                <w:bCs w:val="1"/>
                <w:color w:val="FFFFFF"/>
              </w:rPr>
              <w:t>Sep 23</w:t>
            </w:r>
          </w:p>
        </w:tc>
        <w:tc>
          <w:tcPr>
            <w:tcW w:w="1200" w:type="dxa"/>
            <w:vAlign w:val="bottom"/>
            <w:vMerge w:val="restart"/>
            <w:shd w:val="clear" w:color="auto" w:fill="33CCCC"/>
          </w:tcPr>
          <w:p>
            <w:pPr>
              <w:jc w:val="center"/>
              <w:spacing w:after="0"/>
              <w:rPr>
                <w:sz w:val="20"/>
                <w:szCs w:val="20"/>
                <w:color w:val="auto"/>
              </w:rPr>
            </w:pPr>
            <w:r>
              <w:rPr>
                <w:rFonts w:ascii="Arial" w:cs="Arial" w:eastAsia="Arial" w:hAnsi="Arial"/>
                <w:sz w:val="16"/>
                <w:szCs w:val="16"/>
                <w:b w:val="1"/>
                <w:bCs w:val="1"/>
                <w:color w:val="FFFFFF"/>
              </w:rPr>
              <w:t>QoQ</w:t>
            </w:r>
          </w:p>
        </w:tc>
        <w:tc>
          <w:tcPr>
            <w:tcW w:w="1260" w:type="dxa"/>
            <w:vAlign w:val="bottom"/>
            <w:tcBorders>
              <w:right w:val="single" w:sz="8" w:color="auto"/>
            </w:tcBorders>
            <w:vMerge w:val="restart"/>
            <w:shd w:val="clear" w:color="auto" w:fill="33CCCC"/>
          </w:tcPr>
          <w:p>
            <w:pPr>
              <w:jc w:val="center"/>
              <w:spacing w:after="0"/>
              <w:rPr>
                <w:sz w:val="20"/>
                <w:szCs w:val="20"/>
                <w:color w:val="auto"/>
              </w:rPr>
            </w:pPr>
            <w:r>
              <w:rPr>
                <w:rFonts w:ascii="Arial" w:cs="Arial" w:eastAsia="Arial" w:hAnsi="Arial"/>
                <w:sz w:val="16"/>
                <w:szCs w:val="16"/>
                <w:b w:val="1"/>
                <w:bCs w:val="1"/>
                <w:color w:val="FFFFFF"/>
                <w:w w:val="96"/>
              </w:rPr>
              <w:t>YoY</w:t>
            </w:r>
          </w:p>
        </w:tc>
        <w:tc>
          <w:tcPr>
            <w:tcW w:w="0" w:type="dxa"/>
            <w:vAlign w:val="bottom"/>
          </w:tcPr>
          <w:p>
            <w:pPr>
              <w:spacing w:after="0"/>
              <w:rPr>
                <w:sz w:val="1"/>
                <w:szCs w:val="1"/>
                <w:color w:val="auto"/>
              </w:rPr>
            </w:pPr>
          </w:p>
        </w:tc>
      </w:tr>
      <w:tr>
        <w:trPr>
          <w:trHeight w:val="163"/>
        </w:trPr>
        <w:tc>
          <w:tcPr>
            <w:tcW w:w="5140" w:type="dxa"/>
            <w:vAlign w:val="bottom"/>
            <w:tcBorders>
              <w:left w:val="single" w:sz="8" w:color="auto"/>
              <w:bottom w:val="single" w:sz="8" w:color="auto"/>
              <w:right w:val="single" w:sz="8" w:color="auto"/>
            </w:tcBorders>
            <w:shd w:val="clear" w:color="auto" w:fill="33CCCC"/>
          </w:tcPr>
          <w:p>
            <w:pPr>
              <w:spacing w:after="0"/>
              <w:rPr>
                <w:sz w:val="14"/>
                <w:szCs w:val="14"/>
                <w:color w:val="auto"/>
              </w:rPr>
            </w:pPr>
          </w:p>
        </w:tc>
        <w:tc>
          <w:tcPr>
            <w:tcW w:w="1360" w:type="dxa"/>
            <w:vAlign w:val="bottom"/>
            <w:tcBorders>
              <w:bottom w:val="single" w:sz="8" w:color="auto"/>
            </w:tcBorders>
            <w:vMerge w:val="continue"/>
            <w:shd w:val="clear" w:color="auto" w:fill="33CCCC"/>
          </w:tcPr>
          <w:p>
            <w:pPr>
              <w:spacing w:after="0"/>
              <w:rPr>
                <w:sz w:val="14"/>
                <w:szCs w:val="14"/>
                <w:color w:val="auto"/>
              </w:rPr>
            </w:pPr>
          </w:p>
        </w:tc>
        <w:tc>
          <w:tcPr>
            <w:tcW w:w="1220" w:type="dxa"/>
            <w:vAlign w:val="bottom"/>
            <w:tcBorders>
              <w:bottom w:val="single" w:sz="8" w:color="auto"/>
            </w:tcBorders>
            <w:vMerge w:val="continue"/>
            <w:shd w:val="clear" w:color="auto" w:fill="33CCCC"/>
          </w:tcPr>
          <w:p>
            <w:pPr>
              <w:spacing w:after="0"/>
              <w:rPr>
                <w:sz w:val="14"/>
                <w:szCs w:val="14"/>
                <w:color w:val="auto"/>
              </w:rPr>
            </w:pPr>
          </w:p>
        </w:tc>
        <w:tc>
          <w:tcPr>
            <w:tcW w:w="1080" w:type="dxa"/>
            <w:vAlign w:val="bottom"/>
            <w:tcBorders>
              <w:bottom w:val="single" w:sz="8" w:color="auto"/>
              <w:right w:val="single" w:sz="8" w:color="auto"/>
            </w:tcBorders>
            <w:vMerge w:val="continue"/>
            <w:shd w:val="clear" w:color="auto" w:fill="33CCCC"/>
          </w:tcPr>
          <w:p>
            <w:pPr>
              <w:spacing w:after="0"/>
              <w:rPr>
                <w:sz w:val="14"/>
                <w:szCs w:val="14"/>
                <w:color w:val="auto"/>
              </w:rPr>
            </w:pPr>
          </w:p>
        </w:tc>
        <w:tc>
          <w:tcPr>
            <w:tcW w:w="1200" w:type="dxa"/>
            <w:vAlign w:val="bottom"/>
            <w:tcBorders>
              <w:bottom w:val="single" w:sz="8" w:color="auto"/>
            </w:tcBorders>
            <w:vMerge w:val="continue"/>
            <w:shd w:val="clear" w:color="auto" w:fill="33CCCC"/>
          </w:tcPr>
          <w:p>
            <w:pPr>
              <w:spacing w:after="0"/>
              <w:rPr>
                <w:sz w:val="14"/>
                <w:szCs w:val="14"/>
                <w:color w:val="auto"/>
              </w:rPr>
            </w:pPr>
          </w:p>
        </w:tc>
        <w:tc>
          <w:tcPr>
            <w:tcW w:w="1260" w:type="dxa"/>
            <w:vAlign w:val="bottom"/>
            <w:tcBorders>
              <w:bottom w:val="single" w:sz="8" w:color="auto"/>
              <w:right w:val="single" w:sz="8" w:color="auto"/>
            </w:tcBorders>
            <w:vMerge w:val="continue"/>
            <w:shd w:val="clear" w:color="auto" w:fill="33CCCC"/>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5140" w:type="dxa"/>
            <w:vAlign w:val="bottom"/>
            <w:tcBorders>
              <w:left w:val="single" w:sz="8" w:color="auto"/>
              <w:bottom w:val="single" w:sz="8" w:color="auto"/>
              <w:right w:val="single" w:sz="8" w:color="auto"/>
            </w:tcBorders>
          </w:tcPr>
          <w:p>
            <w:pPr>
              <w:ind w:left="20"/>
              <w:spacing w:after="0" w:line="178" w:lineRule="exact"/>
              <w:rPr>
                <w:sz w:val="20"/>
                <w:szCs w:val="20"/>
                <w:color w:val="auto"/>
              </w:rPr>
            </w:pPr>
            <w:r>
              <w:rPr>
                <w:rFonts w:ascii="Arial" w:cs="Arial" w:eastAsia="Arial" w:hAnsi="Arial"/>
                <w:sz w:val="16"/>
                <w:szCs w:val="16"/>
                <w:b w:val="1"/>
                <w:bCs w:val="1"/>
                <w:color w:val="auto"/>
              </w:rPr>
              <w:t>Structural loans (Quarter-end balance)</w:t>
            </w:r>
          </w:p>
        </w:tc>
        <w:tc>
          <w:tcPr>
            <w:tcW w:w="1360" w:type="dxa"/>
            <w:vAlign w:val="bottom"/>
            <w:tcBorders>
              <w:bottom w:val="single" w:sz="8" w:color="auto"/>
            </w:tcBorders>
          </w:tcPr>
          <w:p>
            <w:pPr>
              <w:jc w:val="right"/>
              <w:ind w:right="58"/>
              <w:spacing w:after="0" w:line="178" w:lineRule="exact"/>
              <w:rPr>
                <w:sz w:val="20"/>
                <w:szCs w:val="20"/>
                <w:color w:val="auto"/>
              </w:rPr>
            </w:pPr>
            <w:r>
              <w:rPr>
                <w:rFonts w:ascii="Arial" w:cs="Arial" w:eastAsia="Arial" w:hAnsi="Arial"/>
                <w:sz w:val="16"/>
                <w:szCs w:val="16"/>
                <w:b w:val="1"/>
                <w:bCs w:val="1"/>
                <w:color w:val="auto"/>
              </w:rPr>
              <w:t>139,190,832</w:t>
            </w:r>
          </w:p>
        </w:tc>
        <w:tc>
          <w:tcPr>
            <w:tcW w:w="1220" w:type="dxa"/>
            <w:vAlign w:val="bottom"/>
            <w:tcBorders>
              <w:bottom w:val="single" w:sz="8" w:color="auto"/>
            </w:tcBorders>
          </w:tcPr>
          <w:p>
            <w:pPr>
              <w:jc w:val="right"/>
              <w:ind w:right="78"/>
              <w:spacing w:after="0" w:line="178" w:lineRule="exact"/>
              <w:rPr>
                <w:sz w:val="20"/>
                <w:szCs w:val="20"/>
                <w:color w:val="auto"/>
              </w:rPr>
            </w:pPr>
            <w:r>
              <w:rPr>
                <w:rFonts w:ascii="Arial" w:cs="Arial" w:eastAsia="Arial" w:hAnsi="Arial"/>
                <w:sz w:val="16"/>
                <w:szCs w:val="16"/>
                <w:b w:val="1"/>
                <w:bCs w:val="1"/>
                <w:color w:val="auto"/>
              </w:rPr>
              <w:t>137,905,144</w:t>
            </w:r>
          </w:p>
        </w:tc>
        <w:tc>
          <w:tcPr>
            <w:tcW w:w="1080" w:type="dxa"/>
            <w:vAlign w:val="bottom"/>
            <w:tcBorders>
              <w:bottom w:val="single" w:sz="8" w:color="auto"/>
              <w:right w:val="single" w:sz="8" w:color="auto"/>
            </w:tcBorders>
          </w:tcPr>
          <w:p>
            <w:pPr>
              <w:jc w:val="right"/>
              <w:spacing w:after="0" w:line="178" w:lineRule="exact"/>
              <w:rPr>
                <w:sz w:val="20"/>
                <w:szCs w:val="20"/>
                <w:color w:val="auto"/>
              </w:rPr>
            </w:pPr>
            <w:r>
              <w:rPr>
                <w:rFonts w:ascii="Arial" w:cs="Arial" w:eastAsia="Arial" w:hAnsi="Arial"/>
                <w:sz w:val="16"/>
                <w:szCs w:val="16"/>
                <w:b w:val="1"/>
                <w:bCs w:val="1"/>
                <w:color w:val="auto"/>
              </w:rPr>
              <w:t>140,949,490</w:t>
            </w:r>
          </w:p>
        </w:tc>
        <w:tc>
          <w:tcPr>
            <w:tcW w:w="1200" w:type="dxa"/>
            <w:vAlign w:val="bottom"/>
            <w:tcBorders>
              <w:bottom w:val="single" w:sz="8" w:color="auto"/>
            </w:tcBorders>
          </w:tcPr>
          <w:p>
            <w:pPr>
              <w:jc w:val="center"/>
              <w:spacing w:after="0" w:line="178" w:lineRule="exact"/>
              <w:rPr>
                <w:sz w:val="20"/>
                <w:szCs w:val="20"/>
                <w:color w:val="auto"/>
              </w:rPr>
            </w:pPr>
            <w:r>
              <w:rPr>
                <w:rFonts w:ascii="Arial" w:cs="Arial" w:eastAsia="Arial" w:hAnsi="Arial"/>
                <w:sz w:val="16"/>
                <w:szCs w:val="16"/>
                <w:b w:val="1"/>
                <w:bCs w:val="1"/>
                <w:color w:val="auto"/>
              </w:rPr>
              <w:t>2.2%</w:t>
            </w:r>
          </w:p>
        </w:tc>
        <w:tc>
          <w:tcPr>
            <w:tcW w:w="1260" w:type="dxa"/>
            <w:vAlign w:val="bottom"/>
            <w:tcBorders>
              <w:bottom w:val="single" w:sz="8" w:color="auto"/>
              <w:right w:val="single" w:sz="8" w:color="auto"/>
            </w:tcBorders>
          </w:tcPr>
          <w:p>
            <w:pPr>
              <w:jc w:val="center"/>
              <w:spacing w:after="0" w:line="178" w:lineRule="exact"/>
              <w:rPr>
                <w:sz w:val="20"/>
                <w:szCs w:val="20"/>
                <w:color w:val="auto"/>
              </w:rPr>
            </w:pPr>
            <w:r>
              <w:rPr>
                <w:rFonts w:ascii="Arial" w:cs="Arial" w:eastAsia="Arial" w:hAnsi="Arial"/>
                <w:sz w:val="16"/>
                <w:szCs w:val="16"/>
                <w:b w:val="1"/>
                <w:bCs w:val="1"/>
                <w:color w:val="auto"/>
              </w:rPr>
              <w:t>1.3%</w:t>
            </w:r>
          </w:p>
        </w:tc>
        <w:tc>
          <w:tcPr>
            <w:tcW w:w="0" w:type="dxa"/>
            <w:vAlign w:val="bottom"/>
          </w:tcPr>
          <w:p>
            <w:pPr>
              <w:spacing w:after="0"/>
              <w:rPr>
                <w:sz w:val="1"/>
                <w:szCs w:val="1"/>
                <w:color w:val="auto"/>
              </w:rPr>
            </w:pPr>
          </w:p>
        </w:tc>
      </w:tr>
      <w:tr>
        <w:trPr>
          <w:trHeight w:val="178"/>
        </w:trPr>
        <w:tc>
          <w:tcPr>
            <w:tcW w:w="5140" w:type="dxa"/>
            <w:vAlign w:val="bottom"/>
            <w:tcBorders>
              <w:left w:val="single" w:sz="8" w:color="auto"/>
              <w:bottom w:val="single" w:sz="8" w:color="auto"/>
              <w:right w:val="single" w:sz="8" w:color="auto"/>
            </w:tcBorders>
          </w:tcPr>
          <w:p>
            <w:pPr>
              <w:ind w:left="20"/>
              <w:spacing w:after="0" w:line="178" w:lineRule="exact"/>
              <w:rPr>
                <w:sz w:val="20"/>
                <w:szCs w:val="20"/>
                <w:color w:val="auto"/>
              </w:rPr>
            </w:pPr>
            <w:r>
              <w:rPr>
                <w:rFonts w:ascii="Arial" w:cs="Arial" w:eastAsia="Arial" w:hAnsi="Arial"/>
                <w:sz w:val="16"/>
                <w:szCs w:val="16"/>
                <w:color w:val="auto"/>
              </w:rPr>
              <w:t>Structural Allowance for loan losses</w:t>
            </w:r>
          </w:p>
        </w:tc>
        <w:tc>
          <w:tcPr>
            <w:tcW w:w="1360" w:type="dxa"/>
            <w:vAlign w:val="bottom"/>
            <w:tcBorders>
              <w:bottom w:val="single" w:sz="8" w:color="auto"/>
            </w:tcBorders>
          </w:tcPr>
          <w:p>
            <w:pPr>
              <w:jc w:val="right"/>
              <w:ind w:right="58"/>
              <w:spacing w:after="0" w:line="178" w:lineRule="exact"/>
              <w:rPr>
                <w:sz w:val="20"/>
                <w:szCs w:val="20"/>
                <w:color w:val="auto"/>
              </w:rPr>
            </w:pPr>
            <w:r>
              <w:rPr>
                <w:rFonts w:ascii="Arial" w:cs="Arial" w:eastAsia="Arial" w:hAnsi="Arial"/>
                <w:sz w:val="16"/>
                <w:szCs w:val="16"/>
                <w:color w:val="auto"/>
              </w:rPr>
              <w:t>7,875,552</w:t>
            </w:r>
          </w:p>
        </w:tc>
        <w:tc>
          <w:tcPr>
            <w:tcW w:w="1220" w:type="dxa"/>
            <w:vAlign w:val="bottom"/>
            <w:tcBorders>
              <w:bottom w:val="single" w:sz="8" w:color="auto"/>
            </w:tcBorders>
          </w:tcPr>
          <w:p>
            <w:pPr>
              <w:jc w:val="right"/>
              <w:ind w:right="78"/>
              <w:spacing w:after="0" w:line="178" w:lineRule="exact"/>
              <w:rPr>
                <w:sz w:val="20"/>
                <w:szCs w:val="20"/>
                <w:color w:val="auto"/>
              </w:rPr>
            </w:pPr>
            <w:r>
              <w:rPr>
                <w:rFonts w:ascii="Arial" w:cs="Arial" w:eastAsia="Arial" w:hAnsi="Arial"/>
                <w:sz w:val="16"/>
                <w:szCs w:val="16"/>
                <w:color w:val="auto"/>
              </w:rPr>
              <w:t>7,824,302</w:t>
            </w:r>
          </w:p>
        </w:tc>
        <w:tc>
          <w:tcPr>
            <w:tcW w:w="1080" w:type="dxa"/>
            <w:vAlign w:val="bottom"/>
            <w:tcBorders>
              <w:bottom w:val="single" w:sz="8" w:color="auto"/>
              <w:right w:val="single" w:sz="8" w:color="auto"/>
            </w:tcBorders>
          </w:tcPr>
          <w:p>
            <w:pPr>
              <w:jc w:val="right"/>
              <w:spacing w:after="0" w:line="178" w:lineRule="exact"/>
              <w:rPr>
                <w:sz w:val="20"/>
                <w:szCs w:val="20"/>
                <w:color w:val="auto"/>
              </w:rPr>
            </w:pPr>
            <w:r>
              <w:rPr>
                <w:rFonts w:ascii="Arial" w:cs="Arial" w:eastAsia="Arial" w:hAnsi="Arial"/>
                <w:sz w:val="16"/>
                <w:szCs w:val="16"/>
                <w:color w:val="auto"/>
              </w:rPr>
              <w:t>7,942,818</w:t>
            </w:r>
          </w:p>
        </w:tc>
        <w:tc>
          <w:tcPr>
            <w:tcW w:w="1200" w:type="dxa"/>
            <w:vAlign w:val="bottom"/>
            <w:tcBorders>
              <w:bottom w:val="single" w:sz="8" w:color="auto"/>
            </w:tcBorders>
          </w:tcPr>
          <w:p>
            <w:pPr>
              <w:jc w:val="center"/>
              <w:spacing w:after="0" w:line="178" w:lineRule="exact"/>
              <w:rPr>
                <w:sz w:val="20"/>
                <w:szCs w:val="20"/>
                <w:color w:val="auto"/>
              </w:rPr>
            </w:pPr>
            <w:r>
              <w:rPr>
                <w:rFonts w:ascii="Arial" w:cs="Arial" w:eastAsia="Arial" w:hAnsi="Arial"/>
                <w:sz w:val="16"/>
                <w:szCs w:val="16"/>
                <w:color w:val="auto"/>
              </w:rPr>
              <w:t>1.5%</w:t>
            </w:r>
          </w:p>
        </w:tc>
        <w:tc>
          <w:tcPr>
            <w:tcW w:w="1260" w:type="dxa"/>
            <w:vAlign w:val="bottom"/>
            <w:tcBorders>
              <w:bottom w:val="single" w:sz="8" w:color="auto"/>
              <w:right w:val="single" w:sz="8" w:color="auto"/>
            </w:tcBorders>
          </w:tcPr>
          <w:p>
            <w:pPr>
              <w:jc w:val="center"/>
              <w:spacing w:after="0" w:line="178" w:lineRule="exact"/>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190"/>
        </w:trPr>
        <w:tc>
          <w:tcPr>
            <w:tcW w:w="5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Structural Write-offs</w:t>
            </w:r>
          </w:p>
        </w:tc>
        <w:tc>
          <w:tcPr>
            <w:tcW w:w="136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837,924</w:t>
            </w:r>
          </w:p>
        </w:tc>
        <w:tc>
          <w:tcPr>
            <w:tcW w:w="122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682,154</w:t>
            </w:r>
          </w:p>
        </w:tc>
        <w:tc>
          <w:tcPr>
            <w:tcW w:w="1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1,018,084</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49.2%</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165"/>
        </w:trPr>
        <w:tc>
          <w:tcPr>
            <w:tcW w:w="5140" w:type="dxa"/>
            <w:vAlign w:val="bottom"/>
            <w:tcBorders>
              <w:left w:val="single" w:sz="8" w:color="auto"/>
              <w:right w:val="single" w:sz="8" w:color="auto"/>
            </w:tcBorders>
          </w:tcPr>
          <w:p>
            <w:pPr>
              <w:ind w:left="20"/>
              <w:spacing w:after="0" w:line="165" w:lineRule="exact"/>
              <w:rPr>
                <w:sz w:val="20"/>
                <w:szCs w:val="20"/>
                <w:color w:val="auto"/>
              </w:rPr>
            </w:pPr>
            <w:r>
              <w:rPr>
                <w:rFonts w:ascii="Arial" w:cs="Arial" w:eastAsia="Arial" w:hAnsi="Arial"/>
                <w:sz w:val="16"/>
                <w:szCs w:val="16"/>
                <w:color w:val="auto"/>
              </w:rPr>
              <w:t>Structural IOLs</w:t>
            </w:r>
          </w:p>
        </w:tc>
        <w:tc>
          <w:tcPr>
            <w:tcW w:w="1360" w:type="dxa"/>
            <w:vAlign w:val="bottom"/>
          </w:tcPr>
          <w:p>
            <w:pPr>
              <w:jc w:val="right"/>
              <w:ind w:right="58"/>
              <w:spacing w:after="0" w:line="165" w:lineRule="exact"/>
              <w:rPr>
                <w:sz w:val="20"/>
                <w:szCs w:val="20"/>
                <w:color w:val="auto"/>
              </w:rPr>
            </w:pPr>
            <w:r>
              <w:rPr>
                <w:rFonts w:ascii="Arial" w:cs="Arial" w:eastAsia="Arial" w:hAnsi="Arial"/>
                <w:sz w:val="16"/>
                <w:szCs w:val="16"/>
                <w:color w:val="auto"/>
              </w:rPr>
              <w:t>5,037,163</w:t>
            </w:r>
          </w:p>
        </w:tc>
        <w:tc>
          <w:tcPr>
            <w:tcW w:w="1220" w:type="dxa"/>
            <w:vAlign w:val="bottom"/>
          </w:tcPr>
          <w:p>
            <w:pPr>
              <w:jc w:val="right"/>
              <w:ind w:right="78"/>
              <w:spacing w:after="0" w:line="165" w:lineRule="exact"/>
              <w:rPr>
                <w:sz w:val="20"/>
                <w:szCs w:val="20"/>
                <w:color w:val="auto"/>
              </w:rPr>
            </w:pPr>
            <w:r>
              <w:rPr>
                <w:rFonts w:ascii="Arial" w:cs="Arial" w:eastAsia="Arial" w:hAnsi="Arial"/>
                <w:sz w:val="16"/>
                <w:szCs w:val="16"/>
                <w:color w:val="auto"/>
              </w:rPr>
              <w:t>5,182,725</w:t>
            </w:r>
          </w:p>
        </w:tc>
        <w:tc>
          <w:tcPr>
            <w:tcW w:w="1080" w:type="dxa"/>
            <w:vAlign w:val="bottom"/>
            <w:tcBorders>
              <w:right w:val="single" w:sz="8" w:color="auto"/>
            </w:tcBorders>
          </w:tcPr>
          <w:p>
            <w:pPr>
              <w:jc w:val="right"/>
              <w:spacing w:after="0" w:line="165" w:lineRule="exact"/>
              <w:rPr>
                <w:sz w:val="20"/>
                <w:szCs w:val="20"/>
                <w:color w:val="auto"/>
              </w:rPr>
            </w:pPr>
            <w:r>
              <w:rPr>
                <w:rFonts w:ascii="Arial" w:cs="Arial" w:eastAsia="Arial" w:hAnsi="Arial"/>
                <w:sz w:val="16"/>
                <w:szCs w:val="16"/>
                <w:color w:val="auto"/>
              </w:rPr>
              <w:t>5,578,985</w:t>
            </w:r>
          </w:p>
        </w:tc>
        <w:tc>
          <w:tcPr>
            <w:tcW w:w="1200" w:type="dxa"/>
            <w:vAlign w:val="bottom"/>
          </w:tcPr>
          <w:p>
            <w:pPr>
              <w:jc w:val="center"/>
              <w:spacing w:after="0" w:line="165" w:lineRule="exact"/>
              <w:rPr>
                <w:sz w:val="20"/>
                <w:szCs w:val="20"/>
                <w:color w:val="auto"/>
              </w:rPr>
            </w:pPr>
            <w:r>
              <w:rPr>
                <w:rFonts w:ascii="Arial" w:cs="Arial" w:eastAsia="Arial" w:hAnsi="Arial"/>
                <w:sz w:val="16"/>
                <w:szCs w:val="16"/>
                <w:color w:val="auto"/>
              </w:rPr>
              <w:t>7.6%</w:t>
            </w:r>
          </w:p>
        </w:tc>
        <w:tc>
          <w:tcPr>
            <w:tcW w:w="126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185"/>
        </w:trPr>
        <w:tc>
          <w:tcPr>
            <w:tcW w:w="5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Structural Refinanced loans</w:t>
            </w:r>
          </w:p>
        </w:tc>
        <w:tc>
          <w:tcPr>
            <w:tcW w:w="1360" w:type="dxa"/>
            <w:vAlign w:val="bottom"/>
          </w:tcPr>
          <w:p>
            <w:pPr>
              <w:jc w:val="right"/>
              <w:ind w:right="58"/>
              <w:spacing w:after="0"/>
              <w:rPr>
                <w:sz w:val="20"/>
                <w:szCs w:val="20"/>
                <w:color w:val="auto"/>
              </w:rPr>
            </w:pPr>
            <w:r>
              <w:rPr>
                <w:rFonts w:ascii="Arial" w:cs="Arial" w:eastAsia="Arial" w:hAnsi="Arial"/>
                <w:sz w:val="16"/>
                <w:szCs w:val="16"/>
                <w:color w:val="auto"/>
              </w:rPr>
              <w:t>1,808,982</w:t>
            </w:r>
          </w:p>
        </w:tc>
        <w:tc>
          <w:tcPr>
            <w:tcW w:w="1220" w:type="dxa"/>
            <w:vAlign w:val="bottom"/>
          </w:tcPr>
          <w:p>
            <w:pPr>
              <w:jc w:val="right"/>
              <w:ind w:right="78"/>
              <w:spacing w:after="0"/>
              <w:rPr>
                <w:sz w:val="20"/>
                <w:szCs w:val="20"/>
                <w:color w:val="auto"/>
              </w:rPr>
            </w:pPr>
            <w:r>
              <w:rPr>
                <w:rFonts w:ascii="Arial" w:cs="Arial" w:eastAsia="Arial" w:hAnsi="Arial"/>
                <w:sz w:val="16"/>
                <w:szCs w:val="16"/>
                <w:color w:val="auto"/>
              </w:rPr>
              <w:t>2,084,124</w:t>
            </w: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2,253,098</w:t>
            </w:r>
          </w:p>
        </w:tc>
        <w:tc>
          <w:tcPr>
            <w:tcW w:w="1200" w:type="dxa"/>
            <w:vAlign w:val="bottom"/>
          </w:tcPr>
          <w:p>
            <w:pPr>
              <w:jc w:val="center"/>
              <w:spacing w:after="0"/>
              <w:rPr>
                <w:sz w:val="20"/>
                <w:szCs w:val="20"/>
                <w:color w:val="auto"/>
              </w:rPr>
            </w:pPr>
            <w:r>
              <w:rPr>
                <w:rFonts w:ascii="Arial" w:cs="Arial" w:eastAsia="Arial" w:hAnsi="Arial"/>
                <w:sz w:val="16"/>
                <w:szCs w:val="16"/>
                <w:color w:val="auto"/>
              </w:rPr>
              <w:t>8.1%</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198"/>
        </w:trPr>
        <w:tc>
          <w:tcPr>
            <w:tcW w:w="5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Structural NPLs</w:t>
            </w:r>
          </w:p>
        </w:tc>
        <w:tc>
          <w:tcPr>
            <w:tcW w:w="136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6,846,145</w:t>
            </w:r>
          </w:p>
        </w:tc>
        <w:tc>
          <w:tcPr>
            <w:tcW w:w="122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7,266,849</w:t>
            </w:r>
          </w:p>
        </w:tc>
        <w:tc>
          <w:tcPr>
            <w:tcW w:w="1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7,832,083</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7.8%</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157"/>
        </w:trPr>
        <w:tc>
          <w:tcPr>
            <w:tcW w:w="5140" w:type="dxa"/>
            <w:vAlign w:val="bottom"/>
            <w:tcBorders>
              <w:left w:val="single" w:sz="8" w:color="auto"/>
              <w:right w:val="single" w:sz="8" w:color="auto"/>
            </w:tcBorders>
          </w:tcPr>
          <w:p>
            <w:pPr>
              <w:ind w:left="20"/>
              <w:spacing w:after="0" w:line="157" w:lineRule="exact"/>
              <w:rPr>
                <w:sz w:val="20"/>
                <w:szCs w:val="20"/>
                <w:color w:val="auto"/>
              </w:rPr>
            </w:pPr>
            <w:r>
              <w:rPr>
                <w:rFonts w:ascii="Arial" w:cs="Arial" w:eastAsia="Arial" w:hAnsi="Arial"/>
                <w:sz w:val="16"/>
                <w:szCs w:val="16"/>
                <w:b w:val="1"/>
                <w:bCs w:val="1"/>
                <w:color w:val="auto"/>
              </w:rPr>
              <w:t>Structural IOL ratio</w:t>
            </w:r>
          </w:p>
        </w:tc>
        <w:tc>
          <w:tcPr>
            <w:tcW w:w="1360" w:type="dxa"/>
            <w:vAlign w:val="bottom"/>
          </w:tcPr>
          <w:p>
            <w:pPr>
              <w:jc w:val="right"/>
              <w:ind w:right="58"/>
              <w:spacing w:after="0" w:line="157" w:lineRule="exact"/>
              <w:rPr>
                <w:sz w:val="20"/>
                <w:szCs w:val="20"/>
                <w:color w:val="auto"/>
              </w:rPr>
            </w:pPr>
            <w:r>
              <w:rPr>
                <w:rFonts w:ascii="Arial" w:cs="Arial" w:eastAsia="Arial" w:hAnsi="Arial"/>
                <w:sz w:val="16"/>
                <w:szCs w:val="16"/>
                <w:b w:val="1"/>
                <w:bCs w:val="1"/>
                <w:color w:val="auto"/>
              </w:rPr>
              <w:t>3.62%</w:t>
            </w:r>
          </w:p>
        </w:tc>
        <w:tc>
          <w:tcPr>
            <w:tcW w:w="1220" w:type="dxa"/>
            <w:vAlign w:val="bottom"/>
          </w:tcPr>
          <w:p>
            <w:pPr>
              <w:jc w:val="right"/>
              <w:ind w:right="78"/>
              <w:spacing w:after="0" w:line="157" w:lineRule="exact"/>
              <w:rPr>
                <w:sz w:val="20"/>
                <w:szCs w:val="20"/>
                <w:color w:val="auto"/>
              </w:rPr>
            </w:pPr>
            <w:r>
              <w:rPr>
                <w:rFonts w:ascii="Arial" w:cs="Arial" w:eastAsia="Arial" w:hAnsi="Arial"/>
                <w:sz w:val="16"/>
                <w:szCs w:val="16"/>
                <w:b w:val="1"/>
                <w:bCs w:val="1"/>
                <w:color w:val="auto"/>
              </w:rPr>
              <w:t>3.76%</w:t>
            </w:r>
          </w:p>
        </w:tc>
        <w:tc>
          <w:tcPr>
            <w:tcW w:w="1080" w:type="dxa"/>
            <w:vAlign w:val="bottom"/>
            <w:tcBorders>
              <w:right w:val="single" w:sz="8" w:color="auto"/>
            </w:tcBorders>
          </w:tcPr>
          <w:p>
            <w:pPr>
              <w:jc w:val="right"/>
              <w:spacing w:after="0" w:line="157" w:lineRule="exact"/>
              <w:rPr>
                <w:sz w:val="20"/>
                <w:szCs w:val="20"/>
                <w:color w:val="auto"/>
              </w:rPr>
            </w:pPr>
            <w:r>
              <w:rPr>
                <w:rFonts w:ascii="Arial" w:cs="Arial" w:eastAsia="Arial" w:hAnsi="Arial"/>
                <w:sz w:val="16"/>
                <w:szCs w:val="16"/>
                <w:b w:val="1"/>
                <w:bCs w:val="1"/>
                <w:color w:val="auto"/>
              </w:rPr>
              <w:t>3.96%</w:t>
            </w:r>
          </w:p>
        </w:tc>
        <w:tc>
          <w:tcPr>
            <w:tcW w:w="1200" w:type="dxa"/>
            <w:vAlign w:val="bottom"/>
          </w:tcPr>
          <w:p>
            <w:pPr>
              <w:jc w:val="center"/>
              <w:spacing w:after="0" w:line="157" w:lineRule="exact"/>
              <w:rPr>
                <w:sz w:val="20"/>
                <w:szCs w:val="20"/>
                <w:color w:val="auto"/>
              </w:rPr>
            </w:pPr>
            <w:r>
              <w:rPr>
                <w:rFonts w:ascii="Arial" w:cs="Arial" w:eastAsia="Arial" w:hAnsi="Arial"/>
                <w:sz w:val="16"/>
                <w:szCs w:val="16"/>
                <w:color w:val="auto"/>
              </w:rPr>
              <w:t>20 bps</w:t>
            </w:r>
          </w:p>
        </w:tc>
        <w:tc>
          <w:tcPr>
            <w:tcW w:w="126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6"/>
                <w:szCs w:val="16"/>
                <w:color w:val="auto"/>
              </w:rPr>
              <w:t>34 bps</w:t>
            </w:r>
          </w:p>
        </w:tc>
        <w:tc>
          <w:tcPr>
            <w:tcW w:w="0" w:type="dxa"/>
            <w:vAlign w:val="bottom"/>
          </w:tcPr>
          <w:p>
            <w:pPr>
              <w:spacing w:after="0"/>
              <w:rPr>
                <w:sz w:val="1"/>
                <w:szCs w:val="1"/>
                <w:color w:val="auto"/>
              </w:rPr>
            </w:pPr>
          </w:p>
        </w:tc>
      </w:tr>
      <w:tr>
        <w:trPr>
          <w:trHeight w:val="185"/>
        </w:trPr>
        <w:tc>
          <w:tcPr>
            <w:tcW w:w="5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Structural NPL ratio</w:t>
            </w:r>
          </w:p>
        </w:tc>
        <w:tc>
          <w:tcPr>
            <w:tcW w:w="1360" w:type="dxa"/>
            <w:vAlign w:val="bottom"/>
          </w:tcPr>
          <w:p>
            <w:pPr>
              <w:jc w:val="right"/>
              <w:ind w:right="58"/>
              <w:spacing w:after="0"/>
              <w:rPr>
                <w:sz w:val="20"/>
                <w:szCs w:val="20"/>
                <w:color w:val="auto"/>
              </w:rPr>
            </w:pPr>
            <w:r>
              <w:rPr>
                <w:rFonts w:ascii="Arial" w:cs="Arial" w:eastAsia="Arial" w:hAnsi="Arial"/>
                <w:sz w:val="16"/>
                <w:szCs w:val="16"/>
                <w:b w:val="1"/>
                <w:bCs w:val="1"/>
                <w:color w:val="auto"/>
              </w:rPr>
              <w:t>4.92%</w:t>
            </w:r>
          </w:p>
        </w:tc>
        <w:tc>
          <w:tcPr>
            <w:tcW w:w="1220" w:type="dxa"/>
            <w:vAlign w:val="bottom"/>
          </w:tcPr>
          <w:p>
            <w:pPr>
              <w:jc w:val="right"/>
              <w:ind w:right="78"/>
              <w:spacing w:after="0"/>
              <w:rPr>
                <w:sz w:val="20"/>
                <w:szCs w:val="20"/>
                <w:color w:val="auto"/>
              </w:rPr>
            </w:pPr>
            <w:r>
              <w:rPr>
                <w:rFonts w:ascii="Arial" w:cs="Arial" w:eastAsia="Arial" w:hAnsi="Arial"/>
                <w:sz w:val="16"/>
                <w:szCs w:val="16"/>
                <w:b w:val="1"/>
                <w:bCs w:val="1"/>
                <w:color w:val="auto"/>
              </w:rPr>
              <w:t>5.27%</w:t>
            </w: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5.56%</w:t>
            </w:r>
          </w:p>
        </w:tc>
        <w:tc>
          <w:tcPr>
            <w:tcW w:w="1200" w:type="dxa"/>
            <w:vAlign w:val="bottom"/>
          </w:tcPr>
          <w:p>
            <w:pPr>
              <w:jc w:val="center"/>
              <w:spacing w:after="0"/>
              <w:rPr>
                <w:sz w:val="20"/>
                <w:szCs w:val="20"/>
                <w:color w:val="auto"/>
              </w:rPr>
            </w:pPr>
            <w:r>
              <w:rPr>
                <w:rFonts w:ascii="Arial" w:cs="Arial" w:eastAsia="Arial" w:hAnsi="Arial"/>
                <w:sz w:val="16"/>
                <w:szCs w:val="16"/>
                <w:color w:val="auto"/>
              </w:rPr>
              <w:t>29 bps</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64 bps</w:t>
            </w:r>
          </w:p>
        </w:tc>
        <w:tc>
          <w:tcPr>
            <w:tcW w:w="0" w:type="dxa"/>
            <w:vAlign w:val="bottom"/>
          </w:tcPr>
          <w:p>
            <w:pPr>
              <w:spacing w:after="0"/>
              <w:rPr>
                <w:sz w:val="1"/>
                <w:szCs w:val="1"/>
                <w:color w:val="auto"/>
              </w:rPr>
            </w:pPr>
          </w:p>
        </w:tc>
      </w:tr>
      <w:tr>
        <w:trPr>
          <w:trHeight w:val="193"/>
        </w:trPr>
        <w:tc>
          <w:tcPr>
            <w:tcW w:w="51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Structural Allowance for loan losses over Structural loans</w:t>
            </w:r>
          </w:p>
        </w:tc>
        <w:tc>
          <w:tcPr>
            <w:tcW w:w="1360" w:type="dxa"/>
            <w:vAlign w:val="bottom"/>
          </w:tcPr>
          <w:p>
            <w:pPr>
              <w:jc w:val="right"/>
              <w:ind w:right="58"/>
              <w:spacing w:after="0"/>
              <w:rPr>
                <w:sz w:val="20"/>
                <w:szCs w:val="20"/>
                <w:color w:val="auto"/>
              </w:rPr>
            </w:pPr>
            <w:r>
              <w:rPr>
                <w:rFonts w:ascii="Arial" w:cs="Arial" w:eastAsia="Arial" w:hAnsi="Arial"/>
                <w:sz w:val="16"/>
                <w:szCs w:val="16"/>
                <w:b w:val="1"/>
                <w:bCs w:val="1"/>
                <w:color w:val="auto"/>
              </w:rPr>
              <w:t>5.7%</w:t>
            </w:r>
          </w:p>
        </w:tc>
        <w:tc>
          <w:tcPr>
            <w:tcW w:w="1220" w:type="dxa"/>
            <w:vAlign w:val="bottom"/>
          </w:tcPr>
          <w:p>
            <w:pPr>
              <w:jc w:val="right"/>
              <w:ind w:right="78"/>
              <w:spacing w:after="0"/>
              <w:rPr>
                <w:sz w:val="20"/>
                <w:szCs w:val="20"/>
                <w:color w:val="auto"/>
              </w:rPr>
            </w:pPr>
            <w:r>
              <w:rPr>
                <w:rFonts w:ascii="Arial" w:cs="Arial" w:eastAsia="Arial" w:hAnsi="Arial"/>
                <w:sz w:val="16"/>
                <w:szCs w:val="16"/>
                <w:b w:val="1"/>
                <w:bCs w:val="1"/>
                <w:color w:val="auto"/>
              </w:rPr>
              <w:t>5.7%</w:t>
            </w: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5.6%</w:t>
            </w:r>
          </w:p>
        </w:tc>
        <w:tc>
          <w:tcPr>
            <w:tcW w:w="1200" w:type="dxa"/>
            <w:vAlign w:val="bottom"/>
          </w:tcPr>
          <w:p>
            <w:pPr>
              <w:jc w:val="center"/>
              <w:spacing w:after="0"/>
              <w:rPr>
                <w:sz w:val="20"/>
                <w:szCs w:val="20"/>
                <w:color w:val="auto"/>
              </w:rPr>
            </w:pPr>
            <w:r>
              <w:rPr>
                <w:rFonts w:ascii="Arial" w:cs="Arial" w:eastAsia="Arial" w:hAnsi="Arial"/>
                <w:sz w:val="16"/>
                <w:szCs w:val="16"/>
                <w:color w:val="auto"/>
              </w:rPr>
              <w:t>-3 bps</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 bps</w:t>
            </w:r>
          </w:p>
        </w:tc>
        <w:tc>
          <w:tcPr>
            <w:tcW w:w="0" w:type="dxa"/>
            <w:vAlign w:val="bottom"/>
          </w:tcPr>
          <w:p>
            <w:pPr>
              <w:spacing w:after="0"/>
              <w:rPr>
                <w:sz w:val="1"/>
                <w:szCs w:val="1"/>
                <w:color w:val="auto"/>
              </w:rPr>
            </w:pPr>
          </w:p>
        </w:tc>
      </w:tr>
      <w:tr>
        <w:trPr>
          <w:trHeight w:val="198"/>
        </w:trPr>
        <w:tc>
          <w:tcPr>
            <w:tcW w:w="51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Structural Coverage ratio of NPLs</w:t>
            </w:r>
          </w:p>
        </w:tc>
        <w:tc>
          <w:tcPr>
            <w:tcW w:w="136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115.0%</w:t>
            </w:r>
          </w:p>
        </w:tc>
        <w:tc>
          <w:tcPr>
            <w:tcW w:w="122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107.7%</w:t>
            </w:r>
          </w:p>
        </w:tc>
        <w:tc>
          <w:tcPr>
            <w:tcW w:w="1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101.4%</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-626 bps</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-1363 bps</w:t>
            </w:r>
          </w:p>
        </w:tc>
        <w:tc>
          <w:tcPr>
            <w:tcW w:w="0" w:type="dxa"/>
            <w:vAlign w:val="bottom"/>
          </w:tcPr>
          <w:p>
            <w:pPr>
              <w:spacing w:after="0"/>
              <w:rPr>
                <w:sz w:val="1"/>
                <w:szCs w:val="1"/>
                <w:color w:val="auto"/>
              </w:rPr>
            </w:pPr>
          </w:p>
        </w:tc>
      </w:tr>
    </w:tbl>
    <w:p>
      <w:pPr>
        <w:spacing w:after="0" w:line="237" w:lineRule="exact"/>
        <w:rPr>
          <w:sz w:val="20"/>
          <w:szCs w:val="20"/>
          <w:color w:val="auto"/>
        </w:rPr>
      </w:pPr>
    </w:p>
    <w:p>
      <w:pPr>
        <w:ind w:left="1"/>
        <w:spacing w:after="0"/>
        <w:rPr>
          <w:sz w:val="20"/>
          <w:szCs w:val="20"/>
          <w:color w:val="auto"/>
        </w:rPr>
      </w:pPr>
      <w:r>
        <w:rPr>
          <w:rFonts w:ascii="Arial" w:cs="Arial" w:eastAsia="Arial" w:hAnsi="Arial"/>
          <w:sz w:val="11"/>
          <w:szCs w:val="11"/>
          <w:b w:val="1"/>
          <w:bCs w:val="1"/>
          <w:color w:val="auto"/>
        </w:rPr>
        <w:t>(1) The Structural Portfolio excludes Government Programs (GP) effects.</w:t>
      </w:r>
    </w:p>
    <w:p>
      <w:pPr>
        <w:spacing w:after="0" w:line="69" w:lineRule="exact"/>
        <w:rPr>
          <w:sz w:val="20"/>
          <w:szCs w:val="20"/>
          <w:color w:val="auto"/>
        </w:rPr>
      </w:pPr>
    </w:p>
    <w:p>
      <w:pPr>
        <w:jc w:val="both"/>
        <w:ind w:left="1"/>
        <w:spacing w:after="0" w:line="248" w:lineRule="auto"/>
        <w:rPr>
          <w:sz w:val="20"/>
          <w:szCs w:val="20"/>
          <w:color w:val="auto"/>
        </w:rPr>
      </w:pPr>
      <w:r>
        <w:rPr>
          <w:rFonts w:ascii="Arial" w:cs="Arial" w:eastAsia="Arial" w:hAnsi="Arial"/>
          <w:sz w:val="16"/>
          <w:szCs w:val="16"/>
          <w:color w:val="auto"/>
        </w:rPr>
        <w:t xml:space="preserve">In 3Q23, Structural NPLs grew 7.8% QoQ. This evolution was primarily driven by specific clients from the hotel and commercial real estate sectors in Wholesale Banking, which have experienced ongoing difficulties since the pandemic, and entered the overdue portfolio this quarter. Additionally, the payment capacity of clients in </w:t>
      </w:r>
      <w:r>
        <w:rPr>
          <w:rFonts w:ascii="Arial" w:cs="Arial" w:eastAsia="Arial" w:hAnsi="Arial"/>
          <w:sz w:val="16"/>
          <w:szCs w:val="16"/>
          <w:b w:val="1"/>
          <w:bCs w:val="1"/>
          <w:color w:val="auto"/>
        </w:rPr>
        <w:t>Retail Banking</w:t>
      </w:r>
      <w:r>
        <w:rPr>
          <w:rFonts w:ascii="Arial" w:cs="Arial" w:eastAsia="Arial" w:hAnsi="Arial"/>
          <w:sz w:val="16"/>
          <w:szCs w:val="16"/>
          <w:color w:val="auto"/>
        </w:rPr>
        <w:t xml:space="preserve"> and at </w:t>
      </w:r>
      <w:r>
        <w:rPr>
          <w:rFonts w:ascii="Arial" w:cs="Arial" w:eastAsia="Arial" w:hAnsi="Arial"/>
          <w:sz w:val="16"/>
          <w:szCs w:val="16"/>
          <w:b w:val="1"/>
          <w:bCs w:val="1"/>
          <w:color w:val="auto"/>
        </w:rPr>
        <w:t>Mibanco</w:t>
      </w:r>
      <w:r>
        <w:rPr>
          <w:rFonts w:ascii="Arial" w:cs="Arial" w:eastAsia="Arial" w:hAnsi="Arial"/>
          <w:sz w:val="16"/>
          <w:szCs w:val="16"/>
          <w:color w:val="auto"/>
        </w:rPr>
        <w:t xml:space="preserve"> faced challenges in a recessive macroeconomic environment- whose impacts are reflected in the growth in overdue loans in </w:t>
      </w:r>
      <w:r>
        <w:rPr>
          <w:rFonts w:ascii="Arial" w:cs="Arial" w:eastAsia="Arial" w:hAnsi="Arial"/>
          <w:sz w:val="16"/>
          <w:szCs w:val="16"/>
          <w:b w:val="1"/>
          <w:bCs w:val="1"/>
          <w:color w:val="auto"/>
        </w:rPr>
        <w:t>SME-Pyme, Consumer,</w:t>
      </w:r>
      <w:r>
        <w:rPr>
          <w:rFonts w:ascii="Arial" w:cs="Arial" w:eastAsia="Arial" w:hAnsi="Arial"/>
          <w:sz w:val="16"/>
          <w:szCs w:val="16"/>
          <w:color w:val="auto"/>
        </w:rPr>
        <w:t xml:space="preserve"> and </w:t>
      </w:r>
      <w:r>
        <w:rPr>
          <w:rFonts w:ascii="Arial" w:cs="Arial" w:eastAsia="Arial" w:hAnsi="Arial"/>
          <w:sz w:val="16"/>
          <w:szCs w:val="16"/>
          <w:b w:val="1"/>
          <w:bCs w:val="1"/>
          <w:color w:val="auto"/>
        </w:rPr>
        <w:t>Mibanco</w:t>
      </w:r>
      <w:r>
        <w:rPr>
          <w:rFonts w:ascii="Arial" w:cs="Arial" w:eastAsia="Arial" w:hAnsi="Arial"/>
          <w:sz w:val="16"/>
          <w:szCs w:val="16"/>
          <w:color w:val="auto"/>
        </w:rPr>
        <w:t xml:space="preserve"> and in Refinanced </w:t>
      </w:r>
      <w:r>
        <w:rPr>
          <w:rFonts w:ascii="Arial" w:cs="Arial" w:eastAsia="Arial" w:hAnsi="Arial"/>
          <w:sz w:val="16"/>
          <w:szCs w:val="16"/>
          <w:b w:val="1"/>
          <w:bCs w:val="1"/>
          <w:color w:val="auto"/>
        </w:rPr>
        <w:t>Mortgage</w:t>
      </w:r>
      <w:r>
        <w:rPr>
          <w:rFonts w:ascii="Arial" w:cs="Arial" w:eastAsia="Arial" w:hAnsi="Arial"/>
          <w:sz w:val="16"/>
          <w:szCs w:val="16"/>
          <w:color w:val="auto"/>
        </w:rPr>
        <w:t xml:space="preserve"> loans. </w:t>
      </w:r>
      <w:r>
        <w:rPr>
          <w:rFonts w:ascii="Arial" w:cs="Arial" w:eastAsia="Arial" w:hAnsi="Arial"/>
          <w:sz w:val="16"/>
          <w:szCs w:val="16"/>
          <w:b w:val="1"/>
          <w:bCs w:val="1"/>
          <w:color w:val="auto"/>
        </w:rPr>
        <w:t>YoY</w:t>
      </w:r>
      <w:r>
        <w:rPr>
          <w:rFonts w:ascii="Arial" w:cs="Arial" w:eastAsia="Arial" w:hAnsi="Arial"/>
          <w:sz w:val="16"/>
          <w:szCs w:val="16"/>
          <w:color w:val="auto"/>
        </w:rPr>
        <w:t xml:space="preserve">, the Structural NPLs increased 14.4%, driven by the same factors as those seen QoQ and accompanied by an uptick in refinanced loans in </w:t>
      </w:r>
      <w:r>
        <w:rPr>
          <w:rFonts w:ascii="Arial" w:cs="Arial" w:eastAsia="Arial" w:hAnsi="Arial"/>
          <w:sz w:val="16"/>
          <w:szCs w:val="16"/>
          <w:b w:val="1"/>
          <w:bCs w:val="1"/>
          <w:color w:val="auto"/>
        </w:rPr>
        <w:t>Wholesale Banking</w:t>
      </w:r>
      <w:r>
        <w:rPr>
          <w:rFonts w:ascii="Arial" w:cs="Arial" w:eastAsia="Arial" w:hAnsi="Arial"/>
          <w:sz w:val="16"/>
          <w:szCs w:val="16"/>
          <w:color w:val="auto"/>
        </w:rPr>
        <w:t xml:space="preserve"> for the hotel and commercial real estate sectors refinanced at the end of 2022 and the beginning of 2023.</w:t>
      </w:r>
    </w:p>
    <w:p>
      <w:pPr>
        <w:spacing w:after="0" w:line="31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43750" cy="158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312" w:right="339" w:bottom="1440" w:gutter="0" w:footer="0" w:header="0"/>
        </w:sectPr>
      </w:pPr>
    </w:p>
    <w:bookmarkStart w:id="21" w:name="page22"/>
    <w:bookmarkEnd w:id="21"/>
    <w:p>
      <w:pPr>
        <w:ind w:left="2960"/>
        <w:spacing w:after="0"/>
        <w:tabs>
          <w:tab w:leader="none" w:pos="3140" w:val="left"/>
          <w:tab w:leader="none" w:pos="7300" w:val="left"/>
        </w:tabs>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202565</wp:posOffset>
            </wp:positionH>
            <wp:positionV relativeFrom="page">
              <wp:posOffset>88900</wp:posOffset>
            </wp:positionV>
            <wp:extent cx="7143750" cy="3848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3750" cy="384810"/>
                    </a:xfrm>
                    <a:prstGeom prst="rect">
                      <a:avLst/>
                    </a:prstGeom>
                    <a:noFill/>
                  </pic:spPr>
                </pic:pic>
              </a:graphicData>
            </a:graphic>
          </wp:anchor>
        </w:drawing>
        <w:t>|</w:t>
      </w:r>
      <w:r>
        <w:rPr>
          <w:sz w:val="20"/>
          <w:szCs w:val="20"/>
          <w:color w:val="auto"/>
        </w:rPr>
        <w:tab/>
      </w:r>
      <w:r>
        <w:rPr>
          <w:rFonts w:ascii="Arial" w:cs="Arial" w:eastAsia="Arial" w:hAnsi="Arial"/>
          <w:sz w:val="16"/>
          <w:szCs w:val="16"/>
          <w:b w:val="1"/>
          <w:bCs w:val="1"/>
          <w:color w:val="FFFFFF"/>
        </w:rPr>
        <w:t>Earnings Release 3Q / 2023</w:t>
      </w:r>
      <w:r>
        <w:rPr>
          <w:sz w:val="20"/>
          <w:szCs w:val="20"/>
          <w:color w:val="auto"/>
        </w:rPr>
        <w:tab/>
      </w:r>
      <w:r>
        <w:rPr>
          <w:rFonts w:ascii="Arial" w:cs="Arial" w:eastAsia="Arial" w:hAnsi="Arial"/>
          <w:sz w:val="18"/>
          <w:szCs w:val="18"/>
          <w:b w:val="1"/>
          <w:bCs w:val="1"/>
          <w:color w:val="E93CAC"/>
        </w:rPr>
        <w:t>Analysis of 3Q23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143510</wp:posOffset>
            </wp:positionV>
            <wp:extent cx="7143750" cy="2038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3750" cy="203835"/>
                    </a:xfrm>
                    <a:prstGeom prst="rect">
                      <a:avLst/>
                    </a:prstGeom>
                    <a:noFill/>
                  </pic:spPr>
                </pic:pic>
              </a:graphicData>
            </a:graphic>
          </wp:anchor>
        </w:drawing>
      </w:r>
    </w:p>
    <w:p>
      <w:pPr>
        <w:spacing w:after="0" w:line="226"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FFFFFF"/>
        </w:rPr>
        <w:t>01. Loan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155575</wp:posOffset>
            </wp:positionV>
            <wp:extent cx="5416550" cy="31165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416550" cy="3116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 xml:space="preserve">In the </w:t>
      </w:r>
      <w:r>
        <w:rPr>
          <w:rFonts w:ascii="Arial" w:cs="Arial" w:eastAsia="Arial" w:hAnsi="Arial"/>
          <w:sz w:val="16"/>
          <w:szCs w:val="16"/>
          <w:b w:val="1"/>
          <w:bCs w:val="1"/>
          <w:color w:val="auto"/>
        </w:rPr>
        <w:t>QoQ</w:t>
      </w:r>
      <w:r>
        <w:rPr>
          <w:rFonts w:ascii="Arial" w:cs="Arial" w:eastAsia="Arial" w:hAnsi="Arial"/>
          <w:sz w:val="16"/>
          <w:szCs w:val="16"/>
          <w:color w:val="auto"/>
        </w:rPr>
        <w:t xml:space="preserve"> analysis, the volume of structural NPLs rose due to a deterioration in client payment capacity, which was in turn driven by the macroeconomic environment described above. The segments that contributed to growth were:</w:t>
      </w:r>
    </w:p>
    <w:p>
      <w:pPr>
        <w:spacing w:after="0" w:line="1" w:lineRule="exact"/>
        <w:rPr>
          <w:sz w:val="20"/>
          <w:szCs w:val="20"/>
          <w:color w:val="auto"/>
        </w:rPr>
      </w:pPr>
    </w:p>
    <w:p>
      <w:pPr>
        <w:jc w:val="both"/>
        <w:ind w:left="600" w:hanging="304"/>
        <w:spacing w:after="0" w:line="241" w:lineRule="auto"/>
        <w:tabs>
          <w:tab w:leader="none" w:pos="600" w:val="left"/>
        </w:tabs>
        <w:numPr>
          <w:ilvl w:val="0"/>
          <w:numId w:val="24"/>
        </w:numPr>
        <w:rPr>
          <w:rFonts w:ascii="Arial" w:cs="Arial" w:eastAsia="Arial" w:hAnsi="Arial"/>
          <w:sz w:val="16"/>
          <w:szCs w:val="16"/>
          <w:color w:val="auto"/>
        </w:rPr>
      </w:pPr>
      <w:r>
        <w:rPr>
          <w:rFonts w:ascii="Arial" w:cs="Arial" w:eastAsia="Arial" w:hAnsi="Arial"/>
          <w:sz w:val="16"/>
          <w:szCs w:val="16"/>
          <w:b w:val="1"/>
          <w:bCs w:val="1"/>
          <w:color w:val="auto"/>
        </w:rPr>
        <w:t>Wholesale Banking</w:t>
      </w:r>
      <w:r>
        <w:rPr>
          <w:rFonts w:ascii="Arial" w:cs="Arial" w:eastAsia="Arial" w:hAnsi="Arial"/>
          <w:sz w:val="16"/>
          <w:szCs w:val="16"/>
          <w:color w:val="auto"/>
        </w:rPr>
        <w:t>, where specific clients in the hotel and commercial real estate sectors, whose operations have suffered from ongoing</w:t>
      </w:r>
      <w:r>
        <w:rPr>
          <w:rFonts w:ascii="Arial" w:cs="Arial" w:eastAsia="Arial" w:hAnsi="Arial"/>
          <w:sz w:val="16"/>
          <w:szCs w:val="16"/>
          <w:b w:val="1"/>
          <w:bCs w:val="1"/>
          <w:color w:val="auto"/>
        </w:rPr>
        <w:t xml:space="preserve"> </w:t>
      </w:r>
      <w:r>
        <w:rPr>
          <w:rFonts w:ascii="Arial" w:cs="Arial" w:eastAsia="Arial" w:hAnsi="Arial"/>
          <w:sz w:val="16"/>
          <w:szCs w:val="16"/>
          <w:color w:val="auto"/>
        </w:rPr>
        <w:t>challenges since the pandemic, fell delinquent this quarter. It is important to note that these loans are backed by commercial guarantees that exceed 100% of each client’s total debt.</w:t>
      </w:r>
    </w:p>
    <w:p>
      <w:pPr>
        <w:spacing w:after="0" w:line="2" w:lineRule="exact"/>
        <w:rPr>
          <w:rFonts w:ascii="Arial" w:cs="Arial" w:eastAsia="Arial" w:hAnsi="Arial"/>
          <w:sz w:val="16"/>
          <w:szCs w:val="16"/>
          <w:color w:val="auto"/>
        </w:rPr>
      </w:pPr>
    </w:p>
    <w:p>
      <w:pPr>
        <w:ind w:left="600" w:hanging="304"/>
        <w:spacing w:after="0"/>
        <w:tabs>
          <w:tab w:leader="none" w:pos="600" w:val="left"/>
        </w:tabs>
        <w:numPr>
          <w:ilvl w:val="0"/>
          <w:numId w:val="24"/>
        </w:numPr>
        <w:rPr>
          <w:rFonts w:ascii="Arial" w:cs="Arial" w:eastAsia="Arial" w:hAnsi="Arial"/>
          <w:sz w:val="16"/>
          <w:szCs w:val="16"/>
          <w:color w:val="auto"/>
        </w:rPr>
      </w:pPr>
      <w:r>
        <w:rPr>
          <w:rFonts w:ascii="Arial" w:cs="Arial" w:eastAsia="Arial" w:hAnsi="Arial"/>
          <w:sz w:val="16"/>
          <w:szCs w:val="16"/>
          <w:b w:val="1"/>
          <w:bCs w:val="1"/>
          <w:color w:val="auto"/>
        </w:rPr>
        <w:t>Individuals:</w:t>
      </w:r>
    </w:p>
    <w:p>
      <w:pPr>
        <w:spacing w:after="0" w:line="1" w:lineRule="exact"/>
        <w:rPr>
          <w:sz w:val="20"/>
          <w:szCs w:val="20"/>
          <w:color w:val="auto"/>
        </w:rPr>
      </w:pPr>
    </w:p>
    <w:p>
      <w:pPr>
        <w:ind w:left="1180" w:hanging="291"/>
        <w:spacing w:after="0" w:line="249" w:lineRule="auto"/>
        <w:tabs>
          <w:tab w:leader="none" w:pos="1180" w:val="left"/>
        </w:tabs>
        <w:numPr>
          <w:ilvl w:val="1"/>
          <w:numId w:val="25"/>
        </w:numPr>
        <w:rPr>
          <w:rFonts w:ascii="Arial" w:cs="Arial" w:eastAsia="Arial" w:hAnsi="Arial"/>
          <w:sz w:val="16"/>
          <w:szCs w:val="16"/>
          <w:color w:val="auto"/>
        </w:rPr>
      </w:pPr>
      <w:r>
        <w:rPr>
          <w:rFonts w:ascii="Arial" w:cs="Arial" w:eastAsia="Arial" w:hAnsi="Arial"/>
          <w:sz w:val="16"/>
          <w:szCs w:val="16"/>
          <w:b w:val="1"/>
          <w:bCs w:val="1"/>
          <w:color w:val="auto"/>
        </w:rPr>
        <w:t>Consumer and Credit Cards</w:t>
      </w:r>
      <w:r>
        <w:rPr>
          <w:rFonts w:ascii="Arial" w:cs="Arial" w:eastAsia="Arial" w:hAnsi="Arial"/>
          <w:sz w:val="16"/>
          <w:szCs w:val="16"/>
          <w:color w:val="auto"/>
        </w:rPr>
        <w:t>, where NPL loans were concentrated in more vulnerable sub-segments where clients are highly leveraged</w:t>
      </w:r>
      <w:r>
        <w:rPr>
          <w:rFonts w:ascii="Arial" w:cs="Arial" w:eastAsia="Arial" w:hAnsi="Arial"/>
          <w:sz w:val="16"/>
          <w:szCs w:val="16"/>
          <w:b w:val="1"/>
          <w:bCs w:val="1"/>
          <w:color w:val="auto"/>
        </w:rPr>
        <w:t xml:space="preserve"> </w:t>
      </w:r>
      <w:r>
        <w:rPr>
          <w:rFonts w:ascii="Arial" w:cs="Arial" w:eastAsia="Arial" w:hAnsi="Arial"/>
          <w:sz w:val="16"/>
          <w:szCs w:val="16"/>
          <w:color w:val="auto"/>
        </w:rPr>
        <w:t>at the systemic level and impacted by job instability, both of which reflect the recessive environment in play throughout 2023.</w:t>
      </w:r>
    </w:p>
    <w:p>
      <w:pPr>
        <w:ind w:left="1180" w:hanging="291"/>
        <w:spacing w:after="0"/>
        <w:tabs>
          <w:tab w:leader="none" w:pos="1180" w:val="left"/>
        </w:tabs>
        <w:numPr>
          <w:ilvl w:val="1"/>
          <w:numId w:val="25"/>
        </w:numPr>
        <w:rPr>
          <w:rFonts w:ascii="Arial" w:cs="Arial" w:eastAsia="Arial" w:hAnsi="Arial"/>
          <w:sz w:val="16"/>
          <w:szCs w:val="16"/>
          <w:color w:val="auto"/>
        </w:rPr>
      </w:pPr>
      <w:r>
        <w:rPr>
          <w:rFonts w:ascii="Arial" w:cs="Arial" w:eastAsia="Arial" w:hAnsi="Arial"/>
          <w:sz w:val="16"/>
          <w:szCs w:val="16"/>
          <w:b w:val="1"/>
          <w:bCs w:val="1"/>
          <w:color w:val="auto"/>
        </w:rPr>
        <w:t>Mortgage</w:t>
      </w:r>
      <w:r>
        <w:rPr>
          <w:rFonts w:ascii="Arial" w:cs="Arial" w:eastAsia="Arial" w:hAnsi="Arial"/>
          <w:sz w:val="16"/>
          <w:szCs w:val="16"/>
          <w:color w:val="auto"/>
        </w:rPr>
        <w:t>, given an uptick in refinanced loans of some clients who had benefitted from loan reprogramming during the pandemic.</w:t>
      </w:r>
    </w:p>
    <w:p>
      <w:pPr>
        <w:spacing w:after="0" w:line="2" w:lineRule="exact"/>
        <w:rPr>
          <w:rFonts w:ascii="Arial" w:cs="Arial" w:eastAsia="Arial" w:hAnsi="Arial"/>
          <w:sz w:val="16"/>
          <w:szCs w:val="16"/>
          <w:color w:val="auto"/>
        </w:rPr>
      </w:pPr>
    </w:p>
    <w:p>
      <w:pPr>
        <w:ind w:left="600" w:hanging="304"/>
        <w:spacing w:after="0" w:line="241" w:lineRule="auto"/>
        <w:tabs>
          <w:tab w:leader="none" w:pos="600" w:val="left"/>
        </w:tabs>
        <w:numPr>
          <w:ilvl w:val="0"/>
          <w:numId w:val="25"/>
        </w:numPr>
        <w:rPr>
          <w:rFonts w:ascii="Arial" w:cs="Arial" w:eastAsia="Arial" w:hAnsi="Arial"/>
          <w:sz w:val="16"/>
          <w:szCs w:val="16"/>
          <w:color w:val="auto"/>
        </w:rPr>
      </w:pPr>
      <w:r>
        <w:rPr>
          <w:rFonts w:ascii="Arial" w:cs="Arial" w:eastAsia="Arial" w:hAnsi="Arial"/>
          <w:sz w:val="16"/>
          <w:szCs w:val="16"/>
          <w:b w:val="1"/>
          <w:bCs w:val="1"/>
          <w:color w:val="auto"/>
        </w:rPr>
        <w:t xml:space="preserve">SME-Pyme, </w:t>
      </w:r>
      <w:r>
        <w:rPr>
          <w:rFonts w:ascii="Arial" w:cs="Arial" w:eastAsia="Arial" w:hAnsi="Arial"/>
          <w:sz w:val="16"/>
          <w:szCs w:val="16"/>
          <w:color w:val="auto"/>
        </w:rPr>
        <w:t>which experienced growth in NPL that was concentrated in lower-ticket loans (&lt; S/90 thousand) that are also higher risk; holders of</w:t>
      </w:r>
      <w:r>
        <w:rPr>
          <w:rFonts w:ascii="Arial" w:cs="Arial" w:eastAsia="Arial" w:hAnsi="Arial"/>
          <w:sz w:val="16"/>
          <w:szCs w:val="16"/>
          <w:b w:val="1"/>
          <w:bCs w:val="1"/>
          <w:color w:val="auto"/>
        </w:rPr>
        <w:t xml:space="preserve"> </w:t>
      </w:r>
      <w:r>
        <w:rPr>
          <w:rFonts w:ascii="Arial" w:cs="Arial" w:eastAsia="Arial" w:hAnsi="Arial"/>
          <w:sz w:val="16"/>
          <w:szCs w:val="16"/>
          <w:color w:val="auto"/>
        </w:rPr>
        <w:t>these loans have been impacted by the lack of economic reactivation, elevated inflation, and high- interest rates.</w:t>
      </w:r>
    </w:p>
    <w:p>
      <w:pPr>
        <w:spacing w:after="0" w:line="1" w:lineRule="exact"/>
        <w:rPr>
          <w:rFonts w:ascii="Arial" w:cs="Arial" w:eastAsia="Arial" w:hAnsi="Arial"/>
          <w:sz w:val="16"/>
          <w:szCs w:val="16"/>
          <w:color w:val="auto"/>
        </w:rPr>
      </w:pPr>
    </w:p>
    <w:p>
      <w:pPr>
        <w:ind w:left="600" w:hanging="304"/>
        <w:spacing w:after="0" w:line="259" w:lineRule="auto"/>
        <w:tabs>
          <w:tab w:leader="none" w:pos="600" w:val="left"/>
        </w:tabs>
        <w:numPr>
          <w:ilvl w:val="0"/>
          <w:numId w:val="25"/>
        </w:numPr>
        <w:rPr>
          <w:rFonts w:ascii="Arial" w:cs="Arial" w:eastAsia="Arial" w:hAnsi="Arial"/>
          <w:sz w:val="16"/>
          <w:szCs w:val="16"/>
          <w:color w:val="auto"/>
        </w:rPr>
      </w:pPr>
      <w:r>
        <w:rPr>
          <w:rFonts w:ascii="Arial" w:cs="Arial" w:eastAsia="Arial" w:hAnsi="Arial"/>
          <w:sz w:val="16"/>
          <w:szCs w:val="16"/>
          <w:b w:val="1"/>
          <w:bCs w:val="1"/>
          <w:color w:val="auto"/>
        </w:rPr>
        <w:t>Mibanco</w:t>
      </w:r>
      <w:r>
        <w:rPr>
          <w:rFonts w:ascii="Arial" w:cs="Arial" w:eastAsia="Arial" w:hAnsi="Arial"/>
          <w:sz w:val="16"/>
          <w:szCs w:val="16"/>
          <w:color w:val="auto"/>
        </w:rPr>
        <w:t>, where overdue loans are concentrated within a sub-set of clients that are highly leveraged and those who have been impacted by social</w:t>
      </w:r>
      <w:r>
        <w:rPr>
          <w:rFonts w:ascii="Arial" w:cs="Arial" w:eastAsia="Arial" w:hAnsi="Arial"/>
          <w:sz w:val="16"/>
          <w:szCs w:val="16"/>
          <w:b w:val="1"/>
          <w:bCs w:val="1"/>
          <w:color w:val="auto"/>
        </w:rPr>
        <w:t xml:space="preserve"> </w:t>
      </w:r>
      <w:r>
        <w:rPr>
          <w:rFonts w:ascii="Arial" w:cs="Arial" w:eastAsia="Arial" w:hAnsi="Arial"/>
          <w:sz w:val="16"/>
          <w:szCs w:val="16"/>
          <w:color w:val="auto"/>
        </w:rPr>
        <w:t>conflicts or climate anomalies.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YoY</w:t>
      </w:r>
      <w:r>
        <w:rPr>
          <w:rFonts w:ascii="Arial" w:cs="Arial" w:eastAsia="Arial" w:hAnsi="Arial"/>
          <w:sz w:val="16"/>
          <w:szCs w:val="16"/>
          <w:color w:val="auto"/>
        </w:rPr>
        <w:t>, growth in NPLS was driven by:</w:t>
      </w:r>
    </w:p>
    <w:p>
      <w:pPr>
        <w:spacing w:after="0" w:line="21" w:lineRule="exact"/>
        <w:rPr>
          <w:sz w:val="20"/>
          <w:szCs w:val="20"/>
          <w:color w:val="auto"/>
        </w:rPr>
      </w:pPr>
    </w:p>
    <w:p>
      <w:pPr>
        <w:jc w:val="both"/>
        <w:ind w:left="600" w:hanging="304"/>
        <w:spacing w:after="0" w:line="241" w:lineRule="auto"/>
        <w:tabs>
          <w:tab w:leader="none" w:pos="600" w:val="left"/>
        </w:tabs>
        <w:numPr>
          <w:ilvl w:val="0"/>
          <w:numId w:val="26"/>
        </w:numPr>
        <w:rPr>
          <w:rFonts w:ascii="Arial" w:cs="Arial" w:eastAsia="Arial" w:hAnsi="Arial"/>
          <w:sz w:val="16"/>
          <w:szCs w:val="16"/>
          <w:color w:val="auto"/>
        </w:rPr>
      </w:pPr>
      <w:r>
        <w:rPr>
          <w:rFonts w:ascii="Arial" w:cs="Arial" w:eastAsia="Arial" w:hAnsi="Arial"/>
          <w:sz w:val="16"/>
          <w:szCs w:val="16"/>
          <w:b w:val="1"/>
          <w:bCs w:val="1"/>
          <w:color w:val="auto"/>
        </w:rPr>
        <w:t>Wholesale Banking</w:t>
      </w:r>
      <w:r>
        <w:rPr>
          <w:rFonts w:ascii="Arial" w:cs="Arial" w:eastAsia="Arial" w:hAnsi="Arial"/>
          <w:sz w:val="16"/>
          <w:szCs w:val="16"/>
          <w:color w:val="auto"/>
        </w:rPr>
        <w:t>, due to the same dynamics in play QoQ and to the fact that during the second half of 2022 and the beginning of 2023, loans</w:t>
      </w:r>
      <w:r>
        <w:rPr>
          <w:rFonts w:ascii="Arial" w:cs="Arial" w:eastAsia="Arial" w:hAnsi="Arial"/>
          <w:sz w:val="16"/>
          <w:szCs w:val="16"/>
          <w:b w:val="1"/>
          <w:bCs w:val="1"/>
          <w:color w:val="auto"/>
        </w:rPr>
        <w:t xml:space="preserve"> </w:t>
      </w:r>
      <w:r>
        <w:rPr>
          <w:rFonts w:ascii="Arial" w:cs="Arial" w:eastAsia="Arial" w:hAnsi="Arial"/>
          <w:sz w:val="16"/>
          <w:szCs w:val="16"/>
          <w:color w:val="auto"/>
        </w:rPr>
        <w:t>were refinanced for clients in the commercial real estate and tourism sectors, both of which were hit hard by the pandemic and have yet to recover due to a challenging macro backdrop. It is important to note that loans to these clients are backed by extensive collateral and covered by provisions set aside prior to this reporting period.</w:t>
      </w:r>
    </w:p>
    <w:p>
      <w:pPr>
        <w:spacing w:after="0" w:line="2" w:lineRule="exact"/>
        <w:rPr>
          <w:rFonts w:ascii="Arial" w:cs="Arial" w:eastAsia="Arial" w:hAnsi="Arial"/>
          <w:sz w:val="16"/>
          <w:szCs w:val="16"/>
          <w:color w:val="auto"/>
        </w:rPr>
      </w:pPr>
    </w:p>
    <w:p>
      <w:pPr>
        <w:ind w:left="600" w:hanging="304"/>
        <w:spacing w:after="0"/>
        <w:tabs>
          <w:tab w:leader="none" w:pos="600" w:val="left"/>
        </w:tabs>
        <w:numPr>
          <w:ilvl w:val="0"/>
          <w:numId w:val="26"/>
        </w:numPr>
        <w:rPr>
          <w:rFonts w:ascii="Arial" w:cs="Arial" w:eastAsia="Arial" w:hAnsi="Arial"/>
          <w:sz w:val="16"/>
          <w:szCs w:val="16"/>
          <w:color w:val="auto"/>
        </w:rPr>
      </w:pPr>
      <w:r>
        <w:rPr>
          <w:rFonts w:ascii="Arial" w:cs="Arial" w:eastAsia="Arial" w:hAnsi="Arial"/>
          <w:sz w:val="16"/>
          <w:szCs w:val="16"/>
          <w:b w:val="1"/>
          <w:bCs w:val="1"/>
          <w:color w:val="auto"/>
        </w:rPr>
        <w:t>Individuals:</w:t>
      </w:r>
    </w:p>
    <w:p>
      <w:pPr>
        <w:spacing w:after="0" w:line="1" w:lineRule="exact"/>
        <w:rPr>
          <w:sz w:val="20"/>
          <w:szCs w:val="20"/>
          <w:color w:val="auto"/>
        </w:rPr>
      </w:pPr>
    </w:p>
    <w:p>
      <w:pPr>
        <w:jc w:val="both"/>
        <w:ind w:left="1180" w:hanging="291"/>
        <w:spacing w:after="0" w:line="241" w:lineRule="auto"/>
        <w:tabs>
          <w:tab w:leader="none" w:pos="1180" w:val="left"/>
        </w:tabs>
        <w:numPr>
          <w:ilvl w:val="1"/>
          <w:numId w:val="27"/>
        </w:numPr>
        <w:rPr>
          <w:rFonts w:ascii="Arial" w:cs="Arial" w:eastAsia="Arial" w:hAnsi="Arial"/>
          <w:sz w:val="16"/>
          <w:szCs w:val="16"/>
          <w:color w:val="auto"/>
        </w:rPr>
      </w:pPr>
      <w:r>
        <w:rPr>
          <w:rFonts w:ascii="Arial" w:cs="Arial" w:eastAsia="Arial" w:hAnsi="Arial"/>
          <w:sz w:val="16"/>
          <w:szCs w:val="16"/>
          <w:b w:val="1"/>
          <w:bCs w:val="1"/>
          <w:color w:val="auto"/>
        </w:rPr>
        <w:t>Consumer and Credit Cards</w:t>
      </w:r>
      <w:r>
        <w:rPr>
          <w:rFonts w:ascii="Arial" w:cs="Arial" w:eastAsia="Arial" w:hAnsi="Arial"/>
          <w:sz w:val="16"/>
          <w:szCs w:val="16"/>
          <w:color w:val="auto"/>
        </w:rPr>
        <w:t>, where the overdue loan portfolio has been impacted by delinquency that has accumulated throughout the</w:t>
      </w:r>
      <w:r>
        <w:rPr>
          <w:rFonts w:ascii="Arial" w:cs="Arial" w:eastAsia="Arial" w:hAnsi="Arial"/>
          <w:sz w:val="16"/>
          <w:szCs w:val="16"/>
          <w:b w:val="1"/>
          <w:bCs w:val="1"/>
          <w:color w:val="auto"/>
        </w:rPr>
        <w:t xml:space="preserve"> </w:t>
      </w:r>
      <w:r>
        <w:rPr>
          <w:rFonts w:ascii="Arial" w:cs="Arial" w:eastAsia="Arial" w:hAnsi="Arial"/>
          <w:sz w:val="16"/>
          <w:szCs w:val="16"/>
          <w:color w:val="auto"/>
        </w:rPr>
        <w:t>year. The uptick reported in delinquency this quarter was concentrated in the vulnerable clients subsegments (clients that are highly leveraged at the systemic level and are affected by job instability).</w:t>
      </w:r>
    </w:p>
    <w:p>
      <w:pPr>
        <w:spacing w:after="0" w:line="2" w:lineRule="exact"/>
        <w:rPr>
          <w:rFonts w:ascii="Arial" w:cs="Arial" w:eastAsia="Arial" w:hAnsi="Arial"/>
          <w:sz w:val="16"/>
          <w:szCs w:val="16"/>
          <w:color w:val="auto"/>
        </w:rPr>
      </w:pPr>
    </w:p>
    <w:p>
      <w:pPr>
        <w:ind w:left="1180" w:hanging="291"/>
        <w:spacing w:after="0"/>
        <w:tabs>
          <w:tab w:leader="none" w:pos="1180" w:val="left"/>
        </w:tabs>
        <w:numPr>
          <w:ilvl w:val="1"/>
          <w:numId w:val="27"/>
        </w:numPr>
        <w:rPr>
          <w:rFonts w:ascii="Arial" w:cs="Arial" w:eastAsia="Arial" w:hAnsi="Arial"/>
          <w:sz w:val="16"/>
          <w:szCs w:val="16"/>
          <w:color w:val="auto"/>
        </w:rPr>
      </w:pPr>
      <w:r>
        <w:rPr>
          <w:rFonts w:ascii="Arial" w:cs="Arial" w:eastAsia="Arial" w:hAnsi="Arial"/>
          <w:sz w:val="16"/>
          <w:szCs w:val="16"/>
          <w:b w:val="1"/>
          <w:bCs w:val="1"/>
          <w:color w:val="auto"/>
        </w:rPr>
        <w:t>Mortgage</w:t>
      </w:r>
      <w:r>
        <w:rPr>
          <w:rFonts w:ascii="Arial" w:cs="Arial" w:eastAsia="Arial" w:hAnsi="Arial"/>
          <w:sz w:val="16"/>
          <w:szCs w:val="16"/>
          <w:color w:val="auto"/>
        </w:rPr>
        <w:t>, where the uptick in NPLs was driven by the same dynamics as those seen QoQ.</w:t>
      </w:r>
    </w:p>
    <w:p>
      <w:pPr>
        <w:spacing w:after="0" w:line="1" w:lineRule="exact"/>
        <w:rPr>
          <w:rFonts w:ascii="Arial" w:cs="Arial" w:eastAsia="Arial" w:hAnsi="Arial"/>
          <w:sz w:val="16"/>
          <w:szCs w:val="16"/>
          <w:color w:val="auto"/>
        </w:rPr>
      </w:pPr>
    </w:p>
    <w:p>
      <w:pPr>
        <w:ind w:left="600" w:hanging="304"/>
        <w:spacing w:after="0" w:line="259" w:lineRule="auto"/>
        <w:tabs>
          <w:tab w:leader="none" w:pos="600" w:val="left"/>
        </w:tabs>
        <w:numPr>
          <w:ilvl w:val="0"/>
          <w:numId w:val="27"/>
        </w:numPr>
        <w:rPr>
          <w:rFonts w:ascii="Arial" w:cs="Arial" w:eastAsia="Arial" w:hAnsi="Arial"/>
          <w:sz w:val="16"/>
          <w:szCs w:val="16"/>
          <w:color w:val="auto"/>
        </w:rPr>
      </w:pPr>
      <w:r>
        <w:rPr>
          <w:rFonts w:ascii="Arial" w:cs="Arial" w:eastAsia="Arial" w:hAnsi="Arial"/>
          <w:sz w:val="16"/>
          <w:szCs w:val="16"/>
          <w:b w:val="1"/>
          <w:bCs w:val="1"/>
          <w:color w:val="auto"/>
        </w:rPr>
        <w:t>SME-Pyme</w:t>
      </w:r>
      <w:r>
        <w:rPr>
          <w:rFonts w:ascii="Arial" w:cs="Arial" w:eastAsia="Arial" w:hAnsi="Arial"/>
          <w:sz w:val="16"/>
          <w:szCs w:val="16"/>
          <w:color w:val="auto"/>
        </w:rPr>
        <w:t>, given that the overdue portfolio has been impacted by delinquency accumulated over the year, which has been concentrated in</w:t>
      </w:r>
      <w:r>
        <w:rPr>
          <w:rFonts w:ascii="Arial" w:cs="Arial" w:eastAsia="Arial" w:hAnsi="Arial"/>
          <w:sz w:val="16"/>
          <w:szCs w:val="16"/>
          <w:b w:val="1"/>
          <w:bCs w:val="1"/>
          <w:color w:val="auto"/>
        </w:rPr>
        <w:t xml:space="preserve"> </w:t>
      </w:r>
      <w:r>
        <w:rPr>
          <w:rFonts w:ascii="Arial" w:cs="Arial" w:eastAsia="Arial" w:hAnsi="Arial"/>
          <w:sz w:val="16"/>
          <w:szCs w:val="16"/>
          <w:color w:val="auto"/>
        </w:rPr>
        <w:t>lower-ticket clients (&lt; a S/90 mil) who are also high-risk.</w:t>
      </w:r>
    </w:p>
    <w:p>
      <w:pPr>
        <w:spacing w:after="0" w:line="29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43750" cy="158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312" w:right="339" w:bottom="1440" w:gutter="0" w:footer="0" w:header="0"/>
        </w:sectPr>
      </w:pPr>
    </w:p>
    <w:bookmarkStart w:id="22" w:name="page23"/>
    <w:bookmarkEnd w:id="22"/>
    <w:p>
      <w:pPr>
        <w:ind w:left="2960"/>
        <w:spacing w:after="0"/>
        <w:tabs>
          <w:tab w:leader="none" w:pos="3140" w:val="left"/>
          <w:tab w:leader="none" w:pos="7300" w:val="left"/>
        </w:tabs>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202565</wp:posOffset>
            </wp:positionH>
            <wp:positionV relativeFrom="page">
              <wp:posOffset>88900</wp:posOffset>
            </wp:positionV>
            <wp:extent cx="7143750" cy="3848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3750" cy="384810"/>
                    </a:xfrm>
                    <a:prstGeom prst="rect">
                      <a:avLst/>
                    </a:prstGeom>
                    <a:noFill/>
                  </pic:spPr>
                </pic:pic>
              </a:graphicData>
            </a:graphic>
          </wp:anchor>
        </w:drawing>
        <w:t>|</w:t>
      </w:r>
      <w:r>
        <w:rPr>
          <w:sz w:val="20"/>
          <w:szCs w:val="20"/>
          <w:color w:val="auto"/>
        </w:rPr>
        <w:tab/>
      </w:r>
      <w:r>
        <w:rPr>
          <w:rFonts w:ascii="Arial" w:cs="Arial" w:eastAsia="Arial" w:hAnsi="Arial"/>
          <w:sz w:val="16"/>
          <w:szCs w:val="16"/>
          <w:b w:val="1"/>
          <w:bCs w:val="1"/>
          <w:color w:val="FFFFFF"/>
        </w:rPr>
        <w:t>Earnings Release 3Q / 2023</w:t>
      </w:r>
      <w:r>
        <w:rPr>
          <w:sz w:val="20"/>
          <w:szCs w:val="20"/>
          <w:color w:val="auto"/>
        </w:rPr>
        <w:tab/>
      </w:r>
      <w:r>
        <w:rPr>
          <w:rFonts w:ascii="Arial" w:cs="Arial" w:eastAsia="Arial" w:hAnsi="Arial"/>
          <w:sz w:val="18"/>
          <w:szCs w:val="18"/>
          <w:b w:val="1"/>
          <w:bCs w:val="1"/>
          <w:color w:val="E93CAC"/>
        </w:rPr>
        <w:t>Analysis of 3Q23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143510</wp:posOffset>
            </wp:positionV>
            <wp:extent cx="7143750" cy="2038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3750" cy="203835"/>
                    </a:xfrm>
                    <a:prstGeom prst="rect">
                      <a:avLst/>
                    </a:prstGeom>
                    <a:noFill/>
                  </pic:spPr>
                </pic:pic>
              </a:graphicData>
            </a:graphic>
          </wp:anchor>
        </w:drawing>
      </w:r>
    </w:p>
    <w:p>
      <w:pPr>
        <w:spacing w:after="0" w:line="226" w:lineRule="exact"/>
        <w:rPr>
          <w:sz w:val="20"/>
          <w:szCs w:val="20"/>
          <w:color w:val="auto"/>
        </w:rPr>
      </w:pPr>
    </w:p>
    <w:p>
      <w:pPr>
        <w:ind w:left="340" w:hanging="325"/>
        <w:spacing w:after="0"/>
        <w:tabs>
          <w:tab w:leader="none" w:pos="340" w:val="left"/>
        </w:tabs>
        <w:numPr>
          <w:ilvl w:val="0"/>
          <w:numId w:val="28"/>
        </w:numPr>
        <w:rPr>
          <w:rFonts w:ascii="Arial" w:cs="Arial" w:eastAsia="Arial" w:hAnsi="Arial"/>
          <w:sz w:val="20"/>
          <w:szCs w:val="20"/>
          <w:b w:val="1"/>
          <w:bCs w:val="1"/>
          <w:color w:val="FFFFFF"/>
        </w:rPr>
      </w:pPr>
      <w:r>
        <w:rPr>
          <w:rFonts w:ascii="Arial" w:cs="Arial" w:eastAsia="Arial" w:hAnsi="Arial"/>
          <w:sz w:val="20"/>
          <w:szCs w:val="20"/>
          <w:b w:val="1"/>
          <w:bCs w:val="1"/>
          <w:color w:val="FFFFFF"/>
        </w:rPr>
        <w:t>Loan Portfolio</w:t>
      </w:r>
    </w:p>
    <w:p>
      <w:pPr>
        <w:spacing w:after="0" w:line="187" w:lineRule="exact"/>
        <w:rPr>
          <w:rFonts w:ascii="Arial" w:cs="Arial" w:eastAsia="Arial" w:hAnsi="Arial"/>
          <w:sz w:val="20"/>
          <w:szCs w:val="20"/>
          <w:b w:val="1"/>
          <w:bCs w:val="1"/>
          <w:color w:val="FFFFFF"/>
        </w:rPr>
      </w:pPr>
    </w:p>
    <w:p>
      <w:pPr>
        <w:ind w:left="1180" w:right="40" w:hanging="291"/>
        <w:spacing w:after="0" w:line="285" w:lineRule="auto"/>
        <w:tabs>
          <w:tab w:leader="none" w:pos="1180" w:val="left"/>
        </w:tabs>
        <w:numPr>
          <w:ilvl w:val="1"/>
          <w:numId w:val="28"/>
        </w:numPr>
        <w:rPr>
          <w:rFonts w:ascii="Arial" w:cs="Arial" w:eastAsia="Arial" w:hAnsi="Arial"/>
          <w:sz w:val="16"/>
          <w:szCs w:val="16"/>
          <w:color w:val="auto"/>
        </w:rPr>
      </w:pPr>
      <w:r>
        <w:rPr>
          <w:rFonts w:ascii="Arial" w:cs="Arial" w:eastAsia="Arial" w:hAnsi="Arial"/>
          <w:sz w:val="16"/>
          <w:szCs w:val="16"/>
          <w:b w:val="1"/>
          <w:bCs w:val="1"/>
          <w:color w:val="auto"/>
        </w:rPr>
        <w:t>Mibanco</w:t>
      </w:r>
      <w:r>
        <w:rPr>
          <w:rFonts w:ascii="Arial" w:cs="Arial" w:eastAsia="Arial" w:hAnsi="Arial"/>
          <w:sz w:val="16"/>
          <w:szCs w:val="16"/>
          <w:color w:val="auto"/>
        </w:rPr>
        <w:t>, where the recessive environment has impacted client payment capacity throughout the year, specifically among clients who are</w:t>
      </w:r>
      <w:r>
        <w:rPr>
          <w:rFonts w:ascii="Arial" w:cs="Arial" w:eastAsia="Arial" w:hAnsi="Arial"/>
          <w:sz w:val="16"/>
          <w:szCs w:val="16"/>
          <w:b w:val="1"/>
          <w:bCs w:val="1"/>
          <w:color w:val="auto"/>
        </w:rPr>
        <w:t xml:space="preserve"> </w:t>
      </w:r>
      <w:r>
        <w:rPr>
          <w:rFonts w:ascii="Arial" w:cs="Arial" w:eastAsia="Arial" w:hAnsi="Arial"/>
          <w:sz w:val="16"/>
          <w:szCs w:val="16"/>
          <w:color w:val="auto"/>
        </w:rPr>
        <w:t>highly indebted and those affected by social conflicts or climate anomalies.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Due to the aforementioned, the structural NPL ratio rose 29 bps QoQ and 64 bps YoY to stand at 5.6%.</w:t>
      </w:r>
    </w:p>
    <w:p>
      <w:pPr>
        <w:sectPr>
          <w:pgSz w:w="11900" w:h="16838" w:orient="portrait"/>
          <w:cols w:equalWidth="0" w:num="1">
            <w:col w:w="11240"/>
          </w:cols>
          <w:pgMar w:left="320" w:top="312" w:right="339" w:bottom="1440" w:gutter="0" w:footer="0" w:header="0"/>
        </w:sectPr>
      </w:pPr>
    </w:p>
    <w:p>
      <w:pPr>
        <w:spacing w:after="0" w:line="228" w:lineRule="exact"/>
        <w:rPr>
          <w:sz w:val="20"/>
          <w:szCs w:val="20"/>
          <w:color w:val="auto"/>
        </w:rPr>
      </w:pPr>
    </w:p>
    <w:p>
      <w:pPr>
        <w:jc w:val="center"/>
        <w:ind w:left="260"/>
        <w:spacing w:after="0"/>
        <w:rPr>
          <w:sz w:val="20"/>
          <w:szCs w:val="20"/>
          <w:color w:val="auto"/>
        </w:rPr>
      </w:pPr>
      <w:r>
        <w:rPr>
          <w:rFonts w:ascii="Arial" w:cs="Arial" w:eastAsia="Arial" w:hAnsi="Arial"/>
          <w:sz w:val="16"/>
          <w:szCs w:val="16"/>
          <w:b w:val="1"/>
          <w:bCs w:val="1"/>
          <w:color w:val="auto"/>
        </w:rPr>
        <w:t>Structural Write-offs</w:t>
      </w:r>
    </w:p>
    <w:p>
      <w:pPr>
        <w:spacing w:after="0" w:line="21" w:lineRule="exact"/>
        <w:rPr>
          <w:sz w:val="20"/>
          <w:szCs w:val="20"/>
          <w:color w:val="auto"/>
        </w:rPr>
      </w:pPr>
    </w:p>
    <w:p>
      <w:pPr>
        <w:jc w:val="center"/>
        <w:ind w:left="260"/>
        <w:spacing w:after="0"/>
        <w:rPr>
          <w:sz w:val="20"/>
          <w:szCs w:val="20"/>
          <w:color w:val="auto"/>
        </w:rPr>
      </w:pPr>
      <w:r>
        <w:rPr>
          <w:rFonts w:ascii="Arial" w:cs="Arial" w:eastAsia="Arial" w:hAnsi="Arial"/>
          <w:sz w:val="16"/>
          <w:szCs w:val="16"/>
          <w:color w:val="auto"/>
        </w:rPr>
        <w:t>(in Quarter-end balances– 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wp:posOffset>
            </wp:positionH>
            <wp:positionV relativeFrom="paragraph">
              <wp:posOffset>119380</wp:posOffset>
            </wp:positionV>
            <wp:extent cx="2465070" cy="1162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465070" cy="1162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120"/>
        <w:spacing w:after="0"/>
        <w:rPr>
          <w:sz w:val="20"/>
          <w:szCs w:val="20"/>
          <w:color w:val="auto"/>
        </w:rPr>
      </w:pPr>
      <w:r>
        <w:rPr>
          <w:rFonts w:ascii="Arial" w:cs="Arial" w:eastAsia="Arial" w:hAnsi="Arial"/>
          <w:sz w:val="16"/>
          <w:szCs w:val="16"/>
          <w:b w:val="1"/>
          <w:bCs w:val="1"/>
          <w:color w:val="auto"/>
        </w:rPr>
        <w:t>Coverage Ratio of Structural NPL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878840</wp:posOffset>
            </wp:positionH>
            <wp:positionV relativeFrom="paragraph">
              <wp:posOffset>132080</wp:posOffset>
            </wp:positionV>
            <wp:extent cx="2425700" cy="18370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425700" cy="18370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b w:val="1"/>
          <w:bCs w:val="1"/>
          <w:color w:val="auto"/>
        </w:rPr>
        <w:t>QoQ</w:t>
      </w:r>
      <w:r>
        <w:rPr>
          <w:rFonts w:ascii="Arial" w:cs="Arial" w:eastAsia="Arial" w:hAnsi="Arial"/>
          <w:sz w:val="16"/>
          <w:szCs w:val="16"/>
          <w:color w:val="auto"/>
        </w:rPr>
        <w:t>, structural write-offs remain at high levels and increased 49.2% after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considerable write-offs were made in the </w:t>
      </w:r>
      <w:r>
        <w:rPr>
          <w:rFonts w:ascii="Arial" w:cs="Arial" w:eastAsia="Arial" w:hAnsi="Arial"/>
          <w:sz w:val="16"/>
          <w:szCs w:val="16"/>
          <w:b w:val="1"/>
          <w:bCs w:val="1"/>
          <w:color w:val="auto"/>
        </w:rPr>
        <w:t>SME-Pyme, Consumer and</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Credit Cards, </w:t>
      </w:r>
      <w:r>
        <w:rPr>
          <w:rFonts w:ascii="Arial" w:cs="Arial" w:eastAsia="Arial" w:hAnsi="Arial"/>
          <w:sz w:val="16"/>
          <w:szCs w:val="16"/>
          <w:color w:val="auto"/>
        </w:rPr>
        <w:t>and</w:t>
      </w:r>
      <w:r>
        <w:rPr>
          <w:rFonts w:ascii="Arial" w:cs="Arial" w:eastAsia="Arial" w:hAnsi="Arial"/>
          <w:sz w:val="16"/>
          <w:szCs w:val="16"/>
          <w:b w:val="1"/>
          <w:bCs w:val="1"/>
          <w:color w:val="auto"/>
        </w:rPr>
        <w:t xml:space="preserve"> Mibanco</w:t>
      </w:r>
      <w:r>
        <w:rPr>
          <w:rFonts w:ascii="Arial" w:cs="Arial" w:eastAsia="Arial" w:hAnsi="Arial"/>
          <w:sz w:val="16"/>
          <w:szCs w:val="16"/>
          <w:color w:val="auto"/>
        </w:rPr>
        <w:t>. These segments continue to report write-offs of overdue loans from the highest-risk segments.</w:t>
      </w:r>
    </w:p>
    <w:p>
      <w:pPr>
        <w:spacing w:after="0" w:line="130" w:lineRule="exact"/>
        <w:rPr>
          <w:sz w:val="20"/>
          <w:szCs w:val="20"/>
          <w:color w:val="auto"/>
        </w:rPr>
      </w:pPr>
    </w:p>
    <w:p>
      <w:pPr>
        <w:jc w:val="both"/>
        <w:spacing w:after="0" w:line="263" w:lineRule="auto"/>
        <w:rPr>
          <w:sz w:val="20"/>
          <w:szCs w:val="20"/>
          <w:color w:val="auto"/>
        </w:rPr>
      </w:pPr>
      <w:r>
        <w:rPr>
          <w:rFonts w:ascii="Arial" w:cs="Arial" w:eastAsia="Arial" w:hAnsi="Arial"/>
          <w:sz w:val="16"/>
          <w:szCs w:val="16"/>
          <w:b w:val="1"/>
          <w:bCs w:val="1"/>
          <w:color w:val="auto"/>
        </w:rPr>
        <w:t>YoY</w:t>
      </w:r>
      <w:r>
        <w:rPr>
          <w:rFonts w:ascii="Arial" w:cs="Arial" w:eastAsia="Arial" w:hAnsi="Arial"/>
          <w:sz w:val="16"/>
          <w:szCs w:val="16"/>
          <w:color w:val="auto"/>
        </w:rPr>
        <w:t>, the uptick in structural write-offs (+21.5%) was fueled by</w:t>
      </w:r>
      <w:r>
        <w:rPr>
          <w:rFonts w:ascii="Arial" w:cs="Arial" w:eastAsia="Arial" w:hAnsi="Arial"/>
          <w:sz w:val="16"/>
          <w:szCs w:val="16"/>
          <w:b w:val="1"/>
          <w:bCs w:val="1"/>
          <w:color w:val="auto"/>
        </w:rPr>
        <w:t xml:space="preserve"> Consumer</w:t>
      </w:r>
      <w:r>
        <w:rPr>
          <w:rFonts w:ascii="Arial" w:cs="Arial" w:eastAsia="Arial" w:hAnsi="Arial"/>
          <w:sz w:val="16"/>
          <w:szCs w:val="16"/>
          <w:color w:val="auto"/>
        </w:rPr>
        <w:t>,</w:t>
      </w:r>
      <w:r>
        <w:rPr>
          <w:rFonts w:ascii="Arial" w:cs="Arial" w:eastAsia="Arial" w:hAnsi="Arial"/>
          <w:sz w:val="16"/>
          <w:szCs w:val="16"/>
          <w:b w:val="1"/>
          <w:bCs w:val="1"/>
          <w:color w:val="auto"/>
        </w:rPr>
        <w:t xml:space="preserve"> Credit Cards </w:t>
      </w:r>
      <w:r>
        <w:rPr>
          <w:rFonts w:ascii="Arial" w:cs="Arial" w:eastAsia="Arial" w:hAnsi="Arial"/>
          <w:sz w:val="16"/>
          <w:szCs w:val="16"/>
          <w:color w:val="auto"/>
        </w:rPr>
        <w:t>and</w:t>
      </w:r>
      <w:r>
        <w:rPr>
          <w:rFonts w:ascii="Arial" w:cs="Arial" w:eastAsia="Arial" w:hAnsi="Arial"/>
          <w:sz w:val="16"/>
          <w:szCs w:val="16"/>
          <w:b w:val="1"/>
          <w:bCs w:val="1"/>
          <w:color w:val="auto"/>
        </w:rPr>
        <w:t xml:space="preserve"> Mibanco</w:t>
      </w:r>
      <w:r>
        <w:rPr>
          <w:rFonts w:ascii="Arial" w:cs="Arial" w:eastAsia="Arial" w:hAnsi="Arial"/>
          <w:sz w:val="16"/>
          <w:szCs w:val="16"/>
          <w:color w:val="auto"/>
        </w:rPr>
        <w:t>. This growth was driven by write-offs from the</w:t>
      </w:r>
      <w:r>
        <w:rPr>
          <w:rFonts w:ascii="Arial" w:cs="Arial" w:eastAsia="Arial" w:hAnsi="Arial"/>
          <w:sz w:val="16"/>
          <w:szCs w:val="16"/>
          <w:b w:val="1"/>
          <w:bCs w:val="1"/>
          <w:color w:val="auto"/>
        </w:rPr>
        <w:t xml:space="preserve"> </w:t>
      </w:r>
      <w:r>
        <w:rPr>
          <w:rFonts w:ascii="Arial" w:cs="Arial" w:eastAsia="Arial" w:hAnsi="Arial"/>
          <w:sz w:val="16"/>
          <w:szCs w:val="16"/>
          <w:color w:val="auto"/>
        </w:rPr>
        <w:t>highest risk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b w:val="1"/>
          <w:bCs w:val="1"/>
          <w:color w:val="auto"/>
        </w:rPr>
        <w:t xml:space="preserve">QoQ, </w:t>
      </w:r>
      <w:r>
        <w:rPr>
          <w:rFonts w:ascii="Arial" w:cs="Arial" w:eastAsia="Arial" w:hAnsi="Arial"/>
          <w:sz w:val="16"/>
          <w:szCs w:val="16"/>
          <w:color w:val="auto"/>
        </w:rPr>
        <w:t>the coverage ratio for Structural NPLs fell 626 bps. This drop was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driven mainly by </w:t>
      </w:r>
      <w:r>
        <w:rPr>
          <w:rFonts w:ascii="Arial" w:cs="Arial" w:eastAsia="Arial" w:hAnsi="Arial"/>
          <w:sz w:val="16"/>
          <w:szCs w:val="16"/>
          <w:b w:val="1"/>
          <w:bCs w:val="1"/>
          <w:color w:val="auto"/>
        </w:rPr>
        <w:t>Wholesale Banking</w:t>
      </w:r>
      <w:r>
        <w:rPr>
          <w:rFonts w:ascii="Arial" w:cs="Arial" w:eastAsia="Arial" w:hAnsi="Arial"/>
          <w:sz w:val="16"/>
          <w:szCs w:val="16"/>
          <w:color w:val="auto"/>
        </w:rPr>
        <w:t xml:space="preserve"> where the new entries to the Overdue Portfolio had been previously provisioned and are backed by extensive guarantees and as result generated no impact on provisions.</w:t>
      </w:r>
    </w:p>
    <w:p>
      <w:pPr>
        <w:spacing w:after="0" w:line="14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b w:val="1"/>
          <w:bCs w:val="1"/>
          <w:color w:val="auto"/>
        </w:rPr>
        <w:t xml:space="preserve">YoY, </w:t>
      </w:r>
      <w:r>
        <w:rPr>
          <w:rFonts w:ascii="Arial" w:cs="Arial" w:eastAsia="Arial" w:hAnsi="Arial"/>
          <w:sz w:val="16"/>
          <w:szCs w:val="16"/>
          <w:color w:val="auto"/>
        </w:rPr>
        <w:t>the coverage ratio for Structural NPLs fell 13.63 pp. This result was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driven primarily by </w:t>
      </w:r>
      <w:r>
        <w:rPr>
          <w:rFonts w:ascii="Arial" w:cs="Arial" w:eastAsia="Arial" w:hAnsi="Arial"/>
          <w:sz w:val="16"/>
          <w:szCs w:val="16"/>
          <w:b w:val="1"/>
          <w:bCs w:val="1"/>
          <w:color w:val="auto"/>
        </w:rPr>
        <w:t>Wholesale Banking</w:t>
      </w:r>
      <w:r>
        <w:rPr>
          <w:rFonts w:ascii="Arial" w:cs="Arial" w:eastAsia="Arial" w:hAnsi="Arial"/>
          <w:sz w:val="16"/>
          <w:szCs w:val="16"/>
          <w:color w:val="auto"/>
        </w:rPr>
        <w:t xml:space="preserve"> since NPLs have experienced a significant uptick over the year due to growth in refinanced and overdue loans. These loans have not spurred a significant increase in provisions given that they are backed by commercial guarantees for amounts that far exceed total debt.</w:t>
      </w:r>
    </w:p>
    <w:p>
      <w:pPr>
        <w:spacing w:after="0" w:line="200" w:lineRule="exact"/>
        <w:rPr>
          <w:sz w:val="20"/>
          <w:szCs w:val="20"/>
          <w:color w:val="auto"/>
        </w:rPr>
      </w:pPr>
    </w:p>
    <w:p>
      <w:pPr>
        <w:sectPr>
          <w:pgSz w:w="11900" w:h="16838" w:orient="portrait"/>
          <w:cols w:equalWidth="0" w:num="2">
            <w:col w:w="5120" w:space="720"/>
            <w:col w:w="5400"/>
          </w:cols>
          <w:pgMar w:left="320" w:top="31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left="280"/>
        <w:spacing w:after="0"/>
        <w:rPr>
          <w:sz w:val="20"/>
          <w:szCs w:val="20"/>
          <w:color w:val="auto"/>
        </w:rPr>
      </w:pPr>
      <w:r>
        <w:rPr>
          <w:rFonts w:ascii="Arial" w:cs="Arial" w:eastAsia="Arial" w:hAnsi="Arial"/>
          <w:sz w:val="16"/>
          <w:szCs w:val="16"/>
          <w:b w:val="1"/>
          <w:bCs w:val="1"/>
          <w:color w:val="auto"/>
        </w:rPr>
        <w:t>NPL Loans in the Government Loan Portfolio</w:t>
      </w:r>
    </w:p>
    <w:p>
      <w:pPr>
        <w:spacing w:after="0" w:line="21" w:lineRule="exact"/>
        <w:rPr>
          <w:sz w:val="20"/>
          <w:szCs w:val="20"/>
          <w:color w:val="auto"/>
        </w:rPr>
      </w:pPr>
    </w:p>
    <w:p>
      <w:pPr>
        <w:jc w:val="center"/>
        <w:ind w:left="280"/>
        <w:spacing w:after="0"/>
        <w:rPr>
          <w:sz w:val="20"/>
          <w:szCs w:val="20"/>
          <w:color w:val="auto"/>
        </w:rPr>
      </w:pPr>
      <w:r>
        <w:rPr>
          <w:rFonts w:ascii="Arial" w:cs="Arial" w:eastAsia="Arial" w:hAnsi="Arial"/>
          <w:sz w:val="16"/>
          <w:szCs w:val="16"/>
          <w:color w:val="auto"/>
        </w:rPr>
        <w:t>(in Quarter-end balances– 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462280</wp:posOffset>
            </wp:positionH>
            <wp:positionV relativeFrom="paragraph">
              <wp:posOffset>119380</wp:posOffset>
            </wp:positionV>
            <wp:extent cx="2496185" cy="12484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496185" cy="12484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b w:val="1"/>
          <w:bCs w:val="1"/>
          <w:color w:val="auto"/>
        </w:rPr>
        <w:t>QoQ</w:t>
      </w:r>
      <w:r>
        <w:rPr>
          <w:rFonts w:ascii="Arial" w:cs="Arial" w:eastAsia="Arial" w:hAnsi="Arial"/>
          <w:sz w:val="16"/>
          <w:szCs w:val="16"/>
          <w:color w:val="auto"/>
        </w:rPr>
        <w:t>, the balance of Government Loan NPLs rose slightly given that due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 the recessive environment, clients in SME-Business and SME- Pyme have fallen delinquent this quarter. These loans are backed by State guarantees. To execute the honoring processes, loans must have been delinquent more than 90 days. Average guarantees stand at 84%, 91%, and 97% for </w:t>
      </w:r>
      <w:r>
        <w:rPr>
          <w:rFonts w:ascii="Arial" w:cs="Arial" w:eastAsia="Arial" w:hAnsi="Arial"/>
          <w:sz w:val="16"/>
          <w:szCs w:val="16"/>
          <w:b w:val="1"/>
          <w:bCs w:val="1"/>
          <w:color w:val="auto"/>
        </w:rPr>
        <w:t>Wholesale Banking</w:t>
      </w:r>
      <w:r>
        <w:rPr>
          <w:rFonts w:ascii="Arial" w:cs="Arial" w:eastAsia="Arial" w:hAnsi="Arial"/>
          <w:sz w:val="16"/>
          <w:szCs w:val="16"/>
          <w:color w:val="auto"/>
        </w:rPr>
        <w:t xml:space="preserve">, </w:t>
      </w:r>
      <w:r>
        <w:rPr>
          <w:rFonts w:ascii="Arial" w:cs="Arial" w:eastAsia="Arial" w:hAnsi="Arial"/>
          <w:sz w:val="16"/>
          <w:szCs w:val="16"/>
          <w:b w:val="1"/>
          <w:bCs w:val="1"/>
          <w:color w:val="auto"/>
        </w:rPr>
        <w:t>Retail Banking</w:t>
      </w:r>
      <w:r>
        <w:rPr>
          <w:rFonts w:ascii="Arial" w:cs="Arial" w:eastAsia="Arial" w:hAnsi="Arial"/>
          <w:sz w:val="16"/>
          <w:szCs w:val="16"/>
          <w:color w:val="auto"/>
        </w:rPr>
        <w:t xml:space="preserve">, and </w:t>
      </w:r>
      <w:r>
        <w:rPr>
          <w:rFonts w:ascii="Arial" w:cs="Arial" w:eastAsia="Arial" w:hAnsi="Arial"/>
          <w:sz w:val="16"/>
          <w:szCs w:val="16"/>
          <w:b w:val="1"/>
          <w:bCs w:val="1"/>
          <w:color w:val="auto"/>
        </w:rPr>
        <w:t>Mibanco</w:t>
      </w:r>
      <w:r>
        <w:rPr>
          <w:rFonts w:ascii="Arial" w:cs="Arial" w:eastAsia="Arial" w:hAnsi="Arial"/>
          <w:sz w:val="16"/>
          <w:szCs w:val="16"/>
          <w:color w:val="auto"/>
        </w:rPr>
        <w:t xml:space="preserve"> respectively. At the end of Sept 2023, a total of S/1,802 million had been received through honoring processes to execute State guarantees.</w:t>
      </w:r>
    </w:p>
    <w:p>
      <w:pPr>
        <w:spacing w:after="0" w:line="200" w:lineRule="exact"/>
        <w:rPr>
          <w:sz w:val="20"/>
          <w:szCs w:val="20"/>
          <w:color w:val="auto"/>
        </w:rPr>
      </w:pPr>
    </w:p>
    <w:p>
      <w:pPr>
        <w:sectPr>
          <w:pgSz w:w="11900" w:h="16838" w:orient="portrait"/>
          <w:cols w:equalWidth="0" w:num="2">
            <w:col w:w="5120" w:space="720"/>
            <w:col w:w="5400"/>
          </w:cols>
          <w:pgMar w:left="320" w:top="31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1100"/>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40005</wp:posOffset>
            </wp:positionV>
            <wp:extent cx="7143750" cy="158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312" w:right="339" w:bottom="1440" w:gutter="0" w:footer="0" w:header="0"/>
          <w:type w:val="continuous"/>
        </w:sectPr>
      </w:pPr>
    </w:p>
    <w:bookmarkStart w:id="23" w:name="page24"/>
    <w:bookmarkEnd w:id="23"/>
    <w:tbl>
      <w:tblPr>
        <w:tblLayout w:type="fixed"/>
        <w:tblInd w:w="11" w:type="dxa"/>
        <w:tblCellMar>
          <w:top w:w="0" w:type="dxa"/>
          <w:left w:w="0" w:type="dxa"/>
          <w:bottom w:w="0" w:type="dxa"/>
          <w:right w:w="0" w:type="dxa"/>
        </w:tblCellMar>
      </w:tblPr>
      <w:tr>
        <w:trPr>
          <w:trHeight w:val="425"/>
        </w:trPr>
        <w:tc>
          <w:tcPr>
            <w:tcW w:w="440" w:type="dxa"/>
            <w:vAlign w:val="bottom"/>
            <w:tcBorders>
              <w:left w:val="single" w:sz="8" w:color="auto"/>
            </w:tcBorders>
            <w:shd w:val="clear" w:color="auto" w:fill="000000"/>
          </w:tcPr>
          <w:p>
            <w:pPr>
              <w:spacing w:after="0"/>
              <w:rPr>
                <w:sz w:val="24"/>
                <w:szCs w:val="24"/>
                <w:color w:val="auto"/>
              </w:rPr>
            </w:pPr>
          </w:p>
        </w:tc>
        <w:tc>
          <w:tcPr>
            <w:tcW w:w="5640" w:type="dxa"/>
            <w:vAlign w:val="bottom"/>
            <w:gridSpan w:val="3"/>
            <w:shd w:val="clear" w:color="auto" w:fill="000000"/>
          </w:tcPr>
          <w:p>
            <w:pPr>
              <w:jc w:val="right"/>
              <w:ind w:right="698"/>
              <w:spacing w:after="0"/>
              <w:rPr>
                <w:sz w:val="20"/>
                <w:szCs w:val="20"/>
                <w:color w:val="auto"/>
              </w:rPr>
            </w:pPr>
            <w:r>
              <w:rPr>
                <w:rFonts w:ascii="Arial" w:cs="Arial" w:eastAsia="Arial" w:hAnsi="Arial"/>
                <w:sz w:val="16"/>
                <w:szCs w:val="16"/>
                <w:color w:val="FFFFFF"/>
              </w:rPr>
              <w:t xml:space="preserve">|  </w:t>
            </w:r>
            <w:r>
              <w:rPr>
                <w:rFonts w:ascii="Arial" w:cs="Arial" w:eastAsia="Arial" w:hAnsi="Arial"/>
                <w:sz w:val="16"/>
                <w:szCs w:val="16"/>
                <w:b w:val="1"/>
                <w:bCs w:val="1"/>
                <w:color w:val="FFFFFF"/>
              </w:rPr>
              <w:t>Earnings Release 3Q / 2023</w:t>
            </w:r>
          </w:p>
        </w:tc>
        <w:tc>
          <w:tcPr>
            <w:tcW w:w="1120" w:type="dxa"/>
            <w:vAlign w:val="bottom"/>
            <w:shd w:val="clear" w:color="auto" w:fill="000000"/>
          </w:tcPr>
          <w:p>
            <w:pPr>
              <w:spacing w:after="0"/>
              <w:rPr>
                <w:sz w:val="24"/>
                <w:szCs w:val="24"/>
                <w:color w:val="auto"/>
              </w:rPr>
            </w:pPr>
          </w:p>
        </w:tc>
        <w:tc>
          <w:tcPr>
            <w:tcW w:w="4060" w:type="dxa"/>
            <w:vAlign w:val="bottom"/>
            <w:tcBorders>
              <w:right w:val="single" w:sz="8" w:color="auto"/>
            </w:tcBorders>
            <w:gridSpan w:val="3"/>
            <w:shd w:val="clear" w:color="auto" w:fill="000000"/>
          </w:tcPr>
          <w:p>
            <w:pPr>
              <w:spacing w:after="0"/>
              <w:rPr>
                <w:sz w:val="20"/>
                <w:szCs w:val="20"/>
                <w:color w:val="auto"/>
              </w:rPr>
            </w:pPr>
            <w:r>
              <w:rPr>
                <w:rFonts w:ascii="Arial" w:cs="Arial" w:eastAsia="Arial" w:hAnsi="Arial"/>
                <w:sz w:val="18"/>
                <w:szCs w:val="18"/>
                <w:b w:val="1"/>
                <w:bCs w:val="1"/>
                <w:color w:val="E93CAC"/>
              </w:rPr>
              <w:t>Analysis of 3Q23 Consolidated Results</w:t>
            </w:r>
          </w:p>
        </w:tc>
      </w:tr>
      <w:tr>
        <w:trPr>
          <w:trHeight w:val="181"/>
        </w:trPr>
        <w:tc>
          <w:tcPr>
            <w:tcW w:w="440" w:type="dxa"/>
            <w:vAlign w:val="bottom"/>
            <w:tcBorders>
              <w:left w:val="single" w:sz="8" w:color="auto"/>
            </w:tcBorders>
            <w:shd w:val="clear" w:color="auto" w:fill="000000"/>
          </w:tcPr>
          <w:p>
            <w:pPr>
              <w:spacing w:after="0"/>
              <w:rPr>
                <w:sz w:val="15"/>
                <w:szCs w:val="15"/>
                <w:color w:val="auto"/>
              </w:rPr>
            </w:pPr>
          </w:p>
        </w:tc>
        <w:tc>
          <w:tcPr>
            <w:tcW w:w="2980" w:type="dxa"/>
            <w:vAlign w:val="bottom"/>
            <w:shd w:val="clear" w:color="auto" w:fill="000000"/>
          </w:tcPr>
          <w:p>
            <w:pPr>
              <w:spacing w:after="0"/>
              <w:rPr>
                <w:sz w:val="15"/>
                <w:szCs w:val="15"/>
                <w:color w:val="auto"/>
              </w:rPr>
            </w:pPr>
          </w:p>
        </w:tc>
        <w:tc>
          <w:tcPr>
            <w:tcW w:w="1120" w:type="dxa"/>
            <w:vAlign w:val="bottom"/>
            <w:tcBorders>
              <w:right w:val="single" w:sz="8" w:color="auto"/>
            </w:tcBorders>
            <w:shd w:val="clear" w:color="auto" w:fill="000000"/>
          </w:tcPr>
          <w:p>
            <w:pPr>
              <w:spacing w:after="0"/>
              <w:rPr>
                <w:sz w:val="15"/>
                <w:szCs w:val="15"/>
                <w:color w:val="auto"/>
              </w:rPr>
            </w:pPr>
          </w:p>
        </w:tc>
        <w:tc>
          <w:tcPr>
            <w:tcW w:w="1540" w:type="dxa"/>
            <w:vAlign w:val="bottom"/>
            <w:shd w:val="clear" w:color="auto" w:fill="000000"/>
          </w:tcPr>
          <w:p>
            <w:pPr>
              <w:spacing w:after="0"/>
              <w:rPr>
                <w:sz w:val="15"/>
                <w:szCs w:val="15"/>
                <w:color w:val="auto"/>
              </w:rPr>
            </w:pPr>
          </w:p>
        </w:tc>
        <w:tc>
          <w:tcPr>
            <w:tcW w:w="1120" w:type="dxa"/>
            <w:vAlign w:val="bottom"/>
            <w:shd w:val="clear" w:color="auto" w:fill="000000"/>
          </w:tcPr>
          <w:p>
            <w:pPr>
              <w:spacing w:after="0"/>
              <w:rPr>
                <w:sz w:val="15"/>
                <w:szCs w:val="15"/>
                <w:color w:val="auto"/>
              </w:rPr>
            </w:pPr>
          </w:p>
        </w:tc>
        <w:tc>
          <w:tcPr>
            <w:tcW w:w="1360" w:type="dxa"/>
            <w:vAlign w:val="bottom"/>
            <w:tcBorders>
              <w:right w:val="single" w:sz="8" w:color="auto"/>
            </w:tcBorders>
            <w:shd w:val="clear" w:color="auto" w:fill="000000"/>
          </w:tcPr>
          <w:p>
            <w:pPr>
              <w:spacing w:after="0"/>
              <w:rPr>
                <w:sz w:val="15"/>
                <w:szCs w:val="15"/>
                <w:color w:val="auto"/>
              </w:rPr>
            </w:pPr>
          </w:p>
        </w:tc>
        <w:tc>
          <w:tcPr>
            <w:tcW w:w="1320" w:type="dxa"/>
            <w:vAlign w:val="bottom"/>
            <w:shd w:val="clear" w:color="auto" w:fill="000000"/>
          </w:tcPr>
          <w:p>
            <w:pPr>
              <w:spacing w:after="0"/>
              <w:rPr>
                <w:sz w:val="15"/>
                <w:szCs w:val="15"/>
                <w:color w:val="auto"/>
              </w:rPr>
            </w:pPr>
          </w:p>
        </w:tc>
        <w:tc>
          <w:tcPr>
            <w:tcW w:w="1380" w:type="dxa"/>
            <w:vAlign w:val="bottom"/>
            <w:tcBorders>
              <w:right w:val="single" w:sz="8" w:color="auto"/>
            </w:tcBorders>
            <w:shd w:val="clear" w:color="auto" w:fill="000000"/>
          </w:tcPr>
          <w:p>
            <w:pPr>
              <w:spacing w:after="0"/>
              <w:rPr>
                <w:sz w:val="15"/>
                <w:szCs w:val="15"/>
                <w:color w:val="auto"/>
              </w:rPr>
            </w:pPr>
          </w:p>
        </w:tc>
      </w:tr>
      <w:tr>
        <w:trPr>
          <w:trHeight w:val="301"/>
        </w:trPr>
        <w:tc>
          <w:tcPr>
            <w:tcW w:w="3420" w:type="dxa"/>
            <w:vAlign w:val="bottom"/>
            <w:tcBorders>
              <w:left w:val="single" w:sz="8" w:color="E93CAC"/>
              <w:bottom w:val="single" w:sz="8" w:color="E93CAC"/>
            </w:tcBorders>
            <w:gridSpan w:val="2"/>
            <w:shd w:val="clear" w:color="auto" w:fill="E93CAC"/>
          </w:tcPr>
          <w:p>
            <w:pPr>
              <w:ind w:left="20"/>
              <w:spacing w:after="0"/>
              <w:rPr>
                <w:sz w:val="20"/>
                <w:szCs w:val="20"/>
                <w:color w:val="auto"/>
              </w:rPr>
            </w:pPr>
            <w:r>
              <w:rPr>
                <w:rFonts w:ascii="Arial" w:cs="Arial" w:eastAsia="Arial" w:hAnsi="Arial"/>
                <w:sz w:val="20"/>
                <w:szCs w:val="20"/>
                <w:b w:val="1"/>
                <w:bCs w:val="1"/>
                <w:color w:val="FFFFFF"/>
              </w:rPr>
              <w:t>01. Loan Portfolio</w:t>
            </w:r>
          </w:p>
        </w:tc>
        <w:tc>
          <w:tcPr>
            <w:tcW w:w="1120" w:type="dxa"/>
            <w:vAlign w:val="bottom"/>
            <w:tcBorders>
              <w:bottom w:val="single" w:sz="8" w:color="E93CAC"/>
              <w:right w:val="single" w:sz="8" w:color="E93CAC"/>
            </w:tcBorders>
            <w:shd w:val="clear" w:color="auto" w:fill="E93CAC"/>
          </w:tcPr>
          <w:p>
            <w:pPr>
              <w:spacing w:after="0"/>
              <w:rPr>
                <w:sz w:val="24"/>
                <w:szCs w:val="24"/>
                <w:color w:val="auto"/>
              </w:rPr>
            </w:pPr>
          </w:p>
        </w:tc>
        <w:tc>
          <w:tcPr>
            <w:tcW w:w="1540" w:type="dxa"/>
            <w:vAlign w:val="bottom"/>
            <w:tcBorders>
              <w:bottom w:val="single" w:sz="8" w:color="E93CAC"/>
            </w:tcBorders>
            <w:shd w:val="clear" w:color="auto" w:fill="E93CAC"/>
          </w:tcPr>
          <w:p>
            <w:pPr>
              <w:spacing w:after="0"/>
              <w:rPr>
                <w:sz w:val="24"/>
                <w:szCs w:val="24"/>
                <w:color w:val="auto"/>
              </w:rPr>
            </w:pPr>
          </w:p>
        </w:tc>
        <w:tc>
          <w:tcPr>
            <w:tcW w:w="1120" w:type="dxa"/>
            <w:vAlign w:val="bottom"/>
            <w:tcBorders>
              <w:bottom w:val="single" w:sz="8" w:color="E93CAC"/>
            </w:tcBorders>
            <w:shd w:val="clear" w:color="auto" w:fill="E93CAC"/>
          </w:tcPr>
          <w:p>
            <w:pPr>
              <w:spacing w:after="0"/>
              <w:rPr>
                <w:sz w:val="24"/>
                <w:szCs w:val="24"/>
                <w:color w:val="auto"/>
              </w:rPr>
            </w:pPr>
          </w:p>
        </w:tc>
        <w:tc>
          <w:tcPr>
            <w:tcW w:w="1360" w:type="dxa"/>
            <w:vAlign w:val="bottom"/>
            <w:tcBorders>
              <w:bottom w:val="single" w:sz="8" w:color="E93CAC"/>
              <w:right w:val="single" w:sz="8" w:color="E93CAC"/>
            </w:tcBorders>
            <w:shd w:val="clear" w:color="auto" w:fill="E93CAC"/>
          </w:tcPr>
          <w:p>
            <w:pPr>
              <w:spacing w:after="0"/>
              <w:rPr>
                <w:sz w:val="24"/>
                <w:szCs w:val="24"/>
                <w:color w:val="auto"/>
              </w:rPr>
            </w:pPr>
          </w:p>
        </w:tc>
        <w:tc>
          <w:tcPr>
            <w:tcW w:w="1320" w:type="dxa"/>
            <w:vAlign w:val="bottom"/>
            <w:tcBorders>
              <w:bottom w:val="single" w:sz="8" w:color="E93CAC"/>
            </w:tcBorders>
            <w:shd w:val="clear" w:color="auto" w:fill="E93CAC"/>
          </w:tcPr>
          <w:p>
            <w:pPr>
              <w:spacing w:after="0"/>
              <w:rPr>
                <w:sz w:val="24"/>
                <w:szCs w:val="24"/>
                <w:color w:val="auto"/>
              </w:rPr>
            </w:pPr>
          </w:p>
        </w:tc>
        <w:tc>
          <w:tcPr>
            <w:tcW w:w="1380" w:type="dxa"/>
            <w:vAlign w:val="bottom"/>
            <w:tcBorders>
              <w:bottom w:val="single" w:sz="8" w:color="E93CAC"/>
              <w:right w:val="single" w:sz="8" w:color="E93CAC"/>
            </w:tcBorders>
            <w:shd w:val="clear" w:color="auto" w:fill="E93CAC"/>
          </w:tcPr>
          <w:p>
            <w:pPr>
              <w:spacing w:after="0"/>
              <w:rPr>
                <w:sz w:val="24"/>
                <w:szCs w:val="24"/>
                <w:color w:val="auto"/>
              </w:rPr>
            </w:pPr>
          </w:p>
        </w:tc>
      </w:tr>
      <w:tr>
        <w:trPr>
          <w:trHeight w:val="431"/>
        </w:trPr>
        <w:tc>
          <w:tcPr>
            <w:tcW w:w="4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5140" w:type="dxa"/>
            <w:vAlign w:val="bottom"/>
            <w:gridSpan w:val="4"/>
          </w:tcPr>
          <w:p>
            <w:pPr>
              <w:jc w:val="right"/>
              <w:ind w:right="717"/>
              <w:spacing w:after="0"/>
              <w:rPr>
                <w:sz w:val="20"/>
                <w:szCs w:val="20"/>
                <w:color w:val="auto"/>
              </w:rPr>
            </w:pPr>
            <w:r>
              <w:rPr>
                <w:rFonts w:ascii="Arial" w:cs="Arial" w:eastAsia="Arial" w:hAnsi="Arial"/>
                <w:sz w:val="16"/>
                <w:szCs w:val="16"/>
                <w:b w:val="1"/>
                <w:bCs w:val="1"/>
                <w:color w:val="auto"/>
              </w:rPr>
              <w:t>Quality of the Total Portfolio (in Quarter-end Balances)</w:t>
            </w:r>
          </w:p>
        </w:tc>
        <w:tc>
          <w:tcPr>
            <w:tcW w:w="13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12"/>
        </w:trPr>
        <w:tc>
          <w:tcPr>
            <w:tcW w:w="440" w:type="dxa"/>
            <w:vAlign w:val="bottom"/>
            <w:tcBorders>
              <w:bottom w:val="single" w:sz="8" w:color="auto"/>
            </w:tcBorders>
          </w:tcPr>
          <w:p>
            <w:pPr>
              <w:spacing w:after="0"/>
              <w:rPr>
                <w:sz w:val="18"/>
                <w:szCs w:val="18"/>
                <w:color w:val="auto"/>
              </w:rPr>
            </w:pPr>
          </w:p>
        </w:tc>
        <w:tc>
          <w:tcPr>
            <w:tcW w:w="4100" w:type="dxa"/>
            <w:vAlign w:val="bottom"/>
            <w:tcBorders>
              <w:bottom w:val="single" w:sz="8" w:color="auto"/>
            </w:tcBorders>
            <w:gridSpan w:val="2"/>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2"/>
          </w:tcPr>
          <w:p>
            <w:pPr>
              <w:spacing w:after="0"/>
              <w:rPr>
                <w:sz w:val="18"/>
                <w:szCs w:val="18"/>
                <w:color w:val="auto"/>
              </w:rPr>
            </w:pPr>
          </w:p>
        </w:tc>
      </w:tr>
      <w:tr>
        <w:trPr>
          <w:trHeight w:val="157"/>
        </w:trPr>
        <w:tc>
          <w:tcPr>
            <w:tcW w:w="4540" w:type="dxa"/>
            <w:vAlign w:val="bottom"/>
            <w:tcBorders>
              <w:left w:val="single" w:sz="8" w:color="auto"/>
              <w:right w:val="single" w:sz="8" w:color="auto"/>
            </w:tcBorders>
            <w:gridSpan w:val="3"/>
            <w:shd w:val="clear" w:color="auto" w:fill="33CCCC"/>
          </w:tcPr>
          <w:p>
            <w:pPr>
              <w:ind w:left="20"/>
              <w:spacing w:after="0" w:line="157" w:lineRule="exact"/>
              <w:rPr>
                <w:sz w:val="20"/>
                <w:szCs w:val="20"/>
                <w:color w:val="auto"/>
              </w:rPr>
            </w:pPr>
            <w:r>
              <w:rPr>
                <w:rFonts w:ascii="Arial" w:cs="Arial" w:eastAsia="Arial" w:hAnsi="Arial"/>
                <w:sz w:val="16"/>
                <w:szCs w:val="16"/>
                <w:b w:val="1"/>
                <w:bCs w:val="1"/>
                <w:color w:val="FFFFFF"/>
              </w:rPr>
              <w:t>Loan Portfolio quality and Delinquency ratios</w:t>
            </w:r>
          </w:p>
        </w:tc>
        <w:tc>
          <w:tcPr>
            <w:tcW w:w="1540" w:type="dxa"/>
            <w:vAlign w:val="bottom"/>
            <w:shd w:val="clear" w:color="auto" w:fill="33CCCC"/>
          </w:tcPr>
          <w:p>
            <w:pPr>
              <w:spacing w:after="0"/>
              <w:rPr>
                <w:sz w:val="13"/>
                <w:szCs w:val="13"/>
                <w:color w:val="auto"/>
              </w:rPr>
            </w:pPr>
          </w:p>
        </w:tc>
        <w:tc>
          <w:tcPr>
            <w:tcW w:w="1120" w:type="dxa"/>
            <w:vAlign w:val="bottom"/>
            <w:shd w:val="clear" w:color="auto" w:fill="33CCCC"/>
          </w:tcPr>
          <w:p>
            <w:pPr>
              <w:jc w:val="right"/>
              <w:ind w:right="378"/>
              <w:spacing w:after="0" w:line="157" w:lineRule="exact"/>
              <w:rPr>
                <w:sz w:val="20"/>
                <w:szCs w:val="20"/>
                <w:color w:val="auto"/>
              </w:rPr>
            </w:pPr>
            <w:r>
              <w:rPr>
                <w:rFonts w:ascii="Arial" w:cs="Arial" w:eastAsia="Arial" w:hAnsi="Arial"/>
                <w:sz w:val="16"/>
                <w:szCs w:val="16"/>
                <w:b w:val="1"/>
                <w:bCs w:val="1"/>
                <w:color w:val="FFFFFF"/>
              </w:rPr>
              <w:t>As of</w:t>
            </w:r>
          </w:p>
        </w:tc>
        <w:tc>
          <w:tcPr>
            <w:tcW w:w="1360" w:type="dxa"/>
            <w:vAlign w:val="bottom"/>
            <w:tcBorders>
              <w:right w:val="single" w:sz="8" w:color="auto"/>
            </w:tcBorders>
            <w:shd w:val="clear" w:color="auto" w:fill="33CCCC"/>
          </w:tcPr>
          <w:p>
            <w:pPr>
              <w:spacing w:after="0"/>
              <w:rPr>
                <w:sz w:val="13"/>
                <w:szCs w:val="13"/>
                <w:color w:val="auto"/>
              </w:rPr>
            </w:pPr>
          </w:p>
        </w:tc>
        <w:tc>
          <w:tcPr>
            <w:tcW w:w="2700" w:type="dxa"/>
            <w:vAlign w:val="bottom"/>
            <w:tcBorders>
              <w:right w:val="single" w:sz="8" w:color="auto"/>
            </w:tcBorders>
            <w:gridSpan w:val="2"/>
            <w:shd w:val="clear" w:color="auto" w:fill="33CCCC"/>
          </w:tcPr>
          <w:p>
            <w:pPr>
              <w:ind w:left="960"/>
              <w:spacing w:after="0" w:line="157" w:lineRule="exact"/>
              <w:rPr>
                <w:sz w:val="20"/>
                <w:szCs w:val="20"/>
                <w:color w:val="auto"/>
              </w:rPr>
            </w:pPr>
            <w:r>
              <w:rPr>
                <w:rFonts w:ascii="Arial" w:cs="Arial" w:eastAsia="Arial" w:hAnsi="Arial"/>
                <w:sz w:val="16"/>
                <w:szCs w:val="16"/>
                <w:b w:val="1"/>
                <w:bCs w:val="1"/>
                <w:color w:val="FFFFFF"/>
              </w:rPr>
              <w:t>% change</w:t>
            </w:r>
          </w:p>
        </w:tc>
      </w:tr>
      <w:tr>
        <w:trPr>
          <w:trHeight w:val="206"/>
        </w:trPr>
        <w:tc>
          <w:tcPr>
            <w:tcW w:w="440" w:type="dxa"/>
            <w:vAlign w:val="bottom"/>
            <w:tcBorders>
              <w:left w:val="single" w:sz="8" w:color="auto"/>
              <w:bottom w:val="single" w:sz="8" w:color="auto"/>
            </w:tcBorders>
            <w:shd w:val="clear" w:color="auto" w:fill="33CCCC"/>
          </w:tcPr>
          <w:p>
            <w:pPr>
              <w:ind w:left="20"/>
              <w:spacing w:after="0"/>
              <w:rPr>
                <w:sz w:val="20"/>
                <w:szCs w:val="20"/>
                <w:color w:val="auto"/>
              </w:rPr>
            </w:pPr>
            <w:r>
              <w:rPr>
                <w:rFonts w:ascii="Arial" w:cs="Arial" w:eastAsia="Arial" w:hAnsi="Arial"/>
                <w:sz w:val="16"/>
                <w:szCs w:val="16"/>
                <w:b w:val="1"/>
                <w:bCs w:val="1"/>
                <w:color w:val="FFFFFF"/>
                <w:w w:val="95"/>
                <w:shd w:val="clear" w:color="auto" w:fill="33CCCC"/>
              </w:rPr>
              <w:t>S/000</w:t>
            </w:r>
          </w:p>
        </w:tc>
        <w:tc>
          <w:tcPr>
            <w:tcW w:w="2980" w:type="dxa"/>
            <w:vAlign w:val="bottom"/>
            <w:tcBorders>
              <w:bottom w:val="single" w:sz="8" w:color="auto"/>
            </w:tcBorders>
            <w:shd w:val="clear" w:color="auto" w:fill="33CCCC"/>
          </w:tcPr>
          <w:p>
            <w:pPr>
              <w:spacing w:after="0"/>
              <w:rPr>
                <w:sz w:val="17"/>
                <w:szCs w:val="17"/>
                <w:color w:val="auto"/>
              </w:rPr>
            </w:pPr>
          </w:p>
        </w:tc>
        <w:tc>
          <w:tcPr>
            <w:tcW w:w="1120" w:type="dxa"/>
            <w:vAlign w:val="bottom"/>
            <w:tcBorders>
              <w:bottom w:val="single" w:sz="8" w:color="auto"/>
              <w:right w:val="single" w:sz="8" w:color="auto"/>
            </w:tcBorders>
            <w:shd w:val="clear" w:color="auto" w:fill="33CCCC"/>
          </w:tcPr>
          <w:p>
            <w:pPr>
              <w:spacing w:after="0"/>
              <w:rPr>
                <w:sz w:val="17"/>
                <w:szCs w:val="17"/>
                <w:color w:val="auto"/>
              </w:rPr>
            </w:pPr>
          </w:p>
        </w:tc>
        <w:tc>
          <w:tcPr>
            <w:tcW w:w="1540" w:type="dxa"/>
            <w:vAlign w:val="bottom"/>
            <w:tcBorders>
              <w:bottom w:val="single" w:sz="8" w:color="auto"/>
            </w:tcBorders>
            <w:shd w:val="clear" w:color="auto" w:fill="33CCCC"/>
          </w:tcPr>
          <w:p>
            <w:pPr>
              <w:jc w:val="right"/>
              <w:ind w:right="518"/>
              <w:spacing w:after="0"/>
              <w:rPr>
                <w:sz w:val="20"/>
                <w:szCs w:val="20"/>
                <w:color w:val="auto"/>
              </w:rPr>
            </w:pPr>
            <w:r>
              <w:rPr>
                <w:rFonts w:ascii="Arial" w:cs="Arial" w:eastAsia="Arial" w:hAnsi="Arial"/>
                <w:sz w:val="16"/>
                <w:szCs w:val="16"/>
                <w:b w:val="1"/>
                <w:bCs w:val="1"/>
                <w:color w:val="FFFFFF"/>
              </w:rPr>
              <w:t>Sep 22</w:t>
            </w:r>
          </w:p>
        </w:tc>
        <w:tc>
          <w:tcPr>
            <w:tcW w:w="1120" w:type="dxa"/>
            <w:vAlign w:val="bottom"/>
            <w:tcBorders>
              <w:bottom w:val="single" w:sz="8" w:color="auto"/>
            </w:tcBorders>
            <w:shd w:val="clear" w:color="auto" w:fill="33CCCC"/>
          </w:tcPr>
          <w:p>
            <w:pPr>
              <w:jc w:val="right"/>
              <w:ind w:right="318"/>
              <w:spacing w:after="0"/>
              <w:rPr>
                <w:sz w:val="20"/>
                <w:szCs w:val="20"/>
                <w:color w:val="auto"/>
              </w:rPr>
            </w:pPr>
            <w:r>
              <w:rPr>
                <w:rFonts w:ascii="Arial" w:cs="Arial" w:eastAsia="Arial" w:hAnsi="Arial"/>
                <w:sz w:val="16"/>
                <w:szCs w:val="16"/>
                <w:b w:val="1"/>
                <w:bCs w:val="1"/>
                <w:color w:val="FFFFFF"/>
              </w:rPr>
              <w:t>Jun 23</w:t>
            </w:r>
          </w:p>
        </w:tc>
        <w:tc>
          <w:tcPr>
            <w:tcW w:w="1360" w:type="dxa"/>
            <w:vAlign w:val="bottom"/>
            <w:tcBorders>
              <w:bottom w:val="single" w:sz="8" w:color="auto"/>
              <w:right w:val="single" w:sz="8" w:color="auto"/>
            </w:tcBorders>
            <w:shd w:val="clear" w:color="auto" w:fill="33CCCC"/>
          </w:tcPr>
          <w:p>
            <w:pPr>
              <w:jc w:val="right"/>
              <w:ind w:right="337"/>
              <w:spacing w:after="0"/>
              <w:rPr>
                <w:sz w:val="20"/>
                <w:szCs w:val="20"/>
                <w:color w:val="auto"/>
              </w:rPr>
            </w:pPr>
            <w:r>
              <w:rPr>
                <w:rFonts w:ascii="Arial" w:cs="Arial" w:eastAsia="Arial" w:hAnsi="Arial"/>
                <w:sz w:val="16"/>
                <w:szCs w:val="16"/>
                <w:b w:val="1"/>
                <w:bCs w:val="1"/>
                <w:color w:val="FFFFFF"/>
              </w:rPr>
              <w:t>Sep 23</w:t>
            </w:r>
          </w:p>
        </w:tc>
        <w:tc>
          <w:tcPr>
            <w:tcW w:w="132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6"/>
                <w:szCs w:val="16"/>
                <w:b w:val="1"/>
                <w:bCs w:val="1"/>
                <w:color w:val="FFFFFF"/>
              </w:rPr>
              <w:t>QoQ</w:t>
            </w:r>
          </w:p>
        </w:tc>
        <w:tc>
          <w:tcPr>
            <w:tcW w:w="138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6"/>
                <w:szCs w:val="16"/>
                <w:b w:val="1"/>
                <w:bCs w:val="1"/>
                <w:color w:val="FFFFFF"/>
                <w:w w:val="96"/>
              </w:rPr>
              <w:t>YoY</w:t>
            </w:r>
          </w:p>
        </w:tc>
      </w:tr>
      <w:tr>
        <w:trPr>
          <w:trHeight w:val="178"/>
        </w:trPr>
        <w:tc>
          <w:tcPr>
            <w:tcW w:w="3420" w:type="dxa"/>
            <w:vAlign w:val="bottom"/>
            <w:tcBorders>
              <w:left w:val="single" w:sz="8" w:color="auto"/>
              <w:bottom w:val="single" w:sz="8" w:color="auto"/>
            </w:tcBorders>
            <w:gridSpan w:val="2"/>
          </w:tcPr>
          <w:p>
            <w:pPr>
              <w:ind w:left="20"/>
              <w:spacing w:after="0" w:line="178" w:lineRule="exact"/>
              <w:rPr>
                <w:sz w:val="20"/>
                <w:szCs w:val="20"/>
                <w:color w:val="auto"/>
              </w:rPr>
            </w:pPr>
            <w:r>
              <w:rPr>
                <w:rFonts w:ascii="Arial" w:cs="Arial" w:eastAsia="Arial" w:hAnsi="Arial"/>
                <w:sz w:val="16"/>
                <w:szCs w:val="16"/>
                <w:b w:val="1"/>
                <w:bCs w:val="1"/>
                <w:color w:val="auto"/>
              </w:rPr>
              <w:t>Total loans (Quarter-end balance)</w:t>
            </w:r>
          </w:p>
        </w:tc>
        <w:tc>
          <w:tcPr>
            <w:tcW w:w="1120" w:type="dxa"/>
            <w:vAlign w:val="bottom"/>
            <w:tcBorders>
              <w:bottom w:val="single" w:sz="8" w:color="auto"/>
              <w:right w:val="single" w:sz="8" w:color="auto"/>
            </w:tcBorders>
          </w:tcPr>
          <w:p>
            <w:pPr>
              <w:spacing w:after="0"/>
              <w:rPr>
                <w:sz w:val="15"/>
                <w:szCs w:val="15"/>
                <w:color w:val="auto"/>
              </w:rPr>
            </w:pPr>
          </w:p>
        </w:tc>
        <w:tc>
          <w:tcPr>
            <w:tcW w:w="1540" w:type="dxa"/>
            <w:vAlign w:val="bottom"/>
            <w:tcBorders>
              <w:bottom w:val="single" w:sz="8" w:color="auto"/>
            </w:tcBorders>
          </w:tcPr>
          <w:p>
            <w:pPr>
              <w:jc w:val="right"/>
              <w:ind w:right="118"/>
              <w:spacing w:after="0" w:line="178" w:lineRule="exact"/>
              <w:rPr>
                <w:sz w:val="20"/>
                <w:szCs w:val="20"/>
                <w:color w:val="auto"/>
              </w:rPr>
            </w:pPr>
            <w:r>
              <w:rPr>
                <w:rFonts w:ascii="Arial" w:cs="Arial" w:eastAsia="Arial" w:hAnsi="Arial"/>
                <w:sz w:val="16"/>
                <w:szCs w:val="16"/>
                <w:b w:val="1"/>
                <w:bCs w:val="1"/>
                <w:color w:val="auto"/>
              </w:rPr>
              <w:t>151,392,202</w:t>
            </w:r>
          </w:p>
        </w:tc>
        <w:tc>
          <w:tcPr>
            <w:tcW w:w="112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b w:val="1"/>
                <w:bCs w:val="1"/>
                <w:color w:val="auto"/>
              </w:rPr>
              <w:t>142,845,549</w:t>
            </w:r>
          </w:p>
        </w:tc>
        <w:tc>
          <w:tcPr>
            <w:tcW w:w="1360" w:type="dxa"/>
            <w:vAlign w:val="bottom"/>
            <w:tcBorders>
              <w:bottom w:val="single" w:sz="8" w:color="auto"/>
              <w:right w:val="single" w:sz="8" w:color="auto"/>
            </w:tcBorders>
          </w:tcPr>
          <w:p>
            <w:pPr>
              <w:jc w:val="right"/>
              <w:spacing w:after="0" w:line="178" w:lineRule="exact"/>
              <w:rPr>
                <w:sz w:val="20"/>
                <w:szCs w:val="20"/>
                <w:color w:val="auto"/>
              </w:rPr>
            </w:pPr>
            <w:r>
              <w:rPr>
                <w:rFonts w:ascii="Arial" w:cs="Arial" w:eastAsia="Arial" w:hAnsi="Arial"/>
                <w:sz w:val="16"/>
                <w:szCs w:val="16"/>
                <w:b w:val="1"/>
                <w:bCs w:val="1"/>
                <w:color w:val="auto"/>
              </w:rPr>
              <w:t>145,129,260</w:t>
            </w:r>
          </w:p>
        </w:tc>
        <w:tc>
          <w:tcPr>
            <w:tcW w:w="1320" w:type="dxa"/>
            <w:vAlign w:val="bottom"/>
            <w:tcBorders>
              <w:bottom w:val="single" w:sz="8" w:color="auto"/>
            </w:tcBorders>
          </w:tcPr>
          <w:p>
            <w:pPr>
              <w:jc w:val="center"/>
              <w:spacing w:after="0" w:line="178" w:lineRule="exact"/>
              <w:rPr>
                <w:sz w:val="20"/>
                <w:szCs w:val="20"/>
                <w:color w:val="auto"/>
              </w:rPr>
            </w:pPr>
            <w:r>
              <w:rPr>
                <w:rFonts w:ascii="Arial" w:cs="Arial" w:eastAsia="Arial" w:hAnsi="Arial"/>
                <w:sz w:val="16"/>
                <w:szCs w:val="16"/>
                <w:b w:val="1"/>
                <w:bCs w:val="1"/>
                <w:color w:val="auto"/>
              </w:rPr>
              <w:t>1.6%</w:t>
            </w:r>
          </w:p>
        </w:tc>
        <w:tc>
          <w:tcPr>
            <w:tcW w:w="1380" w:type="dxa"/>
            <w:vAlign w:val="bottom"/>
            <w:tcBorders>
              <w:bottom w:val="single" w:sz="8" w:color="auto"/>
              <w:right w:val="single" w:sz="8" w:color="auto"/>
            </w:tcBorders>
          </w:tcPr>
          <w:p>
            <w:pPr>
              <w:jc w:val="center"/>
              <w:spacing w:after="0" w:line="178" w:lineRule="exact"/>
              <w:rPr>
                <w:sz w:val="20"/>
                <w:szCs w:val="20"/>
                <w:color w:val="auto"/>
              </w:rPr>
            </w:pPr>
            <w:r>
              <w:rPr>
                <w:rFonts w:ascii="Arial" w:cs="Arial" w:eastAsia="Arial" w:hAnsi="Arial"/>
                <w:sz w:val="16"/>
                <w:szCs w:val="16"/>
                <w:b w:val="1"/>
                <w:bCs w:val="1"/>
                <w:color w:val="auto"/>
              </w:rPr>
              <w:t>-4.1%</w:t>
            </w:r>
          </w:p>
        </w:tc>
      </w:tr>
      <w:tr>
        <w:trPr>
          <w:trHeight w:val="178"/>
        </w:trPr>
        <w:tc>
          <w:tcPr>
            <w:tcW w:w="3420" w:type="dxa"/>
            <w:vAlign w:val="bottom"/>
            <w:tcBorders>
              <w:left w:val="single" w:sz="8" w:color="auto"/>
              <w:bottom w:val="single" w:sz="8" w:color="auto"/>
            </w:tcBorders>
            <w:gridSpan w:val="2"/>
          </w:tcPr>
          <w:p>
            <w:pPr>
              <w:ind w:left="20"/>
              <w:spacing w:after="0" w:line="178" w:lineRule="exact"/>
              <w:rPr>
                <w:sz w:val="20"/>
                <w:szCs w:val="20"/>
                <w:color w:val="auto"/>
              </w:rPr>
            </w:pPr>
            <w:r>
              <w:rPr>
                <w:rFonts w:ascii="Arial" w:cs="Arial" w:eastAsia="Arial" w:hAnsi="Arial"/>
                <w:sz w:val="16"/>
                <w:szCs w:val="16"/>
                <w:color w:val="auto"/>
              </w:rPr>
              <w:t>Allowance for loan losses</w:t>
            </w:r>
          </w:p>
        </w:tc>
        <w:tc>
          <w:tcPr>
            <w:tcW w:w="1120" w:type="dxa"/>
            <w:vAlign w:val="bottom"/>
            <w:tcBorders>
              <w:bottom w:val="single" w:sz="8" w:color="auto"/>
              <w:right w:val="single" w:sz="8" w:color="auto"/>
            </w:tcBorders>
          </w:tcPr>
          <w:p>
            <w:pPr>
              <w:spacing w:after="0"/>
              <w:rPr>
                <w:sz w:val="15"/>
                <w:szCs w:val="15"/>
                <w:color w:val="auto"/>
              </w:rPr>
            </w:pPr>
          </w:p>
        </w:tc>
        <w:tc>
          <w:tcPr>
            <w:tcW w:w="1540" w:type="dxa"/>
            <w:vAlign w:val="bottom"/>
            <w:tcBorders>
              <w:bottom w:val="single" w:sz="8" w:color="auto"/>
            </w:tcBorders>
          </w:tcPr>
          <w:p>
            <w:pPr>
              <w:jc w:val="right"/>
              <w:ind w:right="118"/>
              <w:spacing w:after="0" w:line="178" w:lineRule="exact"/>
              <w:rPr>
                <w:sz w:val="20"/>
                <w:szCs w:val="20"/>
                <w:color w:val="auto"/>
              </w:rPr>
            </w:pPr>
            <w:r>
              <w:rPr>
                <w:rFonts w:ascii="Arial" w:cs="Arial" w:eastAsia="Arial" w:hAnsi="Arial"/>
                <w:sz w:val="16"/>
                <w:szCs w:val="16"/>
                <w:color w:val="auto"/>
              </w:rPr>
              <w:t>8,030,104</w:t>
            </w:r>
          </w:p>
        </w:tc>
        <w:tc>
          <w:tcPr>
            <w:tcW w:w="112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7,956,184</w:t>
            </w:r>
          </w:p>
        </w:tc>
        <w:tc>
          <w:tcPr>
            <w:tcW w:w="1360" w:type="dxa"/>
            <w:vAlign w:val="bottom"/>
            <w:tcBorders>
              <w:bottom w:val="single" w:sz="8" w:color="auto"/>
              <w:right w:val="single" w:sz="8" w:color="auto"/>
            </w:tcBorders>
          </w:tcPr>
          <w:p>
            <w:pPr>
              <w:jc w:val="right"/>
              <w:spacing w:after="0" w:line="178" w:lineRule="exact"/>
              <w:rPr>
                <w:sz w:val="20"/>
                <w:szCs w:val="20"/>
                <w:color w:val="auto"/>
              </w:rPr>
            </w:pPr>
            <w:r>
              <w:rPr>
                <w:rFonts w:ascii="Arial" w:cs="Arial" w:eastAsia="Arial" w:hAnsi="Arial"/>
                <w:sz w:val="16"/>
                <w:szCs w:val="16"/>
                <w:color w:val="auto"/>
              </w:rPr>
              <w:t>8,056,216</w:t>
            </w:r>
          </w:p>
        </w:tc>
        <w:tc>
          <w:tcPr>
            <w:tcW w:w="1320" w:type="dxa"/>
            <w:vAlign w:val="bottom"/>
            <w:tcBorders>
              <w:bottom w:val="single" w:sz="8" w:color="auto"/>
            </w:tcBorders>
          </w:tcPr>
          <w:p>
            <w:pPr>
              <w:jc w:val="center"/>
              <w:spacing w:after="0" w:line="178" w:lineRule="exact"/>
              <w:rPr>
                <w:sz w:val="20"/>
                <w:szCs w:val="20"/>
                <w:color w:val="auto"/>
              </w:rPr>
            </w:pPr>
            <w:r>
              <w:rPr>
                <w:rFonts w:ascii="Arial" w:cs="Arial" w:eastAsia="Arial" w:hAnsi="Arial"/>
                <w:sz w:val="16"/>
                <w:szCs w:val="16"/>
                <w:color w:val="auto"/>
              </w:rPr>
              <w:t>1.3%</w:t>
            </w:r>
          </w:p>
        </w:tc>
        <w:tc>
          <w:tcPr>
            <w:tcW w:w="1380" w:type="dxa"/>
            <w:vAlign w:val="bottom"/>
            <w:tcBorders>
              <w:bottom w:val="single" w:sz="8" w:color="auto"/>
              <w:right w:val="single" w:sz="8" w:color="auto"/>
            </w:tcBorders>
          </w:tcPr>
          <w:p>
            <w:pPr>
              <w:jc w:val="center"/>
              <w:spacing w:after="0" w:line="178" w:lineRule="exact"/>
              <w:rPr>
                <w:sz w:val="20"/>
                <w:szCs w:val="20"/>
                <w:color w:val="auto"/>
              </w:rPr>
            </w:pPr>
            <w:r>
              <w:rPr>
                <w:rFonts w:ascii="Arial" w:cs="Arial" w:eastAsia="Arial" w:hAnsi="Arial"/>
                <w:sz w:val="16"/>
                <w:szCs w:val="16"/>
                <w:color w:val="auto"/>
              </w:rPr>
              <w:t>0.3%</w:t>
            </w:r>
          </w:p>
        </w:tc>
      </w:tr>
      <w:tr>
        <w:trPr>
          <w:trHeight w:val="178"/>
        </w:trPr>
        <w:tc>
          <w:tcPr>
            <w:tcW w:w="3420" w:type="dxa"/>
            <w:vAlign w:val="bottom"/>
            <w:tcBorders>
              <w:left w:val="single" w:sz="8" w:color="auto"/>
              <w:bottom w:val="single" w:sz="8" w:color="auto"/>
            </w:tcBorders>
            <w:gridSpan w:val="2"/>
          </w:tcPr>
          <w:p>
            <w:pPr>
              <w:ind w:left="20"/>
              <w:spacing w:after="0" w:line="178" w:lineRule="exact"/>
              <w:rPr>
                <w:sz w:val="20"/>
                <w:szCs w:val="20"/>
                <w:color w:val="auto"/>
              </w:rPr>
            </w:pPr>
            <w:r>
              <w:rPr>
                <w:rFonts w:ascii="Arial" w:cs="Arial" w:eastAsia="Arial" w:hAnsi="Arial"/>
                <w:sz w:val="16"/>
                <w:szCs w:val="16"/>
                <w:color w:val="auto"/>
              </w:rPr>
              <w:t>Write-offs</w:t>
            </w:r>
          </w:p>
        </w:tc>
        <w:tc>
          <w:tcPr>
            <w:tcW w:w="1120" w:type="dxa"/>
            <w:vAlign w:val="bottom"/>
            <w:tcBorders>
              <w:bottom w:val="single" w:sz="8" w:color="auto"/>
              <w:right w:val="single" w:sz="8" w:color="auto"/>
            </w:tcBorders>
          </w:tcPr>
          <w:p>
            <w:pPr>
              <w:spacing w:after="0"/>
              <w:rPr>
                <w:sz w:val="15"/>
                <w:szCs w:val="15"/>
                <w:color w:val="auto"/>
              </w:rPr>
            </w:pPr>
          </w:p>
        </w:tc>
        <w:tc>
          <w:tcPr>
            <w:tcW w:w="1540" w:type="dxa"/>
            <w:vAlign w:val="bottom"/>
            <w:tcBorders>
              <w:bottom w:val="single" w:sz="8" w:color="auto"/>
            </w:tcBorders>
          </w:tcPr>
          <w:p>
            <w:pPr>
              <w:jc w:val="right"/>
              <w:ind w:right="118"/>
              <w:spacing w:after="0" w:line="178" w:lineRule="exact"/>
              <w:rPr>
                <w:sz w:val="20"/>
                <w:szCs w:val="20"/>
                <w:color w:val="auto"/>
              </w:rPr>
            </w:pPr>
            <w:r>
              <w:rPr>
                <w:rFonts w:ascii="Arial" w:cs="Arial" w:eastAsia="Arial" w:hAnsi="Arial"/>
                <w:sz w:val="16"/>
                <w:szCs w:val="16"/>
                <w:color w:val="auto"/>
              </w:rPr>
              <w:t>837,924</w:t>
            </w:r>
          </w:p>
        </w:tc>
        <w:tc>
          <w:tcPr>
            <w:tcW w:w="112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682,154</w:t>
            </w:r>
          </w:p>
        </w:tc>
        <w:tc>
          <w:tcPr>
            <w:tcW w:w="1360" w:type="dxa"/>
            <w:vAlign w:val="bottom"/>
            <w:tcBorders>
              <w:bottom w:val="single" w:sz="8" w:color="auto"/>
              <w:right w:val="single" w:sz="8" w:color="auto"/>
            </w:tcBorders>
          </w:tcPr>
          <w:p>
            <w:pPr>
              <w:jc w:val="right"/>
              <w:spacing w:after="0" w:line="178" w:lineRule="exact"/>
              <w:rPr>
                <w:sz w:val="20"/>
                <w:szCs w:val="20"/>
                <w:color w:val="auto"/>
              </w:rPr>
            </w:pPr>
            <w:r>
              <w:rPr>
                <w:rFonts w:ascii="Arial" w:cs="Arial" w:eastAsia="Arial" w:hAnsi="Arial"/>
                <w:sz w:val="16"/>
                <w:szCs w:val="16"/>
                <w:color w:val="auto"/>
              </w:rPr>
              <w:t>1,018,084</w:t>
            </w:r>
          </w:p>
        </w:tc>
        <w:tc>
          <w:tcPr>
            <w:tcW w:w="1320" w:type="dxa"/>
            <w:vAlign w:val="bottom"/>
            <w:tcBorders>
              <w:bottom w:val="single" w:sz="8" w:color="auto"/>
            </w:tcBorders>
          </w:tcPr>
          <w:p>
            <w:pPr>
              <w:jc w:val="center"/>
              <w:spacing w:after="0" w:line="178" w:lineRule="exact"/>
              <w:rPr>
                <w:sz w:val="20"/>
                <w:szCs w:val="20"/>
                <w:color w:val="auto"/>
              </w:rPr>
            </w:pPr>
            <w:r>
              <w:rPr>
                <w:rFonts w:ascii="Arial" w:cs="Arial" w:eastAsia="Arial" w:hAnsi="Arial"/>
                <w:sz w:val="16"/>
                <w:szCs w:val="16"/>
                <w:color w:val="auto"/>
              </w:rPr>
              <w:t>49.2%</w:t>
            </w:r>
          </w:p>
        </w:tc>
        <w:tc>
          <w:tcPr>
            <w:tcW w:w="1380" w:type="dxa"/>
            <w:vAlign w:val="bottom"/>
            <w:tcBorders>
              <w:bottom w:val="single" w:sz="8" w:color="auto"/>
              <w:right w:val="single" w:sz="8" w:color="auto"/>
            </w:tcBorders>
          </w:tcPr>
          <w:p>
            <w:pPr>
              <w:jc w:val="center"/>
              <w:spacing w:after="0" w:line="178" w:lineRule="exact"/>
              <w:rPr>
                <w:sz w:val="20"/>
                <w:szCs w:val="20"/>
                <w:color w:val="auto"/>
              </w:rPr>
            </w:pPr>
            <w:r>
              <w:rPr>
                <w:rFonts w:ascii="Arial" w:cs="Arial" w:eastAsia="Arial" w:hAnsi="Arial"/>
                <w:sz w:val="16"/>
                <w:szCs w:val="16"/>
                <w:color w:val="auto"/>
              </w:rPr>
              <w:t>21.5%</w:t>
            </w:r>
          </w:p>
        </w:tc>
      </w:tr>
      <w:tr>
        <w:trPr>
          <w:trHeight w:val="155"/>
        </w:trPr>
        <w:tc>
          <w:tcPr>
            <w:tcW w:w="3420" w:type="dxa"/>
            <w:vAlign w:val="bottom"/>
            <w:tcBorders>
              <w:left w:val="single" w:sz="8" w:color="auto"/>
            </w:tcBorders>
            <w:gridSpan w:val="2"/>
          </w:tcPr>
          <w:p>
            <w:pPr>
              <w:ind w:left="20"/>
              <w:spacing w:after="0" w:line="155" w:lineRule="exact"/>
              <w:rPr>
                <w:sz w:val="20"/>
                <w:szCs w:val="20"/>
                <w:color w:val="auto"/>
              </w:rPr>
            </w:pPr>
            <w:r>
              <w:rPr>
                <w:rFonts w:ascii="Arial" w:cs="Arial" w:eastAsia="Arial" w:hAnsi="Arial"/>
                <w:sz w:val="11"/>
                <w:szCs w:val="11"/>
                <w:color w:val="auto"/>
              </w:rPr>
              <w:t xml:space="preserve">Internal overdue loans (IOLs) </w:t>
            </w:r>
            <w:r>
              <w:rPr>
                <w:rFonts w:ascii="Arial" w:cs="Arial" w:eastAsia="Arial" w:hAnsi="Arial"/>
                <w:sz w:val="17"/>
                <w:szCs w:val="17"/>
                <w:color w:val="auto"/>
                <w:vertAlign w:val="superscript"/>
              </w:rPr>
              <w:t>(1)(2)</w:t>
            </w:r>
          </w:p>
        </w:tc>
        <w:tc>
          <w:tcPr>
            <w:tcW w:w="1120" w:type="dxa"/>
            <w:vAlign w:val="bottom"/>
            <w:tcBorders>
              <w:right w:val="single" w:sz="8" w:color="auto"/>
            </w:tcBorders>
          </w:tcPr>
          <w:p>
            <w:pPr>
              <w:spacing w:after="0"/>
              <w:rPr>
                <w:sz w:val="13"/>
                <w:szCs w:val="13"/>
                <w:color w:val="auto"/>
              </w:rPr>
            </w:pPr>
          </w:p>
        </w:tc>
        <w:tc>
          <w:tcPr>
            <w:tcW w:w="1540" w:type="dxa"/>
            <w:vAlign w:val="bottom"/>
          </w:tcPr>
          <w:p>
            <w:pPr>
              <w:jc w:val="right"/>
              <w:ind w:right="118"/>
              <w:spacing w:after="0" w:line="155" w:lineRule="exact"/>
              <w:rPr>
                <w:sz w:val="20"/>
                <w:szCs w:val="20"/>
                <w:color w:val="auto"/>
              </w:rPr>
            </w:pPr>
            <w:r>
              <w:rPr>
                <w:rFonts w:ascii="Arial" w:cs="Arial" w:eastAsia="Arial" w:hAnsi="Arial"/>
                <w:sz w:val="16"/>
                <w:szCs w:val="16"/>
                <w:color w:val="auto"/>
              </w:rPr>
              <w:t>6,250,131</w:t>
            </w:r>
          </w:p>
        </w:tc>
        <w:tc>
          <w:tcPr>
            <w:tcW w:w="1120" w:type="dxa"/>
            <w:vAlign w:val="bottom"/>
          </w:tcPr>
          <w:p>
            <w:pPr>
              <w:jc w:val="right"/>
              <w:spacing w:after="0" w:line="155" w:lineRule="exact"/>
              <w:rPr>
                <w:sz w:val="20"/>
                <w:szCs w:val="20"/>
                <w:color w:val="auto"/>
              </w:rPr>
            </w:pPr>
            <w:r>
              <w:rPr>
                <w:rFonts w:ascii="Arial" w:cs="Arial" w:eastAsia="Arial" w:hAnsi="Arial"/>
                <w:sz w:val="16"/>
                <w:szCs w:val="16"/>
                <w:color w:val="auto"/>
              </w:rPr>
              <w:t>5,979,395</w:t>
            </w:r>
          </w:p>
        </w:tc>
        <w:tc>
          <w:tcPr>
            <w:tcW w:w="1360" w:type="dxa"/>
            <w:vAlign w:val="bottom"/>
            <w:tcBorders>
              <w:right w:val="single" w:sz="8" w:color="auto"/>
            </w:tcBorders>
          </w:tcPr>
          <w:p>
            <w:pPr>
              <w:jc w:val="right"/>
              <w:spacing w:after="0" w:line="155" w:lineRule="exact"/>
              <w:rPr>
                <w:sz w:val="20"/>
                <w:szCs w:val="20"/>
                <w:color w:val="auto"/>
              </w:rPr>
            </w:pPr>
            <w:r>
              <w:rPr>
                <w:rFonts w:ascii="Arial" w:cs="Arial" w:eastAsia="Arial" w:hAnsi="Arial"/>
                <w:sz w:val="16"/>
                <w:szCs w:val="16"/>
                <w:color w:val="auto"/>
              </w:rPr>
              <w:t>6,406,345</w:t>
            </w:r>
          </w:p>
        </w:tc>
        <w:tc>
          <w:tcPr>
            <w:tcW w:w="1320" w:type="dxa"/>
            <w:vAlign w:val="bottom"/>
          </w:tcPr>
          <w:p>
            <w:pPr>
              <w:jc w:val="center"/>
              <w:spacing w:after="0" w:line="155" w:lineRule="exact"/>
              <w:rPr>
                <w:sz w:val="20"/>
                <w:szCs w:val="20"/>
                <w:color w:val="auto"/>
              </w:rPr>
            </w:pPr>
            <w:r>
              <w:rPr>
                <w:rFonts w:ascii="Arial" w:cs="Arial" w:eastAsia="Arial" w:hAnsi="Arial"/>
                <w:sz w:val="16"/>
                <w:szCs w:val="16"/>
                <w:color w:val="auto"/>
              </w:rPr>
              <w:t>7.1%</w:t>
            </w:r>
          </w:p>
        </w:tc>
        <w:tc>
          <w:tcPr>
            <w:tcW w:w="138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6"/>
                <w:szCs w:val="16"/>
                <w:color w:val="auto"/>
              </w:rPr>
              <w:t>2.5%</w:t>
            </w:r>
          </w:p>
        </w:tc>
      </w:tr>
      <w:tr>
        <w:trPr>
          <w:trHeight w:val="185"/>
        </w:trPr>
        <w:tc>
          <w:tcPr>
            <w:tcW w:w="3420" w:type="dxa"/>
            <w:vAlign w:val="bottom"/>
            <w:tcBorders>
              <w:left w:val="single" w:sz="8" w:color="auto"/>
            </w:tcBorders>
            <w:gridSpan w:val="2"/>
          </w:tcPr>
          <w:p>
            <w:pPr>
              <w:ind w:left="20"/>
              <w:spacing w:after="0" w:line="186" w:lineRule="exact"/>
              <w:rPr>
                <w:sz w:val="20"/>
                <w:szCs w:val="20"/>
                <w:color w:val="auto"/>
              </w:rPr>
            </w:pPr>
            <w:r>
              <w:rPr>
                <w:rFonts w:ascii="Arial" w:cs="Arial" w:eastAsia="Arial" w:hAnsi="Arial"/>
                <w:sz w:val="13"/>
                <w:szCs w:val="13"/>
                <w:color w:val="auto"/>
              </w:rPr>
              <w:t xml:space="preserve">Internal overdue loans over 90-days </w:t>
            </w:r>
            <w:r>
              <w:rPr>
                <w:rFonts w:ascii="Arial" w:cs="Arial" w:eastAsia="Arial" w:hAnsi="Arial"/>
                <w:sz w:val="21"/>
                <w:szCs w:val="21"/>
                <w:color w:val="auto"/>
                <w:vertAlign w:val="superscript"/>
              </w:rPr>
              <w:t>(1)</w:t>
            </w:r>
          </w:p>
        </w:tc>
        <w:tc>
          <w:tcPr>
            <w:tcW w:w="1120" w:type="dxa"/>
            <w:vAlign w:val="bottom"/>
            <w:tcBorders>
              <w:right w:val="single" w:sz="8" w:color="auto"/>
            </w:tcBorders>
          </w:tcPr>
          <w:p>
            <w:pPr>
              <w:spacing w:after="0"/>
              <w:rPr>
                <w:sz w:val="16"/>
                <w:szCs w:val="16"/>
                <w:color w:val="auto"/>
              </w:rPr>
            </w:pPr>
          </w:p>
        </w:tc>
        <w:tc>
          <w:tcPr>
            <w:tcW w:w="1540" w:type="dxa"/>
            <w:vAlign w:val="bottom"/>
          </w:tcPr>
          <w:p>
            <w:pPr>
              <w:jc w:val="right"/>
              <w:ind w:right="118"/>
              <w:spacing w:after="0"/>
              <w:rPr>
                <w:sz w:val="20"/>
                <w:szCs w:val="20"/>
                <w:color w:val="auto"/>
              </w:rPr>
            </w:pPr>
            <w:r>
              <w:rPr>
                <w:rFonts w:ascii="Arial" w:cs="Arial" w:eastAsia="Arial" w:hAnsi="Arial"/>
                <w:sz w:val="16"/>
                <w:szCs w:val="16"/>
                <w:color w:val="auto"/>
              </w:rPr>
              <w:t>4,667,608</w:t>
            </w:r>
          </w:p>
        </w:tc>
        <w:tc>
          <w:tcPr>
            <w:tcW w:w="1120" w:type="dxa"/>
            <w:vAlign w:val="bottom"/>
          </w:tcPr>
          <w:p>
            <w:pPr>
              <w:jc w:val="right"/>
              <w:spacing w:after="0"/>
              <w:rPr>
                <w:sz w:val="20"/>
                <w:szCs w:val="20"/>
                <w:color w:val="auto"/>
              </w:rPr>
            </w:pPr>
            <w:r>
              <w:rPr>
                <w:rFonts w:ascii="Arial" w:cs="Arial" w:eastAsia="Arial" w:hAnsi="Arial"/>
                <w:sz w:val="16"/>
                <w:szCs w:val="16"/>
                <w:color w:val="auto"/>
              </w:rPr>
              <w:t>4,862,669</w:t>
            </w:r>
          </w:p>
        </w:tc>
        <w:tc>
          <w:tcPr>
            <w:tcW w:w="13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5,133,832</w:t>
            </w:r>
          </w:p>
        </w:tc>
        <w:tc>
          <w:tcPr>
            <w:tcW w:w="1320" w:type="dxa"/>
            <w:vAlign w:val="bottom"/>
          </w:tcPr>
          <w:p>
            <w:pPr>
              <w:jc w:val="center"/>
              <w:spacing w:after="0"/>
              <w:rPr>
                <w:sz w:val="20"/>
                <w:szCs w:val="20"/>
                <w:color w:val="auto"/>
              </w:rPr>
            </w:pPr>
            <w:r>
              <w:rPr>
                <w:rFonts w:ascii="Arial" w:cs="Arial" w:eastAsia="Arial" w:hAnsi="Arial"/>
                <w:sz w:val="16"/>
                <w:szCs w:val="16"/>
                <w:color w:val="auto"/>
              </w:rPr>
              <w:t>5.6%</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10.0%</w:t>
            </w:r>
          </w:p>
        </w:tc>
      </w:tr>
      <w:tr>
        <w:trPr>
          <w:trHeight w:val="185"/>
        </w:trPr>
        <w:tc>
          <w:tcPr>
            <w:tcW w:w="3420" w:type="dxa"/>
            <w:vAlign w:val="bottom"/>
            <w:tcBorders>
              <w:left w:val="single" w:sz="8" w:color="auto"/>
            </w:tcBorders>
            <w:gridSpan w:val="2"/>
          </w:tcPr>
          <w:p>
            <w:pPr>
              <w:ind w:left="20"/>
              <w:spacing w:after="0" w:line="186" w:lineRule="exact"/>
              <w:rPr>
                <w:sz w:val="20"/>
                <w:szCs w:val="20"/>
                <w:color w:val="auto"/>
              </w:rPr>
            </w:pPr>
            <w:r>
              <w:rPr>
                <w:rFonts w:ascii="Arial" w:cs="Arial" w:eastAsia="Arial" w:hAnsi="Arial"/>
                <w:sz w:val="13"/>
                <w:szCs w:val="13"/>
                <w:color w:val="auto"/>
              </w:rPr>
              <w:t xml:space="preserve">Refinanced Loans </w:t>
            </w:r>
            <w:r>
              <w:rPr>
                <w:rFonts w:ascii="Arial" w:cs="Arial" w:eastAsia="Arial" w:hAnsi="Arial"/>
                <w:sz w:val="21"/>
                <w:szCs w:val="21"/>
                <w:color w:val="auto"/>
                <w:vertAlign w:val="superscript"/>
              </w:rPr>
              <w:t>(2)</w:t>
            </w:r>
          </w:p>
        </w:tc>
        <w:tc>
          <w:tcPr>
            <w:tcW w:w="1120" w:type="dxa"/>
            <w:vAlign w:val="bottom"/>
            <w:tcBorders>
              <w:right w:val="single" w:sz="8" w:color="auto"/>
            </w:tcBorders>
          </w:tcPr>
          <w:p>
            <w:pPr>
              <w:spacing w:after="0"/>
              <w:rPr>
                <w:sz w:val="16"/>
                <w:szCs w:val="16"/>
                <w:color w:val="auto"/>
              </w:rPr>
            </w:pPr>
          </w:p>
        </w:tc>
        <w:tc>
          <w:tcPr>
            <w:tcW w:w="1540" w:type="dxa"/>
            <w:vAlign w:val="bottom"/>
          </w:tcPr>
          <w:p>
            <w:pPr>
              <w:jc w:val="right"/>
              <w:ind w:right="118"/>
              <w:spacing w:after="0"/>
              <w:rPr>
                <w:sz w:val="20"/>
                <w:szCs w:val="20"/>
                <w:color w:val="auto"/>
              </w:rPr>
            </w:pPr>
            <w:r>
              <w:rPr>
                <w:rFonts w:ascii="Arial" w:cs="Arial" w:eastAsia="Arial" w:hAnsi="Arial"/>
                <w:sz w:val="16"/>
                <w:szCs w:val="16"/>
                <w:color w:val="auto"/>
              </w:rPr>
              <w:t>1,808,982</w:t>
            </w:r>
          </w:p>
        </w:tc>
        <w:tc>
          <w:tcPr>
            <w:tcW w:w="1120" w:type="dxa"/>
            <w:vAlign w:val="bottom"/>
          </w:tcPr>
          <w:p>
            <w:pPr>
              <w:jc w:val="right"/>
              <w:spacing w:after="0"/>
              <w:rPr>
                <w:sz w:val="20"/>
                <w:szCs w:val="20"/>
                <w:color w:val="auto"/>
              </w:rPr>
            </w:pPr>
            <w:r>
              <w:rPr>
                <w:rFonts w:ascii="Arial" w:cs="Arial" w:eastAsia="Arial" w:hAnsi="Arial"/>
                <w:sz w:val="16"/>
                <w:szCs w:val="16"/>
                <w:color w:val="auto"/>
              </w:rPr>
              <w:t>2,084,124</w:t>
            </w:r>
          </w:p>
        </w:tc>
        <w:tc>
          <w:tcPr>
            <w:tcW w:w="13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2,253,098</w:t>
            </w:r>
          </w:p>
        </w:tc>
        <w:tc>
          <w:tcPr>
            <w:tcW w:w="1320" w:type="dxa"/>
            <w:vAlign w:val="bottom"/>
          </w:tcPr>
          <w:p>
            <w:pPr>
              <w:jc w:val="center"/>
              <w:spacing w:after="0"/>
              <w:rPr>
                <w:sz w:val="20"/>
                <w:szCs w:val="20"/>
                <w:color w:val="auto"/>
              </w:rPr>
            </w:pPr>
            <w:r>
              <w:rPr>
                <w:rFonts w:ascii="Arial" w:cs="Arial" w:eastAsia="Arial" w:hAnsi="Arial"/>
                <w:sz w:val="16"/>
                <w:szCs w:val="16"/>
                <w:color w:val="auto"/>
              </w:rPr>
              <w:t>8.1%</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24.6%</w:t>
            </w:r>
          </w:p>
        </w:tc>
      </w:tr>
      <w:tr>
        <w:trPr>
          <w:trHeight w:val="208"/>
        </w:trPr>
        <w:tc>
          <w:tcPr>
            <w:tcW w:w="3420" w:type="dxa"/>
            <w:vAlign w:val="bottom"/>
            <w:tcBorders>
              <w:left w:val="single" w:sz="8" w:color="auto"/>
              <w:bottom w:val="single" w:sz="8" w:color="auto"/>
            </w:tcBorders>
            <w:gridSpan w:val="2"/>
          </w:tcPr>
          <w:p>
            <w:pPr>
              <w:ind w:left="20"/>
              <w:spacing w:after="0" w:line="209" w:lineRule="exact"/>
              <w:rPr>
                <w:sz w:val="20"/>
                <w:szCs w:val="20"/>
                <w:color w:val="auto"/>
              </w:rPr>
            </w:pPr>
            <w:r>
              <w:rPr>
                <w:rFonts w:ascii="Arial" w:cs="Arial" w:eastAsia="Arial" w:hAnsi="Arial"/>
                <w:sz w:val="15"/>
                <w:szCs w:val="15"/>
                <w:color w:val="auto"/>
              </w:rPr>
              <w:t xml:space="preserve">Non-performing loans (NPLs) </w:t>
            </w:r>
            <w:r>
              <w:rPr>
                <w:rFonts w:ascii="Arial" w:cs="Arial" w:eastAsia="Arial" w:hAnsi="Arial"/>
                <w:sz w:val="24"/>
                <w:szCs w:val="24"/>
                <w:color w:val="auto"/>
                <w:vertAlign w:val="superscript"/>
              </w:rPr>
              <w:t>(3)</w:t>
            </w:r>
          </w:p>
        </w:tc>
        <w:tc>
          <w:tcPr>
            <w:tcW w:w="112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tcBorders>
          </w:tcPr>
          <w:p>
            <w:pPr>
              <w:jc w:val="right"/>
              <w:ind w:right="118"/>
              <w:spacing w:after="0"/>
              <w:rPr>
                <w:sz w:val="20"/>
                <w:szCs w:val="20"/>
                <w:color w:val="auto"/>
              </w:rPr>
            </w:pPr>
            <w:r>
              <w:rPr>
                <w:rFonts w:ascii="Arial" w:cs="Arial" w:eastAsia="Arial" w:hAnsi="Arial"/>
                <w:sz w:val="16"/>
                <w:szCs w:val="16"/>
                <w:color w:val="auto"/>
              </w:rPr>
              <w:t>8,059,113</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8,063,519</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8,659,443</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7.4%</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7.4%</w:t>
            </w:r>
          </w:p>
        </w:tc>
      </w:tr>
      <w:tr>
        <w:trPr>
          <w:trHeight w:val="157"/>
        </w:trPr>
        <w:tc>
          <w:tcPr>
            <w:tcW w:w="3420" w:type="dxa"/>
            <w:vAlign w:val="bottom"/>
            <w:tcBorders>
              <w:left w:val="single" w:sz="8" w:color="auto"/>
            </w:tcBorders>
            <w:gridSpan w:val="2"/>
          </w:tcPr>
          <w:p>
            <w:pPr>
              <w:ind w:left="20"/>
              <w:spacing w:after="0" w:line="157" w:lineRule="exact"/>
              <w:rPr>
                <w:sz w:val="20"/>
                <w:szCs w:val="20"/>
                <w:color w:val="auto"/>
              </w:rPr>
            </w:pPr>
            <w:r>
              <w:rPr>
                <w:rFonts w:ascii="Arial" w:cs="Arial" w:eastAsia="Arial" w:hAnsi="Arial"/>
                <w:sz w:val="16"/>
                <w:szCs w:val="16"/>
                <w:b w:val="1"/>
                <w:bCs w:val="1"/>
                <w:color w:val="auto"/>
              </w:rPr>
              <w:t>IOL ratio</w:t>
            </w:r>
          </w:p>
        </w:tc>
        <w:tc>
          <w:tcPr>
            <w:tcW w:w="1120" w:type="dxa"/>
            <w:vAlign w:val="bottom"/>
            <w:tcBorders>
              <w:right w:val="single" w:sz="8" w:color="auto"/>
            </w:tcBorders>
          </w:tcPr>
          <w:p>
            <w:pPr>
              <w:spacing w:after="0"/>
              <w:rPr>
                <w:sz w:val="13"/>
                <w:szCs w:val="13"/>
                <w:color w:val="auto"/>
              </w:rPr>
            </w:pPr>
          </w:p>
        </w:tc>
        <w:tc>
          <w:tcPr>
            <w:tcW w:w="1540" w:type="dxa"/>
            <w:vAlign w:val="bottom"/>
          </w:tcPr>
          <w:p>
            <w:pPr>
              <w:jc w:val="right"/>
              <w:ind w:right="118"/>
              <w:spacing w:after="0" w:line="157" w:lineRule="exact"/>
              <w:rPr>
                <w:sz w:val="20"/>
                <w:szCs w:val="20"/>
                <w:color w:val="auto"/>
              </w:rPr>
            </w:pPr>
            <w:r>
              <w:rPr>
                <w:rFonts w:ascii="Arial" w:cs="Arial" w:eastAsia="Arial" w:hAnsi="Arial"/>
                <w:sz w:val="16"/>
                <w:szCs w:val="16"/>
                <w:b w:val="1"/>
                <w:bCs w:val="1"/>
                <w:color w:val="auto"/>
              </w:rPr>
              <w:t>4.13%</w:t>
            </w:r>
          </w:p>
        </w:tc>
        <w:tc>
          <w:tcPr>
            <w:tcW w:w="1120" w:type="dxa"/>
            <w:vAlign w:val="bottom"/>
          </w:tcPr>
          <w:p>
            <w:pPr>
              <w:jc w:val="right"/>
              <w:spacing w:after="0" w:line="157" w:lineRule="exact"/>
              <w:rPr>
                <w:sz w:val="20"/>
                <w:szCs w:val="20"/>
                <w:color w:val="auto"/>
              </w:rPr>
            </w:pPr>
            <w:r>
              <w:rPr>
                <w:rFonts w:ascii="Arial" w:cs="Arial" w:eastAsia="Arial" w:hAnsi="Arial"/>
                <w:sz w:val="16"/>
                <w:szCs w:val="16"/>
                <w:b w:val="1"/>
                <w:bCs w:val="1"/>
                <w:color w:val="auto"/>
              </w:rPr>
              <w:t>4.19%</w:t>
            </w:r>
          </w:p>
        </w:tc>
        <w:tc>
          <w:tcPr>
            <w:tcW w:w="1360" w:type="dxa"/>
            <w:vAlign w:val="bottom"/>
            <w:tcBorders>
              <w:right w:val="single" w:sz="8" w:color="auto"/>
            </w:tcBorders>
          </w:tcPr>
          <w:p>
            <w:pPr>
              <w:jc w:val="right"/>
              <w:spacing w:after="0" w:line="157" w:lineRule="exact"/>
              <w:rPr>
                <w:sz w:val="20"/>
                <w:szCs w:val="20"/>
                <w:color w:val="auto"/>
              </w:rPr>
            </w:pPr>
            <w:r>
              <w:rPr>
                <w:rFonts w:ascii="Arial" w:cs="Arial" w:eastAsia="Arial" w:hAnsi="Arial"/>
                <w:sz w:val="16"/>
                <w:szCs w:val="16"/>
                <w:b w:val="1"/>
                <w:bCs w:val="1"/>
                <w:color w:val="auto"/>
              </w:rPr>
              <w:t>4.41%</w:t>
            </w:r>
          </w:p>
        </w:tc>
        <w:tc>
          <w:tcPr>
            <w:tcW w:w="1320" w:type="dxa"/>
            <w:vAlign w:val="bottom"/>
          </w:tcPr>
          <w:p>
            <w:pPr>
              <w:jc w:val="center"/>
              <w:spacing w:after="0" w:line="157" w:lineRule="exact"/>
              <w:rPr>
                <w:sz w:val="20"/>
                <w:szCs w:val="20"/>
                <w:color w:val="auto"/>
              </w:rPr>
            </w:pPr>
            <w:r>
              <w:rPr>
                <w:rFonts w:ascii="Arial" w:cs="Arial" w:eastAsia="Arial" w:hAnsi="Arial"/>
                <w:sz w:val="16"/>
                <w:szCs w:val="16"/>
                <w:color w:val="auto"/>
              </w:rPr>
              <w:t>22 bps</w:t>
            </w:r>
          </w:p>
        </w:tc>
        <w:tc>
          <w:tcPr>
            <w:tcW w:w="138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6"/>
                <w:szCs w:val="16"/>
                <w:color w:val="auto"/>
              </w:rPr>
              <w:t>28 bps</w:t>
            </w:r>
          </w:p>
        </w:tc>
      </w:tr>
      <w:tr>
        <w:trPr>
          <w:trHeight w:val="185"/>
        </w:trPr>
        <w:tc>
          <w:tcPr>
            <w:tcW w:w="3420" w:type="dxa"/>
            <w:vAlign w:val="bottom"/>
            <w:tcBorders>
              <w:left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IOL over 90-days ratio</w:t>
            </w:r>
          </w:p>
        </w:tc>
        <w:tc>
          <w:tcPr>
            <w:tcW w:w="1120" w:type="dxa"/>
            <w:vAlign w:val="bottom"/>
            <w:tcBorders>
              <w:right w:val="single" w:sz="8" w:color="auto"/>
            </w:tcBorders>
          </w:tcPr>
          <w:p>
            <w:pPr>
              <w:spacing w:after="0"/>
              <w:rPr>
                <w:sz w:val="16"/>
                <w:szCs w:val="16"/>
                <w:color w:val="auto"/>
              </w:rPr>
            </w:pPr>
          </w:p>
        </w:tc>
        <w:tc>
          <w:tcPr>
            <w:tcW w:w="1540" w:type="dxa"/>
            <w:vAlign w:val="bottom"/>
          </w:tcPr>
          <w:p>
            <w:pPr>
              <w:jc w:val="right"/>
              <w:ind w:right="118"/>
              <w:spacing w:after="0"/>
              <w:rPr>
                <w:sz w:val="20"/>
                <w:szCs w:val="20"/>
                <w:color w:val="auto"/>
              </w:rPr>
            </w:pPr>
            <w:r>
              <w:rPr>
                <w:rFonts w:ascii="Arial" w:cs="Arial" w:eastAsia="Arial" w:hAnsi="Arial"/>
                <w:sz w:val="16"/>
                <w:szCs w:val="16"/>
                <w:b w:val="1"/>
                <w:bCs w:val="1"/>
                <w:color w:val="auto"/>
              </w:rPr>
              <w:t>3.08%</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3.40%</w:t>
            </w:r>
          </w:p>
        </w:tc>
        <w:tc>
          <w:tcPr>
            <w:tcW w:w="136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3.54%</w:t>
            </w:r>
          </w:p>
        </w:tc>
        <w:tc>
          <w:tcPr>
            <w:tcW w:w="1320" w:type="dxa"/>
            <w:vAlign w:val="bottom"/>
          </w:tcPr>
          <w:p>
            <w:pPr>
              <w:jc w:val="center"/>
              <w:spacing w:after="0"/>
              <w:rPr>
                <w:sz w:val="20"/>
                <w:szCs w:val="20"/>
                <w:color w:val="auto"/>
              </w:rPr>
            </w:pPr>
            <w:r>
              <w:rPr>
                <w:rFonts w:ascii="Arial" w:cs="Arial" w:eastAsia="Arial" w:hAnsi="Arial"/>
                <w:sz w:val="16"/>
                <w:szCs w:val="16"/>
                <w:color w:val="auto"/>
              </w:rPr>
              <w:t>14 bps</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46 bps</w:t>
            </w:r>
          </w:p>
        </w:tc>
      </w:tr>
      <w:tr>
        <w:trPr>
          <w:trHeight w:val="185"/>
        </w:trPr>
        <w:tc>
          <w:tcPr>
            <w:tcW w:w="3420" w:type="dxa"/>
            <w:vAlign w:val="bottom"/>
            <w:tcBorders>
              <w:left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NPL ratio</w:t>
            </w:r>
          </w:p>
        </w:tc>
        <w:tc>
          <w:tcPr>
            <w:tcW w:w="1120" w:type="dxa"/>
            <w:vAlign w:val="bottom"/>
            <w:tcBorders>
              <w:right w:val="single" w:sz="8" w:color="auto"/>
            </w:tcBorders>
          </w:tcPr>
          <w:p>
            <w:pPr>
              <w:spacing w:after="0"/>
              <w:rPr>
                <w:sz w:val="16"/>
                <w:szCs w:val="16"/>
                <w:color w:val="auto"/>
              </w:rPr>
            </w:pPr>
          </w:p>
        </w:tc>
        <w:tc>
          <w:tcPr>
            <w:tcW w:w="1540" w:type="dxa"/>
            <w:vAlign w:val="bottom"/>
          </w:tcPr>
          <w:p>
            <w:pPr>
              <w:jc w:val="right"/>
              <w:ind w:right="118"/>
              <w:spacing w:after="0"/>
              <w:rPr>
                <w:sz w:val="20"/>
                <w:szCs w:val="20"/>
                <w:color w:val="auto"/>
              </w:rPr>
            </w:pPr>
            <w:r>
              <w:rPr>
                <w:rFonts w:ascii="Arial" w:cs="Arial" w:eastAsia="Arial" w:hAnsi="Arial"/>
                <w:sz w:val="16"/>
                <w:szCs w:val="16"/>
                <w:b w:val="1"/>
                <w:bCs w:val="1"/>
                <w:color w:val="auto"/>
              </w:rPr>
              <w:t>5.32%</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5.64%</w:t>
            </w:r>
          </w:p>
        </w:tc>
        <w:tc>
          <w:tcPr>
            <w:tcW w:w="136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5.97%</w:t>
            </w:r>
          </w:p>
        </w:tc>
        <w:tc>
          <w:tcPr>
            <w:tcW w:w="1320" w:type="dxa"/>
            <w:vAlign w:val="bottom"/>
          </w:tcPr>
          <w:p>
            <w:pPr>
              <w:jc w:val="center"/>
              <w:spacing w:after="0"/>
              <w:rPr>
                <w:sz w:val="20"/>
                <w:szCs w:val="20"/>
                <w:color w:val="auto"/>
              </w:rPr>
            </w:pPr>
            <w:r>
              <w:rPr>
                <w:rFonts w:ascii="Arial" w:cs="Arial" w:eastAsia="Arial" w:hAnsi="Arial"/>
                <w:sz w:val="16"/>
                <w:szCs w:val="16"/>
                <w:color w:val="auto"/>
              </w:rPr>
              <w:t>33 bps</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65 bps</w:t>
            </w:r>
          </w:p>
        </w:tc>
      </w:tr>
      <w:tr>
        <w:trPr>
          <w:trHeight w:val="193"/>
        </w:trPr>
        <w:tc>
          <w:tcPr>
            <w:tcW w:w="3420" w:type="dxa"/>
            <w:vAlign w:val="bottom"/>
            <w:tcBorders>
              <w:left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Allowance for loan losses over Total loans</w:t>
            </w:r>
          </w:p>
        </w:tc>
        <w:tc>
          <w:tcPr>
            <w:tcW w:w="1120" w:type="dxa"/>
            <w:vAlign w:val="bottom"/>
            <w:tcBorders>
              <w:right w:val="single" w:sz="8" w:color="auto"/>
            </w:tcBorders>
          </w:tcPr>
          <w:p>
            <w:pPr>
              <w:spacing w:after="0"/>
              <w:rPr>
                <w:sz w:val="16"/>
                <w:szCs w:val="16"/>
                <w:color w:val="auto"/>
              </w:rPr>
            </w:pPr>
          </w:p>
        </w:tc>
        <w:tc>
          <w:tcPr>
            <w:tcW w:w="1540" w:type="dxa"/>
            <w:vAlign w:val="bottom"/>
          </w:tcPr>
          <w:p>
            <w:pPr>
              <w:jc w:val="right"/>
              <w:ind w:right="118"/>
              <w:spacing w:after="0"/>
              <w:rPr>
                <w:sz w:val="20"/>
                <w:szCs w:val="20"/>
                <w:color w:val="auto"/>
              </w:rPr>
            </w:pPr>
            <w:r>
              <w:rPr>
                <w:rFonts w:ascii="Arial" w:cs="Arial" w:eastAsia="Arial" w:hAnsi="Arial"/>
                <w:sz w:val="16"/>
                <w:szCs w:val="16"/>
                <w:b w:val="1"/>
                <w:bCs w:val="1"/>
                <w:color w:val="auto"/>
              </w:rPr>
              <w:t>5.30%</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5.57%</w:t>
            </w:r>
          </w:p>
        </w:tc>
        <w:tc>
          <w:tcPr>
            <w:tcW w:w="136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5.55%</w:t>
            </w:r>
          </w:p>
        </w:tc>
        <w:tc>
          <w:tcPr>
            <w:tcW w:w="1320" w:type="dxa"/>
            <w:vAlign w:val="bottom"/>
          </w:tcPr>
          <w:p>
            <w:pPr>
              <w:jc w:val="center"/>
              <w:spacing w:after="0"/>
              <w:rPr>
                <w:sz w:val="20"/>
                <w:szCs w:val="20"/>
                <w:color w:val="auto"/>
              </w:rPr>
            </w:pPr>
            <w:r>
              <w:rPr>
                <w:rFonts w:ascii="Arial" w:cs="Arial" w:eastAsia="Arial" w:hAnsi="Arial"/>
                <w:sz w:val="16"/>
                <w:szCs w:val="16"/>
                <w:color w:val="auto"/>
              </w:rPr>
              <w:t>-2 bps</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25 bps</w:t>
            </w:r>
          </w:p>
        </w:tc>
      </w:tr>
      <w:tr>
        <w:trPr>
          <w:trHeight w:val="185"/>
        </w:trPr>
        <w:tc>
          <w:tcPr>
            <w:tcW w:w="3420" w:type="dxa"/>
            <w:vAlign w:val="bottom"/>
            <w:tcBorders>
              <w:left w:val="single" w:sz="8" w:color="auto"/>
            </w:tcBorders>
            <w:gridSpan w:val="2"/>
          </w:tcPr>
          <w:p>
            <w:pPr>
              <w:ind w:left="20"/>
              <w:spacing w:after="0"/>
              <w:rPr>
                <w:sz w:val="20"/>
                <w:szCs w:val="20"/>
                <w:color w:val="auto"/>
              </w:rPr>
            </w:pPr>
            <w:r>
              <w:rPr>
                <w:rFonts w:ascii="Arial" w:cs="Arial" w:eastAsia="Arial" w:hAnsi="Arial"/>
                <w:sz w:val="16"/>
                <w:szCs w:val="16"/>
                <w:color w:val="auto"/>
              </w:rPr>
              <w:t>Coverage ratio of IOLs</w:t>
            </w:r>
          </w:p>
        </w:tc>
        <w:tc>
          <w:tcPr>
            <w:tcW w:w="1120" w:type="dxa"/>
            <w:vAlign w:val="bottom"/>
            <w:tcBorders>
              <w:right w:val="single" w:sz="8" w:color="auto"/>
            </w:tcBorders>
          </w:tcPr>
          <w:p>
            <w:pPr>
              <w:spacing w:after="0"/>
              <w:rPr>
                <w:sz w:val="16"/>
                <w:szCs w:val="16"/>
                <w:color w:val="auto"/>
              </w:rPr>
            </w:pPr>
          </w:p>
        </w:tc>
        <w:tc>
          <w:tcPr>
            <w:tcW w:w="1540" w:type="dxa"/>
            <w:vAlign w:val="bottom"/>
          </w:tcPr>
          <w:p>
            <w:pPr>
              <w:jc w:val="right"/>
              <w:ind w:right="118"/>
              <w:spacing w:after="0"/>
              <w:rPr>
                <w:sz w:val="20"/>
                <w:szCs w:val="20"/>
                <w:color w:val="auto"/>
              </w:rPr>
            </w:pPr>
            <w:r>
              <w:rPr>
                <w:rFonts w:ascii="Arial" w:cs="Arial" w:eastAsia="Arial" w:hAnsi="Arial"/>
                <w:sz w:val="16"/>
                <w:szCs w:val="16"/>
                <w:color w:val="auto"/>
              </w:rPr>
              <w:t>128.5%</w:t>
            </w:r>
          </w:p>
        </w:tc>
        <w:tc>
          <w:tcPr>
            <w:tcW w:w="1120" w:type="dxa"/>
            <w:vAlign w:val="bottom"/>
          </w:tcPr>
          <w:p>
            <w:pPr>
              <w:jc w:val="right"/>
              <w:spacing w:after="0"/>
              <w:rPr>
                <w:sz w:val="20"/>
                <w:szCs w:val="20"/>
                <w:color w:val="auto"/>
              </w:rPr>
            </w:pPr>
            <w:r>
              <w:rPr>
                <w:rFonts w:ascii="Arial" w:cs="Arial" w:eastAsia="Arial" w:hAnsi="Arial"/>
                <w:sz w:val="16"/>
                <w:szCs w:val="16"/>
                <w:color w:val="auto"/>
              </w:rPr>
              <w:t>133.1%</w:t>
            </w:r>
          </w:p>
        </w:tc>
        <w:tc>
          <w:tcPr>
            <w:tcW w:w="13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125.8%</w:t>
            </w:r>
          </w:p>
        </w:tc>
        <w:tc>
          <w:tcPr>
            <w:tcW w:w="1320" w:type="dxa"/>
            <w:vAlign w:val="bottom"/>
          </w:tcPr>
          <w:p>
            <w:pPr>
              <w:jc w:val="center"/>
              <w:spacing w:after="0"/>
              <w:rPr>
                <w:sz w:val="20"/>
                <w:szCs w:val="20"/>
                <w:color w:val="auto"/>
              </w:rPr>
            </w:pPr>
            <w:r>
              <w:rPr>
                <w:rFonts w:ascii="Arial" w:cs="Arial" w:eastAsia="Arial" w:hAnsi="Arial"/>
                <w:sz w:val="16"/>
                <w:szCs w:val="16"/>
                <w:color w:val="auto"/>
              </w:rPr>
              <w:t>-731 bps</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-270 bps</w:t>
            </w:r>
          </w:p>
        </w:tc>
      </w:tr>
      <w:tr>
        <w:trPr>
          <w:trHeight w:val="185"/>
        </w:trPr>
        <w:tc>
          <w:tcPr>
            <w:tcW w:w="3420" w:type="dxa"/>
            <w:vAlign w:val="bottom"/>
            <w:tcBorders>
              <w:left w:val="single" w:sz="8" w:color="auto"/>
            </w:tcBorders>
            <w:gridSpan w:val="2"/>
          </w:tcPr>
          <w:p>
            <w:pPr>
              <w:ind w:left="20"/>
              <w:spacing w:after="0"/>
              <w:rPr>
                <w:sz w:val="20"/>
                <w:szCs w:val="20"/>
                <w:color w:val="auto"/>
              </w:rPr>
            </w:pPr>
            <w:r>
              <w:rPr>
                <w:rFonts w:ascii="Arial" w:cs="Arial" w:eastAsia="Arial" w:hAnsi="Arial"/>
                <w:sz w:val="16"/>
                <w:szCs w:val="16"/>
                <w:color w:val="auto"/>
              </w:rPr>
              <w:t>Coverage ratio of IOL 90-days</w:t>
            </w:r>
          </w:p>
        </w:tc>
        <w:tc>
          <w:tcPr>
            <w:tcW w:w="1120" w:type="dxa"/>
            <w:vAlign w:val="bottom"/>
            <w:tcBorders>
              <w:right w:val="single" w:sz="8" w:color="auto"/>
            </w:tcBorders>
          </w:tcPr>
          <w:p>
            <w:pPr>
              <w:spacing w:after="0"/>
              <w:rPr>
                <w:sz w:val="16"/>
                <w:szCs w:val="16"/>
                <w:color w:val="auto"/>
              </w:rPr>
            </w:pPr>
          </w:p>
        </w:tc>
        <w:tc>
          <w:tcPr>
            <w:tcW w:w="1540" w:type="dxa"/>
            <w:vAlign w:val="bottom"/>
          </w:tcPr>
          <w:p>
            <w:pPr>
              <w:jc w:val="right"/>
              <w:ind w:right="118"/>
              <w:spacing w:after="0"/>
              <w:rPr>
                <w:sz w:val="20"/>
                <w:szCs w:val="20"/>
                <w:color w:val="auto"/>
              </w:rPr>
            </w:pPr>
            <w:r>
              <w:rPr>
                <w:rFonts w:ascii="Arial" w:cs="Arial" w:eastAsia="Arial" w:hAnsi="Arial"/>
                <w:sz w:val="16"/>
                <w:szCs w:val="16"/>
                <w:color w:val="auto"/>
              </w:rPr>
              <w:t>172.0%</w:t>
            </w:r>
          </w:p>
        </w:tc>
        <w:tc>
          <w:tcPr>
            <w:tcW w:w="1120" w:type="dxa"/>
            <w:vAlign w:val="bottom"/>
          </w:tcPr>
          <w:p>
            <w:pPr>
              <w:jc w:val="right"/>
              <w:spacing w:after="0"/>
              <w:rPr>
                <w:sz w:val="20"/>
                <w:szCs w:val="20"/>
                <w:color w:val="auto"/>
              </w:rPr>
            </w:pPr>
            <w:r>
              <w:rPr>
                <w:rFonts w:ascii="Arial" w:cs="Arial" w:eastAsia="Arial" w:hAnsi="Arial"/>
                <w:sz w:val="16"/>
                <w:szCs w:val="16"/>
                <w:color w:val="auto"/>
              </w:rPr>
              <w:t>163.6%</w:t>
            </w:r>
          </w:p>
        </w:tc>
        <w:tc>
          <w:tcPr>
            <w:tcW w:w="13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156.9%</w:t>
            </w:r>
          </w:p>
        </w:tc>
        <w:tc>
          <w:tcPr>
            <w:tcW w:w="1320" w:type="dxa"/>
            <w:vAlign w:val="bottom"/>
          </w:tcPr>
          <w:p>
            <w:pPr>
              <w:jc w:val="center"/>
              <w:spacing w:after="0"/>
              <w:rPr>
                <w:sz w:val="20"/>
                <w:szCs w:val="20"/>
                <w:color w:val="auto"/>
              </w:rPr>
            </w:pPr>
            <w:r>
              <w:rPr>
                <w:rFonts w:ascii="Arial" w:cs="Arial" w:eastAsia="Arial" w:hAnsi="Arial"/>
                <w:sz w:val="16"/>
                <w:szCs w:val="16"/>
                <w:color w:val="auto"/>
              </w:rPr>
              <w:t>-670 bps</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-1512 bps</w:t>
            </w:r>
          </w:p>
        </w:tc>
      </w:tr>
      <w:tr>
        <w:trPr>
          <w:trHeight w:val="198"/>
        </w:trPr>
        <w:tc>
          <w:tcPr>
            <w:tcW w:w="3420" w:type="dxa"/>
            <w:vAlign w:val="bottom"/>
            <w:tcBorders>
              <w:left w:val="single" w:sz="8" w:color="auto"/>
              <w:bottom w:val="single" w:sz="8" w:color="auto"/>
            </w:tcBorders>
            <w:gridSpan w:val="2"/>
          </w:tcPr>
          <w:p>
            <w:pPr>
              <w:ind w:left="20"/>
              <w:spacing w:after="0"/>
              <w:rPr>
                <w:sz w:val="20"/>
                <w:szCs w:val="20"/>
                <w:color w:val="auto"/>
              </w:rPr>
            </w:pPr>
            <w:r>
              <w:rPr>
                <w:rFonts w:ascii="Arial" w:cs="Arial" w:eastAsia="Arial" w:hAnsi="Arial"/>
                <w:sz w:val="16"/>
                <w:szCs w:val="16"/>
                <w:color w:val="auto"/>
              </w:rPr>
              <w:t>Coverage ratio of NPLs</w:t>
            </w:r>
          </w:p>
        </w:tc>
        <w:tc>
          <w:tcPr>
            <w:tcW w:w="1120" w:type="dxa"/>
            <w:vAlign w:val="bottom"/>
            <w:tcBorders>
              <w:bottom w:val="single" w:sz="8" w:color="auto"/>
              <w:right w:val="single" w:sz="8" w:color="auto"/>
            </w:tcBorders>
          </w:tcPr>
          <w:p>
            <w:pPr>
              <w:spacing w:after="0"/>
              <w:rPr>
                <w:sz w:val="17"/>
                <w:szCs w:val="17"/>
                <w:color w:val="auto"/>
              </w:rPr>
            </w:pPr>
          </w:p>
        </w:tc>
        <w:tc>
          <w:tcPr>
            <w:tcW w:w="1540" w:type="dxa"/>
            <w:vAlign w:val="bottom"/>
            <w:tcBorders>
              <w:bottom w:val="single" w:sz="8" w:color="auto"/>
            </w:tcBorders>
          </w:tcPr>
          <w:p>
            <w:pPr>
              <w:jc w:val="right"/>
              <w:ind w:right="118"/>
              <w:spacing w:after="0"/>
              <w:rPr>
                <w:sz w:val="20"/>
                <w:szCs w:val="20"/>
                <w:color w:val="auto"/>
              </w:rPr>
            </w:pPr>
            <w:r>
              <w:rPr>
                <w:rFonts w:ascii="Arial" w:cs="Arial" w:eastAsia="Arial" w:hAnsi="Arial"/>
                <w:sz w:val="16"/>
                <w:szCs w:val="16"/>
                <w:color w:val="auto"/>
              </w:rPr>
              <w:t>99.6%</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98.7%</w:t>
            </w:r>
          </w:p>
        </w:tc>
        <w:tc>
          <w:tcPr>
            <w:tcW w:w="13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93.0%</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-570 bps</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-660 bps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-2817495</wp:posOffset>
            </wp:positionV>
            <wp:extent cx="973455" cy="14922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973455" cy="149225"/>
                    </a:xfrm>
                    <a:prstGeom prst="rect">
                      <a:avLst/>
                    </a:prstGeom>
                    <a:noFill/>
                  </pic:spPr>
                </pic:pic>
              </a:graphicData>
            </a:graphic>
          </wp:anchor>
        </w:drawing>
      </w:r>
    </w:p>
    <w:p>
      <w:pPr>
        <w:ind w:left="161" w:hanging="161"/>
        <w:spacing w:after="0"/>
        <w:tabs>
          <w:tab w:leader="none" w:pos="161" w:val="left"/>
        </w:tabs>
        <w:numPr>
          <w:ilvl w:val="0"/>
          <w:numId w:val="29"/>
        </w:numPr>
        <w:rPr>
          <w:rFonts w:ascii="Arial" w:cs="Arial" w:eastAsia="Arial" w:hAnsi="Arial"/>
          <w:sz w:val="11"/>
          <w:szCs w:val="11"/>
          <w:color w:val="auto"/>
        </w:rPr>
      </w:pPr>
      <w:r>
        <w:rPr>
          <w:rFonts w:ascii="Arial" w:cs="Arial" w:eastAsia="Arial" w:hAnsi="Arial"/>
          <w:sz w:val="11"/>
          <w:szCs w:val="11"/>
          <w:color w:val="auto"/>
        </w:rPr>
        <w:t>Includes Overdue Loans and Loans under legal collection (Quarter-end balances net of deferred earnings).</w:t>
      </w:r>
    </w:p>
    <w:p>
      <w:pPr>
        <w:ind w:left="161" w:hanging="161"/>
        <w:spacing w:after="0" w:line="234" w:lineRule="auto"/>
        <w:tabs>
          <w:tab w:leader="none" w:pos="161" w:val="left"/>
        </w:tabs>
        <w:numPr>
          <w:ilvl w:val="0"/>
          <w:numId w:val="29"/>
        </w:numPr>
        <w:rPr>
          <w:rFonts w:ascii="Arial" w:cs="Arial" w:eastAsia="Arial" w:hAnsi="Arial"/>
          <w:sz w:val="11"/>
          <w:szCs w:val="11"/>
          <w:color w:val="auto"/>
        </w:rPr>
      </w:pPr>
      <w:r>
        <w:rPr>
          <w:rFonts w:ascii="Arial" w:cs="Arial" w:eastAsia="Arial" w:hAnsi="Arial"/>
          <w:sz w:val="11"/>
          <w:szCs w:val="11"/>
          <w:color w:val="auto"/>
        </w:rPr>
        <w:t>Figures net of deferred earnings.</w:t>
      </w:r>
    </w:p>
    <w:p>
      <w:pPr>
        <w:ind w:left="161" w:hanging="161"/>
        <w:spacing w:after="0"/>
        <w:tabs>
          <w:tab w:leader="none" w:pos="161" w:val="left"/>
        </w:tabs>
        <w:numPr>
          <w:ilvl w:val="0"/>
          <w:numId w:val="29"/>
        </w:numPr>
        <w:rPr>
          <w:rFonts w:ascii="Arial" w:cs="Arial" w:eastAsia="Arial" w:hAnsi="Arial"/>
          <w:sz w:val="11"/>
          <w:szCs w:val="11"/>
          <w:color w:val="auto"/>
        </w:rPr>
      </w:pPr>
      <w:r>
        <w:rPr>
          <w:rFonts w:ascii="Arial" w:cs="Arial" w:eastAsia="Arial" w:hAnsi="Arial"/>
          <w:sz w:val="11"/>
          <w:szCs w:val="11"/>
          <w:color w:val="auto"/>
        </w:rPr>
        <w:t>Non-performing Loans include Internal Overdue Loans and Refinanced Loans (Quarter-end balances net of deferred earnings)</w:t>
      </w:r>
    </w:p>
    <w:p>
      <w:pPr>
        <w:spacing w:after="0" w:line="155" w:lineRule="exact"/>
        <w:rPr>
          <w:sz w:val="20"/>
          <w:szCs w:val="20"/>
          <w:color w:val="auto"/>
        </w:rPr>
      </w:pPr>
    </w:p>
    <w:p>
      <w:pPr>
        <w:ind w:left="1" w:right="240"/>
        <w:spacing w:after="0" w:line="274" w:lineRule="auto"/>
        <w:rPr>
          <w:sz w:val="20"/>
          <w:szCs w:val="20"/>
          <w:color w:val="auto"/>
        </w:rPr>
      </w:pPr>
      <w:r>
        <w:rPr>
          <w:rFonts w:ascii="Arial" w:cs="Arial" w:eastAsia="Arial" w:hAnsi="Arial"/>
          <w:sz w:val="16"/>
          <w:szCs w:val="16"/>
          <w:color w:val="auto"/>
        </w:rPr>
        <w:t>In the context described above, Credicorp’s NPL ratio rose 33 bps QoQ and 65 bps YoY to stand at 6.0% and the Coverage ratio of NPLs fell to 93.0%. This evolution was driven by growth in the structural NPLs</w:t>
      </w:r>
    </w:p>
    <w:p>
      <w:pPr>
        <w:spacing w:after="0" w:line="294" w:lineRule="exact"/>
        <w:rPr>
          <w:sz w:val="20"/>
          <w:szCs w:val="20"/>
          <w:color w:val="auto"/>
        </w:rPr>
      </w:pPr>
    </w:p>
    <w:p>
      <w:pPr>
        <w:ind w:left="11101"/>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40005</wp:posOffset>
            </wp:positionV>
            <wp:extent cx="7143750" cy="158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140" w:right="339" w:bottom="1440" w:gutter="0" w:footer="0" w:header="0"/>
        </w:sectPr>
      </w:pPr>
    </w:p>
    <w:bookmarkStart w:id="24" w:name="page25"/>
    <w:bookmarkEnd w:id="24"/>
    <w:p>
      <w:pPr>
        <w:ind w:left="2960"/>
        <w:spacing w:after="0"/>
        <w:tabs>
          <w:tab w:leader="none" w:pos="3140" w:val="left"/>
          <w:tab w:leader="none" w:pos="7180" w:val="left"/>
        </w:tabs>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202565</wp:posOffset>
            </wp:positionH>
            <wp:positionV relativeFrom="page">
              <wp:posOffset>88900</wp:posOffset>
            </wp:positionV>
            <wp:extent cx="7143750" cy="3848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3750" cy="384810"/>
                    </a:xfrm>
                    <a:prstGeom prst="rect">
                      <a:avLst/>
                    </a:prstGeom>
                    <a:noFill/>
                  </pic:spPr>
                </pic:pic>
              </a:graphicData>
            </a:graphic>
          </wp:anchor>
        </w:drawing>
        <w:t>|</w:t>
      </w:r>
      <w:r>
        <w:rPr>
          <w:sz w:val="20"/>
          <w:szCs w:val="20"/>
          <w:color w:val="auto"/>
        </w:rPr>
        <w:tab/>
      </w:r>
      <w:r>
        <w:rPr>
          <w:rFonts w:ascii="Arial" w:cs="Arial" w:eastAsia="Arial" w:hAnsi="Arial"/>
          <w:sz w:val="16"/>
          <w:szCs w:val="16"/>
          <w:b w:val="1"/>
          <w:bCs w:val="1"/>
          <w:color w:val="FFFFFF"/>
        </w:rPr>
        <w:t>Earnings Release 3Q / 2023</w:t>
      </w:r>
      <w:r>
        <w:rPr>
          <w:sz w:val="20"/>
          <w:szCs w:val="20"/>
          <w:color w:val="auto"/>
        </w:rPr>
        <w:tab/>
      </w:r>
      <w:r>
        <w:rPr>
          <w:rFonts w:ascii="Arial" w:cs="Arial" w:eastAsia="Arial" w:hAnsi="Arial"/>
          <w:sz w:val="18"/>
          <w:szCs w:val="18"/>
          <w:b w:val="1"/>
          <w:bCs w:val="1"/>
          <w:color w:val="E93CAC"/>
        </w:rPr>
        <w:t>Analysis of 3Q23 Consolidated Results</w:t>
      </w:r>
    </w:p>
    <w:p>
      <w:pPr>
        <w:spacing w:after="0" w:line="166" w:lineRule="exact"/>
        <w:rPr>
          <w:sz w:val="20"/>
          <w:szCs w:val="20"/>
          <w:color w:val="auto"/>
        </w:rPr>
      </w:pPr>
    </w:p>
    <w:p>
      <w:pPr>
        <w:spacing w:after="0"/>
        <w:rPr>
          <w:sz w:val="20"/>
          <w:szCs w:val="20"/>
          <w:color w:val="auto"/>
        </w:rPr>
      </w:pPr>
      <w:r>
        <w:rPr>
          <w:rFonts w:ascii="Arial" w:cs="Arial" w:eastAsia="Arial" w:hAnsi="Arial"/>
          <w:sz w:val="48"/>
          <w:szCs w:val="48"/>
          <w:b w:val="1"/>
          <w:bCs w:val="1"/>
          <w:color w:val="E93BAC"/>
        </w:rPr>
        <w:t xml:space="preserve">02 </w:t>
      </w:r>
      <w:r>
        <w:rPr>
          <w:rFonts w:ascii="Arial" w:cs="Arial" w:eastAsia="Arial" w:hAnsi="Arial"/>
          <w:sz w:val="29"/>
          <w:szCs w:val="29"/>
          <w:color w:val="E93BAC"/>
        </w:rPr>
        <w:t>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143750" cy="16325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3750" cy="163258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both"/>
        <w:ind w:left="120" w:right="120"/>
        <w:spacing w:after="0" w:line="257" w:lineRule="auto"/>
        <w:rPr>
          <w:sz w:val="20"/>
          <w:szCs w:val="20"/>
          <w:color w:val="auto"/>
        </w:rPr>
      </w:pPr>
      <w:r>
        <w:rPr>
          <w:rFonts w:ascii="Arial" w:cs="Arial" w:eastAsia="Arial" w:hAnsi="Arial"/>
          <w:sz w:val="16"/>
          <w:szCs w:val="16"/>
          <w:color w:val="FFFFFF"/>
        </w:rPr>
        <w:t>At the end of 3Q23, 63.7% of deposits were low-cost (Demand + Savings), which represents a competitive advantage in a context of high interest rates.</w:t>
      </w:r>
    </w:p>
    <w:p>
      <w:pPr>
        <w:spacing w:after="0" w:line="310" w:lineRule="exact"/>
        <w:rPr>
          <w:sz w:val="20"/>
          <w:szCs w:val="20"/>
          <w:color w:val="auto"/>
        </w:rPr>
      </w:pPr>
    </w:p>
    <w:p>
      <w:pPr>
        <w:jc w:val="both"/>
        <w:ind w:left="120" w:right="100"/>
        <w:spacing w:after="0" w:line="254" w:lineRule="auto"/>
        <w:rPr>
          <w:sz w:val="20"/>
          <w:szCs w:val="20"/>
          <w:color w:val="auto"/>
        </w:rPr>
      </w:pPr>
      <w:r>
        <w:rPr>
          <w:rFonts w:ascii="Arial" w:cs="Arial" w:eastAsia="Arial" w:hAnsi="Arial"/>
          <w:sz w:val="16"/>
          <w:szCs w:val="16"/>
          <w:color w:val="FFFFFF"/>
        </w:rPr>
        <w:t>QoQ, our deposit base expanded 3.5% (+1.3%, FX neutral). This evolution was driven by an increase of 9.1% (6.7%, FX neutral) in Time Deposits and 2.7% (0.3%, FX neutral) in Demand Deposits balances, associated with clients seeking for accounts offering higher yield and campaigns to capture more deposits via digital products, respectively. Additionally, the migration of funding in soles from low-cost to time deposits decelerated in recent months.</w:t>
      </w:r>
    </w:p>
    <w:p>
      <w:pPr>
        <w:spacing w:after="0" w:line="306" w:lineRule="exact"/>
        <w:rPr>
          <w:sz w:val="20"/>
          <w:szCs w:val="20"/>
          <w:color w:val="auto"/>
        </w:rPr>
      </w:pPr>
    </w:p>
    <w:p>
      <w:pPr>
        <w:jc w:val="both"/>
        <w:ind w:left="120" w:right="100"/>
        <w:spacing w:after="0" w:line="252" w:lineRule="auto"/>
        <w:rPr>
          <w:sz w:val="20"/>
          <w:szCs w:val="20"/>
          <w:color w:val="auto"/>
        </w:rPr>
      </w:pPr>
      <w:r>
        <w:rPr>
          <w:rFonts w:ascii="Arial" w:cs="Arial" w:eastAsia="Arial" w:hAnsi="Arial"/>
          <w:sz w:val="16"/>
          <w:szCs w:val="16"/>
          <w:color w:val="FFFFFF"/>
        </w:rPr>
        <w:t>YoY, the balance associated with low-cost deposits dropped 13.0% following the same downward trend as that seen systemwide. This evolution was fueled by a decline in balances for Savings Deposits and Demand Deposits at BCP and Mibanco, which reflected a normalization in liquidity levels post-pandemic and fund migration toward higher-yield deposits. Nonetheless, Credicorp continues to lead the market for low-cost deposits with a market share of 40.3% at the end of August 2023. Growth in Time Deposits YoY at BCP was attributable to the same drivers as those seen QoQ.</w:t>
      </w: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7"/>
        </w:trPr>
        <w:tc>
          <w:tcPr>
            <w:tcW w:w="2940" w:type="dxa"/>
            <w:vAlign w:val="bottom"/>
            <w:tcBorders>
              <w:top w:val="single" w:sz="8" w:color="auto"/>
              <w:left w:val="single" w:sz="8" w:color="auto"/>
              <w:right w:val="single" w:sz="8" w:color="auto"/>
            </w:tcBorders>
            <w:shd w:val="clear" w:color="auto" w:fill="33CCCC"/>
          </w:tcPr>
          <w:p>
            <w:pPr>
              <w:ind w:left="20"/>
              <w:spacing w:after="0" w:line="177" w:lineRule="exact"/>
              <w:rPr>
                <w:sz w:val="20"/>
                <w:szCs w:val="20"/>
                <w:color w:val="auto"/>
              </w:rPr>
            </w:pPr>
            <w:r>
              <w:rPr>
                <w:rFonts w:ascii="Arial" w:cs="Arial" w:eastAsia="Arial" w:hAnsi="Arial"/>
                <w:sz w:val="16"/>
                <w:szCs w:val="16"/>
                <w:b w:val="1"/>
                <w:bCs w:val="1"/>
                <w:color w:val="FFFFFF"/>
              </w:rPr>
              <w:t>Deposits</w:t>
            </w:r>
          </w:p>
        </w:tc>
        <w:tc>
          <w:tcPr>
            <w:tcW w:w="1460" w:type="dxa"/>
            <w:vAlign w:val="bottom"/>
            <w:tcBorders>
              <w:top w:val="single" w:sz="8" w:color="auto"/>
            </w:tcBorders>
            <w:shd w:val="clear" w:color="auto" w:fill="33CCCC"/>
          </w:tcPr>
          <w:p>
            <w:pPr>
              <w:spacing w:after="0"/>
              <w:rPr>
                <w:sz w:val="15"/>
                <w:szCs w:val="15"/>
                <w:color w:val="auto"/>
              </w:rPr>
            </w:pPr>
          </w:p>
        </w:tc>
        <w:tc>
          <w:tcPr>
            <w:tcW w:w="1320" w:type="dxa"/>
            <w:vAlign w:val="bottom"/>
            <w:tcBorders>
              <w:top w:val="single" w:sz="8" w:color="auto"/>
            </w:tcBorders>
            <w:shd w:val="clear" w:color="auto" w:fill="33CCCC"/>
          </w:tcPr>
          <w:p>
            <w:pPr>
              <w:jc w:val="right"/>
              <w:ind w:right="518"/>
              <w:spacing w:after="0" w:line="177" w:lineRule="exact"/>
              <w:rPr>
                <w:sz w:val="20"/>
                <w:szCs w:val="20"/>
                <w:color w:val="auto"/>
              </w:rPr>
            </w:pPr>
            <w:r>
              <w:rPr>
                <w:rFonts w:ascii="Arial" w:cs="Arial" w:eastAsia="Arial" w:hAnsi="Arial"/>
                <w:sz w:val="16"/>
                <w:szCs w:val="16"/>
                <w:b w:val="1"/>
                <w:bCs w:val="1"/>
                <w:color w:val="FFFFFF"/>
              </w:rPr>
              <w:t>As of</w:t>
            </w:r>
          </w:p>
        </w:tc>
        <w:tc>
          <w:tcPr>
            <w:tcW w:w="1180" w:type="dxa"/>
            <w:vAlign w:val="bottom"/>
            <w:tcBorders>
              <w:top w:val="single" w:sz="8" w:color="auto"/>
              <w:right w:val="single" w:sz="8" w:color="auto"/>
            </w:tcBorders>
            <w:shd w:val="clear" w:color="auto" w:fill="33CCCC"/>
          </w:tcPr>
          <w:p>
            <w:pPr>
              <w:spacing w:after="0"/>
              <w:rPr>
                <w:sz w:val="15"/>
                <w:szCs w:val="15"/>
                <w:color w:val="auto"/>
              </w:rPr>
            </w:pPr>
          </w:p>
        </w:tc>
        <w:tc>
          <w:tcPr>
            <w:tcW w:w="2300" w:type="dxa"/>
            <w:vAlign w:val="bottom"/>
            <w:tcBorders>
              <w:top w:val="single" w:sz="8" w:color="auto"/>
              <w:right w:val="single" w:sz="8" w:color="auto"/>
            </w:tcBorders>
            <w:gridSpan w:val="2"/>
            <w:shd w:val="clear" w:color="auto" w:fill="33CCCC"/>
          </w:tcPr>
          <w:p>
            <w:pPr>
              <w:ind w:left="760"/>
              <w:spacing w:after="0" w:line="177" w:lineRule="exact"/>
              <w:rPr>
                <w:sz w:val="20"/>
                <w:szCs w:val="20"/>
                <w:color w:val="auto"/>
              </w:rPr>
            </w:pPr>
            <w:r>
              <w:rPr>
                <w:rFonts w:ascii="Arial" w:cs="Arial" w:eastAsia="Arial" w:hAnsi="Arial"/>
                <w:sz w:val="16"/>
                <w:szCs w:val="16"/>
                <w:b w:val="1"/>
                <w:bCs w:val="1"/>
                <w:color w:val="FFFFFF"/>
              </w:rPr>
              <w:t>% change</w:t>
            </w:r>
          </w:p>
        </w:tc>
        <w:tc>
          <w:tcPr>
            <w:tcW w:w="2060" w:type="dxa"/>
            <w:vAlign w:val="bottom"/>
            <w:tcBorders>
              <w:top w:val="single" w:sz="8" w:color="auto"/>
              <w:right w:val="single" w:sz="8" w:color="auto"/>
            </w:tcBorders>
            <w:gridSpan w:val="2"/>
            <w:shd w:val="clear" w:color="auto" w:fill="33CCCC"/>
          </w:tcPr>
          <w:p>
            <w:pPr>
              <w:ind w:left="660"/>
              <w:spacing w:after="0" w:line="177" w:lineRule="exact"/>
              <w:rPr>
                <w:sz w:val="20"/>
                <w:szCs w:val="20"/>
                <w:color w:val="auto"/>
              </w:rPr>
            </w:pPr>
            <w:r>
              <w:rPr>
                <w:rFonts w:ascii="Arial" w:cs="Arial" w:eastAsia="Arial" w:hAnsi="Arial"/>
                <w:sz w:val="16"/>
                <w:szCs w:val="16"/>
                <w:b w:val="1"/>
                <w:bCs w:val="1"/>
                <w:color w:val="FFFFFF"/>
              </w:rPr>
              <w:t>Currency</w:t>
            </w:r>
          </w:p>
        </w:tc>
      </w:tr>
      <w:tr>
        <w:trPr>
          <w:trHeight w:val="212"/>
        </w:trPr>
        <w:tc>
          <w:tcPr>
            <w:tcW w:w="2940" w:type="dxa"/>
            <w:vAlign w:val="bottom"/>
            <w:tcBorders>
              <w:left w:val="single" w:sz="8" w:color="auto"/>
              <w:bottom w:val="single" w:sz="8" w:color="auto"/>
              <w:right w:val="single" w:sz="8" w:color="auto"/>
            </w:tcBorders>
            <w:shd w:val="clear" w:color="auto" w:fill="33CCCC"/>
          </w:tcPr>
          <w:p>
            <w:pPr>
              <w:ind w:left="20"/>
              <w:spacing w:after="0"/>
              <w:rPr>
                <w:sz w:val="20"/>
                <w:szCs w:val="20"/>
                <w:color w:val="auto"/>
              </w:rPr>
            </w:pPr>
            <w:r>
              <w:rPr>
                <w:rFonts w:ascii="Arial" w:cs="Arial" w:eastAsia="Arial" w:hAnsi="Arial"/>
                <w:sz w:val="16"/>
                <w:szCs w:val="16"/>
                <w:b w:val="1"/>
                <w:bCs w:val="1"/>
                <w:color w:val="FFFFFF"/>
                <w:shd w:val="clear" w:color="auto" w:fill="33CCCC"/>
              </w:rPr>
              <w:t>S/000</w:t>
            </w:r>
          </w:p>
        </w:tc>
        <w:tc>
          <w:tcPr>
            <w:tcW w:w="1460" w:type="dxa"/>
            <w:vAlign w:val="bottom"/>
            <w:tcBorders>
              <w:bottom w:val="single" w:sz="8" w:color="auto"/>
            </w:tcBorders>
            <w:shd w:val="clear" w:color="auto" w:fill="33CCCC"/>
          </w:tcPr>
          <w:p>
            <w:pPr>
              <w:jc w:val="right"/>
              <w:ind w:right="478"/>
              <w:spacing w:after="0"/>
              <w:rPr>
                <w:sz w:val="20"/>
                <w:szCs w:val="20"/>
                <w:color w:val="auto"/>
              </w:rPr>
            </w:pPr>
            <w:r>
              <w:rPr>
                <w:rFonts w:ascii="Arial" w:cs="Arial" w:eastAsia="Arial" w:hAnsi="Arial"/>
                <w:sz w:val="16"/>
                <w:szCs w:val="16"/>
                <w:b w:val="1"/>
                <w:bCs w:val="1"/>
                <w:color w:val="FFFFFF"/>
              </w:rPr>
              <w:t>Sep 22</w:t>
            </w:r>
          </w:p>
        </w:tc>
        <w:tc>
          <w:tcPr>
            <w:tcW w:w="1320" w:type="dxa"/>
            <w:vAlign w:val="bottom"/>
            <w:tcBorders>
              <w:bottom w:val="single" w:sz="8" w:color="auto"/>
            </w:tcBorders>
            <w:shd w:val="clear" w:color="auto" w:fill="33CCCC"/>
          </w:tcPr>
          <w:p>
            <w:pPr>
              <w:jc w:val="right"/>
              <w:ind w:right="518"/>
              <w:spacing w:after="0"/>
              <w:rPr>
                <w:sz w:val="20"/>
                <w:szCs w:val="20"/>
                <w:color w:val="auto"/>
              </w:rPr>
            </w:pPr>
            <w:r>
              <w:rPr>
                <w:rFonts w:ascii="Arial" w:cs="Arial" w:eastAsia="Arial" w:hAnsi="Arial"/>
                <w:sz w:val="16"/>
                <w:szCs w:val="16"/>
                <w:b w:val="1"/>
                <w:bCs w:val="1"/>
                <w:color w:val="FFFFFF"/>
              </w:rPr>
              <w:t>Jun 23</w:t>
            </w:r>
          </w:p>
        </w:tc>
        <w:tc>
          <w:tcPr>
            <w:tcW w:w="1180" w:type="dxa"/>
            <w:vAlign w:val="bottom"/>
            <w:tcBorders>
              <w:bottom w:val="single" w:sz="8" w:color="auto"/>
              <w:right w:val="single" w:sz="8" w:color="auto"/>
            </w:tcBorders>
            <w:shd w:val="clear" w:color="auto" w:fill="33CCCC"/>
          </w:tcPr>
          <w:p>
            <w:pPr>
              <w:jc w:val="right"/>
              <w:ind w:right="358"/>
              <w:spacing w:after="0"/>
              <w:rPr>
                <w:sz w:val="20"/>
                <w:szCs w:val="20"/>
                <w:color w:val="auto"/>
              </w:rPr>
            </w:pPr>
            <w:r>
              <w:rPr>
                <w:rFonts w:ascii="Arial" w:cs="Arial" w:eastAsia="Arial" w:hAnsi="Arial"/>
                <w:sz w:val="16"/>
                <w:szCs w:val="16"/>
                <w:b w:val="1"/>
                <w:bCs w:val="1"/>
                <w:color w:val="FFFFFF"/>
              </w:rPr>
              <w:t>Sep 23</w:t>
            </w:r>
          </w:p>
        </w:tc>
        <w:tc>
          <w:tcPr>
            <w:tcW w:w="1120" w:type="dxa"/>
            <w:vAlign w:val="bottom"/>
            <w:tcBorders>
              <w:bottom w:val="single" w:sz="8" w:color="auto"/>
            </w:tcBorders>
            <w:shd w:val="clear" w:color="auto" w:fill="33CCCC"/>
          </w:tcPr>
          <w:p>
            <w:pPr>
              <w:ind w:left="380"/>
              <w:spacing w:after="0"/>
              <w:rPr>
                <w:sz w:val="20"/>
                <w:szCs w:val="20"/>
                <w:color w:val="auto"/>
              </w:rPr>
            </w:pPr>
            <w:r>
              <w:rPr>
                <w:rFonts w:ascii="Arial" w:cs="Arial" w:eastAsia="Arial" w:hAnsi="Arial"/>
                <w:sz w:val="16"/>
                <w:szCs w:val="16"/>
                <w:b w:val="1"/>
                <w:bCs w:val="1"/>
                <w:color w:val="FFFFFF"/>
              </w:rPr>
              <w:t>QoQ</w:t>
            </w:r>
          </w:p>
        </w:tc>
        <w:tc>
          <w:tcPr>
            <w:tcW w:w="1180" w:type="dxa"/>
            <w:vAlign w:val="bottom"/>
            <w:tcBorders>
              <w:bottom w:val="single" w:sz="8" w:color="auto"/>
              <w:right w:val="single" w:sz="8" w:color="auto"/>
            </w:tcBorders>
            <w:shd w:val="clear" w:color="auto" w:fill="33CCCC"/>
          </w:tcPr>
          <w:p>
            <w:pPr>
              <w:ind w:left="440"/>
              <w:spacing w:after="0"/>
              <w:rPr>
                <w:sz w:val="20"/>
                <w:szCs w:val="20"/>
                <w:color w:val="auto"/>
              </w:rPr>
            </w:pPr>
            <w:r>
              <w:rPr>
                <w:rFonts w:ascii="Arial" w:cs="Arial" w:eastAsia="Arial" w:hAnsi="Arial"/>
                <w:sz w:val="16"/>
                <w:szCs w:val="16"/>
                <w:b w:val="1"/>
                <w:bCs w:val="1"/>
                <w:color w:val="FFFFFF"/>
              </w:rPr>
              <w:t>YoY</w:t>
            </w:r>
          </w:p>
        </w:tc>
        <w:tc>
          <w:tcPr>
            <w:tcW w:w="108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6"/>
                <w:szCs w:val="16"/>
                <w:b w:val="1"/>
                <w:bCs w:val="1"/>
                <w:color w:val="FFFFFF"/>
              </w:rPr>
              <w:t>LC</w:t>
            </w:r>
          </w:p>
        </w:tc>
        <w:tc>
          <w:tcPr>
            <w:tcW w:w="98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6"/>
                <w:szCs w:val="16"/>
                <w:b w:val="1"/>
                <w:bCs w:val="1"/>
                <w:color w:val="FFFFFF"/>
              </w:rPr>
              <w:t>FC</w:t>
            </w:r>
          </w:p>
        </w:tc>
      </w:tr>
      <w:tr>
        <w:trPr>
          <w:trHeight w:val="171"/>
        </w:trPr>
        <w:tc>
          <w:tcPr>
            <w:tcW w:w="2940" w:type="dxa"/>
            <w:vAlign w:val="bottom"/>
            <w:tcBorders>
              <w:left w:val="single" w:sz="8" w:color="auto"/>
              <w:right w:val="single" w:sz="8" w:color="auto"/>
            </w:tcBorders>
          </w:tcPr>
          <w:p>
            <w:pPr>
              <w:ind w:left="20"/>
              <w:spacing w:after="0" w:line="171" w:lineRule="exact"/>
              <w:rPr>
                <w:sz w:val="20"/>
                <w:szCs w:val="20"/>
                <w:color w:val="auto"/>
              </w:rPr>
            </w:pPr>
            <w:r>
              <w:rPr>
                <w:rFonts w:ascii="Arial" w:cs="Arial" w:eastAsia="Arial" w:hAnsi="Arial"/>
                <w:sz w:val="16"/>
                <w:szCs w:val="16"/>
                <w:color w:val="auto"/>
              </w:rPr>
              <w:t>Demand deposits</w:t>
            </w:r>
          </w:p>
        </w:tc>
        <w:tc>
          <w:tcPr>
            <w:tcW w:w="1460" w:type="dxa"/>
            <w:vAlign w:val="bottom"/>
          </w:tcPr>
          <w:p>
            <w:pPr>
              <w:jc w:val="right"/>
              <w:ind w:right="98"/>
              <w:spacing w:after="0" w:line="171" w:lineRule="exact"/>
              <w:rPr>
                <w:sz w:val="20"/>
                <w:szCs w:val="20"/>
                <w:color w:val="auto"/>
              </w:rPr>
            </w:pPr>
            <w:r>
              <w:rPr>
                <w:rFonts w:ascii="Arial" w:cs="Arial" w:eastAsia="Arial" w:hAnsi="Arial"/>
                <w:sz w:val="16"/>
                <w:szCs w:val="16"/>
                <w:color w:val="auto"/>
              </w:rPr>
              <w:t>53,512,524</w:t>
            </w:r>
          </w:p>
        </w:tc>
        <w:tc>
          <w:tcPr>
            <w:tcW w:w="1320" w:type="dxa"/>
            <w:vAlign w:val="bottom"/>
          </w:tcPr>
          <w:p>
            <w:pPr>
              <w:jc w:val="right"/>
              <w:ind w:right="138"/>
              <w:spacing w:after="0" w:line="171" w:lineRule="exact"/>
              <w:rPr>
                <w:sz w:val="20"/>
                <w:szCs w:val="20"/>
                <w:color w:val="auto"/>
              </w:rPr>
            </w:pPr>
            <w:r>
              <w:rPr>
                <w:rFonts w:ascii="Arial" w:cs="Arial" w:eastAsia="Arial" w:hAnsi="Arial"/>
                <w:sz w:val="16"/>
                <w:szCs w:val="16"/>
                <w:color w:val="auto"/>
              </w:rPr>
              <w:t>43,930,450</w:t>
            </w:r>
          </w:p>
        </w:tc>
        <w:tc>
          <w:tcPr>
            <w:tcW w:w="1180" w:type="dxa"/>
            <w:vAlign w:val="bottom"/>
            <w:tcBorders>
              <w:right w:val="single" w:sz="8" w:color="auto"/>
            </w:tcBorders>
          </w:tcPr>
          <w:p>
            <w:pPr>
              <w:jc w:val="right"/>
              <w:spacing w:after="0" w:line="171" w:lineRule="exact"/>
              <w:rPr>
                <w:sz w:val="20"/>
                <w:szCs w:val="20"/>
                <w:color w:val="auto"/>
              </w:rPr>
            </w:pPr>
            <w:r>
              <w:rPr>
                <w:rFonts w:ascii="Arial" w:cs="Arial" w:eastAsia="Arial" w:hAnsi="Arial"/>
                <w:sz w:val="16"/>
                <w:szCs w:val="16"/>
                <w:color w:val="auto"/>
              </w:rPr>
              <w:t>45,120,127</w:t>
            </w:r>
          </w:p>
        </w:tc>
        <w:tc>
          <w:tcPr>
            <w:tcW w:w="1120" w:type="dxa"/>
            <w:vAlign w:val="bottom"/>
          </w:tcPr>
          <w:p>
            <w:pPr>
              <w:jc w:val="center"/>
              <w:spacing w:after="0" w:line="171" w:lineRule="exact"/>
              <w:rPr>
                <w:sz w:val="20"/>
                <w:szCs w:val="20"/>
                <w:color w:val="auto"/>
              </w:rPr>
            </w:pPr>
            <w:r>
              <w:rPr>
                <w:rFonts w:ascii="Arial" w:cs="Arial" w:eastAsia="Arial" w:hAnsi="Arial"/>
                <w:sz w:val="16"/>
                <w:szCs w:val="16"/>
                <w:color w:val="auto"/>
                <w:w w:val="98"/>
              </w:rPr>
              <w:t>2.7%</w:t>
            </w:r>
          </w:p>
        </w:tc>
        <w:tc>
          <w:tcPr>
            <w:tcW w:w="1180" w:type="dxa"/>
            <w:vAlign w:val="bottom"/>
            <w:tcBorders>
              <w:right w:val="single" w:sz="8" w:color="auto"/>
            </w:tcBorders>
          </w:tcPr>
          <w:p>
            <w:pPr>
              <w:jc w:val="center"/>
              <w:spacing w:after="0" w:line="171" w:lineRule="exact"/>
              <w:rPr>
                <w:sz w:val="20"/>
                <w:szCs w:val="20"/>
                <w:color w:val="auto"/>
              </w:rPr>
            </w:pPr>
            <w:r>
              <w:rPr>
                <w:rFonts w:ascii="Arial" w:cs="Arial" w:eastAsia="Arial" w:hAnsi="Arial"/>
                <w:sz w:val="16"/>
                <w:szCs w:val="16"/>
                <w:color w:val="auto"/>
              </w:rPr>
              <w:t>-15.7%</w:t>
            </w:r>
          </w:p>
        </w:tc>
        <w:tc>
          <w:tcPr>
            <w:tcW w:w="1080" w:type="dxa"/>
            <w:vAlign w:val="bottom"/>
          </w:tcPr>
          <w:p>
            <w:pPr>
              <w:jc w:val="center"/>
              <w:spacing w:after="0" w:line="171" w:lineRule="exact"/>
              <w:rPr>
                <w:sz w:val="20"/>
                <w:szCs w:val="20"/>
                <w:color w:val="auto"/>
              </w:rPr>
            </w:pPr>
            <w:r>
              <w:rPr>
                <w:rFonts w:ascii="Arial" w:cs="Arial" w:eastAsia="Arial" w:hAnsi="Arial"/>
                <w:sz w:val="16"/>
                <w:szCs w:val="16"/>
                <w:color w:val="auto"/>
              </w:rPr>
              <w:t>46.7%</w:t>
            </w:r>
          </w:p>
        </w:tc>
        <w:tc>
          <w:tcPr>
            <w:tcW w:w="980" w:type="dxa"/>
            <w:vAlign w:val="bottom"/>
            <w:tcBorders>
              <w:right w:val="single" w:sz="8" w:color="auto"/>
            </w:tcBorders>
          </w:tcPr>
          <w:p>
            <w:pPr>
              <w:jc w:val="center"/>
              <w:spacing w:after="0" w:line="171" w:lineRule="exact"/>
              <w:rPr>
                <w:sz w:val="20"/>
                <w:szCs w:val="20"/>
                <w:color w:val="auto"/>
              </w:rPr>
            </w:pPr>
            <w:r>
              <w:rPr>
                <w:rFonts w:ascii="Arial" w:cs="Arial" w:eastAsia="Arial" w:hAnsi="Arial"/>
                <w:sz w:val="16"/>
                <w:szCs w:val="16"/>
                <w:color w:val="auto"/>
              </w:rPr>
              <w:t>53.3%</w:t>
            </w:r>
          </w:p>
        </w:tc>
      </w:tr>
      <w:tr>
        <w:trPr>
          <w:trHeight w:val="185"/>
        </w:trPr>
        <w:tc>
          <w:tcPr>
            <w:tcW w:w="2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Saving deposits</w:t>
            </w:r>
          </w:p>
        </w:tc>
        <w:tc>
          <w:tcPr>
            <w:tcW w:w="1460" w:type="dxa"/>
            <w:vAlign w:val="bottom"/>
          </w:tcPr>
          <w:p>
            <w:pPr>
              <w:jc w:val="right"/>
              <w:ind w:right="98"/>
              <w:spacing w:after="0"/>
              <w:rPr>
                <w:sz w:val="20"/>
                <w:szCs w:val="20"/>
                <w:color w:val="auto"/>
              </w:rPr>
            </w:pPr>
            <w:r>
              <w:rPr>
                <w:rFonts w:ascii="Arial" w:cs="Arial" w:eastAsia="Arial" w:hAnsi="Arial"/>
                <w:sz w:val="16"/>
                <w:szCs w:val="16"/>
                <w:color w:val="auto"/>
              </w:rPr>
              <w:t>55,154,337</w:t>
            </w:r>
          </w:p>
        </w:tc>
        <w:tc>
          <w:tcPr>
            <w:tcW w:w="1320" w:type="dxa"/>
            <w:vAlign w:val="bottom"/>
          </w:tcPr>
          <w:p>
            <w:pPr>
              <w:jc w:val="right"/>
              <w:ind w:right="138"/>
              <w:spacing w:after="0"/>
              <w:rPr>
                <w:sz w:val="20"/>
                <w:szCs w:val="20"/>
                <w:color w:val="auto"/>
              </w:rPr>
            </w:pPr>
            <w:r>
              <w:rPr>
                <w:rFonts w:ascii="Arial" w:cs="Arial" w:eastAsia="Arial" w:hAnsi="Arial"/>
                <w:sz w:val="16"/>
                <w:szCs w:val="16"/>
                <w:color w:val="auto"/>
              </w:rPr>
              <w:t>49,456,054</w:t>
            </w: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49,395,543</w:t>
            </w:r>
          </w:p>
        </w:tc>
        <w:tc>
          <w:tcPr>
            <w:tcW w:w="1120" w:type="dxa"/>
            <w:vAlign w:val="bottom"/>
          </w:tcPr>
          <w:p>
            <w:pPr>
              <w:jc w:val="center"/>
              <w:spacing w:after="0"/>
              <w:rPr>
                <w:sz w:val="20"/>
                <w:szCs w:val="20"/>
                <w:color w:val="auto"/>
              </w:rPr>
            </w:pPr>
            <w:r>
              <w:rPr>
                <w:rFonts w:ascii="Arial" w:cs="Arial" w:eastAsia="Arial" w:hAnsi="Arial"/>
                <w:sz w:val="16"/>
                <w:szCs w:val="16"/>
                <w:color w:val="auto"/>
              </w:rPr>
              <w:t>-0.1%</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-10.4%</w:t>
            </w:r>
          </w:p>
        </w:tc>
        <w:tc>
          <w:tcPr>
            <w:tcW w:w="1080" w:type="dxa"/>
            <w:vAlign w:val="bottom"/>
          </w:tcPr>
          <w:p>
            <w:pPr>
              <w:jc w:val="center"/>
              <w:spacing w:after="0"/>
              <w:rPr>
                <w:sz w:val="20"/>
                <w:szCs w:val="20"/>
                <w:color w:val="auto"/>
              </w:rPr>
            </w:pPr>
            <w:r>
              <w:rPr>
                <w:rFonts w:ascii="Arial" w:cs="Arial" w:eastAsia="Arial" w:hAnsi="Arial"/>
                <w:sz w:val="16"/>
                <w:szCs w:val="16"/>
                <w:color w:val="auto"/>
              </w:rPr>
              <w:t>56.3%</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43.7%</w:t>
            </w:r>
          </w:p>
        </w:tc>
      </w:tr>
      <w:tr>
        <w:trPr>
          <w:trHeight w:val="185"/>
        </w:trPr>
        <w:tc>
          <w:tcPr>
            <w:tcW w:w="2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Time deposits</w:t>
            </w:r>
          </w:p>
        </w:tc>
        <w:tc>
          <w:tcPr>
            <w:tcW w:w="1460" w:type="dxa"/>
            <w:vAlign w:val="bottom"/>
          </w:tcPr>
          <w:p>
            <w:pPr>
              <w:jc w:val="right"/>
              <w:ind w:right="98"/>
              <w:spacing w:after="0"/>
              <w:rPr>
                <w:sz w:val="20"/>
                <w:szCs w:val="20"/>
                <w:color w:val="auto"/>
              </w:rPr>
            </w:pPr>
            <w:r>
              <w:rPr>
                <w:rFonts w:ascii="Arial" w:cs="Arial" w:eastAsia="Arial" w:hAnsi="Arial"/>
                <w:sz w:val="16"/>
                <w:szCs w:val="16"/>
                <w:color w:val="auto"/>
              </w:rPr>
              <w:t>39,372,047</w:t>
            </w:r>
          </w:p>
        </w:tc>
        <w:tc>
          <w:tcPr>
            <w:tcW w:w="1320" w:type="dxa"/>
            <w:vAlign w:val="bottom"/>
          </w:tcPr>
          <w:p>
            <w:pPr>
              <w:jc w:val="right"/>
              <w:ind w:right="138"/>
              <w:spacing w:after="0"/>
              <w:rPr>
                <w:sz w:val="20"/>
                <w:szCs w:val="20"/>
                <w:color w:val="auto"/>
              </w:rPr>
            </w:pPr>
            <w:r>
              <w:rPr>
                <w:rFonts w:ascii="Arial" w:cs="Arial" w:eastAsia="Arial" w:hAnsi="Arial"/>
                <w:sz w:val="16"/>
                <w:szCs w:val="16"/>
                <w:color w:val="auto"/>
              </w:rPr>
              <w:t>45,107,429</w:t>
            </w: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49,213,763</w:t>
            </w:r>
          </w:p>
        </w:tc>
        <w:tc>
          <w:tcPr>
            <w:tcW w:w="1120" w:type="dxa"/>
            <w:vAlign w:val="bottom"/>
          </w:tcPr>
          <w:p>
            <w:pPr>
              <w:jc w:val="center"/>
              <w:spacing w:after="0"/>
              <w:rPr>
                <w:sz w:val="20"/>
                <w:szCs w:val="20"/>
                <w:color w:val="auto"/>
              </w:rPr>
            </w:pPr>
            <w:r>
              <w:rPr>
                <w:rFonts w:ascii="Arial" w:cs="Arial" w:eastAsia="Arial" w:hAnsi="Arial"/>
                <w:sz w:val="16"/>
                <w:szCs w:val="16"/>
                <w:color w:val="auto"/>
                <w:w w:val="98"/>
              </w:rPr>
              <w:t>9.1%</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25.0%</w:t>
            </w:r>
          </w:p>
        </w:tc>
        <w:tc>
          <w:tcPr>
            <w:tcW w:w="1080" w:type="dxa"/>
            <w:vAlign w:val="bottom"/>
          </w:tcPr>
          <w:p>
            <w:pPr>
              <w:jc w:val="center"/>
              <w:spacing w:after="0"/>
              <w:rPr>
                <w:sz w:val="20"/>
                <w:szCs w:val="20"/>
                <w:color w:val="auto"/>
              </w:rPr>
            </w:pPr>
            <w:r>
              <w:rPr>
                <w:rFonts w:ascii="Arial" w:cs="Arial" w:eastAsia="Arial" w:hAnsi="Arial"/>
                <w:sz w:val="16"/>
                <w:szCs w:val="16"/>
                <w:color w:val="auto"/>
              </w:rPr>
              <w:t>49.0%</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51.0%</w:t>
            </w:r>
          </w:p>
        </w:tc>
      </w:tr>
      <w:tr>
        <w:trPr>
          <w:trHeight w:val="185"/>
        </w:trPr>
        <w:tc>
          <w:tcPr>
            <w:tcW w:w="2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Severance indemnity deposits</w:t>
            </w:r>
          </w:p>
        </w:tc>
        <w:tc>
          <w:tcPr>
            <w:tcW w:w="1460" w:type="dxa"/>
            <w:vAlign w:val="bottom"/>
          </w:tcPr>
          <w:p>
            <w:pPr>
              <w:jc w:val="right"/>
              <w:ind w:right="98"/>
              <w:spacing w:after="0"/>
              <w:rPr>
                <w:sz w:val="20"/>
                <w:szCs w:val="20"/>
                <w:color w:val="auto"/>
              </w:rPr>
            </w:pPr>
            <w:r>
              <w:rPr>
                <w:rFonts w:ascii="Arial" w:cs="Arial" w:eastAsia="Arial" w:hAnsi="Arial"/>
                <w:sz w:val="16"/>
                <w:szCs w:val="16"/>
                <w:color w:val="auto"/>
              </w:rPr>
              <w:t>3,745,597</w:t>
            </w:r>
          </w:p>
        </w:tc>
        <w:tc>
          <w:tcPr>
            <w:tcW w:w="1320" w:type="dxa"/>
            <w:vAlign w:val="bottom"/>
          </w:tcPr>
          <w:p>
            <w:pPr>
              <w:jc w:val="right"/>
              <w:ind w:right="138"/>
              <w:spacing w:after="0"/>
              <w:rPr>
                <w:sz w:val="20"/>
                <w:szCs w:val="20"/>
                <w:color w:val="auto"/>
              </w:rPr>
            </w:pPr>
            <w:r>
              <w:rPr>
                <w:rFonts w:ascii="Arial" w:cs="Arial" w:eastAsia="Arial" w:hAnsi="Arial"/>
                <w:sz w:val="16"/>
                <w:szCs w:val="16"/>
                <w:color w:val="auto"/>
              </w:rPr>
              <w:t>3,545,001</w:t>
            </w: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3,245,358</w:t>
            </w:r>
          </w:p>
        </w:tc>
        <w:tc>
          <w:tcPr>
            <w:tcW w:w="1120" w:type="dxa"/>
            <w:vAlign w:val="bottom"/>
          </w:tcPr>
          <w:p>
            <w:pPr>
              <w:jc w:val="center"/>
              <w:spacing w:after="0"/>
              <w:rPr>
                <w:sz w:val="20"/>
                <w:szCs w:val="20"/>
                <w:color w:val="auto"/>
              </w:rPr>
            </w:pPr>
            <w:r>
              <w:rPr>
                <w:rFonts w:ascii="Arial" w:cs="Arial" w:eastAsia="Arial" w:hAnsi="Arial"/>
                <w:sz w:val="16"/>
                <w:szCs w:val="16"/>
                <w:color w:val="auto"/>
              </w:rPr>
              <w:t>-8.5%</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-13.4%</w:t>
            </w:r>
          </w:p>
        </w:tc>
        <w:tc>
          <w:tcPr>
            <w:tcW w:w="1080" w:type="dxa"/>
            <w:vAlign w:val="bottom"/>
          </w:tcPr>
          <w:p>
            <w:pPr>
              <w:jc w:val="center"/>
              <w:spacing w:after="0"/>
              <w:rPr>
                <w:sz w:val="20"/>
                <w:szCs w:val="20"/>
                <w:color w:val="auto"/>
              </w:rPr>
            </w:pPr>
            <w:r>
              <w:rPr>
                <w:rFonts w:ascii="Arial" w:cs="Arial" w:eastAsia="Arial" w:hAnsi="Arial"/>
                <w:sz w:val="16"/>
                <w:szCs w:val="16"/>
                <w:color w:val="auto"/>
              </w:rPr>
              <w:t>70.9%</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29.1%</w:t>
            </w:r>
          </w:p>
        </w:tc>
      </w:tr>
      <w:tr>
        <w:trPr>
          <w:trHeight w:val="198"/>
        </w:trPr>
        <w:tc>
          <w:tcPr>
            <w:tcW w:w="2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Interest payable</w:t>
            </w:r>
          </w:p>
        </w:tc>
        <w:tc>
          <w:tcPr>
            <w:tcW w:w="146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rPr>
              <w:t>1,007,509</w:t>
            </w:r>
          </w:p>
        </w:tc>
        <w:tc>
          <w:tcPr>
            <w:tcW w:w="132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color w:val="auto"/>
              </w:rPr>
              <w:t>1,348,783</w:t>
            </w:r>
          </w:p>
        </w:tc>
        <w:tc>
          <w:tcPr>
            <w:tcW w:w="1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1,496,744</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11.0%</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48.6%</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51.1%</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48.9%</w:t>
            </w:r>
          </w:p>
        </w:tc>
      </w:tr>
      <w:tr>
        <w:trPr>
          <w:trHeight w:val="178"/>
        </w:trPr>
        <w:tc>
          <w:tcPr>
            <w:tcW w:w="2940" w:type="dxa"/>
            <w:vAlign w:val="bottom"/>
            <w:tcBorders>
              <w:left w:val="single" w:sz="8" w:color="auto"/>
              <w:bottom w:val="single" w:sz="8" w:color="auto"/>
              <w:right w:val="single" w:sz="8" w:color="auto"/>
            </w:tcBorders>
          </w:tcPr>
          <w:p>
            <w:pPr>
              <w:ind w:left="20"/>
              <w:spacing w:after="0" w:line="178" w:lineRule="exact"/>
              <w:rPr>
                <w:sz w:val="20"/>
                <w:szCs w:val="20"/>
                <w:color w:val="auto"/>
              </w:rPr>
            </w:pPr>
            <w:r>
              <w:rPr>
                <w:rFonts w:ascii="Arial" w:cs="Arial" w:eastAsia="Arial" w:hAnsi="Arial"/>
                <w:sz w:val="16"/>
                <w:szCs w:val="16"/>
                <w:b w:val="1"/>
                <w:bCs w:val="1"/>
                <w:color w:val="auto"/>
              </w:rPr>
              <w:t>Total Deposits</w:t>
            </w:r>
          </w:p>
        </w:tc>
        <w:tc>
          <w:tcPr>
            <w:tcW w:w="1460" w:type="dxa"/>
            <w:vAlign w:val="bottom"/>
            <w:tcBorders>
              <w:bottom w:val="single" w:sz="8" w:color="auto"/>
            </w:tcBorders>
          </w:tcPr>
          <w:p>
            <w:pPr>
              <w:jc w:val="right"/>
              <w:ind w:right="98"/>
              <w:spacing w:after="0" w:line="178" w:lineRule="exact"/>
              <w:rPr>
                <w:sz w:val="20"/>
                <w:szCs w:val="20"/>
                <w:color w:val="auto"/>
              </w:rPr>
            </w:pPr>
            <w:r>
              <w:rPr>
                <w:rFonts w:ascii="Arial" w:cs="Arial" w:eastAsia="Arial" w:hAnsi="Arial"/>
                <w:sz w:val="16"/>
                <w:szCs w:val="16"/>
                <w:b w:val="1"/>
                <w:bCs w:val="1"/>
                <w:color w:val="auto"/>
              </w:rPr>
              <w:t>152,792,014</w:t>
            </w:r>
          </w:p>
        </w:tc>
        <w:tc>
          <w:tcPr>
            <w:tcW w:w="1320" w:type="dxa"/>
            <w:vAlign w:val="bottom"/>
            <w:tcBorders>
              <w:bottom w:val="single" w:sz="8" w:color="auto"/>
            </w:tcBorders>
          </w:tcPr>
          <w:p>
            <w:pPr>
              <w:jc w:val="right"/>
              <w:ind w:right="138"/>
              <w:spacing w:after="0" w:line="178" w:lineRule="exact"/>
              <w:rPr>
                <w:sz w:val="20"/>
                <w:szCs w:val="20"/>
                <w:color w:val="auto"/>
              </w:rPr>
            </w:pPr>
            <w:r>
              <w:rPr>
                <w:rFonts w:ascii="Arial" w:cs="Arial" w:eastAsia="Arial" w:hAnsi="Arial"/>
                <w:sz w:val="16"/>
                <w:szCs w:val="16"/>
                <w:b w:val="1"/>
                <w:bCs w:val="1"/>
                <w:color w:val="auto"/>
              </w:rPr>
              <w:t>143,387,717</w:t>
            </w:r>
          </w:p>
        </w:tc>
        <w:tc>
          <w:tcPr>
            <w:tcW w:w="1180" w:type="dxa"/>
            <w:vAlign w:val="bottom"/>
            <w:tcBorders>
              <w:bottom w:val="single" w:sz="8" w:color="auto"/>
              <w:right w:val="single" w:sz="8" w:color="auto"/>
            </w:tcBorders>
          </w:tcPr>
          <w:p>
            <w:pPr>
              <w:jc w:val="right"/>
              <w:spacing w:after="0" w:line="178" w:lineRule="exact"/>
              <w:rPr>
                <w:sz w:val="20"/>
                <w:szCs w:val="20"/>
                <w:color w:val="auto"/>
              </w:rPr>
            </w:pPr>
            <w:r>
              <w:rPr>
                <w:rFonts w:ascii="Arial" w:cs="Arial" w:eastAsia="Arial" w:hAnsi="Arial"/>
                <w:sz w:val="16"/>
                <w:szCs w:val="16"/>
                <w:b w:val="1"/>
                <w:bCs w:val="1"/>
                <w:color w:val="auto"/>
              </w:rPr>
              <w:t>148,471,535</w:t>
            </w:r>
          </w:p>
        </w:tc>
        <w:tc>
          <w:tcPr>
            <w:tcW w:w="1120" w:type="dxa"/>
            <w:vAlign w:val="bottom"/>
            <w:tcBorders>
              <w:bottom w:val="single" w:sz="8" w:color="auto"/>
            </w:tcBorders>
          </w:tcPr>
          <w:p>
            <w:pPr>
              <w:jc w:val="center"/>
              <w:spacing w:after="0" w:line="178" w:lineRule="exact"/>
              <w:rPr>
                <w:sz w:val="20"/>
                <w:szCs w:val="20"/>
                <w:color w:val="auto"/>
              </w:rPr>
            </w:pPr>
            <w:r>
              <w:rPr>
                <w:rFonts w:ascii="Arial" w:cs="Arial" w:eastAsia="Arial" w:hAnsi="Arial"/>
                <w:sz w:val="16"/>
                <w:szCs w:val="16"/>
                <w:b w:val="1"/>
                <w:bCs w:val="1"/>
                <w:color w:val="auto"/>
                <w:w w:val="98"/>
              </w:rPr>
              <w:t>3.5%</w:t>
            </w:r>
          </w:p>
        </w:tc>
        <w:tc>
          <w:tcPr>
            <w:tcW w:w="1180" w:type="dxa"/>
            <w:vAlign w:val="bottom"/>
            <w:tcBorders>
              <w:bottom w:val="single" w:sz="8" w:color="auto"/>
              <w:right w:val="single" w:sz="8" w:color="auto"/>
            </w:tcBorders>
          </w:tcPr>
          <w:p>
            <w:pPr>
              <w:jc w:val="center"/>
              <w:spacing w:after="0" w:line="178" w:lineRule="exact"/>
              <w:rPr>
                <w:sz w:val="20"/>
                <w:szCs w:val="20"/>
                <w:color w:val="auto"/>
              </w:rPr>
            </w:pPr>
            <w:r>
              <w:rPr>
                <w:rFonts w:ascii="Arial" w:cs="Arial" w:eastAsia="Arial" w:hAnsi="Arial"/>
                <w:sz w:val="16"/>
                <w:szCs w:val="16"/>
                <w:b w:val="1"/>
                <w:bCs w:val="1"/>
                <w:color w:val="auto"/>
              </w:rPr>
              <w:t>-2.8%</w:t>
            </w:r>
          </w:p>
        </w:tc>
        <w:tc>
          <w:tcPr>
            <w:tcW w:w="1080" w:type="dxa"/>
            <w:vAlign w:val="bottom"/>
            <w:tcBorders>
              <w:bottom w:val="single" w:sz="8" w:color="auto"/>
            </w:tcBorders>
          </w:tcPr>
          <w:p>
            <w:pPr>
              <w:jc w:val="center"/>
              <w:spacing w:after="0" w:line="178" w:lineRule="exact"/>
              <w:rPr>
                <w:sz w:val="20"/>
                <w:szCs w:val="20"/>
                <w:color w:val="auto"/>
              </w:rPr>
            </w:pPr>
            <w:r>
              <w:rPr>
                <w:rFonts w:ascii="Arial" w:cs="Arial" w:eastAsia="Arial" w:hAnsi="Arial"/>
                <w:sz w:val="16"/>
                <w:szCs w:val="16"/>
                <w:b w:val="1"/>
                <w:bCs w:val="1"/>
                <w:color w:val="auto"/>
              </w:rPr>
              <w:t>51.1%</w:t>
            </w:r>
          </w:p>
        </w:tc>
        <w:tc>
          <w:tcPr>
            <w:tcW w:w="980" w:type="dxa"/>
            <w:vAlign w:val="bottom"/>
            <w:tcBorders>
              <w:bottom w:val="single" w:sz="8" w:color="auto"/>
              <w:right w:val="single" w:sz="8" w:color="auto"/>
            </w:tcBorders>
          </w:tcPr>
          <w:p>
            <w:pPr>
              <w:jc w:val="center"/>
              <w:spacing w:after="0" w:line="178" w:lineRule="exact"/>
              <w:rPr>
                <w:sz w:val="20"/>
                <w:szCs w:val="20"/>
                <w:color w:val="auto"/>
              </w:rPr>
            </w:pPr>
            <w:r>
              <w:rPr>
                <w:rFonts w:ascii="Arial" w:cs="Arial" w:eastAsia="Arial" w:hAnsi="Arial"/>
                <w:sz w:val="16"/>
                <w:szCs w:val="16"/>
                <w:b w:val="1"/>
                <w:bCs w:val="1"/>
                <w:color w:val="auto"/>
              </w:rPr>
              <w:t>48.9%</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balance for </w:t>
      </w:r>
      <w:r>
        <w:rPr>
          <w:rFonts w:ascii="Arial" w:cs="Arial" w:eastAsia="Arial" w:hAnsi="Arial"/>
          <w:sz w:val="16"/>
          <w:szCs w:val="16"/>
          <w:b w:val="1"/>
          <w:bCs w:val="1"/>
          <w:color w:val="auto"/>
        </w:rPr>
        <w:t>Total Deposits</w:t>
      </w:r>
      <w:r>
        <w:rPr>
          <w:rFonts w:ascii="Arial" w:cs="Arial" w:eastAsia="Arial" w:hAnsi="Arial"/>
          <w:sz w:val="16"/>
          <w:szCs w:val="16"/>
          <w:color w:val="auto"/>
        </w:rPr>
        <w:t xml:space="preserve"> increased 3.5% QoQ (+1.3%, neutral exchange rate). The following dynamics were noteworthy:</w:t>
      </w:r>
    </w:p>
    <w:p>
      <w:pPr>
        <w:spacing w:after="0" w:line="175" w:lineRule="exact"/>
        <w:rPr>
          <w:sz w:val="20"/>
          <w:szCs w:val="20"/>
          <w:color w:val="auto"/>
        </w:rPr>
      </w:pPr>
    </w:p>
    <w:p>
      <w:pPr>
        <w:ind w:left="600" w:right="160" w:hanging="304"/>
        <w:spacing w:after="0" w:line="252" w:lineRule="auto"/>
        <w:tabs>
          <w:tab w:leader="none" w:pos="6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9.1% growth in the balance of </w:t>
      </w:r>
      <w:r>
        <w:rPr>
          <w:rFonts w:ascii="Arial" w:cs="Arial" w:eastAsia="Arial" w:hAnsi="Arial"/>
          <w:sz w:val="16"/>
          <w:szCs w:val="16"/>
          <w:b w:val="1"/>
          <w:bCs w:val="1"/>
          <w:color w:val="auto"/>
        </w:rPr>
        <w:t>Time Deposits</w:t>
      </w:r>
      <w:r>
        <w:rPr>
          <w:rFonts w:ascii="Arial" w:cs="Arial" w:eastAsia="Arial" w:hAnsi="Arial"/>
          <w:sz w:val="16"/>
          <w:szCs w:val="16"/>
          <w:color w:val="auto"/>
        </w:rPr>
        <w:t xml:space="preserve"> (+6.7%, neutral exchange rate), which was driven primarily by wholesale and retail clients at BCP, who migrated toward higher-yield deposits in both FC and LC. This scenario was replicated at BCP Bolivia and Mibanco as clients moved to secure higher rates. It is worth noting that at BCP, the pace of growth of Time Deposits in both currencies consistently decelerated in recent months.</w:t>
      </w:r>
    </w:p>
    <w:p>
      <w:pPr>
        <w:spacing w:after="0" w:line="182" w:lineRule="exact"/>
        <w:rPr>
          <w:rFonts w:ascii="Arial" w:cs="Arial" w:eastAsia="Arial" w:hAnsi="Arial"/>
          <w:sz w:val="16"/>
          <w:szCs w:val="16"/>
          <w:color w:val="auto"/>
        </w:rPr>
      </w:pPr>
    </w:p>
    <w:p>
      <w:pPr>
        <w:jc w:val="both"/>
        <w:ind w:left="600" w:hanging="304"/>
        <w:spacing w:after="0" w:line="250" w:lineRule="auto"/>
        <w:tabs>
          <w:tab w:leader="none" w:pos="6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2.7% growth in the balance </w:t>
      </w:r>
      <w:r>
        <w:rPr>
          <w:rFonts w:ascii="Arial" w:cs="Arial" w:eastAsia="Arial" w:hAnsi="Arial"/>
          <w:sz w:val="16"/>
          <w:szCs w:val="16"/>
          <w:b w:val="1"/>
          <w:bCs w:val="1"/>
          <w:color w:val="auto"/>
        </w:rPr>
        <w:t>Demand Deposits</w:t>
      </w:r>
      <w:r>
        <w:rPr>
          <w:rFonts w:ascii="Arial" w:cs="Arial" w:eastAsia="Arial" w:hAnsi="Arial"/>
          <w:sz w:val="16"/>
          <w:szCs w:val="16"/>
          <w:color w:val="auto"/>
        </w:rPr>
        <w:t xml:space="preserve"> (+0.33%, neutral exchange rate). This uptick was fueled by growth in LC deposits held by corporate and retail clients at BCP, which received funding generated by campaigns to capture more deposits through digital products and disbursements for Christmas campaigns.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The aforementioned was partially offset by:</w:t>
      </w:r>
    </w:p>
    <w:p>
      <w:pPr>
        <w:spacing w:after="0" w:line="167" w:lineRule="exact"/>
        <w:rPr>
          <w:sz w:val="20"/>
          <w:szCs w:val="20"/>
          <w:color w:val="auto"/>
        </w:rPr>
      </w:pPr>
    </w:p>
    <w:p>
      <w:pPr>
        <w:ind w:left="600" w:right="20" w:hanging="304"/>
        <w:spacing w:after="0" w:line="263" w:lineRule="auto"/>
        <w:tabs>
          <w:tab w:leader="none" w:pos="6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A reduction of 0.1% in the balance for </w:t>
      </w:r>
      <w:r>
        <w:rPr>
          <w:rFonts w:ascii="Arial" w:cs="Arial" w:eastAsia="Arial" w:hAnsi="Arial"/>
          <w:sz w:val="16"/>
          <w:szCs w:val="16"/>
          <w:b w:val="1"/>
          <w:bCs w:val="1"/>
          <w:color w:val="auto"/>
        </w:rPr>
        <w:t>Savings Deposits</w:t>
      </w:r>
      <w:r>
        <w:rPr>
          <w:rFonts w:ascii="Arial" w:cs="Arial" w:eastAsia="Arial" w:hAnsi="Arial"/>
          <w:sz w:val="16"/>
          <w:szCs w:val="16"/>
          <w:color w:val="auto"/>
        </w:rPr>
        <w:t xml:space="preserve"> (-2.0%, neutral exchange rate). This drop was primarily driven by a reduction in volumes of FC deposits at BCP and Mibanco after funds migrated to higher-yield deposits. LC deposits, in contrast, rose over the same period due to payments of statutory bonuses and a decline in the use of available funds.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YoY, the balance of </w:t>
      </w:r>
      <w:r>
        <w:rPr>
          <w:rFonts w:ascii="Arial" w:cs="Arial" w:eastAsia="Arial" w:hAnsi="Arial"/>
          <w:sz w:val="16"/>
          <w:szCs w:val="16"/>
          <w:b w:val="1"/>
          <w:bCs w:val="1"/>
          <w:color w:val="auto"/>
        </w:rPr>
        <w:t>Total Deposits</w:t>
      </w:r>
      <w:r>
        <w:rPr>
          <w:rFonts w:ascii="Arial" w:cs="Arial" w:eastAsia="Arial" w:hAnsi="Arial"/>
          <w:sz w:val="16"/>
          <w:szCs w:val="16"/>
          <w:color w:val="auto"/>
        </w:rPr>
        <w:t xml:space="preserve"> decreased 2.8% (-0.5%, exchange rate neutral). The following dynamics stand out:</w:t>
      </w:r>
    </w:p>
    <w:p>
      <w:pPr>
        <w:spacing w:after="0" w:line="187" w:lineRule="exact"/>
        <w:rPr>
          <w:sz w:val="20"/>
          <w:szCs w:val="20"/>
          <w:color w:val="auto"/>
        </w:rPr>
      </w:pPr>
    </w:p>
    <w:p>
      <w:pPr>
        <w:ind w:left="600" w:right="20" w:hanging="304"/>
        <w:spacing w:after="0" w:line="263" w:lineRule="auto"/>
        <w:tabs>
          <w:tab w:leader="none" w:pos="6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A 10.4% reduction in the balance of </w:t>
      </w:r>
      <w:r>
        <w:rPr>
          <w:rFonts w:ascii="Arial" w:cs="Arial" w:eastAsia="Arial" w:hAnsi="Arial"/>
          <w:sz w:val="16"/>
          <w:szCs w:val="16"/>
          <w:b w:val="1"/>
          <w:bCs w:val="1"/>
          <w:color w:val="auto"/>
        </w:rPr>
        <w:t>Savings Deposits</w:t>
      </w:r>
      <w:r>
        <w:rPr>
          <w:rFonts w:ascii="Arial" w:cs="Arial" w:eastAsia="Arial" w:hAnsi="Arial"/>
          <w:sz w:val="16"/>
          <w:szCs w:val="16"/>
          <w:color w:val="auto"/>
        </w:rPr>
        <w:t xml:space="preserve"> (-8.5%, exchange rate neutral) in both currencies. This drop was due to two factors: (i) a reduction in the liquidity levels of clients, who experienced a drop in buying power due to inflation, and (ii) an internal migration toward higher-yield deposits. It is important to note that BCP’s Savings Deposit level fell less than the level reported by the system.</w:t>
      </w:r>
    </w:p>
    <w:p>
      <w:pPr>
        <w:spacing w:after="0" w:line="136" w:lineRule="exact"/>
        <w:rPr>
          <w:rFonts w:ascii="Arial" w:cs="Arial" w:eastAsia="Arial" w:hAnsi="Arial"/>
          <w:sz w:val="16"/>
          <w:szCs w:val="16"/>
          <w:color w:val="auto"/>
        </w:rPr>
      </w:pPr>
    </w:p>
    <w:p>
      <w:pPr>
        <w:ind w:left="600" w:right="560" w:hanging="304"/>
        <w:spacing w:after="0" w:line="285" w:lineRule="auto"/>
        <w:tabs>
          <w:tab w:leader="none" w:pos="6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A 15.7% reduction in </w:t>
      </w:r>
      <w:r>
        <w:rPr>
          <w:rFonts w:ascii="Arial" w:cs="Arial" w:eastAsia="Arial" w:hAnsi="Arial"/>
          <w:sz w:val="16"/>
          <w:szCs w:val="16"/>
          <w:b w:val="1"/>
          <w:bCs w:val="1"/>
          <w:color w:val="auto"/>
        </w:rPr>
        <w:t>Demand Deposits</w:t>
      </w:r>
      <w:r>
        <w:rPr>
          <w:rFonts w:ascii="Arial" w:cs="Arial" w:eastAsia="Arial" w:hAnsi="Arial"/>
          <w:sz w:val="16"/>
          <w:szCs w:val="16"/>
          <w:color w:val="auto"/>
        </w:rPr>
        <w:t xml:space="preserve"> (-13.5%, with a neutral exchange rate), which was triggered by fund outflows seeking higher-yield deposits in both LC and FC.</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The aforementioned was partially offset by:</w:t>
      </w:r>
    </w:p>
    <w:p>
      <w:pPr>
        <w:spacing w:after="0" w:line="167" w:lineRule="exact"/>
        <w:rPr>
          <w:sz w:val="20"/>
          <w:szCs w:val="20"/>
          <w:color w:val="auto"/>
        </w:rPr>
      </w:pPr>
    </w:p>
    <w:p>
      <w:pPr>
        <w:ind w:left="600" w:right="220" w:hanging="304"/>
        <w:spacing w:after="0" w:line="285" w:lineRule="auto"/>
        <w:tabs>
          <w:tab w:leader="none" w:pos="6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An uptick of 25.0% (+28.2% neutral exchange rate) in the balance of </w:t>
      </w:r>
      <w:r>
        <w:rPr>
          <w:rFonts w:ascii="Arial" w:cs="Arial" w:eastAsia="Arial" w:hAnsi="Arial"/>
          <w:sz w:val="16"/>
          <w:szCs w:val="16"/>
          <w:b w:val="1"/>
          <w:bCs w:val="1"/>
          <w:color w:val="auto"/>
        </w:rPr>
        <w:t>Time Deposits</w:t>
      </w:r>
      <w:r>
        <w:rPr>
          <w:rFonts w:ascii="Arial" w:cs="Arial" w:eastAsia="Arial" w:hAnsi="Arial"/>
          <w:sz w:val="16"/>
          <w:szCs w:val="16"/>
          <w:color w:val="auto"/>
        </w:rPr>
        <w:t>, which was driven by the same dynamics as those seen in the QoQ analysis.</w:t>
      </w:r>
    </w:p>
    <w:p>
      <w:pPr>
        <w:spacing w:after="0" w:line="27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43750" cy="158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312" w:right="339" w:bottom="1440" w:gutter="0" w:footer="0" w:header="0"/>
        </w:sectPr>
      </w:pPr>
    </w:p>
    <w:bookmarkStart w:id="25" w:name="page26"/>
    <w:bookmarkEnd w:id="25"/>
    <w:p>
      <w:pPr>
        <w:ind w:left="2960"/>
        <w:spacing w:after="0"/>
        <w:tabs>
          <w:tab w:leader="none" w:pos="3140" w:val="left"/>
          <w:tab w:leader="none" w:pos="7180" w:val="left"/>
        </w:tabs>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202565</wp:posOffset>
            </wp:positionH>
            <wp:positionV relativeFrom="page">
              <wp:posOffset>88900</wp:posOffset>
            </wp:positionV>
            <wp:extent cx="7143750" cy="3848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3750" cy="384810"/>
                    </a:xfrm>
                    <a:prstGeom prst="rect">
                      <a:avLst/>
                    </a:prstGeom>
                    <a:noFill/>
                  </pic:spPr>
                </pic:pic>
              </a:graphicData>
            </a:graphic>
          </wp:anchor>
        </w:drawing>
        <w:t>|</w:t>
      </w:r>
      <w:r>
        <w:rPr>
          <w:sz w:val="20"/>
          <w:szCs w:val="20"/>
          <w:color w:val="auto"/>
        </w:rPr>
        <w:tab/>
      </w:r>
      <w:r>
        <w:rPr>
          <w:rFonts w:ascii="Arial" w:cs="Arial" w:eastAsia="Arial" w:hAnsi="Arial"/>
          <w:sz w:val="16"/>
          <w:szCs w:val="16"/>
          <w:b w:val="1"/>
          <w:bCs w:val="1"/>
          <w:color w:val="FFFFFF"/>
        </w:rPr>
        <w:t>Earnings Release 3Q / 2023</w:t>
      </w:r>
      <w:r>
        <w:rPr>
          <w:sz w:val="20"/>
          <w:szCs w:val="20"/>
          <w:color w:val="auto"/>
        </w:rPr>
        <w:tab/>
      </w:r>
      <w:r>
        <w:rPr>
          <w:rFonts w:ascii="Arial" w:cs="Arial" w:eastAsia="Arial" w:hAnsi="Arial"/>
          <w:sz w:val="18"/>
          <w:szCs w:val="18"/>
          <w:b w:val="1"/>
          <w:bCs w:val="1"/>
          <w:color w:val="E93CAC"/>
        </w:rPr>
        <w:t>Analysis of 3Q23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143510</wp:posOffset>
            </wp:positionV>
            <wp:extent cx="7143750" cy="2038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3750" cy="203835"/>
                    </a:xfrm>
                    <a:prstGeom prst="rect">
                      <a:avLst/>
                    </a:prstGeom>
                    <a:noFill/>
                  </pic:spPr>
                </pic:pic>
              </a:graphicData>
            </a:graphic>
          </wp:anchor>
        </w:drawing>
      </w:r>
    </w:p>
    <w:p>
      <w:pPr>
        <w:spacing w:after="0" w:line="226"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FFFFFF"/>
        </w:rPr>
        <w:t>02. Deposits</w:t>
      </w:r>
    </w:p>
    <w:p>
      <w:pPr>
        <w:spacing w:after="0" w:line="261" w:lineRule="exact"/>
        <w:rPr>
          <w:sz w:val="20"/>
          <w:szCs w:val="20"/>
          <w:color w:val="auto"/>
        </w:rPr>
      </w:pPr>
    </w:p>
    <w:p>
      <w:pPr>
        <w:ind w:right="380"/>
        <w:spacing w:after="0" w:line="285" w:lineRule="auto"/>
        <w:rPr>
          <w:sz w:val="20"/>
          <w:szCs w:val="20"/>
          <w:color w:val="auto"/>
        </w:rPr>
      </w:pPr>
      <w:r>
        <w:rPr>
          <w:rFonts w:ascii="Arial" w:cs="Arial" w:eastAsia="Arial" w:hAnsi="Arial"/>
          <w:sz w:val="16"/>
          <w:szCs w:val="16"/>
          <w:color w:val="auto"/>
        </w:rPr>
        <w:t xml:space="preserve">Low-cost deposit balances </w:t>
      </w:r>
      <w:r>
        <w:rPr>
          <w:rFonts w:ascii="Arial" w:cs="Arial" w:eastAsia="Arial" w:hAnsi="Arial"/>
          <w:sz w:val="16"/>
          <w:szCs w:val="16"/>
          <w:b w:val="1"/>
          <w:bCs w:val="1"/>
          <w:color w:val="auto"/>
        </w:rPr>
        <w:t>(Demand + Savings)</w:t>
      </w:r>
      <w:r>
        <w:rPr>
          <w:rFonts w:ascii="Arial" w:cs="Arial" w:eastAsia="Arial" w:hAnsi="Arial"/>
          <w:sz w:val="16"/>
          <w:szCs w:val="16"/>
          <w:color w:val="auto"/>
        </w:rPr>
        <w:t xml:space="preserve"> rose 1.2% QoQ but fell 13.0% YoY. It is important to note that both deposit types account for a lions’ share of total deposits (63.7%). These figures remain above pre-pandemic levels (62.0% as of December 2019).</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Dollarization Level of Deposits</w:t>
      </w:r>
    </w:p>
    <w:p>
      <w:pPr>
        <w:sectPr>
          <w:pgSz w:w="11900" w:h="16838" w:orient="portrait"/>
          <w:cols w:equalWidth="0" w:num="1">
            <w:col w:w="11240"/>
          </w:cols>
          <w:pgMar w:left="320" w:top="312" w:right="339" w:bottom="1440" w:gutter="0" w:footer="0" w:header="0"/>
        </w:sectPr>
      </w:pPr>
    </w:p>
    <w:p>
      <w:pPr>
        <w:spacing w:after="0" w:line="391" w:lineRule="exact"/>
        <w:rPr>
          <w:sz w:val="20"/>
          <w:szCs w:val="20"/>
          <w:color w:val="auto"/>
        </w:rPr>
      </w:pPr>
    </w:p>
    <w:p>
      <w:pPr>
        <w:jc w:val="center"/>
        <w:ind w:left="280"/>
        <w:spacing w:after="0"/>
        <w:rPr>
          <w:sz w:val="20"/>
          <w:szCs w:val="20"/>
          <w:color w:val="auto"/>
        </w:rPr>
      </w:pPr>
      <w:r>
        <w:rPr>
          <w:rFonts w:ascii="Arial" w:cs="Arial" w:eastAsia="Arial" w:hAnsi="Arial"/>
          <w:sz w:val="16"/>
          <w:szCs w:val="16"/>
          <w:b w:val="1"/>
          <w:bCs w:val="1"/>
          <w:color w:val="auto"/>
        </w:rPr>
        <w:t>Deposits by currency</w:t>
      </w:r>
    </w:p>
    <w:p>
      <w:pPr>
        <w:spacing w:after="0" w:line="27" w:lineRule="exact"/>
        <w:rPr>
          <w:sz w:val="20"/>
          <w:szCs w:val="20"/>
          <w:color w:val="auto"/>
        </w:rPr>
      </w:pPr>
    </w:p>
    <w:p>
      <w:pPr>
        <w:ind w:left="1660"/>
        <w:spacing w:after="0"/>
        <w:rPr>
          <w:sz w:val="20"/>
          <w:szCs w:val="20"/>
          <w:color w:val="auto"/>
        </w:rPr>
      </w:pPr>
      <w:r>
        <w:rPr>
          <w:rFonts w:ascii="Arial" w:cs="Arial" w:eastAsia="Arial" w:hAnsi="Arial"/>
          <w:sz w:val="13"/>
          <w:szCs w:val="13"/>
          <w:color w:val="auto"/>
        </w:rPr>
        <w:t>(measured in quarter-end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90805</wp:posOffset>
            </wp:positionV>
            <wp:extent cx="2630170" cy="1530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630170" cy="1530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 xml:space="preserve">At the end of September 2023, the level of dollarization of </w:t>
      </w:r>
      <w:r>
        <w:rPr>
          <w:rFonts w:ascii="Arial" w:cs="Arial" w:eastAsia="Arial" w:hAnsi="Arial"/>
          <w:sz w:val="16"/>
          <w:szCs w:val="16"/>
          <w:b w:val="1"/>
          <w:bCs w:val="1"/>
          <w:color w:val="auto"/>
        </w:rPr>
        <w:t>Total Deposits</w:t>
      </w:r>
      <w:r>
        <w:rPr>
          <w:rFonts w:ascii="Arial" w:cs="Arial" w:eastAsia="Arial" w:hAnsi="Arial"/>
          <w:sz w:val="16"/>
          <w:szCs w:val="16"/>
          <w:color w:val="auto"/>
        </w:rPr>
        <w:t xml:space="preserve"> dropped 30 bps QoQ. This decline was mainly attributable to </w:t>
      </w:r>
      <w:r>
        <w:rPr>
          <w:rFonts w:ascii="Arial" w:cs="Arial" w:eastAsia="Arial" w:hAnsi="Arial"/>
          <w:sz w:val="16"/>
          <w:szCs w:val="16"/>
          <w:b w:val="1"/>
          <w:bCs w:val="1"/>
          <w:color w:val="auto"/>
        </w:rPr>
        <w:t>Demand</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Deposits </w:t>
      </w:r>
      <w:r>
        <w:rPr>
          <w:rFonts w:ascii="Arial" w:cs="Arial" w:eastAsia="Arial" w:hAnsi="Arial"/>
          <w:sz w:val="16"/>
          <w:szCs w:val="16"/>
          <w:color w:val="auto"/>
        </w:rPr>
        <w:t>and, to a lesser extent, to</w:t>
      </w:r>
      <w:r>
        <w:rPr>
          <w:rFonts w:ascii="Arial" w:cs="Arial" w:eastAsia="Arial" w:hAnsi="Arial"/>
          <w:sz w:val="16"/>
          <w:szCs w:val="16"/>
          <w:b w:val="1"/>
          <w:bCs w:val="1"/>
          <w:color w:val="auto"/>
        </w:rPr>
        <w:t xml:space="preserve"> Time Deposits</w:t>
      </w:r>
      <w:r>
        <w:rPr>
          <w:rFonts w:ascii="Arial" w:cs="Arial" w:eastAsia="Arial" w:hAnsi="Arial"/>
          <w:sz w:val="16"/>
          <w:szCs w:val="16"/>
          <w:color w:val="auto"/>
        </w:rPr>
        <w:t>, which reported an</w:t>
      </w:r>
      <w:r>
        <w:rPr>
          <w:rFonts w:ascii="Arial" w:cs="Arial" w:eastAsia="Arial" w:hAnsi="Arial"/>
          <w:sz w:val="16"/>
          <w:szCs w:val="16"/>
          <w:b w:val="1"/>
          <w:bCs w:val="1"/>
          <w:color w:val="auto"/>
        </w:rPr>
        <w:t xml:space="preserve"> </w:t>
      </w:r>
      <w:r>
        <w:rPr>
          <w:rFonts w:ascii="Arial" w:cs="Arial" w:eastAsia="Arial" w:hAnsi="Arial"/>
          <w:sz w:val="16"/>
          <w:szCs w:val="16"/>
          <w:color w:val="auto"/>
        </w:rPr>
        <w:t>uptick in LC balances after clients migrated to higher-yield products. The dollarization level stood at 48.9% for the period, which remains below the average for the last 2 years (50.4%).</w:t>
      </w:r>
    </w:p>
    <w:p>
      <w:pPr>
        <w:spacing w:after="0" w:line="148" w:lineRule="exact"/>
        <w:rPr>
          <w:sz w:val="20"/>
          <w:szCs w:val="20"/>
          <w:color w:val="auto"/>
        </w:rPr>
      </w:pPr>
    </w:p>
    <w:p>
      <w:pPr>
        <w:jc w:val="both"/>
        <w:ind w:right="120"/>
        <w:spacing w:after="0" w:line="256" w:lineRule="auto"/>
        <w:rPr>
          <w:sz w:val="20"/>
          <w:szCs w:val="20"/>
          <w:color w:val="auto"/>
        </w:rPr>
      </w:pPr>
      <w:r>
        <w:rPr>
          <w:rFonts w:ascii="Arial" w:cs="Arial" w:eastAsia="Arial" w:hAnsi="Arial"/>
          <w:sz w:val="16"/>
          <w:szCs w:val="16"/>
          <w:color w:val="auto"/>
        </w:rPr>
        <w:t xml:space="preserve">In YoY terms, the dollarization level fell 130 bps after </w:t>
      </w:r>
      <w:r>
        <w:rPr>
          <w:rFonts w:ascii="Arial" w:cs="Arial" w:eastAsia="Arial" w:hAnsi="Arial"/>
          <w:sz w:val="16"/>
          <w:szCs w:val="16"/>
          <w:b w:val="1"/>
          <w:bCs w:val="1"/>
          <w:color w:val="auto"/>
        </w:rPr>
        <w:t>Demand Deposits</w:t>
      </w:r>
      <w:r>
        <w:rPr>
          <w:rFonts w:ascii="Arial" w:cs="Arial" w:eastAsia="Arial" w:hAnsi="Arial"/>
          <w:sz w:val="16"/>
          <w:szCs w:val="16"/>
          <w:color w:val="auto"/>
        </w:rPr>
        <w:t xml:space="preserve"> in FC and </w:t>
      </w:r>
      <w:r>
        <w:rPr>
          <w:rFonts w:ascii="Arial" w:cs="Arial" w:eastAsia="Arial" w:hAnsi="Arial"/>
          <w:sz w:val="16"/>
          <w:szCs w:val="16"/>
          <w:b w:val="1"/>
          <w:bCs w:val="1"/>
          <w:color w:val="auto"/>
        </w:rPr>
        <w:t>Savings Deposits</w:t>
      </w:r>
      <w:r>
        <w:rPr>
          <w:rFonts w:ascii="Arial" w:cs="Arial" w:eastAsia="Arial" w:hAnsi="Arial"/>
          <w:sz w:val="16"/>
          <w:szCs w:val="16"/>
          <w:color w:val="auto"/>
        </w:rPr>
        <w:t xml:space="preserve"> fell -14.5% and -14.4% respectively while </w:t>
      </w:r>
      <w:r>
        <w:rPr>
          <w:rFonts w:ascii="Arial" w:cs="Arial" w:eastAsia="Arial" w:hAnsi="Arial"/>
          <w:sz w:val="16"/>
          <w:szCs w:val="16"/>
          <w:b w:val="1"/>
          <w:bCs w:val="1"/>
          <w:color w:val="auto"/>
        </w:rPr>
        <w:t xml:space="preserve">Time Deposits </w:t>
      </w:r>
      <w:r>
        <w:rPr>
          <w:rFonts w:ascii="Arial" w:cs="Arial" w:eastAsia="Arial" w:hAnsi="Arial"/>
          <w:sz w:val="16"/>
          <w:szCs w:val="16"/>
          <w:color w:val="auto"/>
        </w:rPr>
        <w:t>in LC rose 33.8%. These three movements were driven</w:t>
      </w:r>
      <w:r>
        <w:rPr>
          <w:rFonts w:ascii="Arial" w:cs="Arial" w:eastAsia="Arial" w:hAnsi="Arial"/>
          <w:sz w:val="16"/>
          <w:szCs w:val="16"/>
          <w:b w:val="1"/>
          <w:bCs w:val="1"/>
          <w:color w:val="auto"/>
        </w:rPr>
        <w:t xml:space="preserve"> </w:t>
      </w:r>
      <w:r>
        <w:rPr>
          <w:rFonts w:ascii="Arial" w:cs="Arial" w:eastAsia="Arial" w:hAnsi="Arial"/>
          <w:sz w:val="16"/>
          <w:szCs w:val="16"/>
          <w:color w:val="auto"/>
        </w:rPr>
        <w:t>primarily by client migration to higher-yield deposits.</w:t>
      </w:r>
    </w:p>
    <w:p>
      <w:pPr>
        <w:spacing w:after="0" w:line="200" w:lineRule="exact"/>
        <w:rPr>
          <w:sz w:val="20"/>
          <w:szCs w:val="20"/>
          <w:color w:val="auto"/>
        </w:rPr>
      </w:pPr>
    </w:p>
    <w:p>
      <w:pPr>
        <w:sectPr>
          <w:pgSz w:w="11900" w:h="16838" w:orient="portrait"/>
          <w:cols w:equalWidth="0" w:num="2">
            <w:col w:w="5120" w:space="720"/>
            <w:col w:w="5400"/>
          </w:cols>
          <w:pgMar w:left="320" w:top="31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Deposits by currency and type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(measured in quarter-end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744855</wp:posOffset>
            </wp:positionH>
            <wp:positionV relativeFrom="paragraph">
              <wp:posOffset>184785</wp:posOffset>
            </wp:positionV>
            <wp:extent cx="5660390" cy="141287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60390" cy="141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Loan/Deposit Ratio (L/D Ratio)</w:t>
      </w:r>
    </w:p>
    <w:p>
      <w:pPr>
        <w:spacing w:after="0" w:line="238" w:lineRule="exact"/>
        <w:rPr>
          <w:sz w:val="20"/>
          <w:szCs w:val="20"/>
          <w:color w:val="auto"/>
        </w:rPr>
      </w:pPr>
    </w:p>
    <w:p>
      <w:pPr>
        <w:ind w:left="5840" w:right="80"/>
        <w:spacing w:after="0" w:line="247" w:lineRule="auto"/>
        <w:rPr>
          <w:sz w:val="20"/>
          <w:szCs w:val="20"/>
          <w:color w:val="auto"/>
        </w:rPr>
      </w:pPr>
      <w:r>
        <w:rPr>
          <w:rFonts w:ascii="Arial" w:cs="Arial" w:eastAsia="Arial" w:hAnsi="Arial"/>
          <w:sz w:val="16"/>
          <w:szCs w:val="16"/>
          <w:color w:val="auto"/>
        </w:rPr>
        <w:t xml:space="preserve">The L/D ratio dropped 150 bps and 890 bps QoQ at BCP and Mibanco respectively. The reduction at both BCP and Mibanco was driven by an uptick in total deposits, which was led by </w:t>
      </w:r>
      <w:r>
        <w:rPr>
          <w:rFonts w:ascii="Arial" w:cs="Arial" w:eastAsia="Arial" w:hAnsi="Arial"/>
          <w:sz w:val="16"/>
          <w:szCs w:val="16"/>
          <w:b w:val="1"/>
          <w:bCs w:val="1"/>
          <w:color w:val="auto"/>
        </w:rPr>
        <w:t>Time Deposits</w:t>
      </w:r>
      <w:r>
        <w:rPr>
          <w:rFonts w:ascii="Arial" w:cs="Arial" w:eastAsia="Arial" w:hAnsi="Arial"/>
          <w:sz w:val="16"/>
          <w:szCs w:val="16"/>
          <w:color w:val="auto"/>
        </w:rPr>
        <w:t xml:space="preserve"> in LC and FC in a context marked by fund outflows from low-cost deposits to higher-yield deposits. At Mibanco, a drop in loan balances also contributed, although secondarily, to the drop in the L/C ratio. In this context, the L/C ratio at BAP stood at 97.7%.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wp:posOffset>
            </wp:positionH>
            <wp:positionV relativeFrom="paragraph">
              <wp:posOffset>-833120</wp:posOffset>
            </wp:positionV>
            <wp:extent cx="2708275" cy="19627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708275" cy="1962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43750" cy="158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312" w:right="339" w:bottom="1440" w:gutter="0" w:footer="0" w:header="0"/>
          <w:type w:val="continuous"/>
        </w:sectPr>
      </w:pPr>
    </w:p>
    <w:bookmarkStart w:id="26" w:name="page27"/>
    <w:bookmarkEnd w:id="26"/>
    <w:tbl>
      <w:tblPr>
        <w:tblLayout w:type="fixed"/>
        <w:tblInd w:w="0" w:type="dxa"/>
        <w:tblCellMar>
          <w:top w:w="0" w:type="dxa"/>
          <w:left w:w="0" w:type="dxa"/>
          <w:bottom w:w="0" w:type="dxa"/>
          <w:right w:w="0" w:type="dxa"/>
        </w:tblCellMar>
      </w:tblPr>
      <w:tr>
        <w:trPr>
          <w:trHeight w:val="424"/>
        </w:trPr>
        <w:tc>
          <w:tcPr>
            <w:tcW w:w="6260" w:type="dxa"/>
            <w:vAlign w:val="bottom"/>
            <w:shd w:val="clear" w:color="auto" w:fill="000000"/>
          </w:tcPr>
          <w:p>
            <w:pPr>
              <w:ind w:left="2960"/>
              <w:spacing w:after="0"/>
              <w:rPr>
                <w:sz w:val="20"/>
                <w:szCs w:val="20"/>
                <w:color w:val="auto"/>
              </w:rPr>
            </w:pPr>
            <w:r>
              <w:rPr>
                <w:rFonts w:ascii="Arial" w:cs="Arial" w:eastAsia="Arial" w:hAnsi="Arial"/>
                <w:sz w:val="16"/>
                <w:szCs w:val="16"/>
                <w:color w:val="FFFFFF"/>
              </w:rPr>
              <w:t xml:space="preserve">|  </w:t>
            </w:r>
            <w:r>
              <w:rPr>
                <w:rFonts w:ascii="Arial" w:cs="Arial" w:eastAsia="Arial" w:hAnsi="Arial"/>
                <w:sz w:val="16"/>
                <w:szCs w:val="16"/>
                <w:b w:val="1"/>
                <w:bCs w:val="1"/>
                <w:color w:val="FFFFFF"/>
              </w:rPr>
              <w:t>Earnings Release 3Q / 2023</w:t>
            </w:r>
          </w:p>
        </w:tc>
        <w:tc>
          <w:tcPr>
            <w:tcW w:w="4980" w:type="dxa"/>
            <w:vAlign w:val="bottom"/>
            <w:shd w:val="clear" w:color="auto" w:fill="000000"/>
          </w:tcPr>
          <w:p>
            <w:pPr>
              <w:ind w:left="940"/>
              <w:spacing w:after="0"/>
              <w:rPr>
                <w:sz w:val="20"/>
                <w:szCs w:val="20"/>
                <w:color w:val="auto"/>
              </w:rPr>
            </w:pPr>
            <w:r>
              <w:rPr>
                <w:rFonts w:ascii="Arial" w:cs="Arial" w:eastAsia="Arial" w:hAnsi="Arial"/>
                <w:sz w:val="18"/>
                <w:szCs w:val="18"/>
                <w:b w:val="1"/>
                <w:bCs w:val="1"/>
                <w:color w:val="E93CAC"/>
              </w:rPr>
              <w:t>Analysis of 3Q23 Consolidated Results</w:t>
            </w:r>
          </w:p>
        </w:tc>
      </w:tr>
      <w:tr>
        <w:trPr>
          <w:trHeight w:val="181"/>
        </w:trPr>
        <w:tc>
          <w:tcPr>
            <w:tcW w:w="6260" w:type="dxa"/>
            <w:vAlign w:val="bottom"/>
            <w:shd w:val="clear" w:color="auto" w:fill="000000"/>
          </w:tcPr>
          <w:p>
            <w:pPr>
              <w:spacing w:after="0"/>
              <w:rPr>
                <w:sz w:val="15"/>
                <w:szCs w:val="15"/>
                <w:color w:val="auto"/>
              </w:rPr>
            </w:pPr>
          </w:p>
        </w:tc>
        <w:tc>
          <w:tcPr>
            <w:tcW w:w="4980" w:type="dxa"/>
            <w:vAlign w:val="bottom"/>
            <w:shd w:val="clear" w:color="auto" w:fill="000000"/>
          </w:tcPr>
          <w:p>
            <w:pPr>
              <w:spacing w:after="0"/>
              <w:rPr>
                <w:sz w:val="15"/>
                <w:szCs w:val="15"/>
                <w:color w:val="auto"/>
              </w:rPr>
            </w:pPr>
          </w:p>
        </w:tc>
      </w:tr>
      <w:tr>
        <w:trPr>
          <w:trHeight w:val="301"/>
        </w:trPr>
        <w:tc>
          <w:tcPr>
            <w:tcW w:w="6260" w:type="dxa"/>
            <w:vAlign w:val="bottom"/>
            <w:tcBorders>
              <w:bottom w:val="single" w:sz="8" w:color="E93CAC"/>
            </w:tcBorders>
            <w:shd w:val="clear" w:color="auto" w:fill="E93CAC"/>
          </w:tcPr>
          <w:p>
            <w:pPr>
              <w:ind w:left="40"/>
              <w:spacing w:after="0"/>
              <w:rPr>
                <w:sz w:val="20"/>
                <w:szCs w:val="20"/>
                <w:color w:val="auto"/>
              </w:rPr>
            </w:pPr>
            <w:r>
              <w:rPr>
                <w:rFonts w:ascii="Arial" w:cs="Arial" w:eastAsia="Arial" w:hAnsi="Arial"/>
                <w:sz w:val="20"/>
                <w:szCs w:val="20"/>
                <w:b w:val="1"/>
                <w:bCs w:val="1"/>
                <w:color w:val="FFFFFF"/>
              </w:rPr>
              <w:t>02. Deposits</w:t>
            </w:r>
          </w:p>
        </w:tc>
        <w:tc>
          <w:tcPr>
            <w:tcW w:w="4980" w:type="dxa"/>
            <w:vAlign w:val="bottom"/>
            <w:tcBorders>
              <w:bottom w:val="single" w:sz="8" w:color="E93CAC"/>
            </w:tcBorders>
            <w:shd w:val="clear" w:color="auto" w:fill="E93CAC"/>
          </w:tcPr>
          <w:p>
            <w:pPr>
              <w:spacing w:after="0"/>
              <w:rPr>
                <w:sz w:val="24"/>
                <w:szCs w:val="24"/>
                <w:color w:val="auto"/>
              </w:rPr>
            </w:pPr>
          </w:p>
        </w:tc>
      </w:tr>
      <w:tr>
        <w:trPr>
          <w:trHeight w:val="406"/>
        </w:trPr>
        <w:tc>
          <w:tcPr>
            <w:tcW w:w="6260" w:type="dxa"/>
            <w:vAlign w:val="bottom"/>
          </w:tcPr>
          <w:p>
            <w:pPr>
              <w:ind w:left="1720"/>
              <w:spacing w:after="0"/>
              <w:rPr>
                <w:sz w:val="20"/>
                <w:szCs w:val="20"/>
                <w:color w:val="auto"/>
              </w:rPr>
            </w:pPr>
            <w:r>
              <w:rPr>
                <w:rFonts w:ascii="Arial" w:cs="Arial" w:eastAsia="Arial" w:hAnsi="Arial"/>
                <w:sz w:val="16"/>
                <w:szCs w:val="16"/>
                <w:b w:val="1"/>
                <w:bCs w:val="1"/>
                <w:color w:val="auto"/>
              </w:rPr>
              <w:t>L/D Ratio Local Currency</w:t>
            </w:r>
          </w:p>
        </w:tc>
        <w:tc>
          <w:tcPr>
            <w:tcW w:w="4980" w:type="dxa"/>
            <w:vAlign w:val="bottom"/>
          </w:tcPr>
          <w:p>
            <w:pPr>
              <w:ind w:left="1220"/>
              <w:spacing w:after="0"/>
              <w:rPr>
                <w:sz w:val="20"/>
                <w:szCs w:val="20"/>
                <w:color w:val="auto"/>
              </w:rPr>
            </w:pPr>
            <w:r>
              <w:rPr>
                <w:rFonts w:ascii="Arial" w:cs="Arial" w:eastAsia="Arial" w:hAnsi="Arial"/>
                <w:sz w:val="16"/>
                <w:szCs w:val="16"/>
                <w:b w:val="1"/>
                <w:bCs w:val="1"/>
                <w:color w:val="auto"/>
              </w:rPr>
              <w:t>L/D Ratio Foreign Currency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wp:posOffset>
            </wp:positionH>
            <wp:positionV relativeFrom="paragraph">
              <wp:posOffset>103505</wp:posOffset>
            </wp:positionV>
            <wp:extent cx="6539230" cy="19075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539230" cy="19075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-728345</wp:posOffset>
            </wp:positionV>
            <wp:extent cx="973455" cy="1492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973455" cy="149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of the Market for Deposits in the Peruvian Financial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839470</wp:posOffset>
            </wp:positionH>
            <wp:positionV relativeFrom="paragraph">
              <wp:posOffset>120015</wp:posOffset>
            </wp:positionV>
            <wp:extent cx="5471795" cy="24574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471795" cy="2457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At the end of August 2023, the market shares of </w:t>
      </w:r>
      <w:r>
        <w:rPr>
          <w:rFonts w:ascii="Arial" w:cs="Arial" w:eastAsia="Arial" w:hAnsi="Arial"/>
          <w:sz w:val="16"/>
          <w:szCs w:val="16"/>
          <w:b w:val="1"/>
          <w:bCs w:val="1"/>
          <w:color w:val="auto"/>
        </w:rPr>
        <w:t>Total Deposits</w:t>
      </w:r>
      <w:r>
        <w:rPr>
          <w:rFonts w:ascii="Arial" w:cs="Arial" w:eastAsia="Arial" w:hAnsi="Arial"/>
          <w:sz w:val="16"/>
          <w:szCs w:val="16"/>
          <w:color w:val="auto"/>
        </w:rPr>
        <w:t xml:space="preserve"> at BCP and Mibanco stood at 31.7% and 2.7% respectively (-14 bps and +2 bps versus September 2022). It is important to note that BCP continues to lead the market for deposits.</w:t>
      </w:r>
    </w:p>
    <w:p>
      <w:pPr>
        <w:spacing w:after="0" w:line="127"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 xml:space="preserve">Low-cost deposits fell to the same extent systemwide and at BCP (-13.2% versus September 2022). In this context, BCP continues to lead the market for low-cost deposits with an MS of 39.8% at the end of August 2023 (+1 bps versus September 2022). In comparison to Sep 2022, BCP’s share of </w:t>
      </w:r>
      <w:r>
        <w:rPr>
          <w:rFonts w:ascii="Arial" w:cs="Arial" w:eastAsia="Arial" w:hAnsi="Arial"/>
          <w:sz w:val="16"/>
          <w:szCs w:val="16"/>
          <w:b w:val="1"/>
          <w:bCs w:val="1"/>
          <w:color w:val="auto"/>
        </w:rPr>
        <w:t>Savings</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Deposits </w:t>
      </w:r>
      <w:r>
        <w:rPr>
          <w:rFonts w:ascii="Arial" w:cs="Arial" w:eastAsia="Arial" w:hAnsi="Arial"/>
          <w:sz w:val="16"/>
          <w:szCs w:val="16"/>
          <w:color w:val="auto"/>
        </w:rPr>
        <w:t>was up 200 bps and for</w:t>
      </w:r>
      <w:r>
        <w:rPr>
          <w:rFonts w:ascii="Arial" w:cs="Arial" w:eastAsia="Arial" w:hAnsi="Arial"/>
          <w:sz w:val="16"/>
          <w:szCs w:val="16"/>
          <w:b w:val="1"/>
          <w:bCs w:val="1"/>
          <w:color w:val="auto"/>
        </w:rPr>
        <w:t xml:space="preserve"> Time Deposits</w:t>
      </w:r>
      <w:r>
        <w:rPr>
          <w:rFonts w:ascii="Arial" w:cs="Arial" w:eastAsia="Arial" w:hAnsi="Arial"/>
          <w:sz w:val="16"/>
          <w:szCs w:val="16"/>
          <w:color w:val="auto"/>
        </w:rPr>
        <w:t>, 232 bps, which is proof of our strong market position. Credicorp’s MS for low-cost deposits stands at</w:t>
      </w:r>
      <w:r>
        <w:rPr>
          <w:rFonts w:ascii="Arial" w:cs="Arial" w:eastAsia="Arial" w:hAnsi="Arial"/>
          <w:sz w:val="16"/>
          <w:szCs w:val="16"/>
          <w:b w:val="1"/>
          <w:bCs w:val="1"/>
          <w:color w:val="auto"/>
        </w:rPr>
        <w:t xml:space="preserve"> </w:t>
      </w:r>
      <w:r>
        <w:rPr>
          <w:rFonts w:ascii="Arial" w:cs="Arial" w:eastAsia="Arial" w:hAnsi="Arial"/>
          <w:sz w:val="16"/>
          <w:szCs w:val="16"/>
          <w:color w:val="auto"/>
        </w:rPr>
        <w:t>40.3% (-10 bps versus September 2022).</w:t>
      </w:r>
    </w:p>
    <w:p>
      <w:pPr>
        <w:spacing w:after="0" w:line="31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43750" cy="158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7" w:name="page28"/>
    <w:bookmarkEnd w:id="27"/>
    <w:p>
      <w:pPr>
        <w:ind w:left="2961"/>
        <w:spacing w:after="0"/>
        <w:tabs>
          <w:tab w:leader="none" w:pos="3141" w:val="left"/>
          <w:tab w:leader="none" w:pos="7181" w:val="left"/>
        </w:tabs>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202565</wp:posOffset>
            </wp:positionH>
            <wp:positionV relativeFrom="page">
              <wp:posOffset>88900</wp:posOffset>
            </wp:positionV>
            <wp:extent cx="7143750" cy="3848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3750" cy="384810"/>
                    </a:xfrm>
                    <a:prstGeom prst="rect">
                      <a:avLst/>
                    </a:prstGeom>
                    <a:noFill/>
                  </pic:spPr>
                </pic:pic>
              </a:graphicData>
            </a:graphic>
          </wp:anchor>
        </w:drawing>
        <w:t>|</w:t>
      </w:r>
      <w:r>
        <w:rPr>
          <w:sz w:val="20"/>
          <w:szCs w:val="20"/>
          <w:color w:val="auto"/>
        </w:rPr>
        <w:tab/>
      </w:r>
      <w:r>
        <w:rPr>
          <w:rFonts w:ascii="Arial" w:cs="Arial" w:eastAsia="Arial" w:hAnsi="Arial"/>
          <w:sz w:val="16"/>
          <w:szCs w:val="16"/>
          <w:b w:val="1"/>
          <w:bCs w:val="1"/>
          <w:color w:val="FFFFFF"/>
        </w:rPr>
        <w:t>Earnings Release 3Q / 2023</w:t>
      </w:r>
      <w:r>
        <w:rPr>
          <w:sz w:val="20"/>
          <w:szCs w:val="20"/>
          <w:color w:val="auto"/>
        </w:rPr>
        <w:tab/>
      </w:r>
      <w:r>
        <w:rPr>
          <w:rFonts w:ascii="Arial" w:cs="Arial" w:eastAsia="Arial" w:hAnsi="Arial"/>
          <w:sz w:val="18"/>
          <w:szCs w:val="18"/>
          <w:b w:val="1"/>
          <w:bCs w:val="1"/>
          <w:color w:val="E93CAC"/>
        </w:rPr>
        <w:t>Analysis of 3Q23 Consolidated Results</w:t>
      </w:r>
    </w:p>
    <w:p>
      <w:pPr>
        <w:spacing w:after="0" w:line="340" w:lineRule="exact"/>
        <w:rPr>
          <w:sz w:val="20"/>
          <w:szCs w:val="20"/>
          <w:color w:val="auto"/>
        </w:rPr>
      </w:pPr>
    </w:p>
    <w:p>
      <w:pPr>
        <w:ind w:left="1"/>
        <w:spacing w:after="0"/>
        <w:rPr>
          <w:sz w:val="20"/>
          <w:szCs w:val="20"/>
          <w:color w:val="auto"/>
        </w:rPr>
      </w:pPr>
      <w:r>
        <w:rPr>
          <w:rFonts w:ascii="Arial" w:cs="Arial" w:eastAsia="Arial" w:hAnsi="Arial"/>
          <w:sz w:val="48"/>
          <w:szCs w:val="48"/>
          <w:b w:val="1"/>
          <w:bCs w:val="1"/>
          <w:color w:val="E93BAC"/>
        </w:rPr>
        <w:t xml:space="preserve">03 </w:t>
      </w:r>
      <w:r>
        <w:rPr>
          <w:rFonts w:ascii="Arial" w:cs="Arial" w:eastAsia="Arial" w:hAnsi="Arial"/>
          <w:sz w:val="29"/>
          <w:szCs w:val="29"/>
          <w:b w:val="1"/>
          <w:bCs w:val="1"/>
          <w:color w:val="E93BAC"/>
        </w:rPr>
        <w:t>Interest-earning Assets (“IEAs”) and Funding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143750" cy="1043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3750" cy="1043940"/>
                    </a:xfrm>
                    <a:prstGeom prst="rect">
                      <a:avLst/>
                    </a:prstGeom>
                    <a:noFill/>
                  </pic:spPr>
                </pic:pic>
              </a:graphicData>
            </a:graphic>
          </wp:anchor>
        </w:drawing>
      </w:r>
    </w:p>
    <w:p>
      <w:pPr>
        <w:spacing w:after="0" w:line="365" w:lineRule="exact"/>
        <w:rPr>
          <w:sz w:val="20"/>
          <w:szCs w:val="20"/>
          <w:color w:val="auto"/>
        </w:rPr>
      </w:pPr>
    </w:p>
    <w:p>
      <w:pPr>
        <w:jc w:val="both"/>
        <w:ind w:left="121" w:right="120"/>
        <w:spacing w:after="0" w:line="252" w:lineRule="auto"/>
        <w:rPr>
          <w:sz w:val="20"/>
          <w:szCs w:val="20"/>
          <w:color w:val="auto"/>
        </w:rPr>
      </w:pPr>
      <w:r>
        <w:rPr>
          <w:rFonts w:ascii="Arial" w:cs="Arial" w:eastAsia="Arial" w:hAnsi="Arial"/>
          <w:sz w:val="16"/>
          <w:szCs w:val="16"/>
          <w:color w:val="FFFFFF"/>
        </w:rPr>
        <w:t>At the end of 3Q23, IEAs registered an uptick of 1.8% QoQ. This evolution was driven primarily by growth in balances for Investments and Loans and partially offset by a drop in Cash and due from banks. The increase registered in investment balances reflects efforts to capitalize on surplus liquidity and to take advantage of high interest rates. YoY, IEAs fell 2.8% due to a drop in loans and in Cash and due from banks, which was partially offset by an uptick in Investment balances.</w:t>
      </w:r>
    </w:p>
    <w:p>
      <w:pPr>
        <w:spacing w:after="0" w:line="154" w:lineRule="exact"/>
        <w:rPr>
          <w:sz w:val="20"/>
          <w:szCs w:val="20"/>
          <w:color w:val="auto"/>
        </w:rPr>
      </w:pPr>
    </w:p>
    <w:p>
      <w:pPr>
        <w:jc w:val="both"/>
        <w:ind w:left="121" w:right="120"/>
        <w:spacing w:after="0" w:line="274" w:lineRule="auto"/>
        <w:rPr>
          <w:sz w:val="20"/>
          <w:szCs w:val="20"/>
          <w:color w:val="auto"/>
        </w:rPr>
      </w:pPr>
      <w:r>
        <w:rPr>
          <w:rFonts w:ascii="Arial" w:cs="Arial" w:eastAsia="Arial" w:hAnsi="Arial"/>
          <w:sz w:val="16"/>
          <w:szCs w:val="16"/>
          <w:color w:val="FFFFFF"/>
        </w:rPr>
        <w:t>Funding rose 2.0% QoQ, driven by growth in deposits. This evolution was partially offset by a reduction in BCRP instruments following repo expirations. Funding fell 5.0% YoY, which reflected a drop in deposits and repo expirations over the year.</w:t>
      </w:r>
    </w:p>
    <w:p>
      <w:pPr>
        <w:spacing w:after="0" w:line="108"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3.1. IEAs</w:t>
      </w:r>
      <w:r>
        <w:rPr>
          <w:rFonts w:ascii="Arial" w:cs="Arial" w:eastAsia="Arial" w:hAnsi="Arial"/>
          <w:sz w:val="27"/>
          <w:szCs w:val="27"/>
          <w:b w:val="1"/>
          <w:bCs w:val="1"/>
          <w:color w:val="auto"/>
          <w:vertAlign w:val="superscript"/>
        </w:rPr>
        <w:t>1</w:t>
      </w:r>
    </w:p>
    <w:p>
      <w:pPr>
        <w:spacing w:after="0" w:line="66" w:lineRule="exact"/>
        <w:rPr>
          <w:sz w:val="20"/>
          <w:szCs w:val="20"/>
          <w:color w:val="auto"/>
        </w:rPr>
      </w:pPr>
    </w:p>
    <w:tbl>
      <w:tblPr>
        <w:tblLayout w:type="fixed"/>
        <w:tblInd w:w="11" w:type="dxa"/>
        <w:tblCellMar>
          <w:top w:w="0" w:type="dxa"/>
          <w:left w:w="0" w:type="dxa"/>
          <w:bottom w:w="0" w:type="dxa"/>
          <w:right w:w="0" w:type="dxa"/>
        </w:tblCellMar>
      </w:tblPr>
      <w:tr>
        <w:trPr>
          <w:trHeight w:val="169"/>
        </w:trPr>
        <w:tc>
          <w:tcPr>
            <w:tcW w:w="5400" w:type="dxa"/>
            <w:vAlign w:val="bottom"/>
            <w:tcBorders>
              <w:top w:val="single" w:sz="8" w:color="auto"/>
              <w:left w:val="single" w:sz="8" w:color="auto"/>
              <w:bottom w:val="single" w:sz="8" w:color="2AD2C9"/>
              <w:right w:val="single" w:sz="8" w:color="auto"/>
            </w:tcBorders>
            <w:gridSpan w:val="2"/>
            <w:shd w:val="clear" w:color="auto" w:fill="2AD2C9"/>
          </w:tcPr>
          <w:p>
            <w:pPr>
              <w:ind w:left="20"/>
              <w:spacing w:after="0" w:line="168" w:lineRule="exact"/>
              <w:rPr>
                <w:sz w:val="20"/>
                <w:szCs w:val="20"/>
                <w:color w:val="auto"/>
              </w:rPr>
            </w:pPr>
            <w:r>
              <w:rPr>
                <w:rFonts w:ascii="Arial" w:cs="Arial" w:eastAsia="Arial" w:hAnsi="Arial"/>
                <w:sz w:val="16"/>
                <w:szCs w:val="16"/>
                <w:b w:val="1"/>
                <w:bCs w:val="1"/>
                <w:color w:val="FFFFFF"/>
              </w:rPr>
              <w:t>Interest Earning Assets</w:t>
            </w:r>
          </w:p>
        </w:tc>
        <w:tc>
          <w:tcPr>
            <w:tcW w:w="1200" w:type="dxa"/>
            <w:vAlign w:val="bottom"/>
            <w:tcBorders>
              <w:top w:val="single" w:sz="8" w:color="auto"/>
              <w:bottom w:val="single" w:sz="8" w:color="2AD2C9"/>
            </w:tcBorders>
            <w:shd w:val="clear" w:color="auto" w:fill="2AD2C9"/>
          </w:tcPr>
          <w:p>
            <w:pPr>
              <w:spacing w:after="0"/>
              <w:rPr>
                <w:sz w:val="14"/>
                <w:szCs w:val="14"/>
                <w:color w:val="auto"/>
              </w:rPr>
            </w:pPr>
          </w:p>
        </w:tc>
        <w:tc>
          <w:tcPr>
            <w:tcW w:w="1220" w:type="dxa"/>
            <w:vAlign w:val="bottom"/>
            <w:tcBorders>
              <w:top w:val="single" w:sz="8" w:color="auto"/>
              <w:bottom w:val="single" w:sz="8" w:color="2AD2C9"/>
            </w:tcBorders>
            <w:shd w:val="clear" w:color="auto" w:fill="2AD2C9"/>
          </w:tcPr>
          <w:p>
            <w:pPr>
              <w:jc w:val="center"/>
              <w:spacing w:after="0" w:line="168" w:lineRule="exact"/>
              <w:rPr>
                <w:sz w:val="20"/>
                <w:szCs w:val="20"/>
                <w:color w:val="auto"/>
              </w:rPr>
            </w:pPr>
            <w:r>
              <w:rPr>
                <w:rFonts w:ascii="Arial" w:cs="Arial" w:eastAsia="Arial" w:hAnsi="Arial"/>
                <w:sz w:val="16"/>
                <w:szCs w:val="16"/>
                <w:b w:val="1"/>
                <w:bCs w:val="1"/>
                <w:color w:val="FFFFFF"/>
              </w:rPr>
              <w:t>As of</w:t>
            </w:r>
          </w:p>
        </w:tc>
        <w:tc>
          <w:tcPr>
            <w:tcW w:w="1220" w:type="dxa"/>
            <w:vAlign w:val="bottom"/>
            <w:tcBorders>
              <w:top w:val="single" w:sz="8" w:color="auto"/>
              <w:bottom w:val="single" w:sz="8" w:color="2AD2C9"/>
              <w:right w:val="single" w:sz="8" w:color="auto"/>
            </w:tcBorders>
            <w:shd w:val="clear" w:color="auto" w:fill="2AD2C9"/>
          </w:tcPr>
          <w:p>
            <w:pPr>
              <w:spacing w:after="0"/>
              <w:rPr>
                <w:sz w:val="14"/>
                <w:szCs w:val="14"/>
                <w:color w:val="auto"/>
              </w:rPr>
            </w:pPr>
          </w:p>
        </w:tc>
        <w:tc>
          <w:tcPr>
            <w:tcW w:w="2220" w:type="dxa"/>
            <w:vAlign w:val="bottom"/>
            <w:tcBorders>
              <w:top w:val="single" w:sz="8" w:color="auto"/>
              <w:bottom w:val="single" w:sz="8" w:color="2AD2C9"/>
              <w:right w:val="single" w:sz="8" w:color="auto"/>
            </w:tcBorders>
            <w:gridSpan w:val="2"/>
            <w:shd w:val="clear" w:color="auto" w:fill="2AD2C9"/>
          </w:tcPr>
          <w:p>
            <w:pPr>
              <w:ind w:left="720"/>
              <w:spacing w:after="0" w:line="168" w:lineRule="exact"/>
              <w:rPr>
                <w:sz w:val="20"/>
                <w:szCs w:val="20"/>
                <w:color w:val="auto"/>
              </w:rPr>
            </w:pPr>
            <w:r>
              <w:rPr>
                <w:rFonts w:ascii="Arial" w:cs="Arial" w:eastAsia="Arial" w:hAnsi="Arial"/>
                <w:sz w:val="16"/>
                <w:szCs w:val="16"/>
                <w:b w:val="1"/>
                <w:bCs w:val="1"/>
                <w:color w:val="FFFFFF"/>
              </w:rPr>
              <w:t>% change</w:t>
            </w:r>
          </w:p>
        </w:tc>
      </w:tr>
      <w:tr>
        <w:trPr>
          <w:trHeight w:val="185"/>
        </w:trPr>
        <w:tc>
          <w:tcPr>
            <w:tcW w:w="440" w:type="dxa"/>
            <w:vAlign w:val="bottom"/>
            <w:tcBorders>
              <w:left w:val="single" w:sz="8" w:color="auto"/>
              <w:bottom w:val="single" w:sz="8" w:color="auto"/>
            </w:tcBorders>
            <w:shd w:val="clear" w:color="auto" w:fill="33CCCC"/>
          </w:tcPr>
          <w:p>
            <w:pPr>
              <w:ind w:left="20"/>
              <w:spacing w:after="0"/>
              <w:rPr>
                <w:sz w:val="20"/>
                <w:szCs w:val="20"/>
                <w:color w:val="auto"/>
              </w:rPr>
            </w:pPr>
            <w:r>
              <w:rPr>
                <w:rFonts w:ascii="Arial" w:cs="Arial" w:eastAsia="Arial" w:hAnsi="Arial"/>
                <w:sz w:val="16"/>
                <w:szCs w:val="16"/>
                <w:b w:val="1"/>
                <w:bCs w:val="1"/>
                <w:color w:val="FFFFFF"/>
                <w:w w:val="95"/>
                <w:shd w:val="clear" w:color="auto" w:fill="33CCCC"/>
              </w:rPr>
              <w:t>S/000</w:t>
            </w:r>
          </w:p>
        </w:tc>
        <w:tc>
          <w:tcPr>
            <w:tcW w:w="4960" w:type="dxa"/>
            <w:vAlign w:val="bottom"/>
            <w:tcBorders>
              <w:bottom w:val="single" w:sz="8" w:color="auto"/>
              <w:right w:val="single" w:sz="8" w:color="auto"/>
            </w:tcBorders>
            <w:shd w:val="clear" w:color="auto" w:fill="2AD2C9"/>
          </w:tcPr>
          <w:p>
            <w:pPr>
              <w:spacing w:after="0"/>
              <w:rPr>
                <w:sz w:val="16"/>
                <w:szCs w:val="16"/>
                <w:color w:val="auto"/>
              </w:rPr>
            </w:pPr>
          </w:p>
        </w:tc>
        <w:tc>
          <w:tcPr>
            <w:tcW w:w="1200" w:type="dxa"/>
            <w:vAlign w:val="bottom"/>
            <w:tcBorders>
              <w:bottom w:val="single" w:sz="8" w:color="auto"/>
            </w:tcBorders>
            <w:shd w:val="clear" w:color="auto" w:fill="2AD2C9"/>
          </w:tcPr>
          <w:p>
            <w:pPr>
              <w:ind w:left="320"/>
              <w:spacing w:after="0"/>
              <w:rPr>
                <w:sz w:val="20"/>
                <w:szCs w:val="20"/>
                <w:color w:val="auto"/>
              </w:rPr>
            </w:pPr>
            <w:r>
              <w:rPr>
                <w:rFonts w:ascii="Arial" w:cs="Arial" w:eastAsia="Arial" w:hAnsi="Arial"/>
                <w:sz w:val="16"/>
                <w:szCs w:val="16"/>
                <w:b w:val="1"/>
                <w:bCs w:val="1"/>
                <w:color w:val="FFFFFF"/>
              </w:rPr>
              <w:t>Sep 22</w:t>
            </w:r>
          </w:p>
        </w:tc>
        <w:tc>
          <w:tcPr>
            <w:tcW w:w="122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6"/>
                <w:szCs w:val="16"/>
                <w:b w:val="1"/>
                <w:bCs w:val="1"/>
                <w:color w:val="FFFFFF"/>
              </w:rPr>
              <w:t>Jun 23</w:t>
            </w:r>
          </w:p>
        </w:tc>
        <w:tc>
          <w:tcPr>
            <w:tcW w:w="1220" w:type="dxa"/>
            <w:vAlign w:val="bottom"/>
            <w:tcBorders>
              <w:bottom w:val="single" w:sz="8" w:color="auto"/>
              <w:right w:val="single" w:sz="8" w:color="auto"/>
            </w:tcBorders>
            <w:shd w:val="clear" w:color="auto" w:fill="2AD2C9"/>
          </w:tcPr>
          <w:p>
            <w:pPr>
              <w:ind w:left="340"/>
              <w:spacing w:after="0"/>
              <w:rPr>
                <w:sz w:val="20"/>
                <w:szCs w:val="20"/>
                <w:color w:val="auto"/>
              </w:rPr>
            </w:pPr>
            <w:r>
              <w:rPr>
                <w:rFonts w:ascii="Arial" w:cs="Arial" w:eastAsia="Arial" w:hAnsi="Arial"/>
                <w:sz w:val="16"/>
                <w:szCs w:val="16"/>
                <w:b w:val="1"/>
                <w:bCs w:val="1"/>
                <w:color w:val="FFFFFF"/>
              </w:rPr>
              <w:t>Sep 23</w:t>
            </w:r>
          </w:p>
        </w:tc>
        <w:tc>
          <w:tcPr>
            <w:tcW w:w="1100" w:type="dxa"/>
            <w:vAlign w:val="bottom"/>
            <w:tcBorders>
              <w:bottom w:val="single" w:sz="8" w:color="auto"/>
            </w:tcBorders>
            <w:shd w:val="clear" w:color="auto" w:fill="2AD2C9"/>
          </w:tcPr>
          <w:p>
            <w:pPr>
              <w:ind w:left="380"/>
              <w:spacing w:after="0"/>
              <w:rPr>
                <w:sz w:val="20"/>
                <w:szCs w:val="20"/>
                <w:color w:val="auto"/>
              </w:rPr>
            </w:pPr>
            <w:r>
              <w:rPr>
                <w:rFonts w:ascii="Arial" w:cs="Arial" w:eastAsia="Arial" w:hAnsi="Arial"/>
                <w:sz w:val="16"/>
                <w:szCs w:val="16"/>
                <w:b w:val="1"/>
                <w:bCs w:val="1"/>
                <w:color w:val="FFFFFF"/>
              </w:rPr>
              <w:t>QoQ</w:t>
            </w:r>
          </w:p>
        </w:tc>
        <w:tc>
          <w:tcPr>
            <w:tcW w:w="1120" w:type="dxa"/>
            <w:vAlign w:val="bottom"/>
            <w:tcBorders>
              <w:bottom w:val="single" w:sz="8" w:color="auto"/>
              <w:right w:val="single" w:sz="8" w:color="auto"/>
            </w:tcBorders>
            <w:shd w:val="clear" w:color="auto" w:fill="2AD2C9"/>
          </w:tcPr>
          <w:p>
            <w:pPr>
              <w:ind w:left="400"/>
              <w:spacing w:after="0"/>
              <w:rPr>
                <w:sz w:val="20"/>
                <w:szCs w:val="20"/>
                <w:color w:val="auto"/>
              </w:rPr>
            </w:pPr>
            <w:r>
              <w:rPr>
                <w:rFonts w:ascii="Arial" w:cs="Arial" w:eastAsia="Arial" w:hAnsi="Arial"/>
                <w:sz w:val="16"/>
                <w:szCs w:val="16"/>
                <w:b w:val="1"/>
                <w:bCs w:val="1"/>
                <w:color w:val="FFFFFF"/>
              </w:rPr>
              <w:t>YoY</w:t>
            </w:r>
          </w:p>
        </w:tc>
      </w:tr>
      <w:tr>
        <w:trPr>
          <w:trHeight w:val="165"/>
        </w:trPr>
        <w:tc>
          <w:tcPr>
            <w:tcW w:w="5400" w:type="dxa"/>
            <w:vAlign w:val="bottom"/>
            <w:tcBorders>
              <w:left w:val="single" w:sz="8" w:color="auto"/>
              <w:right w:val="single" w:sz="8" w:color="auto"/>
            </w:tcBorders>
            <w:gridSpan w:val="2"/>
          </w:tcPr>
          <w:p>
            <w:pPr>
              <w:ind w:left="20"/>
              <w:spacing w:after="0" w:line="165" w:lineRule="exact"/>
              <w:rPr>
                <w:sz w:val="20"/>
                <w:szCs w:val="20"/>
                <w:color w:val="auto"/>
              </w:rPr>
            </w:pPr>
            <w:r>
              <w:rPr>
                <w:rFonts w:ascii="Arial" w:cs="Arial" w:eastAsia="Arial" w:hAnsi="Arial"/>
                <w:sz w:val="16"/>
                <w:szCs w:val="16"/>
                <w:color w:val="auto"/>
              </w:rPr>
              <w:t>Cash and due from banks</w:t>
            </w:r>
          </w:p>
        </w:tc>
        <w:tc>
          <w:tcPr>
            <w:tcW w:w="1200" w:type="dxa"/>
            <w:vAlign w:val="bottom"/>
          </w:tcPr>
          <w:p>
            <w:pPr>
              <w:jc w:val="center"/>
              <w:spacing w:after="0" w:line="165" w:lineRule="exact"/>
              <w:rPr>
                <w:sz w:val="20"/>
                <w:szCs w:val="20"/>
                <w:color w:val="auto"/>
              </w:rPr>
            </w:pPr>
            <w:r>
              <w:rPr>
                <w:rFonts w:ascii="Arial" w:cs="Arial" w:eastAsia="Arial" w:hAnsi="Arial"/>
                <w:sz w:val="16"/>
                <w:szCs w:val="16"/>
                <w:color w:val="auto"/>
              </w:rPr>
              <w:t>29,330,082</w:t>
            </w:r>
          </w:p>
        </w:tc>
        <w:tc>
          <w:tcPr>
            <w:tcW w:w="1220" w:type="dxa"/>
            <w:vAlign w:val="bottom"/>
          </w:tcPr>
          <w:p>
            <w:pPr>
              <w:jc w:val="center"/>
              <w:spacing w:after="0" w:line="165" w:lineRule="exact"/>
              <w:rPr>
                <w:sz w:val="20"/>
                <w:szCs w:val="20"/>
                <w:color w:val="auto"/>
              </w:rPr>
            </w:pPr>
            <w:r>
              <w:rPr>
                <w:rFonts w:ascii="Arial" w:cs="Arial" w:eastAsia="Arial" w:hAnsi="Arial"/>
                <w:sz w:val="16"/>
                <w:szCs w:val="16"/>
                <w:color w:val="auto"/>
              </w:rPr>
              <w:t>26,036,894</w:t>
            </w:r>
          </w:p>
        </w:tc>
        <w:tc>
          <w:tcPr>
            <w:tcW w:w="122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6"/>
                <w:szCs w:val="16"/>
                <w:color w:val="auto"/>
              </w:rPr>
              <w:t>24,907,836</w:t>
            </w:r>
          </w:p>
        </w:tc>
        <w:tc>
          <w:tcPr>
            <w:tcW w:w="1100" w:type="dxa"/>
            <w:vAlign w:val="bottom"/>
          </w:tcPr>
          <w:p>
            <w:pPr>
              <w:jc w:val="center"/>
              <w:spacing w:after="0" w:line="165" w:lineRule="exact"/>
              <w:rPr>
                <w:sz w:val="20"/>
                <w:szCs w:val="20"/>
                <w:color w:val="auto"/>
              </w:rPr>
            </w:pPr>
            <w:r>
              <w:rPr>
                <w:rFonts w:ascii="Arial" w:cs="Arial" w:eastAsia="Arial" w:hAnsi="Arial"/>
                <w:sz w:val="16"/>
                <w:szCs w:val="16"/>
                <w:color w:val="auto"/>
              </w:rPr>
              <w:t>-4.3%</w:t>
            </w:r>
          </w:p>
        </w:tc>
        <w:tc>
          <w:tcPr>
            <w:tcW w:w="112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6"/>
                <w:szCs w:val="16"/>
                <w:color w:val="auto"/>
              </w:rPr>
              <w:t>-15.1%</w:t>
            </w:r>
          </w:p>
        </w:tc>
      </w:tr>
      <w:tr>
        <w:trPr>
          <w:trHeight w:val="185"/>
        </w:trPr>
        <w:tc>
          <w:tcPr>
            <w:tcW w:w="540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Total investments</w:t>
            </w:r>
          </w:p>
        </w:tc>
        <w:tc>
          <w:tcPr>
            <w:tcW w:w="1200" w:type="dxa"/>
            <w:vAlign w:val="bottom"/>
          </w:tcPr>
          <w:p>
            <w:pPr>
              <w:jc w:val="center"/>
              <w:spacing w:after="0"/>
              <w:rPr>
                <w:sz w:val="20"/>
                <w:szCs w:val="20"/>
                <w:color w:val="auto"/>
              </w:rPr>
            </w:pPr>
            <w:r>
              <w:rPr>
                <w:rFonts w:ascii="Arial" w:cs="Arial" w:eastAsia="Arial" w:hAnsi="Arial"/>
                <w:sz w:val="16"/>
                <w:szCs w:val="16"/>
                <w:color w:val="auto"/>
              </w:rPr>
              <w:t>46,843,270</w:t>
            </w:r>
          </w:p>
        </w:tc>
        <w:tc>
          <w:tcPr>
            <w:tcW w:w="1220" w:type="dxa"/>
            <w:vAlign w:val="bottom"/>
          </w:tcPr>
          <w:p>
            <w:pPr>
              <w:jc w:val="center"/>
              <w:spacing w:after="0"/>
              <w:rPr>
                <w:sz w:val="20"/>
                <w:szCs w:val="20"/>
                <w:color w:val="auto"/>
              </w:rPr>
            </w:pPr>
            <w:r>
              <w:rPr>
                <w:rFonts w:ascii="Arial" w:cs="Arial" w:eastAsia="Arial" w:hAnsi="Arial"/>
                <w:sz w:val="16"/>
                <w:szCs w:val="16"/>
                <w:color w:val="auto"/>
              </w:rPr>
              <w:t>48,035,351</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51,116,913</w:t>
            </w:r>
          </w:p>
        </w:tc>
        <w:tc>
          <w:tcPr>
            <w:tcW w:w="1100" w:type="dxa"/>
            <w:vAlign w:val="bottom"/>
          </w:tcPr>
          <w:p>
            <w:pPr>
              <w:jc w:val="center"/>
              <w:spacing w:after="0"/>
              <w:rPr>
                <w:sz w:val="20"/>
                <w:szCs w:val="20"/>
                <w:color w:val="auto"/>
              </w:rPr>
            </w:pPr>
            <w:r>
              <w:rPr>
                <w:rFonts w:ascii="Arial" w:cs="Arial" w:eastAsia="Arial" w:hAnsi="Arial"/>
                <w:sz w:val="16"/>
                <w:szCs w:val="16"/>
                <w:color w:val="auto"/>
              </w:rPr>
              <w:t>6.4%</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9.1%</w:t>
            </w:r>
          </w:p>
        </w:tc>
      </w:tr>
      <w:tr>
        <w:trPr>
          <w:trHeight w:val="185"/>
        </w:trPr>
        <w:tc>
          <w:tcPr>
            <w:tcW w:w="540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Cash collateral, reverse repurchase agreements and securities borrowing</w:t>
            </w:r>
          </w:p>
        </w:tc>
        <w:tc>
          <w:tcPr>
            <w:tcW w:w="1200" w:type="dxa"/>
            <w:vAlign w:val="bottom"/>
          </w:tcPr>
          <w:p>
            <w:pPr>
              <w:jc w:val="center"/>
              <w:spacing w:after="0"/>
              <w:rPr>
                <w:sz w:val="20"/>
                <w:szCs w:val="20"/>
                <w:color w:val="auto"/>
              </w:rPr>
            </w:pPr>
            <w:r>
              <w:rPr>
                <w:rFonts w:ascii="Arial" w:cs="Arial" w:eastAsia="Arial" w:hAnsi="Arial"/>
                <w:sz w:val="16"/>
                <w:szCs w:val="16"/>
                <w:color w:val="auto"/>
              </w:rPr>
              <w:t>1,586,967</w:t>
            </w:r>
          </w:p>
        </w:tc>
        <w:tc>
          <w:tcPr>
            <w:tcW w:w="1220" w:type="dxa"/>
            <w:vAlign w:val="bottom"/>
          </w:tcPr>
          <w:p>
            <w:pPr>
              <w:jc w:val="center"/>
              <w:spacing w:after="0"/>
              <w:rPr>
                <w:sz w:val="20"/>
                <w:szCs w:val="20"/>
                <w:color w:val="auto"/>
              </w:rPr>
            </w:pPr>
            <w:r>
              <w:rPr>
                <w:rFonts w:ascii="Arial" w:cs="Arial" w:eastAsia="Arial" w:hAnsi="Arial"/>
                <w:sz w:val="16"/>
                <w:szCs w:val="16"/>
                <w:color w:val="auto"/>
              </w:rPr>
              <w:t>1,863,243</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1,513,622</w:t>
            </w:r>
          </w:p>
        </w:tc>
        <w:tc>
          <w:tcPr>
            <w:tcW w:w="1100" w:type="dxa"/>
            <w:vAlign w:val="bottom"/>
          </w:tcPr>
          <w:p>
            <w:pPr>
              <w:jc w:val="center"/>
              <w:spacing w:after="0"/>
              <w:rPr>
                <w:sz w:val="20"/>
                <w:szCs w:val="20"/>
                <w:color w:val="auto"/>
              </w:rPr>
            </w:pPr>
            <w:r>
              <w:rPr>
                <w:rFonts w:ascii="Arial" w:cs="Arial" w:eastAsia="Arial" w:hAnsi="Arial"/>
                <w:sz w:val="16"/>
                <w:szCs w:val="16"/>
                <w:color w:val="auto"/>
              </w:rPr>
              <w:t>-18.8%</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-4.6%</w:t>
            </w:r>
          </w:p>
        </w:tc>
      </w:tr>
      <w:tr>
        <w:trPr>
          <w:trHeight w:val="211"/>
        </w:trPr>
        <w:tc>
          <w:tcPr>
            <w:tcW w:w="54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Total loans</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151,392,202</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142,845,549</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145,129,260</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1.6%</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-4.1%</w:t>
            </w:r>
          </w:p>
        </w:tc>
      </w:tr>
      <w:tr>
        <w:trPr>
          <w:trHeight w:val="178"/>
        </w:trPr>
        <w:tc>
          <w:tcPr>
            <w:tcW w:w="5400" w:type="dxa"/>
            <w:vAlign w:val="bottom"/>
            <w:tcBorders>
              <w:left w:val="single" w:sz="8" w:color="auto"/>
              <w:bottom w:val="single" w:sz="8" w:color="auto"/>
              <w:right w:val="single" w:sz="8" w:color="auto"/>
            </w:tcBorders>
            <w:gridSpan w:val="2"/>
          </w:tcPr>
          <w:p>
            <w:pPr>
              <w:ind w:left="20"/>
              <w:spacing w:after="0" w:line="178" w:lineRule="exact"/>
              <w:rPr>
                <w:sz w:val="20"/>
                <w:szCs w:val="20"/>
                <w:color w:val="auto"/>
              </w:rPr>
            </w:pPr>
            <w:r>
              <w:rPr>
                <w:rFonts w:ascii="Arial" w:cs="Arial" w:eastAsia="Arial" w:hAnsi="Arial"/>
                <w:sz w:val="16"/>
                <w:szCs w:val="16"/>
                <w:b w:val="1"/>
                <w:bCs w:val="1"/>
                <w:color w:val="auto"/>
              </w:rPr>
              <w:t>Total interest earning assets</w:t>
            </w:r>
          </w:p>
        </w:tc>
        <w:tc>
          <w:tcPr>
            <w:tcW w:w="1200" w:type="dxa"/>
            <w:vAlign w:val="bottom"/>
            <w:tcBorders>
              <w:bottom w:val="single" w:sz="8" w:color="auto"/>
            </w:tcBorders>
          </w:tcPr>
          <w:p>
            <w:pPr>
              <w:jc w:val="center"/>
              <w:spacing w:after="0" w:line="178" w:lineRule="exact"/>
              <w:rPr>
                <w:sz w:val="20"/>
                <w:szCs w:val="20"/>
                <w:color w:val="auto"/>
              </w:rPr>
            </w:pPr>
            <w:r>
              <w:rPr>
                <w:rFonts w:ascii="Arial" w:cs="Arial" w:eastAsia="Arial" w:hAnsi="Arial"/>
                <w:sz w:val="16"/>
                <w:szCs w:val="16"/>
                <w:b w:val="1"/>
                <w:bCs w:val="1"/>
                <w:color w:val="auto"/>
              </w:rPr>
              <w:t>229,152,521</w:t>
            </w:r>
          </w:p>
        </w:tc>
        <w:tc>
          <w:tcPr>
            <w:tcW w:w="1220" w:type="dxa"/>
            <w:vAlign w:val="bottom"/>
            <w:tcBorders>
              <w:bottom w:val="single" w:sz="8" w:color="auto"/>
            </w:tcBorders>
          </w:tcPr>
          <w:p>
            <w:pPr>
              <w:jc w:val="center"/>
              <w:spacing w:after="0" w:line="178" w:lineRule="exact"/>
              <w:rPr>
                <w:sz w:val="20"/>
                <w:szCs w:val="20"/>
                <w:color w:val="auto"/>
              </w:rPr>
            </w:pPr>
            <w:r>
              <w:rPr>
                <w:rFonts w:ascii="Arial" w:cs="Arial" w:eastAsia="Arial" w:hAnsi="Arial"/>
                <w:sz w:val="16"/>
                <w:szCs w:val="16"/>
                <w:b w:val="1"/>
                <w:bCs w:val="1"/>
                <w:color w:val="auto"/>
              </w:rPr>
              <w:t>218,781,037</w:t>
            </w:r>
          </w:p>
        </w:tc>
        <w:tc>
          <w:tcPr>
            <w:tcW w:w="1220" w:type="dxa"/>
            <w:vAlign w:val="bottom"/>
            <w:tcBorders>
              <w:bottom w:val="single" w:sz="8" w:color="auto"/>
              <w:right w:val="single" w:sz="8" w:color="auto"/>
            </w:tcBorders>
          </w:tcPr>
          <w:p>
            <w:pPr>
              <w:jc w:val="center"/>
              <w:spacing w:after="0" w:line="178" w:lineRule="exact"/>
              <w:rPr>
                <w:sz w:val="20"/>
                <w:szCs w:val="20"/>
                <w:color w:val="auto"/>
              </w:rPr>
            </w:pPr>
            <w:r>
              <w:rPr>
                <w:rFonts w:ascii="Arial" w:cs="Arial" w:eastAsia="Arial" w:hAnsi="Arial"/>
                <w:sz w:val="16"/>
                <w:szCs w:val="16"/>
                <w:b w:val="1"/>
                <w:bCs w:val="1"/>
                <w:color w:val="auto"/>
              </w:rPr>
              <w:t>222,667,631</w:t>
            </w:r>
          </w:p>
        </w:tc>
        <w:tc>
          <w:tcPr>
            <w:tcW w:w="1100" w:type="dxa"/>
            <w:vAlign w:val="bottom"/>
            <w:tcBorders>
              <w:bottom w:val="single" w:sz="8" w:color="auto"/>
            </w:tcBorders>
          </w:tcPr>
          <w:p>
            <w:pPr>
              <w:jc w:val="center"/>
              <w:spacing w:after="0" w:line="178" w:lineRule="exact"/>
              <w:rPr>
                <w:sz w:val="20"/>
                <w:szCs w:val="20"/>
                <w:color w:val="auto"/>
              </w:rPr>
            </w:pPr>
            <w:r>
              <w:rPr>
                <w:rFonts w:ascii="Arial" w:cs="Arial" w:eastAsia="Arial" w:hAnsi="Arial"/>
                <w:sz w:val="16"/>
                <w:szCs w:val="16"/>
                <w:b w:val="1"/>
                <w:bCs w:val="1"/>
                <w:color w:val="auto"/>
              </w:rPr>
              <w:t>1.8%</w:t>
            </w:r>
          </w:p>
        </w:tc>
        <w:tc>
          <w:tcPr>
            <w:tcW w:w="1120" w:type="dxa"/>
            <w:vAlign w:val="bottom"/>
            <w:tcBorders>
              <w:bottom w:val="single" w:sz="8" w:color="auto"/>
              <w:right w:val="single" w:sz="8" w:color="auto"/>
            </w:tcBorders>
          </w:tcPr>
          <w:p>
            <w:pPr>
              <w:jc w:val="center"/>
              <w:spacing w:after="0" w:line="178" w:lineRule="exact"/>
              <w:rPr>
                <w:sz w:val="20"/>
                <w:szCs w:val="20"/>
                <w:color w:val="auto"/>
              </w:rPr>
            </w:pPr>
            <w:r>
              <w:rPr>
                <w:rFonts w:ascii="Arial" w:cs="Arial" w:eastAsia="Arial" w:hAnsi="Arial"/>
                <w:sz w:val="16"/>
                <w:szCs w:val="16"/>
                <w:b w:val="1"/>
                <w:bCs w:val="1"/>
                <w:color w:val="auto"/>
              </w:rPr>
              <w:t>-2.8%</w:t>
            </w:r>
          </w:p>
        </w:tc>
      </w:tr>
    </w:tbl>
    <w:p>
      <w:pPr>
        <w:spacing w:after="0" w:line="173" w:lineRule="exact"/>
        <w:rPr>
          <w:sz w:val="20"/>
          <w:szCs w:val="20"/>
          <w:color w:val="auto"/>
        </w:rPr>
      </w:pPr>
    </w:p>
    <w:p>
      <w:pPr>
        <w:jc w:val="both"/>
        <w:ind w:left="1"/>
        <w:spacing w:after="0" w:line="274" w:lineRule="auto"/>
        <w:rPr>
          <w:sz w:val="20"/>
          <w:szCs w:val="20"/>
          <w:color w:val="auto"/>
        </w:rPr>
      </w:pPr>
      <w:r>
        <w:rPr>
          <w:rFonts w:ascii="Arial" w:cs="Arial" w:eastAsia="Arial" w:hAnsi="Arial"/>
          <w:sz w:val="16"/>
          <w:szCs w:val="16"/>
          <w:color w:val="auto"/>
        </w:rPr>
        <w:t>QoQ, IEAs rose 1.8% mainly driven by growth in investments in government securities. During the same period, Loans also registered an uptick. This increase recorded in IEAs was partially offset by a reduction in the balance of Cash and due from banks.</w:t>
      </w:r>
    </w:p>
    <w:p>
      <w:pPr>
        <w:spacing w:after="0" w:line="136" w:lineRule="exact"/>
        <w:rPr>
          <w:sz w:val="20"/>
          <w:szCs w:val="20"/>
          <w:color w:val="auto"/>
        </w:rPr>
      </w:pPr>
    </w:p>
    <w:p>
      <w:pPr>
        <w:jc w:val="both"/>
        <w:ind w:left="1"/>
        <w:spacing w:after="0" w:line="258" w:lineRule="auto"/>
        <w:rPr>
          <w:sz w:val="20"/>
          <w:szCs w:val="20"/>
          <w:color w:val="auto"/>
        </w:rPr>
      </w:pPr>
      <w:r>
        <w:rPr>
          <w:rFonts w:ascii="Arial" w:cs="Arial" w:eastAsia="Arial" w:hAnsi="Arial"/>
          <w:sz w:val="16"/>
          <w:szCs w:val="16"/>
          <w:color w:val="auto"/>
        </w:rPr>
        <w:t>An uptick in the investment balance (+6.4%) was fueled by: i) moves to capitalize on surpluses via BCRP certificates of deposit and ii) purchases of Sovereign Bonds in anticipation of lower rates moving forward. The Loan balance rose this quarter, driven by growth in structural loans, which was concentrated in SME-Pyme.</w:t>
      </w:r>
    </w:p>
    <w:p>
      <w:pPr>
        <w:spacing w:after="0" w:line="136" w:lineRule="exact"/>
        <w:rPr>
          <w:sz w:val="20"/>
          <w:szCs w:val="20"/>
          <w:color w:val="auto"/>
        </w:rPr>
      </w:pPr>
    </w:p>
    <w:p>
      <w:pPr>
        <w:jc w:val="both"/>
        <w:ind w:left="1"/>
        <w:spacing w:after="0" w:line="258" w:lineRule="auto"/>
        <w:rPr>
          <w:sz w:val="20"/>
          <w:szCs w:val="20"/>
          <w:color w:val="auto"/>
        </w:rPr>
      </w:pPr>
      <w:r>
        <w:rPr>
          <w:rFonts w:ascii="Arial" w:cs="Arial" w:eastAsia="Arial" w:hAnsi="Arial"/>
          <w:sz w:val="16"/>
          <w:szCs w:val="16"/>
          <w:color w:val="auto"/>
        </w:rPr>
        <w:t>YoY, IEAs registered a 2.8% decline, fueled by a drop in loans over the last 12 months and by a reduction in the balance of Cash and due from banks. The YoY loan balance reflects the impact of amortizations of Government Programs loans (GP). Cash and due from banks, in turn, dropped 15.1% due to a reduction in the deposit balance in the BCRP account. Both of these dynamics were partially offset by a higher balance of Total investments.</w:t>
      </w:r>
    </w:p>
    <w:p>
      <w:pPr>
        <w:spacing w:after="0" w:line="120"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3.2. Funding</w:t>
      </w:r>
      <w:r>
        <w:rPr>
          <w:rFonts w:ascii="Arial" w:cs="Arial" w:eastAsia="Arial" w:hAnsi="Arial"/>
          <w:sz w:val="27"/>
          <w:szCs w:val="27"/>
          <w:b w:val="1"/>
          <w:bCs w:val="1"/>
          <w:color w:val="auto"/>
          <w:vertAlign w:val="superscript"/>
        </w:rPr>
        <w:t>2</w:t>
      </w:r>
    </w:p>
    <w:p>
      <w:pPr>
        <w:spacing w:after="0" w:line="66" w:lineRule="exact"/>
        <w:rPr>
          <w:sz w:val="20"/>
          <w:szCs w:val="20"/>
          <w:color w:val="auto"/>
        </w:rPr>
      </w:pPr>
    </w:p>
    <w:tbl>
      <w:tblPr>
        <w:tblLayout w:type="fixed"/>
        <w:tblInd w:w="11" w:type="dxa"/>
        <w:tblCellMar>
          <w:top w:w="0" w:type="dxa"/>
          <w:left w:w="0" w:type="dxa"/>
          <w:bottom w:w="0" w:type="dxa"/>
          <w:right w:w="0" w:type="dxa"/>
        </w:tblCellMar>
      </w:tblPr>
      <w:tr>
        <w:trPr>
          <w:trHeight w:val="169"/>
        </w:trPr>
        <w:tc>
          <w:tcPr>
            <w:tcW w:w="5340" w:type="dxa"/>
            <w:vAlign w:val="bottom"/>
            <w:tcBorders>
              <w:top w:val="single" w:sz="8" w:color="auto"/>
              <w:left w:val="single" w:sz="8" w:color="auto"/>
              <w:bottom w:val="single" w:sz="8" w:color="2AD2C9"/>
              <w:right w:val="single" w:sz="8" w:color="auto"/>
            </w:tcBorders>
            <w:gridSpan w:val="2"/>
            <w:shd w:val="clear" w:color="auto" w:fill="2AD2C9"/>
          </w:tcPr>
          <w:p>
            <w:pPr>
              <w:ind w:left="20"/>
              <w:spacing w:after="0" w:line="168" w:lineRule="exact"/>
              <w:rPr>
                <w:sz w:val="20"/>
                <w:szCs w:val="20"/>
                <w:color w:val="auto"/>
              </w:rPr>
            </w:pPr>
            <w:r>
              <w:rPr>
                <w:rFonts w:ascii="Arial" w:cs="Arial" w:eastAsia="Arial" w:hAnsi="Arial"/>
                <w:sz w:val="16"/>
                <w:szCs w:val="16"/>
                <w:b w:val="1"/>
                <w:bCs w:val="1"/>
                <w:color w:val="FFFFFF"/>
              </w:rPr>
              <w:t>Funding</w:t>
            </w:r>
          </w:p>
        </w:tc>
        <w:tc>
          <w:tcPr>
            <w:tcW w:w="1380" w:type="dxa"/>
            <w:vAlign w:val="bottom"/>
            <w:tcBorders>
              <w:top w:val="single" w:sz="8" w:color="auto"/>
              <w:bottom w:val="single" w:sz="8" w:color="2AD2C9"/>
            </w:tcBorders>
            <w:shd w:val="clear" w:color="auto" w:fill="2AD2C9"/>
          </w:tcPr>
          <w:p>
            <w:pPr>
              <w:spacing w:after="0"/>
              <w:rPr>
                <w:sz w:val="14"/>
                <w:szCs w:val="14"/>
                <w:color w:val="auto"/>
              </w:rPr>
            </w:pPr>
          </w:p>
        </w:tc>
        <w:tc>
          <w:tcPr>
            <w:tcW w:w="1220" w:type="dxa"/>
            <w:vAlign w:val="bottom"/>
            <w:tcBorders>
              <w:top w:val="single" w:sz="8" w:color="auto"/>
              <w:bottom w:val="single" w:sz="8" w:color="2AD2C9"/>
            </w:tcBorders>
            <w:shd w:val="clear" w:color="auto" w:fill="2AD2C9"/>
          </w:tcPr>
          <w:p>
            <w:pPr>
              <w:jc w:val="right"/>
              <w:ind w:right="478"/>
              <w:spacing w:after="0" w:line="168" w:lineRule="exact"/>
              <w:rPr>
                <w:sz w:val="20"/>
                <w:szCs w:val="20"/>
                <w:color w:val="auto"/>
              </w:rPr>
            </w:pPr>
            <w:r>
              <w:rPr>
                <w:rFonts w:ascii="Arial" w:cs="Arial" w:eastAsia="Arial" w:hAnsi="Arial"/>
                <w:sz w:val="16"/>
                <w:szCs w:val="16"/>
                <w:b w:val="1"/>
                <w:bCs w:val="1"/>
                <w:color w:val="FFFFFF"/>
              </w:rPr>
              <w:t>As of</w:t>
            </w:r>
          </w:p>
        </w:tc>
        <w:tc>
          <w:tcPr>
            <w:tcW w:w="1100" w:type="dxa"/>
            <w:vAlign w:val="bottom"/>
            <w:tcBorders>
              <w:top w:val="single" w:sz="8" w:color="auto"/>
              <w:bottom w:val="single" w:sz="8" w:color="2AD2C9"/>
              <w:right w:val="single" w:sz="8" w:color="auto"/>
            </w:tcBorders>
            <w:shd w:val="clear" w:color="auto" w:fill="2AD2C9"/>
          </w:tcPr>
          <w:p>
            <w:pPr>
              <w:spacing w:after="0"/>
              <w:rPr>
                <w:sz w:val="14"/>
                <w:szCs w:val="14"/>
                <w:color w:val="auto"/>
              </w:rPr>
            </w:pPr>
          </w:p>
        </w:tc>
        <w:tc>
          <w:tcPr>
            <w:tcW w:w="2220" w:type="dxa"/>
            <w:vAlign w:val="bottom"/>
            <w:tcBorders>
              <w:top w:val="single" w:sz="8" w:color="auto"/>
              <w:bottom w:val="single" w:sz="8" w:color="2AD2C9"/>
              <w:right w:val="single" w:sz="8" w:color="auto"/>
            </w:tcBorders>
            <w:gridSpan w:val="2"/>
            <w:shd w:val="clear" w:color="auto" w:fill="2AD2C9"/>
          </w:tcPr>
          <w:p>
            <w:pPr>
              <w:ind w:left="700"/>
              <w:spacing w:after="0" w:line="168" w:lineRule="exact"/>
              <w:rPr>
                <w:sz w:val="20"/>
                <w:szCs w:val="20"/>
                <w:color w:val="auto"/>
              </w:rPr>
            </w:pPr>
            <w:r>
              <w:rPr>
                <w:rFonts w:ascii="Arial" w:cs="Arial" w:eastAsia="Arial" w:hAnsi="Arial"/>
                <w:sz w:val="16"/>
                <w:szCs w:val="16"/>
                <w:b w:val="1"/>
                <w:bCs w:val="1"/>
                <w:color w:val="FFFFFF"/>
              </w:rPr>
              <w:t>% change</w:t>
            </w:r>
          </w:p>
        </w:tc>
      </w:tr>
      <w:tr>
        <w:trPr>
          <w:trHeight w:val="185"/>
        </w:trPr>
        <w:tc>
          <w:tcPr>
            <w:tcW w:w="440" w:type="dxa"/>
            <w:vAlign w:val="bottom"/>
            <w:tcBorders>
              <w:left w:val="single" w:sz="8" w:color="auto"/>
              <w:bottom w:val="single" w:sz="8" w:color="auto"/>
            </w:tcBorders>
            <w:shd w:val="clear" w:color="auto" w:fill="33CCCC"/>
          </w:tcPr>
          <w:p>
            <w:pPr>
              <w:ind w:left="20"/>
              <w:spacing w:after="0"/>
              <w:rPr>
                <w:sz w:val="20"/>
                <w:szCs w:val="20"/>
                <w:color w:val="auto"/>
              </w:rPr>
            </w:pPr>
            <w:r>
              <w:rPr>
                <w:rFonts w:ascii="Arial" w:cs="Arial" w:eastAsia="Arial" w:hAnsi="Arial"/>
                <w:sz w:val="16"/>
                <w:szCs w:val="16"/>
                <w:b w:val="1"/>
                <w:bCs w:val="1"/>
                <w:color w:val="FFFFFF"/>
                <w:w w:val="95"/>
                <w:shd w:val="clear" w:color="auto" w:fill="33CCCC"/>
              </w:rPr>
              <w:t>S/000</w:t>
            </w:r>
          </w:p>
        </w:tc>
        <w:tc>
          <w:tcPr>
            <w:tcW w:w="4900" w:type="dxa"/>
            <w:vAlign w:val="bottom"/>
            <w:tcBorders>
              <w:bottom w:val="single" w:sz="8" w:color="auto"/>
              <w:right w:val="single" w:sz="8" w:color="auto"/>
            </w:tcBorders>
            <w:shd w:val="clear" w:color="auto" w:fill="2AD2C9"/>
          </w:tcPr>
          <w:p>
            <w:pPr>
              <w:spacing w:after="0"/>
              <w:rPr>
                <w:sz w:val="16"/>
                <w:szCs w:val="16"/>
                <w:color w:val="auto"/>
              </w:rPr>
            </w:pPr>
          </w:p>
        </w:tc>
        <w:tc>
          <w:tcPr>
            <w:tcW w:w="1380" w:type="dxa"/>
            <w:vAlign w:val="bottom"/>
            <w:tcBorders>
              <w:bottom w:val="single" w:sz="8" w:color="auto"/>
            </w:tcBorders>
            <w:shd w:val="clear" w:color="auto" w:fill="2AD2C9"/>
          </w:tcPr>
          <w:p>
            <w:pPr>
              <w:jc w:val="right"/>
              <w:ind w:right="418"/>
              <w:spacing w:after="0"/>
              <w:rPr>
                <w:sz w:val="20"/>
                <w:szCs w:val="20"/>
                <w:color w:val="auto"/>
              </w:rPr>
            </w:pPr>
            <w:r>
              <w:rPr>
                <w:rFonts w:ascii="Arial" w:cs="Arial" w:eastAsia="Arial" w:hAnsi="Arial"/>
                <w:sz w:val="16"/>
                <w:szCs w:val="16"/>
                <w:b w:val="1"/>
                <w:bCs w:val="1"/>
                <w:color w:val="FFFFFF"/>
              </w:rPr>
              <w:t>Sep 22</w:t>
            </w:r>
          </w:p>
        </w:tc>
        <w:tc>
          <w:tcPr>
            <w:tcW w:w="1220" w:type="dxa"/>
            <w:vAlign w:val="bottom"/>
            <w:tcBorders>
              <w:bottom w:val="single" w:sz="8" w:color="auto"/>
            </w:tcBorders>
            <w:shd w:val="clear" w:color="auto" w:fill="2AD2C9"/>
          </w:tcPr>
          <w:p>
            <w:pPr>
              <w:jc w:val="right"/>
              <w:ind w:right="418"/>
              <w:spacing w:after="0"/>
              <w:rPr>
                <w:sz w:val="20"/>
                <w:szCs w:val="20"/>
                <w:color w:val="auto"/>
              </w:rPr>
            </w:pPr>
            <w:r>
              <w:rPr>
                <w:rFonts w:ascii="Arial" w:cs="Arial" w:eastAsia="Arial" w:hAnsi="Arial"/>
                <w:sz w:val="16"/>
                <w:szCs w:val="16"/>
                <w:b w:val="1"/>
                <w:bCs w:val="1"/>
                <w:color w:val="FFFFFF"/>
              </w:rPr>
              <w:t>Jun 23</w:t>
            </w:r>
          </w:p>
        </w:tc>
        <w:tc>
          <w:tcPr>
            <w:tcW w:w="1100" w:type="dxa"/>
            <w:vAlign w:val="bottom"/>
            <w:tcBorders>
              <w:bottom w:val="single" w:sz="8" w:color="auto"/>
              <w:right w:val="single" w:sz="8" w:color="auto"/>
            </w:tcBorders>
            <w:shd w:val="clear" w:color="auto" w:fill="2AD2C9"/>
          </w:tcPr>
          <w:p>
            <w:pPr>
              <w:jc w:val="right"/>
              <w:ind w:right="298"/>
              <w:spacing w:after="0"/>
              <w:rPr>
                <w:sz w:val="20"/>
                <w:szCs w:val="20"/>
                <w:color w:val="auto"/>
              </w:rPr>
            </w:pPr>
            <w:r>
              <w:rPr>
                <w:rFonts w:ascii="Arial" w:cs="Arial" w:eastAsia="Arial" w:hAnsi="Arial"/>
                <w:sz w:val="16"/>
                <w:szCs w:val="16"/>
                <w:b w:val="1"/>
                <w:bCs w:val="1"/>
                <w:color w:val="FFFFFF"/>
              </w:rPr>
              <w:t>Sep 23</w:t>
            </w:r>
          </w:p>
        </w:tc>
        <w:tc>
          <w:tcPr>
            <w:tcW w:w="1100" w:type="dxa"/>
            <w:vAlign w:val="bottom"/>
            <w:tcBorders>
              <w:bottom w:val="single" w:sz="8" w:color="auto"/>
            </w:tcBorders>
            <w:shd w:val="clear" w:color="auto" w:fill="2AD2C9"/>
          </w:tcPr>
          <w:p>
            <w:pPr>
              <w:ind w:left="360"/>
              <w:spacing w:after="0"/>
              <w:rPr>
                <w:sz w:val="20"/>
                <w:szCs w:val="20"/>
                <w:color w:val="auto"/>
              </w:rPr>
            </w:pPr>
            <w:r>
              <w:rPr>
                <w:rFonts w:ascii="Arial" w:cs="Arial" w:eastAsia="Arial" w:hAnsi="Arial"/>
                <w:sz w:val="16"/>
                <w:szCs w:val="16"/>
                <w:b w:val="1"/>
                <w:bCs w:val="1"/>
                <w:color w:val="FFFFFF"/>
              </w:rPr>
              <w:t>QoQ</w:t>
            </w:r>
          </w:p>
        </w:tc>
        <w:tc>
          <w:tcPr>
            <w:tcW w:w="1120" w:type="dxa"/>
            <w:vAlign w:val="bottom"/>
            <w:tcBorders>
              <w:bottom w:val="single" w:sz="8" w:color="auto"/>
              <w:right w:val="single" w:sz="8" w:color="auto"/>
            </w:tcBorders>
            <w:shd w:val="clear" w:color="auto" w:fill="2AD2C9"/>
          </w:tcPr>
          <w:p>
            <w:pPr>
              <w:ind w:left="400"/>
              <w:spacing w:after="0"/>
              <w:rPr>
                <w:sz w:val="20"/>
                <w:szCs w:val="20"/>
                <w:color w:val="auto"/>
              </w:rPr>
            </w:pPr>
            <w:r>
              <w:rPr>
                <w:rFonts w:ascii="Arial" w:cs="Arial" w:eastAsia="Arial" w:hAnsi="Arial"/>
                <w:sz w:val="16"/>
                <w:szCs w:val="16"/>
                <w:b w:val="1"/>
                <w:bCs w:val="1"/>
                <w:color w:val="FFFFFF"/>
              </w:rPr>
              <w:t>YoY</w:t>
            </w:r>
          </w:p>
        </w:tc>
      </w:tr>
      <w:tr>
        <w:trPr>
          <w:trHeight w:val="165"/>
        </w:trPr>
        <w:tc>
          <w:tcPr>
            <w:tcW w:w="5340" w:type="dxa"/>
            <w:vAlign w:val="bottom"/>
            <w:tcBorders>
              <w:left w:val="single" w:sz="8" w:color="auto"/>
              <w:right w:val="single" w:sz="8" w:color="auto"/>
            </w:tcBorders>
            <w:gridSpan w:val="2"/>
          </w:tcPr>
          <w:p>
            <w:pPr>
              <w:ind w:left="20"/>
              <w:spacing w:after="0" w:line="165" w:lineRule="exact"/>
              <w:rPr>
                <w:sz w:val="20"/>
                <w:szCs w:val="20"/>
                <w:color w:val="auto"/>
              </w:rPr>
            </w:pPr>
            <w:r>
              <w:rPr>
                <w:rFonts w:ascii="Arial" w:cs="Arial" w:eastAsia="Arial" w:hAnsi="Arial"/>
                <w:sz w:val="16"/>
                <w:szCs w:val="16"/>
                <w:color w:val="auto"/>
              </w:rPr>
              <w:t>Deposits and obligations</w:t>
            </w:r>
          </w:p>
        </w:tc>
        <w:tc>
          <w:tcPr>
            <w:tcW w:w="1380" w:type="dxa"/>
            <w:vAlign w:val="bottom"/>
          </w:tcPr>
          <w:p>
            <w:pPr>
              <w:jc w:val="right"/>
              <w:ind w:right="78"/>
              <w:spacing w:after="0" w:line="165" w:lineRule="exact"/>
              <w:rPr>
                <w:sz w:val="20"/>
                <w:szCs w:val="20"/>
                <w:color w:val="auto"/>
              </w:rPr>
            </w:pPr>
            <w:r>
              <w:rPr>
                <w:rFonts w:ascii="Arial" w:cs="Arial" w:eastAsia="Arial" w:hAnsi="Arial"/>
                <w:sz w:val="16"/>
                <w:szCs w:val="16"/>
                <w:color w:val="auto"/>
              </w:rPr>
              <w:t>152,792,014</w:t>
            </w:r>
          </w:p>
        </w:tc>
        <w:tc>
          <w:tcPr>
            <w:tcW w:w="1220" w:type="dxa"/>
            <w:vAlign w:val="bottom"/>
          </w:tcPr>
          <w:p>
            <w:pPr>
              <w:jc w:val="right"/>
              <w:ind w:right="78"/>
              <w:spacing w:after="0" w:line="165" w:lineRule="exact"/>
              <w:rPr>
                <w:sz w:val="20"/>
                <w:szCs w:val="20"/>
                <w:color w:val="auto"/>
              </w:rPr>
            </w:pPr>
            <w:r>
              <w:rPr>
                <w:rFonts w:ascii="Arial" w:cs="Arial" w:eastAsia="Arial" w:hAnsi="Arial"/>
                <w:sz w:val="16"/>
                <w:szCs w:val="16"/>
                <w:color w:val="auto"/>
              </w:rPr>
              <w:t>143,387,717</w:t>
            </w:r>
          </w:p>
        </w:tc>
        <w:tc>
          <w:tcPr>
            <w:tcW w:w="1100" w:type="dxa"/>
            <w:vAlign w:val="bottom"/>
            <w:tcBorders>
              <w:right w:val="single" w:sz="8" w:color="auto"/>
            </w:tcBorders>
          </w:tcPr>
          <w:p>
            <w:pPr>
              <w:jc w:val="right"/>
              <w:spacing w:after="0" w:line="165" w:lineRule="exact"/>
              <w:rPr>
                <w:sz w:val="20"/>
                <w:szCs w:val="20"/>
                <w:color w:val="auto"/>
              </w:rPr>
            </w:pPr>
            <w:r>
              <w:rPr>
                <w:rFonts w:ascii="Arial" w:cs="Arial" w:eastAsia="Arial" w:hAnsi="Arial"/>
                <w:sz w:val="16"/>
                <w:szCs w:val="16"/>
                <w:color w:val="auto"/>
              </w:rPr>
              <w:t>148,471,535</w:t>
            </w:r>
          </w:p>
        </w:tc>
        <w:tc>
          <w:tcPr>
            <w:tcW w:w="1100" w:type="dxa"/>
            <w:vAlign w:val="bottom"/>
          </w:tcPr>
          <w:p>
            <w:pPr>
              <w:jc w:val="center"/>
              <w:spacing w:after="0" w:line="165" w:lineRule="exact"/>
              <w:rPr>
                <w:sz w:val="20"/>
                <w:szCs w:val="20"/>
                <w:color w:val="auto"/>
              </w:rPr>
            </w:pPr>
            <w:r>
              <w:rPr>
                <w:rFonts w:ascii="Arial" w:cs="Arial" w:eastAsia="Arial" w:hAnsi="Arial"/>
                <w:sz w:val="16"/>
                <w:szCs w:val="16"/>
                <w:color w:val="auto"/>
                <w:w w:val="98"/>
              </w:rPr>
              <w:t>3.5%</w:t>
            </w:r>
          </w:p>
        </w:tc>
        <w:tc>
          <w:tcPr>
            <w:tcW w:w="112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6"/>
                <w:szCs w:val="16"/>
                <w:color w:val="auto"/>
              </w:rPr>
              <w:t>-2.8%</w:t>
            </w:r>
          </w:p>
        </w:tc>
      </w:tr>
      <w:tr>
        <w:trPr>
          <w:trHeight w:val="185"/>
        </w:trPr>
        <w:tc>
          <w:tcPr>
            <w:tcW w:w="534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Due to banks and correspondents</w:t>
            </w:r>
          </w:p>
        </w:tc>
        <w:tc>
          <w:tcPr>
            <w:tcW w:w="1380" w:type="dxa"/>
            <w:vAlign w:val="bottom"/>
          </w:tcPr>
          <w:p>
            <w:pPr>
              <w:jc w:val="right"/>
              <w:ind w:right="78"/>
              <w:spacing w:after="0"/>
              <w:rPr>
                <w:sz w:val="20"/>
                <w:szCs w:val="20"/>
                <w:color w:val="auto"/>
              </w:rPr>
            </w:pPr>
            <w:r>
              <w:rPr>
                <w:rFonts w:ascii="Arial" w:cs="Arial" w:eastAsia="Arial" w:hAnsi="Arial"/>
                <w:sz w:val="16"/>
                <w:szCs w:val="16"/>
                <w:color w:val="auto"/>
              </w:rPr>
              <w:t>9,002,035</w:t>
            </w:r>
          </w:p>
        </w:tc>
        <w:tc>
          <w:tcPr>
            <w:tcW w:w="1220" w:type="dxa"/>
            <w:vAlign w:val="bottom"/>
          </w:tcPr>
          <w:p>
            <w:pPr>
              <w:jc w:val="right"/>
              <w:ind w:right="78"/>
              <w:spacing w:after="0"/>
              <w:rPr>
                <w:sz w:val="20"/>
                <w:szCs w:val="20"/>
                <w:color w:val="auto"/>
              </w:rPr>
            </w:pPr>
            <w:r>
              <w:rPr>
                <w:rFonts w:ascii="Arial" w:cs="Arial" w:eastAsia="Arial" w:hAnsi="Arial"/>
                <w:sz w:val="16"/>
                <w:szCs w:val="16"/>
                <w:color w:val="auto"/>
              </w:rPr>
              <w:t>10,062,290</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10,493,411</w:t>
            </w:r>
          </w:p>
        </w:tc>
        <w:tc>
          <w:tcPr>
            <w:tcW w:w="1100" w:type="dxa"/>
            <w:vAlign w:val="bottom"/>
          </w:tcPr>
          <w:p>
            <w:pPr>
              <w:jc w:val="center"/>
              <w:spacing w:after="0"/>
              <w:rPr>
                <w:sz w:val="20"/>
                <w:szCs w:val="20"/>
                <w:color w:val="auto"/>
              </w:rPr>
            </w:pPr>
            <w:r>
              <w:rPr>
                <w:rFonts w:ascii="Arial" w:cs="Arial" w:eastAsia="Arial" w:hAnsi="Arial"/>
                <w:sz w:val="16"/>
                <w:szCs w:val="16"/>
                <w:color w:val="auto"/>
                <w:w w:val="98"/>
              </w:rPr>
              <w:t>4.3%</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16.6%</w:t>
            </w:r>
          </w:p>
        </w:tc>
      </w:tr>
      <w:tr>
        <w:trPr>
          <w:trHeight w:val="185"/>
        </w:trPr>
        <w:tc>
          <w:tcPr>
            <w:tcW w:w="534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BCRP instruments</w:t>
            </w:r>
          </w:p>
        </w:tc>
        <w:tc>
          <w:tcPr>
            <w:tcW w:w="1380" w:type="dxa"/>
            <w:vAlign w:val="bottom"/>
          </w:tcPr>
          <w:p>
            <w:pPr>
              <w:jc w:val="right"/>
              <w:ind w:right="78"/>
              <w:spacing w:after="0"/>
              <w:rPr>
                <w:sz w:val="20"/>
                <w:szCs w:val="20"/>
                <w:color w:val="auto"/>
              </w:rPr>
            </w:pPr>
            <w:r>
              <w:rPr>
                <w:rFonts w:ascii="Arial" w:cs="Arial" w:eastAsia="Arial" w:hAnsi="Arial"/>
                <w:sz w:val="16"/>
                <w:szCs w:val="16"/>
                <w:color w:val="auto"/>
              </w:rPr>
              <w:t>14,449,597</w:t>
            </w:r>
          </w:p>
        </w:tc>
        <w:tc>
          <w:tcPr>
            <w:tcW w:w="1220" w:type="dxa"/>
            <w:vAlign w:val="bottom"/>
          </w:tcPr>
          <w:p>
            <w:pPr>
              <w:jc w:val="right"/>
              <w:ind w:right="78"/>
              <w:spacing w:after="0"/>
              <w:rPr>
                <w:sz w:val="20"/>
                <w:szCs w:val="20"/>
                <w:color w:val="auto"/>
              </w:rPr>
            </w:pPr>
            <w:r>
              <w:rPr>
                <w:rFonts w:ascii="Arial" w:cs="Arial" w:eastAsia="Arial" w:hAnsi="Arial"/>
                <w:sz w:val="16"/>
                <w:szCs w:val="16"/>
                <w:color w:val="auto"/>
              </w:rPr>
              <w:t>11,772,772</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9,616,150</w:t>
            </w:r>
          </w:p>
        </w:tc>
        <w:tc>
          <w:tcPr>
            <w:tcW w:w="1100" w:type="dxa"/>
            <w:vAlign w:val="bottom"/>
          </w:tcPr>
          <w:p>
            <w:pPr>
              <w:jc w:val="center"/>
              <w:spacing w:after="0"/>
              <w:rPr>
                <w:sz w:val="20"/>
                <w:szCs w:val="20"/>
                <w:color w:val="auto"/>
              </w:rPr>
            </w:pPr>
            <w:r>
              <w:rPr>
                <w:rFonts w:ascii="Arial" w:cs="Arial" w:eastAsia="Arial" w:hAnsi="Arial"/>
                <w:sz w:val="16"/>
                <w:szCs w:val="16"/>
                <w:color w:val="auto"/>
              </w:rPr>
              <w:t>-18.3%</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-33.5%</w:t>
            </w:r>
          </w:p>
        </w:tc>
      </w:tr>
      <w:tr>
        <w:trPr>
          <w:trHeight w:val="185"/>
        </w:trPr>
        <w:tc>
          <w:tcPr>
            <w:tcW w:w="5340" w:type="dxa"/>
            <w:vAlign w:val="bottom"/>
            <w:tcBorders>
              <w:left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Repurchase agreements with clients and third parties</w:t>
            </w:r>
          </w:p>
        </w:tc>
        <w:tc>
          <w:tcPr>
            <w:tcW w:w="1380" w:type="dxa"/>
            <w:vAlign w:val="bottom"/>
          </w:tcPr>
          <w:p>
            <w:pPr>
              <w:jc w:val="right"/>
              <w:ind w:right="78"/>
              <w:spacing w:after="0"/>
              <w:rPr>
                <w:sz w:val="20"/>
                <w:szCs w:val="20"/>
                <w:color w:val="auto"/>
              </w:rPr>
            </w:pPr>
            <w:r>
              <w:rPr>
                <w:rFonts w:ascii="Arial" w:cs="Arial" w:eastAsia="Arial" w:hAnsi="Arial"/>
                <w:sz w:val="16"/>
                <w:szCs w:val="16"/>
                <w:color w:val="auto"/>
              </w:rPr>
              <w:t>2,125,983</w:t>
            </w:r>
          </w:p>
        </w:tc>
        <w:tc>
          <w:tcPr>
            <w:tcW w:w="1220" w:type="dxa"/>
            <w:vAlign w:val="bottom"/>
          </w:tcPr>
          <w:p>
            <w:pPr>
              <w:jc w:val="right"/>
              <w:ind w:right="78"/>
              <w:spacing w:after="0"/>
              <w:rPr>
                <w:sz w:val="20"/>
                <w:szCs w:val="20"/>
                <w:color w:val="auto"/>
              </w:rPr>
            </w:pPr>
            <w:r>
              <w:rPr>
                <w:rFonts w:ascii="Arial" w:cs="Arial" w:eastAsia="Arial" w:hAnsi="Arial"/>
                <w:sz w:val="16"/>
                <w:szCs w:val="16"/>
                <w:color w:val="auto"/>
              </w:rPr>
              <w:t>2,534,108</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2,121,870</w:t>
            </w:r>
          </w:p>
        </w:tc>
        <w:tc>
          <w:tcPr>
            <w:tcW w:w="1100" w:type="dxa"/>
            <w:vAlign w:val="bottom"/>
          </w:tcPr>
          <w:p>
            <w:pPr>
              <w:jc w:val="center"/>
              <w:spacing w:after="0"/>
              <w:rPr>
                <w:sz w:val="20"/>
                <w:szCs w:val="20"/>
                <w:color w:val="auto"/>
              </w:rPr>
            </w:pPr>
            <w:r>
              <w:rPr>
                <w:rFonts w:ascii="Arial" w:cs="Arial" w:eastAsia="Arial" w:hAnsi="Arial"/>
                <w:sz w:val="16"/>
                <w:szCs w:val="16"/>
                <w:color w:val="auto"/>
              </w:rPr>
              <w:t>-16.3%</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-0.2%</w:t>
            </w:r>
          </w:p>
        </w:tc>
      </w:tr>
      <w:tr>
        <w:trPr>
          <w:trHeight w:val="211"/>
        </w:trPr>
        <w:tc>
          <w:tcPr>
            <w:tcW w:w="534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color w:val="auto"/>
              </w:rPr>
              <w:t>Bonds and notes issued</w:t>
            </w:r>
          </w:p>
        </w:tc>
        <w:tc>
          <w:tcPr>
            <w:tcW w:w="138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17,019,694</w:t>
            </w:r>
          </w:p>
        </w:tc>
        <w:tc>
          <w:tcPr>
            <w:tcW w:w="122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14,235,697</w:t>
            </w:r>
          </w:p>
        </w:tc>
        <w:tc>
          <w:tcPr>
            <w:tcW w:w="1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14,914,632</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4.8%</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-12.4%</w:t>
            </w:r>
          </w:p>
        </w:tc>
      </w:tr>
      <w:tr>
        <w:trPr>
          <w:trHeight w:val="178"/>
        </w:trPr>
        <w:tc>
          <w:tcPr>
            <w:tcW w:w="5340" w:type="dxa"/>
            <w:vAlign w:val="bottom"/>
            <w:tcBorders>
              <w:left w:val="single" w:sz="8" w:color="auto"/>
              <w:bottom w:val="single" w:sz="8" w:color="auto"/>
              <w:right w:val="single" w:sz="8" w:color="auto"/>
            </w:tcBorders>
            <w:gridSpan w:val="2"/>
          </w:tcPr>
          <w:p>
            <w:pPr>
              <w:ind w:left="20"/>
              <w:spacing w:after="0" w:line="178" w:lineRule="exact"/>
              <w:rPr>
                <w:sz w:val="20"/>
                <w:szCs w:val="20"/>
                <w:color w:val="auto"/>
              </w:rPr>
            </w:pPr>
            <w:r>
              <w:rPr>
                <w:rFonts w:ascii="Arial" w:cs="Arial" w:eastAsia="Arial" w:hAnsi="Arial"/>
                <w:sz w:val="16"/>
                <w:szCs w:val="16"/>
                <w:b w:val="1"/>
                <w:bCs w:val="1"/>
                <w:color w:val="auto"/>
              </w:rPr>
              <w:t>Total funding</w:t>
            </w:r>
          </w:p>
        </w:tc>
        <w:tc>
          <w:tcPr>
            <w:tcW w:w="1380" w:type="dxa"/>
            <w:vAlign w:val="bottom"/>
            <w:tcBorders>
              <w:bottom w:val="single" w:sz="8" w:color="auto"/>
            </w:tcBorders>
          </w:tcPr>
          <w:p>
            <w:pPr>
              <w:jc w:val="right"/>
              <w:ind w:right="78"/>
              <w:spacing w:after="0" w:line="178" w:lineRule="exact"/>
              <w:rPr>
                <w:sz w:val="20"/>
                <w:szCs w:val="20"/>
                <w:color w:val="auto"/>
              </w:rPr>
            </w:pPr>
            <w:r>
              <w:rPr>
                <w:rFonts w:ascii="Arial" w:cs="Arial" w:eastAsia="Arial" w:hAnsi="Arial"/>
                <w:sz w:val="16"/>
                <w:szCs w:val="16"/>
                <w:b w:val="1"/>
                <w:bCs w:val="1"/>
                <w:color w:val="auto"/>
              </w:rPr>
              <w:t>195,389,323</w:t>
            </w:r>
          </w:p>
        </w:tc>
        <w:tc>
          <w:tcPr>
            <w:tcW w:w="1220" w:type="dxa"/>
            <w:vAlign w:val="bottom"/>
            <w:tcBorders>
              <w:bottom w:val="single" w:sz="8" w:color="auto"/>
            </w:tcBorders>
          </w:tcPr>
          <w:p>
            <w:pPr>
              <w:jc w:val="right"/>
              <w:ind w:right="78"/>
              <w:spacing w:after="0" w:line="178" w:lineRule="exact"/>
              <w:rPr>
                <w:sz w:val="20"/>
                <w:szCs w:val="20"/>
                <w:color w:val="auto"/>
              </w:rPr>
            </w:pPr>
            <w:r>
              <w:rPr>
                <w:rFonts w:ascii="Arial" w:cs="Arial" w:eastAsia="Arial" w:hAnsi="Arial"/>
                <w:sz w:val="16"/>
                <w:szCs w:val="16"/>
                <w:b w:val="1"/>
                <w:bCs w:val="1"/>
                <w:color w:val="auto"/>
              </w:rPr>
              <w:t>181,992,584</w:t>
            </w:r>
          </w:p>
        </w:tc>
        <w:tc>
          <w:tcPr>
            <w:tcW w:w="1100" w:type="dxa"/>
            <w:vAlign w:val="bottom"/>
            <w:tcBorders>
              <w:bottom w:val="single" w:sz="8" w:color="auto"/>
              <w:right w:val="single" w:sz="8" w:color="auto"/>
            </w:tcBorders>
          </w:tcPr>
          <w:p>
            <w:pPr>
              <w:jc w:val="right"/>
              <w:spacing w:after="0" w:line="178" w:lineRule="exact"/>
              <w:rPr>
                <w:sz w:val="20"/>
                <w:szCs w:val="20"/>
                <w:color w:val="auto"/>
              </w:rPr>
            </w:pPr>
            <w:r>
              <w:rPr>
                <w:rFonts w:ascii="Arial" w:cs="Arial" w:eastAsia="Arial" w:hAnsi="Arial"/>
                <w:sz w:val="16"/>
                <w:szCs w:val="16"/>
                <w:b w:val="1"/>
                <w:bCs w:val="1"/>
                <w:color w:val="auto"/>
              </w:rPr>
              <w:t>185,617,598</w:t>
            </w:r>
          </w:p>
        </w:tc>
        <w:tc>
          <w:tcPr>
            <w:tcW w:w="1100" w:type="dxa"/>
            <w:vAlign w:val="bottom"/>
            <w:tcBorders>
              <w:bottom w:val="single" w:sz="8" w:color="auto"/>
            </w:tcBorders>
          </w:tcPr>
          <w:p>
            <w:pPr>
              <w:jc w:val="center"/>
              <w:spacing w:after="0" w:line="178" w:lineRule="exact"/>
              <w:rPr>
                <w:sz w:val="20"/>
                <w:szCs w:val="20"/>
                <w:color w:val="auto"/>
              </w:rPr>
            </w:pPr>
            <w:r>
              <w:rPr>
                <w:rFonts w:ascii="Arial" w:cs="Arial" w:eastAsia="Arial" w:hAnsi="Arial"/>
                <w:sz w:val="16"/>
                <w:szCs w:val="16"/>
                <w:b w:val="1"/>
                <w:bCs w:val="1"/>
                <w:color w:val="auto"/>
                <w:w w:val="98"/>
              </w:rPr>
              <w:t>2.0%</w:t>
            </w:r>
          </w:p>
        </w:tc>
        <w:tc>
          <w:tcPr>
            <w:tcW w:w="1120" w:type="dxa"/>
            <w:vAlign w:val="bottom"/>
            <w:tcBorders>
              <w:bottom w:val="single" w:sz="8" w:color="auto"/>
              <w:right w:val="single" w:sz="8" w:color="auto"/>
            </w:tcBorders>
          </w:tcPr>
          <w:p>
            <w:pPr>
              <w:jc w:val="center"/>
              <w:spacing w:after="0" w:line="178" w:lineRule="exact"/>
              <w:rPr>
                <w:sz w:val="20"/>
                <w:szCs w:val="20"/>
                <w:color w:val="auto"/>
              </w:rPr>
            </w:pPr>
            <w:r>
              <w:rPr>
                <w:rFonts w:ascii="Arial" w:cs="Arial" w:eastAsia="Arial" w:hAnsi="Arial"/>
                <w:sz w:val="16"/>
                <w:szCs w:val="16"/>
                <w:b w:val="1"/>
                <w:bCs w:val="1"/>
                <w:color w:val="auto"/>
              </w:rPr>
              <w:t>-5.0%</w:t>
            </w:r>
          </w:p>
        </w:tc>
      </w:tr>
    </w:tbl>
    <w:p>
      <w:pPr>
        <w:spacing w:after="0" w:line="160" w:lineRule="exact"/>
        <w:rPr>
          <w:sz w:val="20"/>
          <w:szCs w:val="20"/>
          <w:color w:val="auto"/>
        </w:rPr>
      </w:pPr>
    </w:p>
    <w:p>
      <w:pPr>
        <w:jc w:val="both"/>
        <w:ind w:left="1"/>
        <w:spacing w:after="0" w:line="254" w:lineRule="auto"/>
        <w:rPr>
          <w:sz w:val="20"/>
          <w:szCs w:val="20"/>
          <w:color w:val="auto"/>
        </w:rPr>
      </w:pPr>
      <w:r>
        <w:rPr>
          <w:rFonts w:ascii="Arial" w:cs="Arial" w:eastAsia="Arial" w:hAnsi="Arial"/>
          <w:sz w:val="16"/>
          <w:szCs w:val="16"/>
          <w:color w:val="auto"/>
        </w:rPr>
        <w:t>Funding rose 2.0% QoQ, driven primarily by growth in deposit balances, and to a lesser extent by a bond issuance in the international market in anticipation of upcoming maturities. Growth in deposits in 3Q23 (+3.5%) was attributable to an uptick in time deposits as clients moved to take advantage of higher rates. This evolution was partially offset by a decrease in funding through BCRP instruments, which was spurred by expirations of GP repos and Securities repos.</w:t>
      </w:r>
    </w:p>
    <w:p>
      <w:pPr>
        <w:spacing w:after="0" w:line="331" w:lineRule="exact"/>
        <w:rPr>
          <w:sz w:val="20"/>
          <w:szCs w:val="20"/>
          <w:color w:val="auto"/>
        </w:rPr>
      </w:pPr>
    </w:p>
    <w:p>
      <w:pPr>
        <w:jc w:val="both"/>
        <w:ind w:left="1"/>
        <w:spacing w:after="0" w:line="274" w:lineRule="auto"/>
        <w:rPr>
          <w:sz w:val="20"/>
          <w:szCs w:val="20"/>
          <w:color w:val="auto"/>
        </w:rPr>
      </w:pPr>
      <w:r>
        <w:rPr>
          <w:rFonts w:ascii="Arial" w:cs="Arial" w:eastAsia="Arial" w:hAnsi="Arial"/>
          <w:sz w:val="16"/>
          <w:szCs w:val="16"/>
          <w:color w:val="auto"/>
        </w:rPr>
        <w:t>YoY, funding fell 5.0% due to drop in deposits and in BCRP instruments due to repo expirations (GP and Securities). On the bonds and notes issued front, the balance fell following the maturity of a BCP corporate bond.</w:t>
      </w:r>
    </w:p>
    <w:p>
      <w:pPr>
        <w:spacing w:after="0" w:line="143" w:lineRule="exact"/>
        <w:rPr>
          <w:sz w:val="20"/>
          <w:szCs w:val="20"/>
          <w:color w:val="auto"/>
        </w:rPr>
      </w:pPr>
    </w:p>
    <w:p>
      <w:pPr>
        <w:ind w:left="161" w:hanging="161"/>
        <w:spacing w:after="0"/>
        <w:tabs>
          <w:tab w:leader="none" w:pos="161" w:val="left"/>
        </w:tabs>
        <w:numPr>
          <w:ilvl w:val="0"/>
          <w:numId w:val="34"/>
        </w:numPr>
        <w:rPr>
          <w:rFonts w:ascii="Arial" w:cs="Arial" w:eastAsia="Arial" w:hAnsi="Arial"/>
          <w:sz w:val="11"/>
          <w:szCs w:val="11"/>
          <w:color w:val="auto"/>
        </w:rPr>
      </w:pPr>
      <w:r>
        <w:rPr>
          <w:rFonts w:ascii="Arial" w:cs="Arial" w:eastAsia="Arial" w:hAnsi="Arial"/>
          <w:sz w:val="11"/>
          <w:szCs w:val="11"/>
          <w:color w:val="auto"/>
        </w:rPr>
        <w:t>Effective 1Q23, IEAs does not include “Financial assets designated at Fair Value through P&amp;L” (mainly comprised of Investment Link contracts) as one of its components.</w:t>
      </w:r>
    </w:p>
    <w:p>
      <w:pPr>
        <w:spacing w:after="0" w:line="5" w:lineRule="exact"/>
        <w:rPr>
          <w:rFonts w:ascii="Arial" w:cs="Arial" w:eastAsia="Arial" w:hAnsi="Arial"/>
          <w:sz w:val="11"/>
          <w:szCs w:val="11"/>
          <w:color w:val="auto"/>
        </w:rPr>
      </w:pPr>
    </w:p>
    <w:p>
      <w:pPr>
        <w:ind w:left="161" w:hanging="161"/>
        <w:spacing w:after="0"/>
        <w:tabs>
          <w:tab w:leader="none" w:pos="161" w:val="left"/>
        </w:tabs>
        <w:numPr>
          <w:ilvl w:val="0"/>
          <w:numId w:val="34"/>
        </w:numPr>
        <w:rPr>
          <w:rFonts w:ascii="Arial" w:cs="Arial" w:eastAsia="Arial" w:hAnsi="Arial"/>
          <w:sz w:val="11"/>
          <w:szCs w:val="11"/>
          <w:color w:val="auto"/>
        </w:rPr>
      </w:pPr>
      <w:r>
        <w:rPr>
          <w:rFonts w:ascii="Arial" w:cs="Arial" w:eastAsia="Arial" w:hAnsi="Arial"/>
          <w:sz w:val="11"/>
          <w:szCs w:val="11"/>
          <w:color w:val="auto"/>
        </w:rPr>
        <w:t>Effective 1Q23, Funding includes Repurchase agreements with clients.</w:t>
      </w:r>
    </w:p>
    <w:p>
      <w:pPr>
        <w:spacing w:after="0" w:line="26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43750" cy="158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312" w:right="339" w:bottom="1440" w:gutter="0" w:footer="0" w:header="0"/>
        </w:sectPr>
      </w:pPr>
    </w:p>
    <w:bookmarkStart w:id="28" w:name="page29"/>
    <w:bookmarkEnd w:id="28"/>
    <w:p>
      <w:pPr>
        <w:ind w:left="2961"/>
        <w:spacing w:after="0"/>
        <w:tabs>
          <w:tab w:leader="none" w:pos="3141" w:val="left"/>
          <w:tab w:leader="none" w:pos="7181" w:val="left"/>
        </w:tabs>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202565</wp:posOffset>
            </wp:positionH>
            <wp:positionV relativeFrom="page">
              <wp:posOffset>88900</wp:posOffset>
            </wp:positionV>
            <wp:extent cx="7143750" cy="3848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3750" cy="384810"/>
                    </a:xfrm>
                    <a:prstGeom prst="rect">
                      <a:avLst/>
                    </a:prstGeom>
                    <a:noFill/>
                  </pic:spPr>
                </pic:pic>
              </a:graphicData>
            </a:graphic>
          </wp:anchor>
        </w:drawing>
        <w:t>|</w:t>
      </w:r>
      <w:r>
        <w:rPr>
          <w:sz w:val="20"/>
          <w:szCs w:val="20"/>
          <w:color w:val="auto"/>
        </w:rPr>
        <w:tab/>
      </w:r>
      <w:r>
        <w:rPr>
          <w:rFonts w:ascii="Arial" w:cs="Arial" w:eastAsia="Arial" w:hAnsi="Arial"/>
          <w:sz w:val="16"/>
          <w:szCs w:val="16"/>
          <w:b w:val="1"/>
          <w:bCs w:val="1"/>
          <w:color w:val="FFFFFF"/>
        </w:rPr>
        <w:t>Earnings Release 3Q / 2023</w:t>
      </w:r>
      <w:r>
        <w:rPr>
          <w:sz w:val="20"/>
          <w:szCs w:val="20"/>
          <w:color w:val="auto"/>
        </w:rPr>
        <w:tab/>
      </w:r>
      <w:r>
        <w:rPr>
          <w:rFonts w:ascii="Arial" w:cs="Arial" w:eastAsia="Arial" w:hAnsi="Arial"/>
          <w:sz w:val="18"/>
          <w:szCs w:val="18"/>
          <w:b w:val="1"/>
          <w:bCs w:val="1"/>
          <w:color w:val="E93CAC"/>
        </w:rPr>
        <w:t>Analysis of 3Q23 Consolidated Results</w:t>
      </w:r>
    </w:p>
    <w:p>
      <w:pPr>
        <w:spacing w:after="0" w:line="340" w:lineRule="exact"/>
        <w:rPr>
          <w:sz w:val="20"/>
          <w:szCs w:val="20"/>
          <w:color w:val="auto"/>
        </w:rPr>
      </w:pPr>
    </w:p>
    <w:p>
      <w:pPr>
        <w:ind w:left="1"/>
        <w:spacing w:after="0"/>
        <w:rPr>
          <w:sz w:val="20"/>
          <w:szCs w:val="20"/>
          <w:color w:val="auto"/>
        </w:rPr>
      </w:pPr>
      <w:r>
        <w:rPr>
          <w:rFonts w:ascii="Arial" w:cs="Arial" w:eastAsia="Arial" w:hAnsi="Arial"/>
          <w:sz w:val="48"/>
          <w:szCs w:val="48"/>
          <w:b w:val="1"/>
          <w:bCs w:val="1"/>
          <w:color w:val="E93BAC"/>
        </w:rPr>
        <w:t xml:space="preserve">04 </w:t>
      </w:r>
      <w:r>
        <w:rPr>
          <w:rFonts w:ascii="Arial" w:cs="Arial" w:eastAsia="Arial" w:hAnsi="Arial"/>
          <w:sz w:val="29"/>
          <w:szCs w:val="29"/>
          <w:b w:val="1"/>
          <w:bCs w:val="1"/>
          <w:color w:val="E93BAC"/>
        </w:rPr>
        <w:t>Net Interest Income (NII)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143750" cy="11537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3750" cy="1153795"/>
                    </a:xfrm>
                    <a:prstGeom prst="rect">
                      <a:avLst/>
                    </a:prstGeom>
                    <a:noFill/>
                  </pic:spPr>
                </pic:pic>
              </a:graphicData>
            </a:graphic>
          </wp:anchor>
        </w:drawing>
      </w:r>
    </w:p>
    <w:p>
      <w:pPr>
        <w:spacing w:after="0" w:line="365" w:lineRule="exact"/>
        <w:rPr>
          <w:sz w:val="20"/>
          <w:szCs w:val="20"/>
          <w:color w:val="auto"/>
        </w:rPr>
      </w:pPr>
    </w:p>
    <w:p>
      <w:pPr>
        <w:jc w:val="both"/>
        <w:ind w:left="121" w:right="100"/>
        <w:spacing w:after="0" w:line="258" w:lineRule="auto"/>
        <w:rPr>
          <w:sz w:val="20"/>
          <w:szCs w:val="20"/>
          <w:color w:val="auto"/>
        </w:rPr>
      </w:pPr>
      <w:r>
        <w:rPr>
          <w:rFonts w:ascii="Arial" w:cs="Arial" w:eastAsia="Arial" w:hAnsi="Arial"/>
          <w:sz w:val="16"/>
          <w:szCs w:val="16"/>
          <w:color w:val="FFFFFF"/>
        </w:rPr>
        <w:t>Net interest income (NII) increased 1.6% QoQ in 3Q23. This evolution was driven primarily by a positive mix for structural loans, which registered higher growth in Retail banking segments, particularly in SME-Pyme. Secondarily, growth in investment balances to capitalize on surplus liquidity, taking advantage of high interest rates, also contributed to an uptick in NII this quarter. These dynamics offset the uptick registered in the funding cost.</w:t>
      </w:r>
    </w:p>
    <w:p>
      <w:pPr>
        <w:spacing w:after="0" w:line="136" w:lineRule="exact"/>
        <w:rPr>
          <w:sz w:val="20"/>
          <w:szCs w:val="20"/>
          <w:color w:val="auto"/>
        </w:rPr>
      </w:pPr>
    </w:p>
    <w:p>
      <w:pPr>
        <w:jc w:val="both"/>
        <w:ind w:left="121" w:right="100"/>
        <w:spacing w:after="0" w:line="254" w:lineRule="auto"/>
        <w:rPr>
          <w:sz w:val="20"/>
          <w:szCs w:val="20"/>
          <w:color w:val="auto"/>
        </w:rPr>
      </w:pPr>
      <w:r>
        <w:rPr>
          <w:rFonts w:ascii="Arial" w:cs="Arial" w:eastAsia="Arial" w:hAnsi="Arial"/>
          <w:sz w:val="16"/>
          <w:szCs w:val="16"/>
          <w:color w:val="FFFFFF"/>
        </w:rPr>
        <w:t>NII rose 12.9% YoY due to a positive mix in IEAs, which was partially offset by the increase registered in the funding cost, attributable to growth in Time Deposits. YTD, IEAs registered similar mix dynamics as YoY, which fueled an increase in NII. NIM continued to follow an upward trend YoY, albeit at a slower pace, and rose 9 bps QoQ and 78 bps YoY to stand at 6.11%. Risk- adjusted NIM, in turn, dropped 11 bps QoQ and 6 bps YoY, to stand at 6.45%.</w:t>
      </w:r>
    </w:p>
    <w:p>
      <w:pPr>
        <w:spacing w:after="0" w:line="200" w:lineRule="exact"/>
        <w:rPr>
          <w:sz w:val="20"/>
          <w:szCs w:val="20"/>
          <w:color w:val="auto"/>
        </w:rPr>
      </w:pPr>
    </w:p>
    <w:p>
      <w:pPr>
        <w:spacing w:after="0" w:line="297" w:lineRule="exact"/>
        <w:rPr>
          <w:sz w:val="20"/>
          <w:szCs w:val="20"/>
          <w:color w:val="auto"/>
        </w:rPr>
      </w:pPr>
    </w:p>
    <w:tbl>
      <w:tblPr>
        <w:tblLayout w:type="fixed"/>
        <w:tblInd w:w="11" w:type="dxa"/>
        <w:tblCellMar>
          <w:top w:w="0" w:type="dxa"/>
          <w:left w:w="0" w:type="dxa"/>
          <w:bottom w:w="0" w:type="dxa"/>
          <w:right w:w="0" w:type="dxa"/>
        </w:tblCellMar>
      </w:tblPr>
      <w:tr>
        <w:trPr>
          <w:trHeight w:val="178"/>
        </w:trPr>
        <w:tc>
          <w:tcPr>
            <w:tcW w:w="4040" w:type="dxa"/>
            <w:vAlign w:val="bottom"/>
            <w:tcBorders>
              <w:top w:val="single" w:sz="8" w:color="auto"/>
              <w:left w:val="single" w:sz="8" w:color="auto"/>
              <w:bottom w:val="single" w:sz="8" w:color="33CCCC"/>
              <w:right w:val="single" w:sz="8" w:color="auto"/>
            </w:tcBorders>
            <w:shd w:val="clear" w:color="auto" w:fill="33CCCC"/>
          </w:tcPr>
          <w:p>
            <w:pPr>
              <w:ind w:left="20"/>
              <w:spacing w:after="0" w:line="177" w:lineRule="exact"/>
              <w:rPr>
                <w:sz w:val="20"/>
                <w:szCs w:val="20"/>
                <w:color w:val="auto"/>
              </w:rPr>
            </w:pPr>
            <w:r>
              <w:rPr>
                <w:rFonts w:ascii="Arial" w:cs="Arial" w:eastAsia="Arial" w:hAnsi="Arial"/>
                <w:sz w:val="16"/>
                <w:szCs w:val="16"/>
                <w:b w:val="1"/>
                <w:bCs w:val="1"/>
                <w:color w:val="FFFFFF"/>
              </w:rPr>
              <w:t>Net Interest Income / Margin</w:t>
            </w:r>
          </w:p>
        </w:tc>
        <w:tc>
          <w:tcPr>
            <w:tcW w:w="980" w:type="dxa"/>
            <w:vAlign w:val="bottom"/>
            <w:tcBorders>
              <w:top w:val="single" w:sz="8" w:color="auto"/>
              <w:bottom w:val="single" w:sz="8" w:color="33CCCC"/>
            </w:tcBorders>
            <w:shd w:val="clear" w:color="auto" w:fill="33CCCC"/>
          </w:tcPr>
          <w:p>
            <w:pPr>
              <w:spacing w:after="0"/>
              <w:rPr>
                <w:sz w:val="15"/>
                <w:szCs w:val="15"/>
                <w:color w:val="auto"/>
              </w:rPr>
            </w:pPr>
          </w:p>
        </w:tc>
        <w:tc>
          <w:tcPr>
            <w:tcW w:w="920" w:type="dxa"/>
            <w:vAlign w:val="bottom"/>
            <w:tcBorders>
              <w:top w:val="single" w:sz="8" w:color="auto"/>
              <w:bottom w:val="single" w:sz="8" w:color="33CCCC"/>
            </w:tcBorders>
            <w:shd w:val="clear" w:color="auto" w:fill="33CCCC"/>
          </w:tcPr>
          <w:p>
            <w:pPr>
              <w:jc w:val="right"/>
              <w:ind w:right="138"/>
              <w:spacing w:after="0" w:line="177" w:lineRule="exact"/>
              <w:rPr>
                <w:sz w:val="20"/>
                <w:szCs w:val="20"/>
                <w:color w:val="auto"/>
              </w:rPr>
            </w:pPr>
            <w:r>
              <w:rPr>
                <w:rFonts w:ascii="Arial" w:cs="Arial" w:eastAsia="Arial" w:hAnsi="Arial"/>
                <w:sz w:val="16"/>
                <w:szCs w:val="16"/>
                <w:b w:val="1"/>
                <w:bCs w:val="1"/>
                <w:color w:val="FFFFFF"/>
              </w:rPr>
              <w:t>Quarter</w:t>
            </w:r>
          </w:p>
        </w:tc>
        <w:tc>
          <w:tcPr>
            <w:tcW w:w="900" w:type="dxa"/>
            <w:vAlign w:val="bottom"/>
            <w:tcBorders>
              <w:top w:val="single" w:sz="8" w:color="auto"/>
              <w:bottom w:val="single" w:sz="8" w:color="33CCCC"/>
              <w:right w:val="single" w:sz="8" w:color="auto"/>
            </w:tcBorders>
            <w:shd w:val="clear" w:color="auto" w:fill="33CCCC"/>
          </w:tcPr>
          <w:p>
            <w:pPr>
              <w:spacing w:after="0"/>
              <w:rPr>
                <w:sz w:val="15"/>
                <w:szCs w:val="15"/>
                <w:color w:val="auto"/>
              </w:rPr>
            </w:pPr>
          </w:p>
        </w:tc>
        <w:tc>
          <w:tcPr>
            <w:tcW w:w="1200" w:type="dxa"/>
            <w:vAlign w:val="bottom"/>
            <w:tcBorders>
              <w:top w:val="single" w:sz="8" w:color="auto"/>
              <w:bottom w:val="single" w:sz="8" w:color="33CCCC"/>
              <w:right w:val="single" w:sz="8" w:color="auto"/>
            </w:tcBorders>
            <w:gridSpan w:val="2"/>
            <w:shd w:val="clear" w:color="auto" w:fill="33CCCC"/>
          </w:tcPr>
          <w:p>
            <w:pPr>
              <w:ind w:left="200"/>
              <w:spacing w:after="0" w:line="177" w:lineRule="exact"/>
              <w:rPr>
                <w:sz w:val="20"/>
                <w:szCs w:val="20"/>
                <w:color w:val="auto"/>
              </w:rPr>
            </w:pPr>
            <w:r>
              <w:rPr>
                <w:rFonts w:ascii="Arial" w:cs="Arial" w:eastAsia="Arial" w:hAnsi="Arial"/>
                <w:sz w:val="16"/>
                <w:szCs w:val="16"/>
                <w:b w:val="1"/>
                <w:bCs w:val="1"/>
                <w:color w:val="FFFFFF"/>
              </w:rPr>
              <w:t>% change</w:t>
            </w:r>
          </w:p>
        </w:tc>
        <w:tc>
          <w:tcPr>
            <w:tcW w:w="2000" w:type="dxa"/>
            <w:vAlign w:val="bottom"/>
            <w:tcBorders>
              <w:top w:val="single" w:sz="8" w:color="auto"/>
              <w:bottom w:val="single" w:sz="8" w:color="33CCCC"/>
              <w:right w:val="single" w:sz="8" w:color="33CCCC"/>
            </w:tcBorders>
            <w:gridSpan w:val="2"/>
            <w:shd w:val="clear" w:color="auto" w:fill="33CCCC"/>
          </w:tcPr>
          <w:p>
            <w:pPr>
              <w:jc w:val="right"/>
              <w:ind w:right="738"/>
              <w:spacing w:after="0" w:line="177" w:lineRule="exact"/>
              <w:rPr>
                <w:sz w:val="20"/>
                <w:szCs w:val="20"/>
                <w:color w:val="auto"/>
              </w:rPr>
            </w:pPr>
            <w:r>
              <w:rPr>
                <w:rFonts w:ascii="Arial" w:cs="Arial" w:eastAsia="Arial" w:hAnsi="Arial"/>
                <w:sz w:val="16"/>
                <w:szCs w:val="16"/>
                <w:b w:val="1"/>
                <w:bCs w:val="1"/>
                <w:color w:val="FFFFFF"/>
              </w:rPr>
              <w:t>As of</w:t>
            </w:r>
          </w:p>
        </w:tc>
        <w:tc>
          <w:tcPr>
            <w:tcW w:w="1220" w:type="dxa"/>
            <w:vAlign w:val="bottom"/>
            <w:tcBorders>
              <w:top w:val="single" w:sz="8" w:color="auto"/>
              <w:bottom w:val="single" w:sz="8" w:color="33CCCC"/>
              <w:right w:val="single" w:sz="8" w:color="auto"/>
            </w:tcBorders>
            <w:shd w:val="clear" w:color="auto" w:fill="33CCCC"/>
          </w:tcPr>
          <w:p>
            <w:pPr>
              <w:jc w:val="center"/>
              <w:spacing w:after="0" w:line="177" w:lineRule="exact"/>
              <w:rPr>
                <w:sz w:val="20"/>
                <w:szCs w:val="20"/>
                <w:color w:val="auto"/>
              </w:rPr>
            </w:pPr>
            <w:r>
              <w:rPr>
                <w:rFonts w:ascii="Arial" w:cs="Arial" w:eastAsia="Arial" w:hAnsi="Arial"/>
                <w:sz w:val="16"/>
                <w:szCs w:val="16"/>
                <w:b w:val="1"/>
                <w:bCs w:val="1"/>
                <w:color w:val="FFFFFF"/>
              </w:rPr>
              <w:t>% change</w:t>
            </w:r>
          </w:p>
        </w:tc>
      </w:tr>
      <w:tr>
        <w:trPr>
          <w:trHeight w:val="185"/>
        </w:trPr>
        <w:tc>
          <w:tcPr>
            <w:tcW w:w="4040" w:type="dxa"/>
            <w:vAlign w:val="bottom"/>
            <w:tcBorders>
              <w:left w:val="single" w:sz="8" w:color="auto"/>
              <w:bottom w:val="single" w:sz="8" w:color="auto"/>
              <w:right w:val="single" w:sz="8" w:color="auto"/>
            </w:tcBorders>
            <w:shd w:val="clear" w:color="auto" w:fill="33CCCC"/>
          </w:tcPr>
          <w:p>
            <w:pPr>
              <w:ind w:left="20"/>
              <w:spacing w:after="0"/>
              <w:rPr>
                <w:sz w:val="20"/>
                <w:szCs w:val="20"/>
                <w:color w:val="auto"/>
              </w:rPr>
            </w:pPr>
            <w:r>
              <w:rPr>
                <w:rFonts w:ascii="Arial" w:cs="Arial" w:eastAsia="Arial" w:hAnsi="Arial"/>
                <w:sz w:val="16"/>
                <w:szCs w:val="16"/>
                <w:b w:val="1"/>
                <w:bCs w:val="1"/>
                <w:color w:val="FFFFFF"/>
              </w:rPr>
              <w:t>S/ 000</w:t>
            </w:r>
          </w:p>
        </w:tc>
        <w:tc>
          <w:tcPr>
            <w:tcW w:w="980" w:type="dxa"/>
            <w:vAlign w:val="bottom"/>
            <w:tcBorders>
              <w:bottom w:val="single" w:sz="8" w:color="auto"/>
            </w:tcBorders>
            <w:shd w:val="clear" w:color="auto" w:fill="33CCCC"/>
          </w:tcPr>
          <w:p>
            <w:pPr>
              <w:jc w:val="right"/>
              <w:ind w:right="238"/>
              <w:spacing w:after="0"/>
              <w:rPr>
                <w:sz w:val="20"/>
                <w:szCs w:val="20"/>
                <w:color w:val="auto"/>
              </w:rPr>
            </w:pPr>
            <w:r>
              <w:rPr>
                <w:rFonts w:ascii="Arial" w:cs="Arial" w:eastAsia="Arial" w:hAnsi="Arial"/>
                <w:sz w:val="16"/>
                <w:szCs w:val="16"/>
                <w:b w:val="1"/>
                <w:bCs w:val="1"/>
                <w:color w:val="FFFFFF"/>
              </w:rPr>
              <w:t>3Q22</w:t>
            </w:r>
          </w:p>
        </w:tc>
        <w:tc>
          <w:tcPr>
            <w:tcW w:w="920" w:type="dxa"/>
            <w:vAlign w:val="bottom"/>
            <w:tcBorders>
              <w:bottom w:val="single" w:sz="8" w:color="auto"/>
            </w:tcBorders>
            <w:shd w:val="clear" w:color="auto" w:fill="33CCCC"/>
          </w:tcPr>
          <w:p>
            <w:pPr>
              <w:jc w:val="right"/>
              <w:ind w:right="218"/>
              <w:spacing w:after="0"/>
              <w:rPr>
                <w:sz w:val="20"/>
                <w:szCs w:val="20"/>
                <w:color w:val="auto"/>
              </w:rPr>
            </w:pPr>
            <w:r>
              <w:rPr>
                <w:rFonts w:ascii="Arial" w:cs="Arial" w:eastAsia="Arial" w:hAnsi="Arial"/>
                <w:sz w:val="16"/>
                <w:szCs w:val="16"/>
                <w:b w:val="1"/>
                <w:bCs w:val="1"/>
                <w:color w:val="FFFFFF"/>
              </w:rPr>
              <w:t>2Q23</w:t>
            </w:r>
          </w:p>
        </w:tc>
        <w:tc>
          <w:tcPr>
            <w:tcW w:w="900" w:type="dxa"/>
            <w:vAlign w:val="bottom"/>
            <w:tcBorders>
              <w:bottom w:val="single" w:sz="8" w:color="auto"/>
              <w:right w:val="single" w:sz="8" w:color="auto"/>
            </w:tcBorders>
            <w:shd w:val="clear" w:color="auto" w:fill="33CCCC"/>
          </w:tcPr>
          <w:p>
            <w:pPr>
              <w:jc w:val="right"/>
              <w:ind w:right="198"/>
              <w:spacing w:after="0"/>
              <w:rPr>
                <w:sz w:val="20"/>
                <w:szCs w:val="20"/>
                <w:color w:val="auto"/>
              </w:rPr>
            </w:pPr>
            <w:r>
              <w:rPr>
                <w:rFonts w:ascii="Arial" w:cs="Arial" w:eastAsia="Arial" w:hAnsi="Arial"/>
                <w:sz w:val="16"/>
                <w:szCs w:val="16"/>
                <w:b w:val="1"/>
                <w:bCs w:val="1"/>
                <w:color w:val="FFFFFF"/>
              </w:rPr>
              <w:t>3Q23</w:t>
            </w:r>
          </w:p>
        </w:tc>
        <w:tc>
          <w:tcPr>
            <w:tcW w:w="560" w:type="dxa"/>
            <w:vAlign w:val="bottom"/>
            <w:tcBorders>
              <w:bottom w:val="single" w:sz="8" w:color="auto"/>
            </w:tcBorders>
            <w:shd w:val="clear" w:color="auto" w:fill="33CCCC"/>
          </w:tcPr>
          <w:p>
            <w:pPr>
              <w:ind w:left="80"/>
              <w:spacing w:after="0"/>
              <w:rPr>
                <w:sz w:val="20"/>
                <w:szCs w:val="20"/>
                <w:color w:val="auto"/>
              </w:rPr>
            </w:pPr>
            <w:r>
              <w:rPr>
                <w:rFonts w:ascii="Arial" w:cs="Arial" w:eastAsia="Arial" w:hAnsi="Arial"/>
                <w:sz w:val="16"/>
                <w:szCs w:val="16"/>
                <w:b w:val="1"/>
                <w:bCs w:val="1"/>
                <w:color w:val="FFFFFF"/>
              </w:rPr>
              <w:t>QoQ</w:t>
            </w:r>
          </w:p>
        </w:tc>
        <w:tc>
          <w:tcPr>
            <w:tcW w:w="640" w:type="dxa"/>
            <w:vAlign w:val="bottom"/>
            <w:tcBorders>
              <w:bottom w:val="single" w:sz="8" w:color="auto"/>
              <w:right w:val="single" w:sz="8" w:color="auto"/>
            </w:tcBorders>
            <w:shd w:val="clear" w:color="auto" w:fill="33CCCC"/>
          </w:tcPr>
          <w:p>
            <w:pPr>
              <w:ind w:left="140"/>
              <w:spacing w:after="0"/>
              <w:rPr>
                <w:sz w:val="20"/>
                <w:szCs w:val="20"/>
                <w:color w:val="auto"/>
              </w:rPr>
            </w:pPr>
            <w:r>
              <w:rPr>
                <w:rFonts w:ascii="Arial" w:cs="Arial" w:eastAsia="Arial" w:hAnsi="Arial"/>
                <w:sz w:val="16"/>
                <w:szCs w:val="16"/>
                <w:b w:val="1"/>
                <w:bCs w:val="1"/>
                <w:color w:val="FFFFFF"/>
              </w:rPr>
              <w:t>YoY</w:t>
            </w:r>
          </w:p>
        </w:tc>
        <w:tc>
          <w:tcPr>
            <w:tcW w:w="1020" w:type="dxa"/>
            <w:vAlign w:val="bottom"/>
            <w:tcBorders>
              <w:bottom w:val="single" w:sz="8" w:color="auto"/>
            </w:tcBorders>
            <w:shd w:val="clear" w:color="auto" w:fill="33CCCC"/>
          </w:tcPr>
          <w:p>
            <w:pPr>
              <w:jc w:val="right"/>
              <w:ind w:right="178"/>
              <w:spacing w:after="0"/>
              <w:rPr>
                <w:sz w:val="20"/>
                <w:szCs w:val="20"/>
                <w:color w:val="auto"/>
              </w:rPr>
            </w:pPr>
            <w:r>
              <w:rPr>
                <w:rFonts w:ascii="Arial" w:cs="Arial" w:eastAsia="Arial" w:hAnsi="Arial"/>
                <w:sz w:val="16"/>
                <w:szCs w:val="16"/>
                <w:b w:val="1"/>
                <w:bCs w:val="1"/>
                <w:color w:val="FFFFFF"/>
              </w:rPr>
              <w:t>Sep 22</w:t>
            </w:r>
          </w:p>
        </w:tc>
        <w:tc>
          <w:tcPr>
            <w:tcW w:w="980" w:type="dxa"/>
            <w:vAlign w:val="bottom"/>
            <w:tcBorders>
              <w:bottom w:val="single" w:sz="8" w:color="auto"/>
              <w:right w:val="single" w:sz="8" w:color="auto"/>
            </w:tcBorders>
            <w:shd w:val="clear" w:color="auto" w:fill="33CCCC"/>
          </w:tcPr>
          <w:p>
            <w:pPr>
              <w:jc w:val="right"/>
              <w:ind w:right="178"/>
              <w:spacing w:after="0"/>
              <w:rPr>
                <w:sz w:val="20"/>
                <w:szCs w:val="20"/>
                <w:color w:val="auto"/>
              </w:rPr>
            </w:pPr>
            <w:r>
              <w:rPr>
                <w:rFonts w:ascii="Arial" w:cs="Arial" w:eastAsia="Arial" w:hAnsi="Arial"/>
                <w:sz w:val="16"/>
                <w:szCs w:val="16"/>
                <w:b w:val="1"/>
                <w:bCs w:val="1"/>
                <w:color w:val="FFFFFF"/>
              </w:rPr>
              <w:t>Sep 23</w:t>
            </w:r>
          </w:p>
        </w:tc>
        <w:tc>
          <w:tcPr>
            <w:tcW w:w="122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6"/>
                <w:szCs w:val="16"/>
                <w:b w:val="1"/>
                <w:bCs w:val="1"/>
                <w:color w:val="FFFFFF"/>
              </w:rPr>
              <w:t>Sep 23 / Sep 22</w:t>
            </w:r>
          </w:p>
        </w:tc>
      </w:tr>
      <w:tr>
        <w:trPr>
          <w:trHeight w:val="165"/>
        </w:trPr>
        <w:tc>
          <w:tcPr>
            <w:tcW w:w="4040" w:type="dxa"/>
            <w:vAlign w:val="bottom"/>
            <w:tcBorders>
              <w:left w:val="single" w:sz="8" w:color="auto"/>
              <w:right w:val="single" w:sz="8" w:color="auto"/>
            </w:tcBorders>
          </w:tcPr>
          <w:p>
            <w:pPr>
              <w:ind w:left="160"/>
              <w:spacing w:after="0" w:line="165" w:lineRule="exact"/>
              <w:rPr>
                <w:sz w:val="20"/>
                <w:szCs w:val="20"/>
                <w:color w:val="auto"/>
              </w:rPr>
            </w:pPr>
            <w:r>
              <w:rPr>
                <w:rFonts w:ascii="Arial" w:cs="Arial" w:eastAsia="Arial" w:hAnsi="Arial"/>
                <w:sz w:val="16"/>
                <w:szCs w:val="16"/>
                <w:color w:val="auto"/>
              </w:rPr>
              <w:t>Interest Income</w:t>
            </w:r>
          </w:p>
        </w:tc>
        <w:tc>
          <w:tcPr>
            <w:tcW w:w="980" w:type="dxa"/>
            <w:vAlign w:val="bottom"/>
          </w:tcPr>
          <w:p>
            <w:pPr>
              <w:jc w:val="right"/>
              <w:spacing w:after="0" w:line="165" w:lineRule="exact"/>
              <w:rPr>
                <w:sz w:val="20"/>
                <w:szCs w:val="20"/>
                <w:color w:val="auto"/>
              </w:rPr>
            </w:pPr>
            <w:r>
              <w:rPr>
                <w:rFonts w:ascii="Arial" w:cs="Arial" w:eastAsia="Arial" w:hAnsi="Arial"/>
                <w:sz w:val="16"/>
                <w:szCs w:val="16"/>
                <w:color w:val="auto"/>
              </w:rPr>
              <w:t>3,988,684</w:t>
            </w:r>
          </w:p>
        </w:tc>
        <w:tc>
          <w:tcPr>
            <w:tcW w:w="920" w:type="dxa"/>
            <w:vAlign w:val="bottom"/>
          </w:tcPr>
          <w:p>
            <w:pPr>
              <w:jc w:val="right"/>
              <w:spacing w:after="0" w:line="165" w:lineRule="exact"/>
              <w:rPr>
                <w:sz w:val="20"/>
                <w:szCs w:val="20"/>
                <w:color w:val="auto"/>
              </w:rPr>
            </w:pPr>
            <w:r>
              <w:rPr>
                <w:rFonts w:ascii="Arial" w:cs="Arial" w:eastAsia="Arial" w:hAnsi="Arial"/>
                <w:sz w:val="16"/>
                <w:szCs w:val="16"/>
                <w:color w:val="auto"/>
              </w:rPr>
              <w:t>4,653,246</w:t>
            </w:r>
          </w:p>
        </w:tc>
        <w:tc>
          <w:tcPr>
            <w:tcW w:w="900" w:type="dxa"/>
            <w:vAlign w:val="bottom"/>
            <w:tcBorders>
              <w:right w:val="single" w:sz="8" w:color="auto"/>
            </w:tcBorders>
          </w:tcPr>
          <w:p>
            <w:pPr>
              <w:jc w:val="right"/>
              <w:spacing w:after="0" w:line="165" w:lineRule="exact"/>
              <w:rPr>
                <w:sz w:val="20"/>
                <w:szCs w:val="20"/>
                <w:color w:val="auto"/>
              </w:rPr>
            </w:pPr>
            <w:r>
              <w:rPr>
                <w:rFonts w:ascii="Arial" w:cs="Arial" w:eastAsia="Arial" w:hAnsi="Arial"/>
                <w:sz w:val="16"/>
                <w:szCs w:val="16"/>
                <w:color w:val="auto"/>
              </w:rPr>
              <w:t>4,819,101</w:t>
            </w:r>
          </w:p>
        </w:tc>
        <w:tc>
          <w:tcPr>
            <w:tcW w:w="560" w:type="dxa"/>
            <w:vAlign w:val="bottom"/>
          </w:tcPr>
          <w:p>
            <w:pPr>
              <w:jc w:val="center"/>
              <w:spacing w:after="0" w:line="165" w:lineRule="exact"/>
              <w:rPr>
                <w:sz w:val="20"/>
                <w:szCs w:val="20"/>
                <w:color w:val="auto"/>
              </w:rPr>
            </w:pPr>
            <w:r>
              <w:rPr>
                <w:rFonts w:ascii="Arial" w:cs="Arial" w:eastAsia="Arial" w:hAnsi="Arial"/>
                <w:sz w:val="16"/>
                <w:szCs w:val="16"/>
                <w:color w:val="auto"/>
              </w:rPr>
              <w:t>3.6%</w:t>
            </w:r>
          </w:p>
        </w:tc>
        <w:tc>
          <w:tcPr>
            <w:tcW w:w="64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6"/>
                <w:szCs w:val="16"/>
                <w:color w:val="auto"/>
              </w:rPr>
              <w:t>20.8%</w:t>
            </w:r>
          </w:p>
        </w:tc>
        <w:tc>
          <w:tcPr>
            <w:tcW w:w="1020" w:type="dxa"/>
            <w:vAlign w:val="bottom"/>
          </w:tcPr>
          <w:p>
            <w:pPr>
              <w:jc w:val="right"/>
              <w:spacing w:after="0" w:line="165" w:lineRule="exact"/>
              <w:rPr>
                <w:sz w:val="20"/>
                <w:szCs w:val="20"/>
                <w:color w:val="auto"/>
              </w:rPr>
            </w:pPr>
            <w:r>
              <w:rPr>
                <w:rFonts w:ascii="Arial" w:cs="Arial" w:eastAsia="Arial" w:hAnsi="Arial"/>
                <w:sz w:val="16"/>
                <w:szCs w:val="16"/>
                <w:color w:val="auto"/>
              </w:rPr>
              <w:t>10,649,143</w:t>
            </w:r>
          </w:p>
        </w:tc>
        <w:tc>
          <w:tcPr>
            <w:tcW w:w="980" w:type="dxa"/>
            <w:vAlign w:val="bottom"/>
            <w:tcBorders>
              <w:right w:val="single" w:sz="8" w:color="auto"/>
            </w:tcBorders>
          </w:tcPr>
          <w:p>
            <w:pPr>
              <w:jc w:val="right"/>
              <w:spacing w:after="0" w:line="165" w:lineRule="exact"/>
              <w:rPr>
                <w:sz w:val="20"/>
                <w:szCs w:val="20"/>
                <w:color w:val="auto"/>
              </w:rPr>
            </w:pPr>
            <w:r>
              <w:rPr>
                <w:rFonts w:ascii="Arial" w:cs="Arial" w:eastAsia="Arial" w:hAnsi="Arial"/>
                <w:sz w:val="16"/>
                <w:szCs w:val="16"/>
                <w:color w:val="auto"/>
              </w:rPr>
              <w:t>13,928,453</w:t>
            </w:r>
          </w:p>
        </w:tc>
        <w:tc>
          <w:tcPr>
            <w:tcW w:w="122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6"/>
                <w:szCs w:val="16"/>
                <w:color w:val="auto"/>
              </w:rPr>
              <w:t>30.8%</w:t>
            </w:r>
          </w:p>
        </w:tc>
      </w:tr>
      <w:tr>
        <w:trPr>
          <w:trHeight w:val="185"/>
        </w:trPr>
        <w:tc>
          <w:tcPr>
            <w:tcW w:w="40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Interest Expense</w:t>
            </w:r>
          </w:p>
        </w:tc>
        <w:tc>
          <w:tcPr>
            <w:tcW w:w="980" w:type="dxa"/>
            <w:vAlign w:val="bottom"/>
          </w:tcPr>
          <w:p>
            <w:pPr>
              <w:jc w:val="right"/>
              <w:spacing w:after="0"/>
              <w:rPr>
                <w:sz w:val="20"/>
                <w:szCs w:val="20"/>
                <w:color w:val="auto"/>
              </w:rPr>
            </w:pPr>
            <w:r>
              <w:rPr>
                <w:rFonts w:ascii="Arial" w:cs="Arial" w:eastAsia="Arial" w:hAnsi="Arial"/>
                <w:sz w:val="16"/>
                <w:szCs w:val="16"/>
                <w:color w:val="auto"/>
              </w:rPr>
              <w:t>(1,106,283)</w:t>
            </w:r>
          </w:p>
        </w:tc>
        <w:tc>
          <w:tcPr>
            <w:tcW w:w="920" w:type="dxa"/>
            <w:vAlign w:val="bottom"/>
          </w:tcPr>
          <w:p>
            <w:pPr>
              <w:jc w:val="right"/>
              <w:spacing w:after="0"/>
              <w:rPr>
                <w:sz w:val="20"/>
                <w:szCs w:val="20"/>
                <w:color w:val="auto"/>
              </w:rPr>
            </w:pPr>
            <w:r>
              <w:rPr>
                <w:rFonts w:ascii="Arial" w:cs="Arial" w:eastAsia="Arial" w:hAnsi="Arial"/>
                <w:sz w:val="16"/>
                <w:szCs w:val="16"/>
                <w:color w:val="auto"/>
              </w:rPr>
              <w:t>(1,449,090)</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(1,565,058)</w:t>
            </w:r>
          </w:p>
        </w:tc>
        <w:tc>
          <w:tcPr>
            <w:tcW w:w="560" w:type="dxa"/>
            <w:vAlign w:val="bottom"/>
          </w:tcPr>
          <w:p>
            <w:pPr>
              <w:jc w:val="center"/>
              <w:spacing w:after="0"/>
              <w:rPr>
                <w:sz w:val="20"/>
                <w:szCs w:val="20"/>
                <w:color w:val="auto"/>
              </w:rPr>
            </w:pPr>
            <w:r>
              <w:rPr>
                <w:rFonts w:ascii="Arial" w:cs="Arial" w:eastAsia="Arial" w:hAnsi="Arial"/>
                <w:sz w:val="16"/>
                <w:szCs w:val="16"/>
                <w:color w:val="auto"/>
              </w:rPr>
              <w:t>8.0%</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41.5%</w:t>
            </w:r>
          </w:p>
        </w:tc>
        <w:tc>
          <w:tcPr>
            <w:tcW w:w="1020" w:type="dxa"/>
            <w:vAlign w:val="bottom"/>
          </w:tcPr>
          <w:p>
            <w:pPr>
              <w:jc w:val="right"/>
              <w:spacing w:after="0"/>
              <w:rPr>
                <w:sz w:val="20"/>
                <w:szCs w:val="20"/>
                <w:color w:val="auto"/>
              </w:rPr>
            </w:pPr>
            <w:r>
              <w:rPr>
                <w:rFonts w:ascii="Arial" w:cs="Arial" w:eastAsia="Arial" w:hAnsi="Arial"/>
                <w:sz w:val="16"/>
                <w:szCs w:val="16"/>
                <w:color w:val="auto"/>
              </w:rPr>
              <w:t>(2,697,929)</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(4,338,165)</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60.8%</w:t>
            </w:r>
          </w:p>
        </w:tc>
      </w:tr>
      <w:tr>
        <w:trPr>
          <w:trHeight w:val="185"/>
        </w:trPr>
        <w:tc>
          <w:tcPr>
            <w:tcW w:w="4040" w:type="dxa"/>
            <w:vAlign w:val="bottom"/>
            <w:tcBorders>
              <w:left w:val="single" w:sz="8" w:color="auto"/>
              <w:right w:val="single" w:sz="8" w:color="auto"/>
            </w:tcBorders>
          </w:tcPr>
          <w:p>
            <w:pPr>
              <w:ind w:left="300"/>
              <w:spacing w:after="0"/>
              <w:rPr>
                <w:sz w:val="20"/>
                <w:szCs w:val="20"/>
                <w:color w:val="auto"/>
              </w:rPr>
            </w:pPr>
            <w:r>
              <w:rPr>
                <w:rFonts w:ascii="Arial" w:cs="Arial" w:eastAsia="Arial" w:hAnsi="Arial"/>
                <w:sz w:val="16"/>
                <w:szCs w:val="16"/>
                <w:color w:val="auto"/>
              </w:rPr>
              <w:t>Interest Expense (excluding Net Insurance</w:t>
            </w:r>
          </w:p>
        </w:tc>
        <w:tc>
          <w:tcPr>
            <w:tcW w:w="980" w:type="dxa"/>
            <w:vAlign w:val="bottom"/>
          </w:tcPr>
          <w:p>
            <w:pPr>
              <w:jc w:val="right"/>
              <w:spacing w:after="0"/>
              <w:rPr>
                <w:sz w:val="20"/>
                <w:szCs w:val="20"/>
                <w:color w:val="auto"/>
              </w:rPr>
            </w:pPr>
            <w:r>
              <w:rPr>
                <w:rFonts w:ascii="Arial" w:cs="Arial" w:eastAsia="Arial" w:hAnsi="Arial"/>
                <w:sz w:val="16"/>
                <w:szCs w:val="16"/>
                <w:color w:val="auto"/>
              </w:rPr>
              <w:t>(988,293)</w:t>
            </w:r>
          </w:p>
        </w:tc>
        <w:tc>
          <w:tcPr>
            <w:tcW w:w="920" w:type="dxa"/>
            <w:vAlign w:val="bottom"/>
          </w:tcPr>
          <w:p>
            <w:pPr>
              <w:jc w:val="right"/>
              <w:spacing w:after="0"/>
              <w:rPr>
                <w:sz w:val="20"/>
                <w:szCs w:val="20"/>
                <w:color w:val="auto"/>
              </w:rPr>
            </w:pPr>
            <w:r>
              <w:rPr>
                <w:rFonts w:ascii="Arial" w:cs="Arial" w:eastAsia="Arial" w:hAnsi="Arial"/>
                <w:sz w:val="16"/>
                <w:szCs w:val="16"/>
                <w:color w:val="auto"/>
              </w:rPr>
              <w:t>(1,333,924)</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(1,448,593)</w:t>
            </w:r>
          </w:p>
        </w:tc>
        <w:tc>
          <w:tcPr>
            <w:tcW w:w="560" w:type="dxa"/>
            <w:vAlign w:val="bottom"/>
          </w:tcPr>
          <w:p>
            <w:pPr>
              <w:jc w:val="center"/>
              <w:spacing w:after="0"/>
              <w:rPr>
                <w:sz w:val="20"/>
                <w:szCs w:val="20"/>
                <w:color w:val="auto"/>
              </w:rPr>
            </w:pPr>
            <w:r>
              <w:rPr>
                <w:rFonts w:ascii="Arial" w:cs="Arial" w:eastAsia="Arial" w:hAnsi="Arial"/>
                <w:sz w:val="16"/>
                <w:szCs w:val="16"/>
                <w:color w:val="auto"/>
              </w:rPr>
              <w:t>8.6%</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46.6%</w:t>
            </w:r>
          </w:p>
        </w:tc>
        <w:tc>
          <w:tcPr>
            <w:tcW w:w="1020" w:type="dxa"/>
            <w:vAlign w:val="bottom"/>
          </w:tcPr>
          <w:p>
            <w:pPr>
              <w:jc w:val="right"/>
              <w:spacing w:after="0"/>
              <w:rPr>
                <w:sz w:val="20"/>
                <w:szCs w:val="20"/>
                <w:color w:val="auto"/>
              </w:rPr>
            </w:pPr>
            <w:r>
              <w:rPr>
                <w:rFonts w:ascii="Arial" w:cs="Arial" w:eastAsia="Arial" w:hAnsi="Arial"/>
                <w:sz w:val="16"/>
                <w:szCs w:val="16"/>
                <w:color w:val="auto"/>
              </w:rPr>
              <w:t>(2,374,221)</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(3,990,784)</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68.1%</w:t>
            </w:r>
          </w:p>
        </w:tc>
      </w:tr>
      <w:tr>
        <w:trPr>
          <w:trHeight w:val="185"/>
        </w:trPr>
        <w:tc>
          <w:tcPr>
            <w:tcW w:w="4040" w:type="dxa"/>
            <w:vAlign w:val="bottom"/>
            <w:tcBorders>
              <w:left w:val="single" w:sz="8" w:color="auto"/>
              <w:right w:val="single" w:sz="8" w:color="auto"/>
            </w:tcBorders>
          </w:tcPr>
          <w:p>
            <w:pPr>
              <w:ind w:left="460"/>
              <w:spacing w:after="0"/>
              <w:rPr>
                <w:sz w:val="20"/>
                <w:szCs w:val="20"/>
                <w:color w:val="auto"/>
              </w:rPr>
            </w:pPr>
            <w:r>
              <w:rPr>
                <w:rFonts w:ascii="Arial" w:cs="Arial" w:eastAsia="Arial" w:hAnsi="Arial"/>
                <w:sz w:val="16"/>
                <w:szCs w:val="16"/>
                <w:color w:val="auto"/>
              </w:rPr>
              <w:t>Financial Expenses)</w:t>
            </w:r>
          </w:p>
        </w:tc>
        <w:tc>
          <w:tcPr>
            <w:tcW w:w="9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00" w:type="dxa"/>
            <w:vAlign w:val="bottom"/>
            <w:tcBorders>
              <w:right w:val="single" w:sz="8" w:color="auto"/>
            </w:tcBorders>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102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r>
      <w:tr>
        <w:trPr>
          <w:trHeight w:val="198"/>
        </w:trPr>
        <w:tc>
          <w:tcPr>
            <w:tcW w:w="4040" w:type="dxa"/>
            <w:vAlign w:val="bottom"/>
            <w:tcBorders>
              <w:left w:val="single" w:sz="8" w:color="auto"/>
              <w:bottom w:val="single" w:sz="8" w:color="auto"/>
              <w:right w:val="single" w:sz="8" w:color="auto"/>
            </w:tcBorders>
          </w:tcPr>
          <w:p>
            <w:pPr>
              <w:ind w:left="300"/>
              <w:spacing w:after="0"/>
              <w:rPr>
                <w:sz w:val="20"/>
                <w:szCs w:val="20"/>
                <w:color w:val="auto"/>
              </w:rPr>
            </w:pPr>
            <w:r>
              <w:rPr>
                <w:rFonts w:ascii="Arial" w:cs="Arial" w:eastAsia="Arial" w:hAnsi="Arial"/>
                <w:sz w:val="16"/>
                <w:szCs w:val="16"/>
                <w:color w:val="auto"/>
              </w:rPr>
              <w:t>Net Insurance Financial Expenses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(117,990)</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(115,166)</w:t>
            </w: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(116,465)</w:t>
            </w: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1.1%</w:t>
            </w: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-1.3%</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(323,708)</w:t>
            </w:r>
          </w:p>
        </w:tc>
        <w:tc>
          <w:tcPr>
            <w:tcW w:w="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(347,381)</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7.3%</w:t>
            </w:r>
          </w:p>
        </w:tc>
      </w:tr>
      <w:tr>
        <w:trPr>
          <w:trHeight w:val="190"/>
        </w:trPr>
        <w:tc>
          <w:tcPr>
            <w:tcW w:w="40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6"/>
                <w:szCs w:val="16"/>
                <w:b w:val="1"/>
                <w:bCs w:val="1"/>
                <w:color w:val="auto"/>
              </w:rPr>
              <w:t>Net Interest Income</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2,882,401</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3,204,156</w:t>
            </w: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3,254,043</w:t>
            </w: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1.6%</w:t>
            </w: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12.9%</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7,951,214</w:t>
            </w:r>
          </w:p>
        </w:tc>
        <w:tc>
          <w:tcPr>
            <w:tcW w:w="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9,590,288</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20.6%</w:t>
            </w:r>
          </w:p>
        </w:tc>
      </w:tr>
      <w:tr>
        <w:trPr>
          <w:trHeight w:val="338"/>
        </w:trPr>
        <w:tc>
          <w:tcPr>
            <w:tcW w:w="40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Balances</w:t>
            </w: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r>
      <w:tr>
        <w:trPr>
          <w:trHeight w:val="185"/>
        </w:trPr>
        <w:tc>
          <w:tcPr>
            <w:tcW w:w="40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Average Interest Earning Assets (IEA)</w:t>
            </w:r>
          </w:p>
        </w:tc>
        <w:tc>
          <w:tcPr>
            <w:tcW w:w="2800" w:type="dxa"/>
            <w:vAlign w:val="bottom"/>
            <w:tcBorders>
              <w:right w:val="single" w:sz="8" w:color="auto"/>
            </w:tcBorders>
            <w:gridSpan w:val="3"/>
          </w:tcPr>
          <w:p>
            <w:pPr>
              <w:jc w:val="right"/>
              <w:spacing w:after="0"/>
              <w:rPr>
                <w:sz w:val="20"/>
                <w:szCs w:val="20"/>
                <w:color w:val="auto"/>
              </w:rPr>
            </w:pPr>
            <w:r>
              <w:rPr>
                <w:rFonts w:ascii="Arial" w:cs="Arial" w:eastAsia="Arial" w:hAnsi="Arial"/>
                <w:sz w:val="16"/>
                <w:szCs w:val="16"/>
                <w:color w:val="auto"/>
              </w:rPr>
              <w:t>225,371,577220,651,688220,724,334</w:t>
            </w:r>
          </w:p>
        </w:tc>
        <w:tc>
          <w:tcPr>
            <w:tcW w:w="560" w:type="dxa"/>
            <w:vAlign w:val="bottom"/>
          </w:tcPr>
          <w:p>
            <w:pPr>
              <w:jc w:val="center"/>
              <w:spacing w:after="0"/>
              <w:rPr>
                <w:sz w:val="20"/>
                <w:szCs w:val="20"/>
                <w:color w:val="auto"/>
              </w:rPr>
            </w:pPr>
            <w:r>
              <w:rPr>
                <w:rFonts w:ascii="Arial" w:cs="Arial" w:eastAsia="Arial" w:hAnsi="Arial"/>
                <w:sz w:val="16"/>
                <w:szCs w:val="16"/>
                <w:color w:val="auto"/>
              </w:rPr>
              <w:t>0.0%</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-2.1%</w:t>
            </w:r>
          </w:p>
        </w:tc>
        <w:tc>
          <w:tcPr>
            <w:tcW w:w="1020" w:type="dxa"/>
            <w:vAlign w:val="bottom"/>
          </w:tcPr>
          <w:p>
            <w:pPr>
              <w:jc w:val="right"/>
              <w:spacing w:after="0"/>
              <w:rPr>
                <w:sz w:val="20"/>
                <w:szCs w:val="20"/>
                <w:color w:val="auto"/>
              </w:rPr>
            </w:pPr>
            <w:r>
              <w:rPr>
                <w:rFonts w:ascii="Arial" w:cs="Arial" w:eastAsia="Arial" w:hAnsi="Arial"/>
                <w:sz w:val="16"/>
                <w:szCs w:val="16"/>
                <w:color w:val="auto"/>
              </w:rPr>
              <w:t>229,932,415</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222,362,151</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-3.3%</w:t>
            </w:r>
          </w:p>
        </w:tc>
      </w:tr>
      <w:tr>
        <w:trPr>
          <w:trHeight w:val="209"/>
        </w:trPr>
        <w:tc>
          <w:tcPr>
            <w:tcW w:w="40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Average Funding</w:t>
            </w:r>
          </w:p>
        </w:tc>
        <w:tc>
          <w:tcPr>
            <w:tcW w:w="2800" w:type="dxa"/>
            <w:vAlign w:val="bottom"/>
            <w:tcBorders>
              <w:right w:val="single" w:sz="8" w:color="auto"/>
            </w:tcBorders>
            <w:gridSpan w:val="3"/>
          </w:tcPr>
          <w:p>
            <w:pPr>
              <w:jc w:val="right"/>
              <w:spacing w:after="0"/>
              <w:rPr>
                <w:sz w:val="20"/>
                <w:szCs w:val="20"/>
                <w:color w:val="auto"/>
              </w:rPr>
            </w:pPr>
            <w:r>
              <w:rPr>
                <w:rFonts w:ascii="Arial" w:cs="Arial" w:eastAsia="Arial" w:hAnsi="Arial"/>
                <w:sz w:val="16"/>
                <w:szCs w:val="16"/>
                <w:color w:val="auto"/>
              </w:rPr>
              <w:t>192,002,398183,407,530183,805,091</w:t>
            </w:r>
          </w:p>
        </w:tc>
        <w:tc>
          <w:tcPr>
            <w:tcW w:w="560" w:type="dxa"/>
            <w:vAlign w:val="bottom"/>
          </w:tcPr>
          <w:p>
            <w:pPr>
              <w:jc w:val="center"/>
              <w:spacing w:after="0"/>
              <w:rPr>
                <w:sz w:val="20"/>
                <w:szCs w:val="20"/>
                <w:color w:val="auto"/>
              </w:rPr>
            </w:pPr>
            <w:r>
              <w:rPr>
                <w:rFonts w:ascii="Arial" w:cs="Arial" w:eastAsia="Arial" w:hAnsi="Arial"/>
                <w:sz w:val="16"/>
                <w:szCs w:val="16"/>
                <w:color w:val="auto"/>
              </w:rPr>
              <w:t>0.2%</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-4.3%</w:t>
            </w:r>
          </w:p>
        </w:tc>
        <w:tc>
          <w:tcPr>
            <w:tcW w:w="1020" w:type="dxa"/>
            <w:vAlign w:val="bottom"/>
          </w:tcPr>
          <w:p>
            <w:pPr>
              <w:jc w:val="right"/>
              <w:spacing w:after="0"/>
              <w:rPr>
                <w:sz w:val="20"/>
                <w:szCs w:val="20"/>
                <w:color w:val="auto"/>
              </w:rPr>
            </w:pPr>
            <w:r>
              <w:rPr>
                <w:rFonts w:ascii="Arial" w:cs="Arial" w:eastAsia="Arial" w:hAnsi="Arial"/>
                <w:sz w:val="16"/>
                <w:szCs w:val="16"/>
                <w:color w:val="auto"/>
              </w:rPr>
              <w:t>196,017,913</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185,774,857</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-5.2%</w:t>
            </w:r>
          </w:p>
        </w:tc>
      </w:tr>
      <w:tr>
        <w:trPr>
          <w:trHeight w:val="335"/>
        </w:trPr>
        <w:tc>
          <w:tcPr>
            <w:tcW w:w="40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Yields</w:t>
            </w:r>
          </w:p>
        </w:tc>
        <w:tc>
          <w:tcPr>
            <w:tcW w:w="9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spacing w:after="0"/>
              <w:rPr>
                <w:sz w:val="24"/>
                <w:szCs w:val="24"/>
                <w:color w:val="auto"/>
              </w:rPr>
            </w:pPr>
          </w:p>
        </w:tc>
      </w:tr>
      <w:tr>
        <w:trPr>
          <w:trHeight w:val="185"/>
        </w:trPr>
        <w:tc>
          <w:tcPr>
            <w:tcW w:w="40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color w:val="auto"/>
              </w:rPr>
              <w:t>Yield on IEAs</w:t>
            </w:r>
          </w:p>
        </w:tc>
        <w:tc>
          <w:tcPr>
            <w:tcW w:w="980" w:type="dxa"/>
            <w:vAlign w:val="bottom"/>
          </w:tcPr>
          <w:p>
            <w:pPr>
              <w:jc w:val="right"/>
              <w:spacing w:after="0"/>
              <w:rPr>
                <w:sz w:val="20"/>
                <w:szCs w:val="20"/>
                <w:color w:val="auto"/>
              </w:rPr>
            </w:pPr>
            <w:r>
              <w:rPr>
                <w:rFonts w:ascii="Arial" w:cs="Arial" w:eastAsia="Arial" w:hAnsi="Arial"/>
                <w:sz w:val="16"/>
                <w:szCs w:val="16"/>
                <w:color w:val="auto"/>
              </w:rPr>
              <w:t>7.08%</w:t>
            </w:r>
          </w:p>
        </w:tc>
        <w:tc>
          <w:tcPr>
            <w:tcW w:w="920" w:type="dxa"/>
            <w:vAlign w:val="bottom"/>
          </w:tcPr>
          <w:p>
            <w:pPr>
              <w:jc w:val="right"/>
              <w:spacing w:after="0"/>
              <w:rPr>
                <w:sz w:val="20"/>
                <w:szCs w:val="20"/>
                <w:color w:val="auto"/>
              </w:rPr>
            </w:pPr>
            <w:r>
              <w:rPr>
                <w:rFonts w:ascii="Arial" w:cs="Arial" w:eastAsia="Arial" w:hAnsi="Arial"/>
                <w:sz w:val="16"/>
                <w:szCs w:val="16"/>
                <w:color w:val="auto"/>
              </w:rPr>
              <w:t>8.44%</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8.73%</w:t>
            </w:r>
          </w:p>
        </w:tc>
        <w:tc>
          <w:tcPr>
            <w:tcW w:w="560" w:type="dxa"/>
            <w:vAlign w:val="bottom"/>
          </w:tcPr>
          <w:p>
            <w:pPr>
              <w:jc w:val="center"/>
              <w:spacing w:after="0"/>
              <w:rPr>
                <w:sz w:val="20"/>
                <w:szCs w:val="20"/>
                <w:color w:val="auto"/>
              </w:rPr>
            </w:pPr>
            <w:r>
              <w:rPr>
                <w:rFonts w:ascii="Arial" w:cs="Arial" w:eastAsia="Arial" w:hAnsi="Arial"/>
                <w:sz w:val="16"/>
                <w:szCs w:val="16"/>
                <w:color w:val="auto"/>
              </w:rPr>
              <w:t>29bps</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165bps</w:t>
            </w:r>
          </w:p>
        </w:tc>
        <w:tc>
          <w:tcPr>
            <w:tcW w:w="1020" w:type="dxa"/>
            <w:vAlign w:val="bottom"/>
          </w:tcPr>
          <w:p>
            <w:pPr>
              <w:jc w:val="right"/>
              <w:spacing w:after="0"/>
              <w:rPr>
                <w:sz w:val="20"/>
                <w:szCs w:val="20"/>
                <w:color w:val="auto"/>
              </w:rPr>
            </w:pPr>
            <w:r>
              <w:rPr>
                <w:rFonts w:ascii="Arial" w:cs="Arial" w:eastAsia="Arial" w:hAnsi="Arial"/>
                <w:sz w:val="16"/>
                <w:szCs w:val="16"/>
                <w:color w:val="auto"/>
              </w:rPr>
              <w:t>6.18%</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8.35%</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217bps</w:t>
            </w:r>
          </w:p>
        </w:tc>
      </w:tr>
      <w:tr>
        <w:trPr>
          <w:trHeight w:val="169"/>
        </w:trPr>
        <w:tc>
          <w:tcPr>
            <w:tcW w:w="4040" w:type="dxa"/>
            <w:vAlign w:val="bottom"/>
            <w:tcBorders>
              <w:left w:val="single" w:sz="8" w:color="auto"/>
              <w:right w:val="single" w:sz="8" w:color="auto"/>
            </w:tcBorders>
          </w:tcPr>
          <w:p>
            <w:pPr>
              <w:ind w:left="160"/>
              <w:spacing w:after="0" w:line="169" w:lineRule="exact"/>
              <w:rPr>
                <w:sz w:val="20"/>
                <w:szCs w:val="20"/>
                <w:color w:val="auto"/>
              </w:rPr>
            </w:pPr>
            <w:r>
              <w:rPr>
                <w:rFonts w:ascii="Arial" w:cs="Arial" w:eastAsia="Arial" w:hAnsi="Arial"/>
                <w:sz w:val="16"/>
                <w:szCs w:val="16"/>
                <w:color w:val="auto"/>
              </w:rPr>
              <w:t>Cost of Funds</w:t>
            </w:r>
          </w:p>
        </w:tc>
        <w:tc>
          <w:tcPr>
            <w:tcW w:w="980" w:type="dxa"/>
            <w:vAlign w:val="bottom"/>
          </w:tcPr>
          <w:p>
            <w:pPr>
              <w:jc w:val="right"/>
              <w:spacing w:after="0" w:line="169" w:lineRule="exact"/>
              <w:rPr>
                <w:sz w:val="20"/>
                <w:szCs w:val="20"/>
                <w:color w:val="auto"/>
              </w:rPr>
            </w:pPr>
            <w:r>
              <w:rPr>
                <w:rFonts w:ascii="Arial" w:cs="Arial" w:eastAsia="Arial" w:hAnsi="Arial"/>
                <w:sz w:val="16"/>
                <w:szCs w:val="16"/>
                <w:color w:val="auto"/>
              </w:rPr>
              <w:t>2.06%</w:t>
            </w:r>
          </w:p>
        </w:tc>
        <w:tc>
          <w:tcPr>
            <w:tcW w:w="920" w:type="dxa"/>
            <w:vAlign w:val="bottom"/>
          </w:tcPr>
          <w:p>
            <w:pPr>
              <w:jc w:val="right"/>
              <w:spacing w:after="0" w:line="169" w:lineRule="exact"/>
              <w:rPr>
                <w:sz w:val="20"/>
                <w:szCs w:val="20"/>
                <w:color w:val="auto"/>
              </w:rPr>
            </w:pPr>
            <w:r>
              <w:rPr>
                <w:rFonts w:ascii="Arial" w:cs="Arial" w:eastAsia="Arial" w:hAnsi="Arial"/>
                <w:sz w:val="16"/>
                <w:szCs w:val="16"/>
                <w:color w:val="auto"/>
              </w:rPr>
              <w:t>2.91%</w:t>
            </w:r>
          </w:p>
        </w:tc>
        <w:tc>
          <w:tcPr>
            <w:tcW w:w="900" w:type="dxa"/>
            <w:vAlign w:val="bottom"/>
            <w:tcBorders>
              <w:right w:val="single" w:sz="8" w:color="auto"/>
            </w:tcBorders>
          </w:tcPr>
          <w:p>
            <w:pPr>
              <w:jc w:val="right"/>
              <w:spacing w:after="0" w:line="169" w:lineRule="exact"/>
              <w:rPr>
                <w:sz w:val="20"/>
                <w:szCs w:val="20"/>
                <w:color w:val="auto"/>
              </w:rPr>
            </w:pPr>
            <w:r>
              <w:rPr>
                <w:rFonts w:ascii="Arial" w:cs="Arial" w:eastAsia="Arial" w:hAnsi="Arial"/>
                <w:sz w:val="16"/>
                <w:szCs w:val="16"/>
                <w:color w:val="auto"/>
              </w:rPr>
              <w:t>3.15%</w:t>
            </w:r>
          </w:p>
        </w:tc>
        <w:tc>
          <w:tcPr>
            <w:tcW w:w="1200" w:type="dxa"/>
            <w:vAlign w:val="bottom"/>
            <w:tcBorders>
              <w:right w:val="single" w:sz="8" w:color="auto"/>
            </w:tcBorders>
            <w:gridSpan w:val="2"/>
          </w:tcPr>
          <w:p>
            <w:pPr>
              <w:jc w:val="center"/>
              <w:spacing w:after="0" w:line="169" w:lineRule="exact"/>
              <w:rPr>
                <w:sz w:val="20"/>
                <w:szCs w:val="20"/>
                <w:color w:val="auto"/>
              </w:rPr>
            </w:pPr>
            <w:r>
              <w:rPr>
                <w:rFonts w:ascii="Arial" w:cs="Arial" w:eastAsia="Arial" w:hAnsi="Arial"/>
                <w:sz w:val="16"/>
                <w:szCs w:val="16"/>
                <w:color w:val="auto"/>
              </w:rPr>
              <w:t>24bps 109bps</w:t>
            </w:r>
          </w:p>
        </w:tc>
        <w:tc>
          <w:tcPr>
            <w:tcW w:w="1020" w:type="dxa"/>
            <w:vAlign w:val="bottom"/>
          </w:tcPr>
          <w:p>
            <w:pPr>
              <w:jc w:val="right"/>
              <w:spacing w:after="0" w:line="169" w:lineRule="exact"/>
              <w:rPr>
                <w:sz w:val="20"/>
                <w:szCs w:val="20"/>
                <w:color w:val="auto"/>
              </w:rPr>
            </w:pPr>
            <w:r>
              <w:rPr>
                <w:rFonts w:ascii="Arial" w:cs="Arial" w:eastAsia="Arial" w:hAnsi="Arial"/>
                <w:sz w:val="16"/>
                <w:szCs w:val="16"/>
                <w:color w:val="auto"/>
              </w:rPr>
              <w:t>1.61%</w:t>
            </w:r>
          </w:p>
        </w:tc>
        <w:tc>
          <w:tcPr>
            <w:tcW w:w="980" w:type="dxa"/>
            <w:vAlign w:val="bottom"/>
            <w:tcBorders>
              <w:right w:val="single" w:sz="8" w:color="auto"/>
            </w:tcBorders>
          </w:tcPr>
          <w:p>
            <w:pPr>
              <w:jc w:val="right"/>
              <w:spacing w:after="0" w:line="169" w:lineRule="exact"/>
              <w:rPr>
                <w:sz w:val="20"/>
                <w:szCs w:val="20"/>
                <w:color w:val="auto"/>
              </w:rPr>
            </w:pPr>
            <w:r>
              <w:rPr>
                <w:rFonts w:ascii="Arial" w:cs="Arial" w:eastAsia="Arial" w:hAnsi="Arial"/>
                <w:sz w:val="16"/>
                <w:szCs w:val="16"/>
                <w:color w:val="auto"/>
              </w:rPr>
              <w:t>2.86%</w:t>
            </w:r>
          </w:p>
        </w:tc>
        <w:tc>
          <w:tcPr>
            <w:tcW w:w="122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6"/>
                <w:szCs w:val="16"/>
                <w:color w:val="auto"/>
              </w:rPr>
              <w:t>125bps</w:t>
            </w:r>
          </w:p>
        </w:tc>
      </w:tr>
      <w:tr>
        <w:trPr>
          <w:trHeight w:val="194"/>
        </w:trPr>
        <w:tc>
          <w:tcPr>
            <w:tcW w:w="4040" w:type="dxa"/>
            <w:vAlign w:val="bottom"/>
            <w:tcBorders>
              <w:left w:val="single" w:sz="8" w:color="auto"/>
              <w:right w:val="single" w:sz="8" w:color="auto"/>
            </w:tcBorders>
          </w:tcPr>
          <w:p>
            <w:pPr>
              <w:ind w:left="160"/>
              <w:spacing w:after="0" w:line="193" w:lineRule="exact"/>
              <w:rPr>
                <w:sz w:val="20"/>
                <w:szCs w:val="20"/>
                <w:color w:val="auto"/>
              </w:rPr>
            </w:pPr>
            <w:r>
              <w:rPr>
                <w:rFonts w:ascii="Arial" w:cs="Arial" w:eastAsia="Arial" w:hAnsi="Arial"/>
                <w:sz w:val="14"/>
                <w:szCs w:val="14"/>
                <w:b w:val="1"/>
                <w:bCs w:val="1"/>
                <w:color w:val="auto"/>
              </w:rPr>
              <w:t>Net Interest Margin (NIM)</w:t>
            </w:r>
            <w:r>
              <w:rPr>
                <w:rFonts w:ascii="Arial" w:cs="Arial" w:eastAsia="Arial" w:hAnsi="Arial"/>
                <w:sz w:val="22"/>
                <w:szCs w:val="22"/>
                <w:b w:val="1"/>
                <w:bCs w:val="1"/>
                <w:color w:val="auto"/>
                <w:vertAlign w:val="superscript"/>
              </w:rPr>
              <w:t>(1)</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5.33%</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6.02%</w:t>
            </w:r>
          </w:p>
        </w:tc>
        <w:tc>
          <w:tcPr>
            <w:tcW w:w="90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6.11%</w:t>
            </w:r>
          </w:p>
        </w:tc>
        <w:tc>
          <w:tcPr>
            <w:tcW w:w="560" w:type="dxa"/>
            <w:vAlign w:val="bottom"/>
          </w:tcPr>
          <w:p>
            <w:pPr>
              <w:jc w:val="center"/>
              <w:spacing w:after="0"/>
              <w:rPr>
                <w:sz w:val="20"/>
                <w:szCs w:val="20"/>
                <w:color w:val="auto"/>
              </w:rPr>
            </w:pPr>
            <w:r>
              <w:rPr>
                <w:rFonts w:ascii="Arial" w:cs="Arial" w:eastAsia="Arial" w:hAnsi="Arial"/>
                <w:sz w:val="16"/>
                <w:szCs w:val="16"/>
                <w:b w:val="1"/>
                <w:bCs w:val="1"/>
                <w:color w:val="auto"/>
              </w:rPr>
              <w:t>9bps</w:t>
            </w:r>
          </w:p>
        </w:tc>
        <w:tc>
          <w:tcPr>
            <w:tcW w:w="6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78bps</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4.80%</w:t>
            </w: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6"/>
                <w:szCs w:val="16"/>
                <w:b w:val="1"/>
                <w:bCs w:val="1"/>
                <w:color w:val="auto"/>
              </w:rPr>
              <w:t>5.96%</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116bps</w:t>
            </w:r>
          </w:p>
        </w:tc>
      </w:tr>
      <w:tr>
        <w:trPr>
          <w:trHeight w:val="206"/>
        </w:trPr>
        <w:tc>
          <w:tcPr>
            <w:tcW w:w="40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6"/>
                <w:szCs w:val="16"/>
                <w:b w:val="1"/>
                <w:bCs w:val="1"/>
                <w:color w:val="auto"/>
              </w:rPr>
              <w:t>Risk-Adjusted Net Interest Margin</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4.51%</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4.56%</w:t>
            </w: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4.45%</w:t>
            </w: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-11bps</w:t>
            </w: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-6bps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4.17%</w:t>
            </w:r>
          </w:p>
        </w:tc>
        <w:tc>
          <w:tcPr>
            <w:tcW w:w="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4.49%</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32bps</w:t>
            </w:r>
          </w:p>
        </w:tc>
      </w:tr>
      <w:tr>
        <w:trPr>
          <w:trHeight w:val="157"/>
        </w:trPr>
        <w:tc>
          <w:tcPr>
            <w:tcW w:w="4040" w:type="dxa"/>
            <w:vAlign w:val="bottom"/>
            <w:tcBorders>
              <w:left w:val="single" w:sz="8" w:color="auto"/>
              <w:right w:val="single" w:sz="8" w:color="auto"/>
            </w:tcBorders>
          </w:tcPr>
          <w:p>
            <w:pPr>
              <w:ind w:left="160"/>
              <w:spacing w:after="0" w:line="157" w:lineRule="exact"/>
              <w:rPr>
                <w:sz w:val="20"/>
                <w:szCs w:val="20"/>
                <w:color w:val="auto"/>
              </w:rPr>
            </w:pPr>
            <w:r>
              <w:rPr>
                <w:rFonts w:ascii="Arial" w:cs="Arial" w:eastAsia="Arial" w:hAnsi="Arial"/>
                <w:sz w:val="16"/>
                <w:szCs w:val="16"/>
                <w:b w:val="1"/>
                <w:bCs w:val="1"/>
                <w:color w:val="auto"/>
              </w:rPr>
              <w:t>Peru’s Reference Rate</w:t>
            </w:r>
          </w:p>
        </w:tc>
        <w:tc>
          <w:tcPr>
            <w:tcW w:w="980" w:type="dxa"/>
            <w:vAlign w:val="bottom"/>
          </w:tcPr>
          <w:p>
            <w:pPr>
              <w:jc w:val="right"/>
              <w:spacing w:after="0" w:line="157" w:lineRule="exact"/>
              <w:rPr>
                <w:sz w:val="20"/>
                <w:szCs w:val="20"/>
                <w:color w:val="auto"/>
              </w:rPr>
            </w:pPr>
            <w:r>
              <w:rPr>
                <w:rFonts w:ascii="Arial" w:cs="Arial" w:eastAsia="Arial" w:hAnsi="Arial"/>
                <w:sz w:val="16"/>
                <w:szCs w:val="16"/>
                <w:b w:val="1"/>
                <w:bCs w:val="1"/>
                <w:color w:val="auto"/>
              </w:rPr>
              <w:t>6.75%</w:t>
            </w:r>
          </w:p>
        </w:tc>
        <w:tc>
          <w:tcPr>
            <w:tcW w:w="920" w:type="dxa"/>
            <w:vAlign w:val="bottom"/>
          </w:tcPr>
          <w:p>
            <w:pPr>
              <w:jc w:val="right"/>
              <w:spacing w:after="0" w:line="157" w:lineRule="exact"/>
              <w:rPr>
                <w:sz w:val="20"/>
                <w:szCs w:val="20"/>
                <w:color w:val="auto"/>
              </w:rPr>
            </w:pPr>
            <w:r>
              <w:rPr>
                <w:rFonts w:ascii="Arial" w:cs="Arial" w:eastAsia="Arial" w:hAnsi="Arial"/>
                <w:sz w:val="16"/>
                <w:szCs w:val="16"/>
                <w:b w:val="1"/>
                <w:bCs w:val="1"/>
                <w:color w:val="auto"/>
              </w:rPr>
              <w:t>7.75%</w:t>
            </w:r>
          </w:p>
        </w:tc>
        <w:tc>
          <w:tcPr>
            <w:tcW w:w="900" w:type="dxa"/>
            <w:vAlign w:val="bottom"/>
            <w:tcBorders>
              <w:right w:val="single" w:sz="8" w:color="auto"/>
            </w:tcBorders>
          </w:tcPr>
          <w:p>
            <w:pPr>
              <w:jc w:val="right"/>
              <w:spacing w:after="0" w:line="157" w:lineRule="exact"/>
              <w:rPr>
                <w:sz w:val="20"/>
                <w:szCs w:val="20"/>
                <w:color w:val="auto"/>
              </w:rPr>
            </w:pPr>
            <w:r>
              <w:rPr>
                <w:rFonts w:ascii="Arial" w:cs="Arial" w:eastAsia="Arial" w:hAnsi="Arial"/>
                <w:sz w:val="16"/>
                <w:szCs w:val="16"/>
                <w:b w:val="1"/>
                <w:bCs w:val="1"/>
                <w:color w:val="auto"/>
              </w:rPr>
              <w:t>7.50%</w:t>
            </w:r>
          </w:p>
        </w:tc>
        <w:tc>
          <w:tcPr>
            <w:tcW w:w="1200" w:type="dxa"/>
            <w:vAlign w:val="bottom"/>
            <w:tcBorders>
              <w:right w:val="single" w:sz="8" w:color="auto"/>
            </w:tcBorders>
            <w:gridSpan w:val="2"/>
          </w:tcPr>
          <w:p>
            <w:pPr>
              <w:spacing w:after="0" w:line="157" w:lineRule="exact"/>
              <w:rPr>
                <w:sz w:val="20"/>
                <w:szCs w:val="20"/>
                <w:color w:val="auto"/>
              </w:rPr>
            </w:pPr>
            <w:r>
              <w:rPr>
                <w:rFonts w:ascii="Arial" w:cs="Arial" w:eastAsia="Arial" w:hAnsi="Arial"/>
                <w:sz w:val="16"/>
                <w:szCs w:val="16"/>
                <w:b w:val="1"/>
                <w:bCs w:val="1"/>
                <w:color w:val="auto"/>
              </w:rPr>
              <w:t>-25bps 75bps</w:t>
            </w:r>
          </w:p>
        </w:tc>
        <w:tc>
          <w:tcPr>
            <w:tcW w:w="1020" w:type="dxa"/>
            <w:vAlign w:val="bottom"/>
          </w:tcPr>
          <w:p>
            <w:pPr>
              <w:jc w:val="right"/>
              <w:spacing w:after="0" w:line="157" w:lineRule="exact"/>
              <w:rPr>
                <w:sz w:val="20"/>
                <w:szCs w:val="20"/>
                <w:color w:val="auto"/>
              </w:rPr>
            </w:pPr>
            <w:r>
              <w:rPr>
                <w:rFonts w:ascii="Arial" w:cs="Arial" w:eastAsia="Arial" w:hAnsi="Arial"/>
                <w:sz w:val="16"/>
                <w:szCs w:val="16"/>
                <w:b w:val="1"/>
                <w:bCs w:val="1"/>
                <w:color w:val="auto"/>
              </w:rPr>
              <w:t>6.75%</w:t>
            </w:r>
          </w:p>
        </w:tc>
        <w:tc>
          <w:tcPr>
            <w:tcW w:w="980" w:type="dxa"/>
            <w:vAlign w:val="bottom"/>
            <w:tcBorders>
              <w:right w:val="single" w:sz="8" w:color="auto"/>
            </w:tcBorders>
          </w:tcPr>
          <w:p>
            <w:pPr>
              <w:jc w:val="right"/>
              <w:spacing w:after="0" w:line="157" w:lineRule="exact"/>
              <w:rPr>
                <w:sz w:val="20"/>
                <w:szCs w:val="20"/>
                <w:color w:val="auto"/>
              </w:rPr>
            </w:pPr>
            <w:r>
              <w:rPr>
                <w:rFonts w:ascii="Arial" w:cs="Arial" w:eastAsia="Arial" w:hAnsi="Arial"/>
                <w:sz w:val="16"/>
                <w:szCs w:val="16"/>
                <w:b w:val="1"/>
                <w:bCs w:val="1"/>
                <w:color w:val="auto"/>
              </w:rPr>
              <w:t>7.50%</w:t>
            </w:r>
          </w:p>
        </w:tc>
        <w:tc>
          <w:tcPr>
            <w:tcW w:w="122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6"/>
                <w:szCs w:val="16"/>
                <w:b w:val="1"/>
                <w:bCs w:val="1"/>
                <w:color w:val="auto"/>
                <w:w w:val="99"/>
              </w:rPr>
              <w:t>75bps</w:t>
            </w:r>
          </w:p>
        </w:tc>
      </w:tr>
      <w:tr>
        <w:trPr>
          <w:trHeight w:val="206"/>
        </w:trPr>
        <w:tc>
          <w:tcPr>
            <w:tcW w:w="404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6"/>
                <w:szCs w:val="16"/>
                <w:b w:val="1"/>
                <w:bCs w:val="1"/>
                <w:color w:val="auto"/>
              </w:rPr>
              <w:t>FED funds rate</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3.25%</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5.25%</w:t>
            </w: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5.50%</w:t>
            </w:r>
          </w:p>
        </w:tc>
        <w:tc>
          <w:tcPr>
            <w:tcW w:w="120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25bps 225bps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3.25%</w:t>
            </w:r>
          </w:p>
        </w:tc>
        <w:tc>
          <w:tcPr>
            <w:tcW w:w="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5.50%</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225bps</w:t>
            </w:r>
          </w:p>
        </w:tc>
      </w:tr>
    </w:tbl>
    <w:p>
      <w:pPr>
        <w:spacing w:after="0" w:line="179" w:lineRule="exact"/>
        <w:rPr>
          <w:sz w:val="20"/>
          <w:szCs w:val="20"/>
          <w:color w:val="auto"/>
        </w:rPr>
      </w:pPr>
    </w:p>
    <w:p>
      <w:pPr>
        <w:ind w:left="21"/>
        <w:spacing w:after="0"/>
        <w:rPr>
          <w:sz w:val="20"/>
          <w:szCs w:val="20"/>
          <w:color w:val="auto"/>
        </w:rPr>
      </w:pPr>
      <w:r>
        <w:rPr>
          <w:rFonts w:ascii="Arial" w:cs="Arial" w:eastAsia="Arial" w:hAnsi="Arial"/>
          <w:sz w:val="11"/>
          <w:szCs w:val="11"/>
          <w:color w:val="auto"/>
        </w:rPr>
        <w:t>(1) For further detail on the new NIM calculation due to IFRS17, please refer to Annex 12.1.8</w:t>
      </w:r>
    </w:p>
    <w:p>
      <w:pPr>
        <w:spacing w:after="0" w:line="250" w:lineRule="exact"/>
        <w:rPr>
          <w:sz w:val="20"/>
          <w:szCs w:val="20"/>
          <w:color w:val="auto"/>
        </w:rPr>
      </w:pPr>
    </w:p>
    <w:p>
      <w:pPr>
        <w:jc w:val="both"/>
        <w:ind w:left="1"/>
        <w:spacing w:after="0" w:line="249" w:lineRule="auto"/>
        <w:rPr>
          <w:sz w:val="20"/>
          <w:szCs w:val="20"/>
          <w:color w:val="auto"/>
        </w:rPr>
      </w:pPr>
      <w:r>
        <w:rPr>
          <w:rFonts w:ascii="Arial" w:cs="Arial" w:eastAsia="Arial" w:hAnsi="Arial"/>
          <w:sz w:val="16"/>
          <w:szCs w:val="16"/>
          <w:color w:val="auto"/>
        </w:rPr>
        <w:t>Although interest expenses grew at a faster pace than income, net interest income was up 1.6% QoQ, driven by an uptick in income in FC and LC. The pace of income growth decelerated QoQ (2Q23: +4.4% QoQ) but was nonetheless up 3.6%, driven by two factors:</w:t>
      </w:r>
    </w:p>
    <w:p>
      <w:pPr>
        <w:spacing w:after="0" w:line="1" w:lineRule="exact"/>
        <w:rPr>
          <w:sz w:val="20"/>
          <w:szCs w:val="20"/>
          <w:color w:val="auto"/>
        </w:rPr>
      </w:pPr>
    </w:p>
    <w:p>
      <w:pPr>
        <w:jc w:val="both"/>
        <w:ind w:left="1" w:hanging="1"/>
        <w:spacing w:after="0" w:line="245" w:lineRule="auto"/>
        <w:tabs>
          <w:tab w:leader="none" w:pos="144"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 increase in structural loan balances in Retail Banking, which was concentrated in SME-Pyme, outstripped the drop in balance in Wholesale Banking and ii) growth in investment balances, driven by an uptick in positions for BCRP Certificate of Deposits and sovereign bonds with attractive rates. Both factors led to an IEA composition with a preponderance of higher-yield components. In this context, the yield on IEAs stood at 8.73%, 29 bps above last quarter’s figure. Interest expenses rose 8.0%, driven primarily by growth in deposits, which registered a negative mix effect fueled by an ongoing migration of funds from low-cost to time deposits. Additionally, short-term obligations were renewed at higher rates. The combined impact of this negative mix and pricing effects led the cost of funding to rise 24 bps to stand at 3.15%.</w:t>
      </w:r>
    </w:p>
    <w:p>
      <w:pPr>
        <w:spacing w:after="0" w:line="147" w:lineRule="exact"/>
        <w:rPr>
          <w:sz w:val="20"/>
          <w:szCs w:val="20"/>
          <w:color w:val="auto"/>
        </w:rPr>
      </w:pPr>
    </w:p>
    <w:p>
      <w:pPr>
        <w:jc w:val="both"/>
        <w:ind w:left="1"/>
        <w:spacing w:after="0" w:line="250" w:lineRule="auto"/>
        <w:rPr>
          <w:sz w:val="20"/>
          <w:szCs w:val="20"/>
          <w:color w:val="auto"/>
        </w:rPr>
      </w:pPr>
      <w:r>
        <w:rPr>
          <w:rFonts w:ascii="Arial" w:cs="Arial" w:eastAsia="Arial" w:hAnsi="Arial"/>
          <w:sz w:val="16"/>
          <w:szCs w:val="16"/>
          <w:color w:val="auto"/>
        </w:rPr>
        <w:t>YoY, net interest income rose 12.9%. As was the case QoQ, NII reported growth despite the fact that the upswing in expenses outpaced the expansion reported for income. Growth in income was driven primarily by the positive mix effect described in the QoQ analysis; secondarily by renewals of deposits in other Banks; and thirdly, by an uptick in the investment balance. These three drivers led the yield on IEAs to increase 165 bps in the last 12 months. On the expense side, the funding cost rose due to an increase in the share of time deposits within total deposits and to a lesser extent, due to renewals of debt at higher rates. In this context, interest expenses rose 41.5%.</w:t>
      </w:r>
    </w:p>
    <w:p>
      <w:pPr>
        <w:spacing w:after="0" w:line="196"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Net Interest Margin</w:t>
      </w:r>
    </w:p>
    <w:p>
      <w:pPr>
        <w:spacing w:after="0" w:line="244" w:lineRule="exact"/>
        <w:rPr>
          <w:sz w:val="20"/>
          <w:szCs w:val="20"/>
          <w:color w:val="auto"/>
        </w:rPr>
      </w:pPr>
    </w:p>
    <w:p>
      <w:pPr>
        <w:jc w:val="both"/>
        <w:ind w:left="1" w:right="5840"/>
        <w:spacing w:after="0" w:line="248" w:lineRule="auto"/>
        <w:rPr>
          <w:sz w:val="20"/>
          <w:szCs w:val="20"/>
          <w:color w:val="auto"/>
        </w:rPr>
      </w:pPr>
      <w:r>
        <w:rPr>
          <w:rFonts w:ascii="Arial" w:cs="Arial" w:eastAsia="Arial" w:hAnsi="Arial"/>
          <w:sz w:val="16"/>
          <w:szCs w:val="16"/>
          <w:color w:val="auto"/>
        </w:rPr>
        <w:t>NIM continued to grow (+9pbs) but decelerated in QoQ terms (2Q23: +18 bps), standing at 6.11% at the end of 3Q23. Structural NIM also decelerated but maintained an upward trend. Finally, Risk-adjusted NIM dropped 2 bps over the same period to stand at 4.45%. This evolution was driven by an uptick in the provisions expense, which reflected a deterioration in client payment behavior.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4168775</wp:posOffset>
            </wp:positionH>
            <wp:positionV relativeFrom="paragraph">
              <wp:posOffset>-715645</wp:posOffset>
            </wp:positionV>
            <wp:extent cx="2551430" cy="14598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551430" cy="1459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43750" cy="158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312" w:right="339" w:bottom="1440" w:gutter="0" w:footer="0" w:header="0"/>
        </w:sectPr>
      </w:pPr>
    </w:p>
    <w:bookmarkStart w:id="29" w:name="page30"/>
    <w:bookmarkEnd w:id="29"/>
    <w:p>
      <w:pPr>
        <w:jc w:val="right"/>
        <w:ind w:right="780"/>
        <w:spacing w:after="0"/>
        <w:tabs>
          <w:tab w:leader="none" w:pos="7380" w:val="left"/>
          <w:tab w:leader="none" w:pos="3340" w:val="left"/>
        </w:tabs>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202565</wp:posOffset>
            </wp:positionH>
            <wp:positionV relativeFrom="page">
              <wp:posOffset>88900</wp:posOffset>
            </wp:positionV>
            <wp:extent cx="7143750" cy="3848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3750" cy="384810"/>
                    </a:xfrm>
                    <a:prstGeom prst="rect">
                      <a:avLst/>
                    </a:prstGeom>
                    <a:noFill/>
                  </pic:spPr>
                </pic:pic>
              </a:graphicData>
            </a:graphic>
          </wp:anchor>
        </w:drawing>
        <w:t>|</w:t>
      </w:r>
      <w:r>
        <w:rPr>
          <w:sz w:val="20"/>
          <w:szCs w:val="20"/>
          <w:color w:val="auto"/>
        </w:rPr>
        <w:tab/>
      </w:r>
      <w:r>
        <w:rPr>
          <w:rFonts w:ascii="Arial" w:cs="Arial" w:eastAsia="Arial" w:hAnsi="Arial"/>
          <w:sz w:val="16"/>
          <w:szCs w:val="16"/>
          <w:b w:val="1"/>
          <w:bCs w:val="1"/>
          <w:color w:val="FFFFFF"/>
        </w:rPr>
        <w:t>Earnings Release 3Q / 2023</w:t>
      </w:r>
      <w:r>
        <w:rPr>
          <w:sz w:val="20"/>
          <w:szCs w:val="20"/>
          <w:color w:val="auto"/>
        </w:rPr>
        <w:tab/>
      </w:r>
      <w:r>
        <w:rPr>
          <w:rFonts w:ascii="Arial" w:cs="Arial" w:eastAsia="Arial" w:hAnsi="Arial"/>
          <w:sz w:val="18"/>
          <w:szCs w:val="18"/>
          <w:b w:val="1"/>
          <w:bCs w:val="1"/>
          <w:color w:val="E93CAC"/>
        </w:rPr>
        <w:t>Analysis of 3Q23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143510</wp:posOffset>
            </wp:positionV>
            <wp:extent cx="7143750" cy="1885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3750" cy="188595"/>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04. Net Interest Income (NII)</w:t>
      </w:r>
    </w:p>
    <w:p>
      <w:pPr>
        <w:sectPr>
          <w:pgSz w:w="11900" w:h="16838" w:orient="portrait"/>
          <w:cols w:equalWidth="0" w:num="1">
            <w:col w:w="11340"/>
          </w:cols>
          <w:pgMar w:left="320" w:top="312" w:right="239" w:bottom="1440" w:gutter="0" w:footer="0" w:header="0"/>
        </w:sectPr>
      </w:pP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Interest Margin Dynamics by Currency</w:t>
      </w:r>
    </w:p>
    <w:p>
      <w:pPr>
        <w:spacing w:after="0" w:line="188" w:lineRule="exact"/>
        <w:rPr>
          <w:sz w:val="20"/>
          <w:szCs w:val="20"/>
          <w:color w:val="auto"/>
        </w:rPr>
      </w:pPr>
    </w:p>
    <w:tbl>
      <w:tblPr>
        <w:tblLayout w:type="fixed"/>
        <w:tblInd w:w="10" w:type="dxa"/>
        <w:tblCellMar>
          <w:top w:w="0" w:type="dxa"/>
          <w:left w:w="0" w:type="dxa"/>
          <w:bottom w:w="0" w:type="dxa"/>
          <w:right w:w="0" w:type="dxa"/>
        </w:tblCellMar>
      </w:tblPr>
      <w:tr>
        <w:trPr>
          <w:trHeight w:val="198"/>
        </w:trPr>
        <w:tc>
          <w:tcPr>
            <w:tcW w:w="840" w:type="dxa"/>
            <w:vAlign w:val="bottom"/>
            <w:tcBorders>
              <w:top w:val="single" w:sz="8" w:color="auto"/>
              <w:left w:val="single" w:sz="8" w:color="auto"/>
            </w:tcBorders>
            <w:shd w:val="clear" w:color="auto" w:fill="2AD2C9"/>
          </w:tcPr>
          <w:p>
            <w:pPr>
              <w:spacing w:after="0"/>
              <w:rPr>
                <w:sz w:val="17"/>
                <w:szCs w:val="17"/>
                <w:color w:val="auto"/>
              </w:rPr>
            </w:pPr>
          </w:p>
        </w:tc>
        <w:tc>
          <w:tcPr>
            <w:tcW w:w="800" w:type="dxa"/>
            <w:vAlign w:val="bottom"/>
            <w:tcBorders>
              <w:top w:val="single" w:sz="8" w:color="auto"/>
            </w:tcBorders>
            <w:shd w:val="clear" w:color="auto" w:fill="2AD2C9"/>
          </w:tcPr>
          <w:p>
            <w:pPr>
              <w:spacing w:after="0"/>
              <w:rPr>
                <w:sz w:val="17"/>
                <w:szCs w:val="17"/>
                <w:color w:val="auto"/>
              </w:rPr>
            </w:pPr>
          </w:p>
        </w:tc>
        <w:tc>
          <w:tcPr>
            <w:tcW w:w="540" w:type="dxa"/>
            <w:vAlign w:val="bottom"/>
            <w:tcBorders>
              <w:top w:val="single" w:sz="8" w:color="auto"/>
              <w:right w:val="single" w:sz="8" w:color="auto"/>
            </w:tcBorders>
            <w:shd w:val="clear" w:color="auto" w:fill="2AD2C9"/>
          </w:tcPr>
          <w:p>
            <w:pPr>
              <w:spacing w:after="0"/>
              <w:rPr>
                <w:sz w:val="17"/>
                <w:szCs w:val="17"/>
                <w:color w:val="auto"/>
              </w:rPr>
            </w:pPr>
          </w:p>
        </w:tc>
        <w:tc>
          <w:tcPr>
            <w:tcW w:w="660" w:type="dxa"/>
            <w:vAlign w:val="bottom"/>
            <w:tcBorders>
              <w:top w:val="single" w:sz="8" w:color="auto"/>
            </w:tcBorders>
            <w:vMerge w:val="restart"/>
            <w:shd w:val="clear" w:color="auto" w:fill="2AD2C9"/>
          </w:tcPr>
          <w:p>
            <w:pPr>
              <w:ind w:left="20"/>
              <w:spacing w:after="0"/>
              <w:rPr>
                <w:sz w:val="20"/>
                <w:szCs w:val="20"/>
                <w:color w:val="auto"/>
              </w:rPr>
            </w:pPr>
            <w:r>
              <w:rPr>
                <w:rFonts w:ascii="Arial" w:cs="Arial" w:eastAsia="Arial" w:hAnsi="Arial"/>
                <w:sz w:val="16"/>
                <w:szCs w:val="16"/>
                <w:b w:val="1"/>
                <w:bCs w:val="1"/>
                <w:color w:val="FFFFFF"/>
                <w:w w:val="98"/>
              </w:rPr>
              <w:t>Average</w:t>
            </w:r>
          </w:p>
        </w:tc>
        <w:tc>
          <w:tcPr>
            <w:tcW w:w="680" w:type="dxa"/>
            <w:vAlign w:val="bottom"/>
            <w:tcBorders>
              <w:top w:val="single" w:sz="8" w:color="auto"/>
            </w:tcBorders>
            <w:gridSpan w:val="2"/>
            <w:shd w:val="clear" w:color="auto" w:fill="2AD2C9"/>
          </w:tcPr>
          <w:p>
            <w:pPr>
              <w:jc w:val="right"/>
              <w:ind w:right="178"/>
              <w:spacing w:after="0"/>
              <w:rPr>
                <w:sz w:val="20"/>
                <w:szCs w:val="20"/>
                <w:color w:val="auto"/>
              </w:rPr>
            </w:pPr>
            <w:r>
              <w:rPr>
                <w:rFonts w:ascii="Arial" w:cs="Arial" w:eastAsia="Arial" w:hAnsi="Arial"/>
                <w:sz w:val="16"/>
                <w:szCs w:val="16"/>
                <w:b w:val="1"/>
                <w:bCs w:val="1"/>
                <w:color w:val="FFFFFF"/>
              </w:rPr>
              <w:t>3Q22</w:t>
            </w:r>
          </w:p>
        </w:tc>
        <w:tc>
          <w:tcPr>
            <w:tcW w:w="460" w:type="dxa"/>
            <w:vAlign w:val="bottom"/>
            <w:tcBorders>
              <w:top w:val="single" w:sz="8" w:color="auto"/>
              <w:right w:val="single" w:sz="8" w:color="auto"/>
            </w:tcBorders>
            <w:shd w:val="clear" w:color="auto" w:fill="2AD2C9"/>
          </w:tcPr>
          <w:p>
            <w:pPr>
              <w:spacing w:after="0"/>
              <w:rPr>
                <w:sz w:val="17"/>
                <w:szCs w:val="17"/>
                <w:color w:val="auto"/>
              </w:rPr>
            </w:pPr>
          </w:p>
        </w:tc>
        <w:tc>
          <w:tcPr>
            <w:tcW w:w="640" w:type="dxa"/>
            <w:vAlign w:val="bottom"/>
            <w:tcBorders>
              <w:top w:val="single" w:sz="8" w:color="auto"/>
            </w:tcBorders>
            <w:vMerge w:val="restart"/>
            <w:shd w:val="clear" w:color="auto" w:fill="2AD2C9"/>
          </w:tcPr>
          <w:p>
            <w:pPr>
              <w:spacing w:after="0"/>
              <w:rPr>
                <w:sz w:val="20"/>
                <w:szCs w:val="20"/>
                <w:color w:val="auto"/>
              </w:rPr>
            </w:pPr>
            <w:r>
              <w:rPr>
                <w:rFonts w:ascii="Arial" w:cs="Arial" w:eastAsia="Arial" w:hAnsi="Arial"/>
                <w:sz w:val="16"/>
                <w:szCs w:val="16"/>
                <w:b w:val="1"/>
                <w:bCs w:val="1"/>
                <w:color w:val="FFFFFF"/>
                <w:w w:val="98"/>
              </w:rPr>
              <w:t>Average</w:t>
            </w:r>
          </w:p>
        </w:tc>
        <w:tc>
          <w:tcPr>
            <w:tcW w:w="20" w:type="dxa"/>
            <w:vAlign w:val="bottom"/>
            <w:tcBorders>
              <w:top w:val="single" w:sz="8" w:color="auto"/>
            </w:tcBorders>
            <w:shd w:val="clear" w:color="auto" w:fill="2AD2C9"/>
          </w:tcPr>
          <w:p>
            <w:pPr>
              <w:spacing w:after="0"/>
              <w:rPr>
                <w:sz w:val="17"/>
                <w:szCs w:val="17"/>
                <w:color w:val="auto"/>
              </w:rPr>
            </w:pPr>
          </w:p>
        </w:tc>
        <w:tc>
          <w:tcPr>
            <w:tcW w:w="580" w:type="dxa"/>
            <w:vAlign w:val="bottom"/>
            <w:tcBorders>
              <w:top w:val="single" w:sz="8" w:color="auto"/>
            </w:tcBorders>
            <w:gridSpan w:val="2"/>
            <w:shd w:val="clear" w:color="auto" w:fill="2AD2C9"/>
          </w:tcPr>
          <w:p>
            <w:pPr>
              <w:jc w:val="right"/>
              <w:ind w:right="98"/>
              <w:spacing w:after="0"/>
              <w:rPr>
                <w:sz w:val="20"/>
                <w:szCs w:val="20"/>
                <w:color w:val="auto"/>
              </w:rPr>
            </w:pPr>
            <w:r>
              <w:rPr>
                <w:rFonts w:ascii="Arial" w:cs="Arial" w:eastAsia="Arial" w:hAnsi="Arial"/>
                <w:sz w:val="16"/>
                <w:szCs w:val="16"/>
                <w:b w:val="1"/>
                <w:bCs w:val="1"/>
                <w:color w:val="FFFFFF"/>
                <w:w w:val="96"/>
              </w:rPr>
              <w:t>2Q23</w:t>
            </w:r>
          </w:p>
        </w:tc>
        <w:tc>
          <w:tcPr>
            <w:tcW w:w="100" w:type="dxa"/>
            <w:vAlign w:val="bottom"/>
            <w:tcBorders>
              <w:top w:val="single" w:sz="8" w:color="auto"/>
              <w:right w:val="single" w:sz="8" w:color="2AD2C9"/>
            </w:tcBorders>
            <w:shd w:val="clear" w:color="auto" w:fill="2AD2C9"/>
          </w:tcPr>
          <w:p>
            <w:pPr>
              <w:spacing w:after="0"/>
              <w:rPr>
                <w:sz w:val="17"/>
                <w:szCs w:val="17"/>
                <w:color w:val="auto"/>
              </w:rPr>
            </w:pPr>
          </w:p>
        </w:tc>
        <w:tc>
          <w:tcPr>
            <w:tcW w:w="480" w:type="dxa"/>
            <w:vAlign w:val="bottom"/>
            <w:tcBorders>
              <w:top w:val="single" w:sz="8" w:color="auto"/>
              <w:right w:val="single" w:sz="8" w:color="auto"/>
            </w:tcBorders>
            <w:shd w:val="clear" w:color="auto" w:fill="2AD2C9"/>
          </w:tcPr>
          <w:p>
            <w:pPr>
              <w:spacing w:after="0"/>
              <w:rPr>
                <w:sz w:val="17"/>
                <w:szCs w:val="17"/>
                <w:color w:val="auto"/>
              </w:rPr>
            </w:pPr>
          </w:p>
        </w:tc>
        <w:tc>
          <w:tcPr>
            <w:tcW w:w="600" w:type="dxa"/>
            <w:vAlign w:val="bottom"/>
            <w:tcBorders>
              <w:top w:val="single" w:sz="8" w:color="auto"/>
            </w:tcBorders>
            <w:vMerge w:val="restart"/>
            <w:shd w:val="clear" w:color="auto" w:fill="2AD2C9"/>
          </w:tcPr>
          <w:p>
            <w:pPr>
              <w:jc w:val="right"/>
              <w:spacing w:after="0"/>
              <w:rPr>
                <w:sz w:val="20"/>
                <w:szCs w:val="20"/>
                <w:color w:val="auto"/>
              </w:rPr>
            </w:pPr>
            <w:r>
              <w:rPr>
                <w:rFonts w:ascii="Arial" w:cs="Arial" w:eastAsia="Arial" w:hAnsi="Arial"/>
                <w:sz w:val="16"/>
                <w:szCs w:val="16"/>
                <w:b w:val="1"/>
                <w:bCs w:val="1"/>
                <w:color w:val="FFFFFF"/>
                <w:w w:val="88"/>
              </w:rPr>
              <w:t>Average</w:t>
            </w:r>
          </w:p>
        </w:tc>
        <w:tc>
          <w:tcPr>
            <w:tcW w:w="600" w:type="dxa"/>
            <w:vAlign w:val="bottom"/>
            <w:tcBorders>
              <w:top w:val="single" w:sz="8" w:color="auto"/>
            </w:tcBorders>
            <w:gridSpan w:val="3"/>
            <w:shd w:val="clear" w:color="auto" w:fill="2AD2C9"/>
          </w:tcPr>
          <w:p>
            <w:pPr>
              <w:jc w:val="right"/>
              <w:ind w:right="98"/>
              <w:spacing w:after="0"/>
              <w:rPr>
                <w:sz w:val="20"/>
                <w:szCs w:val="20"/>
                <w:color w:val="auto"/>
              </w:rPr>
            </w:pPr>
            <w:r>
              <w:rPr>
                <w:rFonts w:ascii="Arial" w:cs="Arial" w:eastAsia="Arial" w:hAnsi="Arial"/>
                <w:sz w:val="16"/>
                <w:szCs w:val="16"/>
                <w:b w:val="1"/>
                <w:bCs w:val="1"/>
                <w:color w:val="FFFFFF"/>
              </w:rPr>
              <w:t>3Q23</w:t>
            </w:r>
          </w:p>
        </w:tc>
        <w:tc>
          <w:tcPr>
            <w:tcW w:w="180" w:type="dxa"/>
            <w:vAlign w:val="bottom"/>
            <w:tcBorders>
              <w:top w:val="single" w:sz="8" w:color="auto"/>
            </w:tcBorders>
            <w:shd w:val="clear" w:color="auto" w:fill="2AD2C9"/>
          </w:tcPr>
          <w:p>
            <w:pPr>
              <w:spacing w:after="0"/>
              <w:rPr>
                <w:sz w:val="17"/>
                <w:szCs w:val="17"/>
                <w:color w:val="auto"/>
              </w:rPr>
            </w:pPr>
          </w:p>
        </w:tc>
        <w:tc>
          <w:tcPr>
            <w:tcW w:w="340" w:type="dxa"/>
            <w:vAlign w:val="bottom"/>
            <w:tcBorders>
              <w:top w:val="single" w:sz="8" w:color="auto"/>
              <w:right w:val="single" w:sz="8" w:color="auto"/>
            </w:tcBorders>
            <w:shd w:val="clear" w:color="auto" w:fill="2AD2C9"/>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1640" w:type="dxa"/>
            <w:vAlign w:val="bottom"/>
            <w:tcBorders>
              <w:left w:val="single" w:sz="8" w:color="auto"/>
              <w:bottom w:val="single" w:sz="8" w:color="33CCCC"/>
            </w:tcBorders>
            <w:gridSpan w:val="2"/>
            <w:shd w:val="clear" w:color="auto" w:fill="33CCCC"/>
          </w:tcPr>
          <w:p>
            <w:pPr>
              <w:ind w:left="20"/>
              <w:spacing w:after="0" w:line="165" w:lineRule="exact"/>
              <w:rPr>
                <w:sz w:val="20"/>
                <w:szCs w:val="20"/>
                <w:color w:val="auto"/>
              </w:rPr>
            </w:pPr>
            <w:r>
              <w:rPr>
                <w:rFonts w:ascii="Arial" w:cs="Arial" w:eastAsia="Arial" w:hAnsi="Arial"/>
                <w:sz w:val="16"/>
                <w:szCs w:val="16"/>
                <w:b w:val="1"/>
                <w:bCs w:val="1"/>
                <w:color w:val="FFFFFF"/>
                <w:shd w:val="clear" w:color="auto" w:fill="33CCCC"/>
              </w:rPr>
              <w:t>Interest Income / IEA</w:t>
            </w:r>
          </w:p>
        </w:tc>
        <w:tc>
          <w:tcPr>
            <w:tcW w:w="540" w:type="dxa"/>
            <w:vAlign w:val="bottom"/>
            <w:tcBorders>
              <w:bottom w:val="single" w:sz="8" w:color="2AD2C9"/>
              <w:right w:val="single" w:sz="8" w:color="auto"/>
            </w:tcBorders>
            <w:shd w:val="clear" w:color="auto" w:fill="2AD2C9"/>
          </w:tcPr>
          <w:p>
            <w:pPr>
              <w:spacing w:after="0"/>
              <w:rPr>
                <w:sz w:val="14"/>
                <w:szCs w:val="14"/>
                <w:color w:val="auto"/>
              </w:rPr>
            </w:pPr>
          </w:p>
        </w:tc>
        <w:tc>
          <w:tcPr>
            <w:tcW w:w="660" w:type="dxa"/>
            <w:vAlign w:val="bottom"/>
            <w:tcBorders>
              <w:bottom w:val="single" w:sz="8" w:color="2AD2C9"/>
            </w:tcBorders>
            <w:vMerge w:val="continue"/>
            <w:shd w:val="clear" w:color="auto" w:fill="2AD2C9"/>
          </w:tcPr>
          <w:p>
            <w:pPr>
              <w:spacing w:after="0"/>
              <w:rPr>
                <w:sz w:val="14"/>
                <w:szCs w:val="14"/>
                <w:color w:val="auto"/>
              </w:rPr>
            </w:pPr>
          </w:p>
        </w:tc>
        <w:tc>
          <w:tcPr>
            <w:tcW w:w="580" w:type="dxa"/>
            <w:vAlign w:val="bottom"/>
            <w:tcBorders>
              <w:bottom w:val="single" w:sz="8" w:color="2AD2C9"/>
            </w:tcBorders>
            <w:shd w:val="clear" w:color="auto" w:fill="2AD2C9"/>
          </w:tcPr>
          <w:p>
            <w:pPr>
              <w:spacing w:after="0"/>
              <w:rPr>
                <w:sz w:val="14"/>
                <w:szCs w:val="14"/>
                <w:color w:val="auto"/>
              </w:rPr>
            </w:pPr>
          </w:p>
        </w:tc>
        <w:tc>
          <w:tcPr>
            <w:tcW w:w="100" w:type="dxa"/>
            <w:vAlign w:val="bottom"/>
            <w:tcBorders>
              <w:bottom w:val="single" w:sz="8" w:color="2AD2C9"/>
            </w:tcBorders>
            <w:shd w:val="clear" w:color="auto" w:fill="2AD2C9"/>
          </w:tcPr>
          <w:p>
            <w:pPr>
              <w:spacing w:after="0"/>
              <w:rPr>
                <w:sz w:val="14"/>
                <w:szCs w:val="14"/>
                <w:color w:val="auto"/>
              </w:rPr>
            </w:pPr>
          </w:p>
        </w:tc>
        <w:tc>
          <w:tcPr>
            <w:tcW w:w="460" w:type="dxa"/>
            <w:vAlign w:val="bottom"/>
            <w:tcBorders>
              <w:bottom w:val="single" w:sz="8" w:color="2AD2C9"/>
              <w:right w:val="single" w:sz="8" w:color="auto"/>
            </w:tcBorders>
            <w:shd w:val="clear" w:color="auto" w:fill="2AD2C9"/>
          </w:tcPr>
          <w:p>
            <w:pPr>
              <w:spacing w:after="0"/>
              <w:rPr>
                <w:sz w:val="14"/>
                <w:szCs w:val="14"/>
                <w:color w:val="auto"/>
              </w:rPr>
            </w:pPr>
          </w:p>
        </w:tc>
        <w:tc>
          <w:tcPr>
            <w:tcW w:w="640" w:type="dxa"/>
            <w:vAlign w:val="bottom"/>
            <w:tcBorders>
              <w:bottom w:val="single" w:sz="8" w:color="2AD2C9"/>
            </w:tcBorders>
            <w:vMerge w:val="continue"/>
            <w:shd w:val="clear" w:color="auto" w:fill="2AD2C9"/>
          </w:tcPr>
          <w:p>
            <w:pPr>
              <w:spacing w:after="0"/>
              <w:rPr>
                <w:sz w:val="14"/>
                <w:szCs w:val="14"/>
                <w:color w:val="auto"/>
              </w:rPr>
            </w:pPr>
          </w:p>
        </w:tc>
        <w:tc>
          <w:tcPr>
            <w:tcW w:w="20" w:type="dxa"/>
            <w:vAlign w:val="bottom"/>
            <w:tcBorders>
              <w:bottom w:val="single" w:sz="8" w:color="2AD2C9"/>
            </w:tcBorders>
            <w:shd w:val="clear" w:color="auto" w:fill="2AD2C9"/>
          </w:tcPr>
          <w:p>
            <w:pPr>
              <w:spacing w:after="0"/>
              <w:rPr>
                <w:sz w:val="14"/>
                <w:szCs w:val="14"/>
                <w:color w:val="auto"/>
              </w:rPr>
            </w:pPr>
          </w:p>
        </w:tc>
        <w:tc>
          <w:tcPr>
            <w:tcW w:w="560" w:type="dxa"/>
            <w:vAlign w:val="bottom"/>
            <w:tcBorders>
              <w:bottom w:val="single" w:sz="8" w:color="2AD2C9"/>
            </w:tcBorders>
            <w:shd w:val="clear" w:color="auto" w:fill="2AD2C9"/>
          </w:tcPr>
          <w:p>
            <w:pPr>
              <w:spacing w:after="0"/>
              <w:rPr>
                <w:sz w:val="14"/>
                <w:szCs w:val="14"/>
                <w:color w:val="auto"/>
              </w:rPr>
            </w:pPr>
          </w:p>
        </w:tc>
        <w:tc>
          <w:tcPr>
            <w:tcW w:w="20" w:type="dxa"/>
            <w:vAlign w:val="bottom"/>
            <w:tcBorders>
              <w:bottom w:val="single" w:sz="8" w:color="2AD2C9"/>
            </w:tcBorders>
            <w:shd w:val="clear" w:color="auto" w:fill="2AD2C9"/>
          </w:tcPr>
          <w:p>
            <w:pPr>
              <w:spacing w:after="0"/>
              <w:rPr>
                <w:sz w:val="14"/>
                <w:szCs w:val="14"/>
                <w:color w:val="auto"/>
              </w:rPr>
            </w:pPr>
          </w:p>
        </w:tc>
        <w:tc>
          <w:tcPr>
            <w:tcW w:w="100" w:type="dxa"/>
            <w:vAlign w:val="bottom"/>
            <w:tcBorders>
              <w:bottom w:val="single" w:sz="8" w:color="2AD2C9"/>
              <w:right w:val="single" w:sz="8" w:color="2AD2C9"/>
            </w:tcBorders>
            <w:shd w:val="clear" w:color="auto" w:fill="2AD2C9"/>
          </w:tcPr>
          <w:p>
            <w:pPr>
              <w:spacing w:after="0"/>
              <w:rPr>
                <w:sz w:val="14"/>
                <w:szCs w:val="14"/>
                <w:color w:val="auto"/>
              </w:rPr>
            </w:pPr>
          </w:p>
        </w:tc>
        <w:tc>
          <w:tcPr>
            <w:tcW w:w="480" w:type="dxa"/>
            <w:vAlign w:val="bottom"/>
            <w:tcBorders>
              <w:bottom w:val="single" w:sz="8" w:color="2AD2C9"/>
              <w:right w:val="single" w:sz="8" w:color="auto"/>
            </w:tcBorders>
            <w:shd w:val="clear" w:color="auto" w:fill="2AD2C9"/>
          </w:tcPr>
          <w:p>
            <w:pPr>
              <w:spacing w:after="0"/>
              <w:rPr>
                <w:sz w:val="14"/>
                <w:szCs w:val="14"/>
                <w:color w:val="auto"/>
              </w:rPr>
            </w:pPr>
          </w:p>
        </w:tc>
        <w:tc>
          <w:tcPr>
            <w:tcW w:w="600" w:type="dxa"/>
            <w:vAlign w:val="bottom"/>
            <w:tcBorders>
              <w:bottom w:val="single" w:sz="8" w:color="2AD2C9"/>
            </w:tcBorders>
            <w:vMerge w:val="continue"/>
            <w:shd w:val="clear" w:color="auto" w:fill="2AD2C9"/>
          </w:tcPr>
          <w:p>
            <w:pPr>
              <w:spacing w:after="0"/>
              <w:rPr>
                <w:sz w:val="14"/>
                <w:szCs w:val="14"/>
                <w:color w:val="auto"/>
              </w:rPr>
            </w:pPr>
          </w:p>
        </w:tc>
        <w:tc>
          <w:tcPr>
            <w:tcW w:w="60" w:type="dxa"/>
            <w:vAlign w:val="bottom"/>
            <w:tcBorders>
              <w:bottom w:val="single" w:sz="8" w:color="2AD2C9"/>
            </w:tcBorders>
            <w:shd w:val="clear" w:color="auto" w:fill="2AD2C9"/>
          </w:tcPr>
          <w:p>
            <w:pPr>
              <w:spacing w:after="0"/>
              <w:rPr>
                <w:sz w:val="14"/>
                <w:szCs w:val="14"/>
                <w:color w:val="auto"/>
              </w:rPr>
            </w:pPr>
          </w:p>
        </w:tc>
        <w:tc>
          <w:tcPr>
            <w:tcW w:w="20" w:type="dxa"/>
            <w:vAlign w:val="bottom"/>
            <w:tcBorders>
              <w:bottom w:val="single" w:sz="8" w:color="2AD2C9"/>
            </w:tcBorders>
            <w:shd w:val="clear" w:color="auto" w:fill="2AD2C9"/>
          </w:tcPr>
          <w:p>
            <w:pPr>
              <w:spacing w:after="0"/>
              <w:rPr>
                <w:sz w:val="14"/>
                <w:szCs w:val="14"/>
                <w:color w:val="auto"/>
              </w:rPr>
            </w:pPr>
          </w:p>
        </w:tc>
        <w:tc>
          <w:tcPr>
            <w:tcW w:w="520" w:type="dxa"/>
            <w:vAlign w:val="bottom"/>
            <w:tcBorders>
              <w:bottom w:val="single" w:sz="8" w:color="2AD2C9"/>
            </w:tcBorders>
            <w:shd w:val="clear" w:color="auto" w:fill="2AD2C9"/>
          </w:tcPr>
          <w:p>
            <w:pPr>
              <w:spacing w:after="0"/>
              <w:rPr>
                <w:sz w:val="14"/>
                <w:szCs w:val="14"/>
                <w:color w:val="auto"/>
              </w:rPr>
            </w:pPr>
          </w:p>
        </w:tc>
        <w:tc>
          <w:tcPr>
            <w:tcW w:w="180" w:type="dxa"/>
            <w:vAlign w:val="bottom"/>
            <w:tcBorders>
              <w:bottom w:val="single" w:sz="8" w:color="2AD2C9"/>
            </w:tcBorders>
            <w:shd w:val="clear" w:color="auto" w:fill="2AD2C9"/>
          </w:tcPr>
          <w:p>
            <w:pPr>
              <w:spacing w:after="0"/>
              <w:rPr>
                <w:sz w:val="14"/>
                <w:szCs w:val="14"/>
                <w:color w:val="auto"/>
              </w:rPr>
            </w:pPr>
          </w:p>
        </w:tc>
        <w:tc>
          <w:tcPr>
            <w:tcW w:w="340" w:type="dxa"/>
            <w:vAlign w:val="bottom"/>
            <w:tcBorders>
              <w:bottom w:val="single" w:sz="8" w:color="2AD2C9"/>
              <w:right w:val="single" w:sz="8" w:color="auto"/>
            </w:tcBorders>
            <w:shd w:val="clear" w:color="auto" w:fill="2AD2C9"/>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840" w:type="dxa"/>
            <w:vAlign w:val="bottom"/>
            <w:tcBorders>
              <w:left w:val="single" w:sz="8" w:color="auto"/>
              <w:bottom w:val="single" w:sz="8" w:color="auto"/>
            </w:tcBorders>
            <w:shd w:val="clear" w:color="auto" w:fill="33CCCC"/>
          </w:tcPr>
          <w:p>
            <w:pPr>
              <w:ind w:left="20"/>
              <w:spacing w:after="0"/>
              <w:rPr>
                <w:sz w:val="20"/>
                <w:szCs w:val="20"/>
                <w:color w:val="auto"/>
              </w:rPr>
            </w:pPr>
            <w:r>
              <w:rPr>
                <w:rFonts w:ascii="Arial" w:cs="Arial" w:eastAsia="Arial" w:hAnsi="Arial"/>
                <w:sz w:val="16"/>
                <w:szCs w:val="16"/>
                <w:b w:val="1"/>
                <w:bCs w:val="1"/>
                <w:color w:val="FFFFFF"/>
                <w:w w:val="99"/>
                <w:shd w:val="clear" w:color="auto" w:fill="33CCCC"/>
              </w:rPr>
              <w:t>S/ millions</w:t>
            </w:r>
          </w:p>
        </w:tc>
        <w:tc>
          <w:tcPr>
            <w:tcW w:w="800" w:type="dxa"/>
            <w:vAlign w:val="bottom"/>
            <w:tcBorders>
              <w:bottom w:val="single" w:sz="8" w:color="auto"/>
            </w:tcBorders>
            <w:shd w:val="clear" w:color="auto" w:fill="2AD2C9"/>
          </w:tcPr>
          <w:p>
            <w:pPr>
              <w:spacing w:after="0"/>
              <w:rPr>
                <w:sz w:val="16"/>
                <w:szCs w:val="16"/>
                <w:color w:val="auto"/>
              </w:rPr>
            </w:pPr>
          </w:p>
        </w:tc>
        <w:tc>
          <w:tcPr>
            <w:tcW w:w="540" w:type="dxa"/>
            <w:vAlign w:val="bottom"/>
            <w:tcBorders>
              <w:bottom w:val="single" w:sz="8" w:color="auto"/>
              <w:right w:val="single" w:sz="8" w:color="auto"/>
            </w:tcBorders>
            <w:shd w:val="clear" w:color="auto" w:fill="2AD2C9"/>
          </w:tcPr>
          <w:p>
            <w:pPr>
              <w:spacing w:after="0"/>
              <w:rPr>
                <w:sz w:val="16"/>
                <w:szCs w:val="16"/>
                <w:color w:val="auto"/>
              </w:rPr>
            </w:pPr>
          </w:p>
        </w:tc>
        <w:tc>
          <w:tcPr>
            <w:tcW w:w="1240" w:type="dxa"/>
            <w:vAlign w:val="bottom"/>
            <w:tcBorders>
              <w:bottom w:val="single" w:sz="8" w:color="auto"/>
            </w:tcBorders>
            <w:gridSpan w:val="2"/>
            <w:shd w:val="clear" w:color="auto" w:fill="2AD2C9"/>
          </w:tcPr>
          <w:p>
            <w:pPr>
              <w:ind w:left="20"/>
              <w:spacing w:after="0"/>
              <w:rPr>
                <w:sz w:val="20"/>
                <w:szCs w:val="20"/>
                <w:color w:val="auto"/>
              </w:rPr>
            </w:pPr>
            <w:r>
              <w:rPr>
                <w:rFonts w:ascii="Arial" w:cs="Arial" w:eastAsia="Arial" w:hAnsi="Arial"/>
                <w:sz w:val="16"/>
                <w:szCs w:val="16"/>
                <w:b w:val="1"/>
                <w:bCs w:val="1"/>
                <w:color w:val="FFFFFF"/>
              </w:rPr>
              <w:t>BalanceIncome</w:t>
            </w:r>
          </w:p>
        </w:tc>
        <w:tc>
          <w:tcPr>
            <w:tcW w:w="560" w:type="dxa"/>
            <w:vAlign w:val="bottom"/>
            <w:tcBorders>
              <w:bottom w:val="single" w:sz="8" w:color="auto"/>
              <w:right w:val="single" w:sz="8" w:color="auto"/>
            </w:tcBorders>
            <w:gridSpan w:val="2"/>
            <w:shd w:val="clear" w:color="auto" w:fill="2AD2C9"/>
          </w:tcPr>
          <w:p>
            <w:pPr>
              <w:jc w:val="right"/>
              <w:spacing w:after="0"/>
              <w:rPr>
                <w:sz w:val="20"/>
                <w:szCs w:val="20"/>
                <w:color w:val="auto"/>
              </w:rPr>
            </w:pPr>
            <w:r>
              <w:rPr>
                <w:rFonts w:ascii="Arial" w:cs="Arial" w:eastAsia="Arial" w:hAnsi="Arial"/>
                <w:sz w:val="16"/>
                <w:szCs w:val="16"/>
                <w:b w:val="1"/>
                <w:bCs w:val="1"/>
                <w:color w:val="FFFFFF"/>
              </w:rPr>
              <w:t>Yields</w:t>
            </w:r>
          </w:p>
        </w:tc>
        <w:tc>
          <w:tcPr>
            <w:tcW w:w="640" w:type="dxa"/>
            <w:vAlign w:val="bottom"/>
            <w:tcBorders>
              <w:bottom w:val="single" w:sz="8" w:color="auto"/>
            </w:tcBorders>
            <w:shd w:val="clear" w:color="auto" w:fill="2AD2C9"/>
          </w:tcPr>
          <w:p>
            <w:pPr>
              <w:spacing w:after="0"/>
              <w:rPr>
                <w:sz w:val="20"/>
                <w:szCs w:val="20"/>
                <w:color w:val="auto"/>
              </w:rPr>
            </w:pPr>
            <w:r>
              <w:rPr>
                <w:rFonts w:ascii="Arial" w:cs="Arial" w:eastAsia="Arial" w:hAnsi="Arial"/>
                <w:sz w:val="16"/>
                <w:szCs w:val="16"/>
                <w:b w:val="1"/>
                <w:bCs w:val="1"/>
                <w:color w:val="FFFFFF"/>
                <w:shd w:val="clear" w:color="auto" w:fill="2AD2C9"/>
              </w:rPr>
              <w:t>Balance</w:t>
            </w:r>
          </w:p>
        </w:tc>
        <w:tc>
          <w:tcPr>
            <w:tcW w:w="580" w:type="dxa"/>
            <w:vAlign w:val="bottom"/>
            <w:tcBorders>
              <w:bottom w:val="single" w:sz="8" w:color="auto"/>
            </w:tcBorders>
            <w:gridSpan w:val="2"/>
            <w:shd w:val="clear" w:color="auto" w:fill="2AD2C9"/>
          </w:tcPr>
          <w:p>
            <w:pPr>
              <w:jc w:val="right"/>
              <w:spacing w:after="0"/>
              <w:rPr>
                <w:sz w:val="20"/>
                <w:szCs w:val="20"/>
                <w:color w:val="auto"/>
              </w:rPr>
            </w:pPr>
            <w:r>
              <w:rPr>
                <w:rFonts w:ascii="Arial" w:cs="Arial" w:eastAsia="Arial" w:hAnsi="Arial"/>
                <w:sz w:val="16"/>
                <w:szCs w:val="16"/>
                <w:b w:val="1"/>
                <w:bCs w:val="1"/>
                <w:color w:val="FFFFFF"/>
                <w:w w:val="96"/>
              </w:rPr>
              <w:t>Income</w:t>
            </w:r>
          </w:p>
        </w:tc>
        <w:tc>
          <w:tcPr>
            <w:tcW w:w="600" w:type="dxa"/>
            <w:vAlign w:val="bottom"/>
            <w:tcBorders>
              <w:bottom w:val="single" w:sz="8" w:color="auto"/>
              <w:right w:val="single" w:sz="8" w:color="auto"/>
            </w:tcBorders>
            <w:gridSpan w:val="3"/>
            <w:shd w:val="clear" w:color="auto" w:fill="2AD2C9"/>
          </w:tcPr>
          <w:p>
            <w:pPr>
              <w:jc w:val="right"/>
              <w:ind w:right="18"/>
              <w:spacing w:after="0"/>
              <w:rPr>
                <w:sz w:val="20"/>
                <w:szCs w:val="20"/>
                <w:color w:val="auto"/>
              </w:rPr>
            </w:pPr>
            <w:r>
              <w:rPr>
                <w:rFonts w:ascii="Arial" w:cs="Arial" w:eastAsia="Arial" w:hAnsi="Arial"/>
                <w:sz w:val="16"/>
                <w:szCs w:val="16"/>
                <w:b w:val="1"/>
                <w:bCs w:val="1"/>
                <w:color w:val="FFFFFF"/>
              </w:rPr>
              <w:t>Yields</w:t>
            </w:r>
          </w:p>
        </w:tc>
        <w:tc>
          <w:tcPr>
            <w:tcW w:w="600" w:type="dxa"/>
            <w:vAlign w:val="bottom"/>
            <w:tcBorders>
              <w:bottom w:val="single" w:sz="8" w:color="auto"/>
            </w:tcBorders>
            <w:shd w:val="clear" w:color="auto" w:fill="2AD2C9"/>
          </w:tcPr>
          <w:p>
            <w:pPr>
              <w:jc w:val="right"/>
              <w:spacing w:after="0"/>
              <w:rPr>
                <w:sz w:val="20"/>
                <w:szCs w:val="20"/>
                <w:color w:val="auto"/>
              </w:rPr>
            </w:pPr>
            <w:r>
              <w:rPr>
                <w:rFonts w:ascii="Arial" w:cs="Arial" w:eastAsia="Arial" w:hAnsi="Arial"/>
                <w:sz w:val="16"/>
                <w:szCs w:val="16"/>
                <w:b w:val="1"/>
                <w:bCs w:val="1"/>
                <w:color w:val="FFFFFF"/>
                <w:w w:val="91"/>
                <w:shd w:val="clear" w:color="auto" w:fill="2AD2C9"/>
              </w:rPr>
              <w:t>Balance</w:t>
            </w:r>
          </w:p>
        </w:tc>
        <w:tc>
          <w:tcPr>
            <w:tcW w:w="1120" w:type="dxa"/>
            <w:vAlign w:val="bottom"/>
            <w:tcBorders>
              <w:bottom w:val="single" w:sz="8" w:color="auto"/>
              <w:right w:val="single" w:sz="8" w:color="auto"/>
            </w:tcBorders>
            <w:gridSpan w:val="5"/>
            <w:shd w:val="clear" w:color="auto" w:fill="2AD2C9"/>
          </w:tcPr>
          <w:p>
            <w:pPr>
              <w:jc w:val="right"/>
              <w:spacing w:after="0"/>
              <w:rPr>
                <w:sz w:val="20"/>
                <w:szCs w:val="20"/>
                <w:color w:val="auto"/>
              </w:rPr>
            </w:pPr>
            <w:r>
              <w:rPr>
                <w:rFonts w:ascii="Arial" w:cs="Arial" w:eastAsia="Arial" w:hAnsi="Arial"/>
                <w:sz w:val="16"/>
                <w:szCs w:val="16"/>
                <w:b w:val="1"/>
                <w:bCs w:val="1"/>
                <w:color w:val="FFFFFF"/>
                <w:w w:val="98"/>
              </w:rPr>
              <w:t>Income Yields</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2180" w:type="dxa"/>
            <w:vAlign w:val="bottom"/>
            <w:tcBorders>
              <w:left w:val="single" w:sz="8" w:color="auto"/>
              <w:right w:val="single" w:sz="8" w:color="auto"/>
            </w:tcBorders>
            <w:gridSpan w:val="3"/>
          </w:tcPr>
          <w:p>
            <w:pPr>
              <w:ind w:left="20"/>
              <w:spacing w:after="0" w:line="165" w:lineRule="exact"/>
              <w:rPr>
                <w:sz w:val="20"/>
                <w:szCs w:val="20"/>
                <w:color w:val="auto"/>
              </w:rPr>
            </w:pPr>
            <w:r>
              <w:rPr>
                <w:rFonts w:ascii="Arial" w:cs="Arial" w:eastAsia="Arial" w:hAnsi="Arial"/>
                <w:sz w:val="16"/>
                <w:szCs w:val="16"/>
                <w:color w:val="auto"/>
              </w:rPr>
              <w:t>Cash and equivalents</w:t>
            </w:r>
          </w:p>
        </w:tc>
        <w:tc>
          <w:tcPr>
            <w:tcW w:w="660" w:type="dxa"/>
            <w:vAlign w:val="bottom"/>
          </w:tcPr>
          <w:p>
            <w:pPr>
              <w:jc w:val="right"/>
              <w:spacing w:after="0" w:line="165" w:lineRule="exact"/>
              <w:rPr>
                <w:sz w:val="20"/>
                <w:szCs w:val="20"/>
                <w:color w:val="auto"/>
              </w:rPr>
            </w:pPr>
            <w:r>
              <w:rPr>
                <w:rFonts w:ascii="Arial" w:cs="Arial" w:eastAsia="Arial" w:hAnsi="Arial"/>
                <w:sz w:val="16"/>
                <w:szCs w:val="16"/>
                <w:color w:val="auto"/>
              </w:rPr>
              <w:t>26,581</w:t>
            </w:r>
          </w:p>
        </w:tc>
        <w:tc>
          <w:tcPr>
            <w:tcW w:w="580" w:type="dxa"/>
            <w:vAlign w:val="bottom"/>
          </w:tcPr>
          <w:p>
            <w:pPr>
              <w:jc w:val="right"/>
              <w:spacing w:after="0" w:line="165" w:lineRule="exact"/>
              <w:rPr>
                <w:sz w:val="20"/>
                <w:szCs w:val="20"/>
                <w:color w:val="auto"/>
              </w:rPr>
            </w:pPr>
            <w:r>
              <w:rPr>
                <w:rFonts w:ascii="Arial" w:cs="Arial" w:eastAsia="Arial" w:hAnsi="Arial"/>
                <w:sz w:val="16"/>
                <w:szCs w:val="16"/>
                <w:color w:val="auto"/>
              </w:rPr>
              <w:t>142</w:t>
            </w:r>
          </w:p>
        </w:tc>
        <w:tc>
          <w:tcPr>
            <w:tcW w:w="100" w:type="dxa"/>
            <w:vAlign w:val="bottom"/>
          </w:tcPr>
          <w:p>
            <w:pPr>
              <w:spacing w:after="0"/>
              <w:rPr>
                <w:sz w:val="14"/>
                <w:szCs w:val="14"/>
                <w:color w:val="auto"/>
              </w:rPr>
            </w:pPr>
          </w:p>
        </w:tc>
        <w:tc>
          <w:tcPr>
            <w:tcW w:w="460" w:type="dxa"/>
            <w:vAlign w:val="bottom"/>
            <w:tcBorders>
              <w:right w:val="single" w:sz="8" w:color="auto"/>
            </w:tcBorders>
          </w:tcPr>
          <w:p>
            <w:pPr>
              <w:jc w:val="right"/>
              <w:spacing w:after="0" w:line="165" w:lineRule="exact"/>
              <w:rPr>
                <w:sz w:val="20"/>
                <w:szCs w:val="20"/>
                <w:color w:val="auto"/>
              </w:rPr>
            </w:pPr>
            <w:r>
              <w:rPr>
                <w:rFonts w:ascii="Arial" w:cs="Arial" w:eastAsia="Arial" w:hAnsi="Arial"/>
                <w:sz w:val="16"/>
                <w:szCs w:val="16"/>
                <w:color w:val="auto"/>
              </w:rPr>
              <w:t>2.1%</w:t>
            </w:r>
          </w:p>
        </w:tc>
        <w:tc>
          <w:tcPr>
            <w:tcW w:w="640" w:type="dxa"/>
            <w:vAlign w:val="bottom"/>
          </w:tcPr>
          <w:p>
            <w:pPr>
              <w:jc w:val="right"/>
              <w:spacing w:after="0" w:line="165" w:lineRule="exact"/>
              <w:rPr>
                <w:sz w:val="20"/>
                <w:szCs w:val="20"/>
                <w:color w:val="auto"/>
              </w:rPr>
            </w:pPr>
            <w:r>
              <w:rPr>
                <w:rFonts w:ascii="Arial" w:cs="Arial" w:eastAsia="Arial" w:hAnsi="Arial"/>
                <w:sz w:val="16"/>
                <w:szCs w:val="16"/>
                <w:color w:val="auto"/>
              </w:rPr>
              <w:t>27,098</w:t>
            </w:r>
          </w:p>
        </w:tc>
        <w:tc>
          <w:tcPr>
            <w:tcW w:w="20" w:type="dxa"/>
            <w:vAlign w:val="bottom"/>
          </w:tcPr>
          <w:p>
            <w:pPr>
              <w:spacing w:after="0"/>
              <w:rPr>
                <w:sz w:val="14"/>
                <w:szCs w:val="14"/>
                <w:color w:val="auto"/>
              </w:rPr>
            </w:pPr>
          </w:p>
        </w:tc>
        <w:tc>
          <w:tcPr>
            <w:tcW w:w="580" w:type="dxa"/>
            <w:vAlign w:val="bottom"/>
            <w:gridSpan w:val="2"/>
          </w:tcPr>
          <w:p>
            <w:pPr>
              <w:jc w:val="right"/>
              <w:spacing w:after="0" w:line="165" w:lineRule="exact"/>
              <w:rPr>
                <w:sz w:val="20"/>
                <w:szCs w:val="20"/>
                <w:color w:val="auto"/>
              </w:rPr>
            </w:pPr>
            <w:r>
              <w:rPr>
                <w:rFonts w:ascii="Arial" w:cs="Arial" w:eastAsia="Arial" w:hAnsi="Arial"/>
                <w:sz w:val="16"/>
                <w:szCs w:val="16"/>
                <w:color w:val="auto"/>
              </w:rPr>
              <w:t>286</w:t>
            </w:r>
          </w:p>
        </w:tc>
        <w:tc>
          <w:tcPr>
            <w:tcW w:w="100" w:type="dxa"/>
            <w:vAlign w:val="bottom"/>
          </w:tcPr>
          <w:p>
            <w:pPr>
              <w:spacing w:after="0"/>
              <w:rPr>
                <w:sz w:val="14"/>
                <w:szCs w:val="14"/>
                <w:color w:val="auto"/>
              </w:rPr>
            </w:pPr>
          </w:p>
        </w:tc>
        <w:tc>
          <w:tcPr>
            <w:tcW w:w="480" w:type="dxa"/>
            <w:vAlign w:val="bottom"/>
            <w:tcBorders>
              <w:right w:val="single" w:sz="8" w:color="auto"/>
            </w:tcBorders>
          </w:tcPr>
          <w:p>
            <w:pPr>
              <w:jc w:val="right"/>
              <w:spacing w:after="0" w:line="165" w:lineRule="exact"/>
              <w:rPr>
                <w:sz w:val="20"/>
                <w:szCs w:val="20"/>
                <w:color w:val="auto"/>
              </w:rPr>
            </w:pPr>
            <w:r>
              <w:rPr>
                <w:rFonts w:ascii="Arial" w:cs="Arial" w:eastAsia="Arial" w:hAnsi="Arial"/>
                <w:sz w:val="16"/>
                <w:szCs w:val="16"/>
                <w:color w:val="auto"/>
              </w:rPr>
              <w:t>4.2%</w:t>
            </w:r>
          </w:p>
        </w:tc>
        <w:tc>
          <w:tcPr>
            <w:tcW w:w="600" w:type="dxa"/>
            <w:vAlign w:val="bottom"/>
          </w:tcPr>
          <w:p>
            <w:pPr>
              <w:jc w:val="right"/>
              <w:spacing w:after="0" w:line="165" w:lineRule="exact"/>
              <w:rPr>
                <w:sz w:val="20"/>
                <w:szCs w:val="20"/>
                <w:color w:val="auto"/>
              </w:rPr>
            </w:pPr>
            <w:r>
              <w:rPr>
                <w:rFonts w:ascii="Arial" w:cs="Arial" w:eastAsia="Arial" w:hAnsi="Arial"/>
                <w:sz w:val="16"/>
                <w:szCs w:val="16"/>
                <w:color w:val="auto"/>
              </w:rPr>
              <w:t>25,472</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jc w:val="right"/>
              <w:spacing w:after="0" w:line="165" w:lineRule="exact"/>
              <w:rPr>
                <w:sz w:val="20"/>
                <w:szCs w:val="20"/>
                <w:color w:val="auto"/>
              </w:rPr>
            </w:pPr>
            <w:r>
              <w:rPr>
                <w:rFonts w:ascii="Arial" w:cs="Arial" w:eastAsia="Arial" w:hAnsi="Arial"/>
                <w:sz w:val="16"/>
                <w:szCs w:val="16"/>
                <w:color w:val="auto"/>
              </w:rPr>
              <w:t>290</w:t>
            </w:r>
          </w:p>
        </w:tc>
        <w:tc>
          <w:tcPr>
            <w:tcW w:w="520" w:type="dxa"/>
            <w:vAlign w:val="bottom"/>
            <w:tcBorders>
              <w:right w:val="single" w:sz="8" w:color="auto"/>
            </w:tcBorders>
            <w:gridSpan w:val="2"/>
          </w:tcPr>
          <w:p>
            <w:pPr>
              <w:jc w:val="right"/>
              <w:spacing w:after="0" w:line="165" w:lineRule="exact"/>
              <w:rPr>
                <w:sz w:val="20"/>
                <w:szCs w:val="20"/>
                <w:color w:val="auto"/>
              </w:rPr>
            </w:pPr>
            <w:r>
              <w:rPr>
                <w:rFonts w:ascii="Arial" w:cs="Arial" w:eastAsia="Arial" w:hAnsi="Arial"/>
                <w:sz w:val="16"/>
                <w:szCs w:val="16"/>
                <w:color w:val="auto"/>
              </w:rPr>
              <w:t>4.6%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18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6"/>
                <w:szCs w:val="16"/>
                <w:color w:val="auto"/>
              </w:rPr>
              <w:t>Other IEA</w:t>
            </w:r>
          </w:p>
        </w:tc>
        <w:tc>
          <w:tcPr>
            <w:tcW w:w="660" w:type="dxa"/>
            <w:vAlign w:val="bottom"/>
          </w:tcPr>
          <w:p>
            <w:pPr>
              <w:jc w:val="right"/>
              <w:spacing w:after="0"/>
              <w:rPr>
                <w:sz w:val="20"/>
                <w:szCs w:val="20"/>
                <w:color w:val="auto"/>
              </w:rPr>
            </w:pPr>
            <w:r>
              <w:rPr>
                <w:rFonts w:ascii="Arial" w:cs="Arial" w:eastAsia="Arial" w:hAnsi="Arial"/>
                <w:sz w:val="16"/>
                <w:szCs w:val="16"/>
                <w:color w:val="auto"/>
              </w:rPr>
              <w:t>1,817</w:t>
            </w:r>
          </w:p>
        </w:tc>
        <w:tc>
          <w:tcPr>
            <w:tcW w:w="680" w:type="dxa"/>
            <w:vAlign w:val="bottom"/>
            <w:gridSpan w:val="2"/>
          </w:tcPr>
          <w:p>
            <w:pPr>
              <w:jc w:val="right"/>
              <w:ind w:right="18"/>
              <w:spacing w:after="0"/>
              <w:rPr>
                <w:sz w:val="20"/>
                <w:szCs w:val="20"/>
                <w:color w:val="auto"/>
              </w:rPr>
            </w:pPr>
            <w:r>
              <w:rPr>
                <w:rFonts w:ascii="Arial" w:cs="Arial" w:eastAsia="Arial" w:hAnsi="Arial"/>
                <w:sz w:val="16"/>
                <w:szCs w:val="16"/>
                <w:color w:val="auto"/>
              </w:rPr>
              <w:t>16</w:t>
            </w:r>
          </w:p>
        </w:tc>
        <w:tc>
          <w:tcPr>
            <w:tcW w:w="4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640" w:type="dxa"/>
            <w:vAlign w:val="bottom"/>
          </w:tcPr>
          <w:p>
            <w:pPr>
              <w:jc w:val="right"/>
              <w:spacing w:after="0"/>
              <w:rPr>
                <w:sz w:val="20"/>
                <w:szCs w:val="20"/>
                <w:color w:val="auto"/>
              </w:rPr>
            </w:pPr>
            <w:r>
              <w:rPr>
                <w:rFonts w:ascii="Arial" w:cs="Arial" w:eastAsia="Arial" w:hAnsi="Arial"/>
                <w:sz w:val="16"/>
                <w:szCs w:val="16"/>
                <w:color w:val="auto"/>
              </w:rPr>
              <w:t>1,666</w:t>
            </w:r>
          </w:p>
        </w:tc>
        <w:tc>
          <w:tcPr>
            <w:tcW w:w="2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6"/>
                <w:szCs w:val="16"/>
                <w:color w:val="auto"/>
              </w:rPr>
            </w:pPr>
          </w:p>
        </w:tc>
        <w:tc>
          <w:tcPr>
            <w:tcW w:w="4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1,688</w:t>
            </w:r>
          </w:p>
        </w:tc>
        <w:tc>
          <w:tcPr>
            <w:tcW w:w="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24</w:t>
            </w:r>
          </w:p>
        </w:tc>
        <w:tc>
          <w:tcPr>
            <w:tcW w:w="520" w:type="dxa"/>
            <w:vAlign w:val="bottom"/>
            <w:tcBorders>
              <w:right w:val="single" w:sz="8" w:color="auto"/>
            </w:tcBorders>
            <w:gridSpan w:val="2"/>
          </w:tcPr>
          <w:p>
            <w:pPr>
              <w:jc w:val="right"/>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18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6"/>
                <w:szCs w:val="16"/>
                <w:color w:val="auto"/>
              </w:rPr>
              <w:t>Investments</w:t>
            </w:r>
          </w:p>
        </w:tc>
        <w:tc>
          <w:tcPr>
            <w:tcW w:w="660" w:type="dxa"/>
            <w:vAlign w:val="bottom"/>
          </w:tcPr>
          <w:p>
            <w:pPr>
              <w:jc w:val="right"/>
              <w:spacing w:after="0"/>
              <w:rPr>
                <w:sz w:val="20"/>
                <w:szCs w:val="20"/>
                <w:color w:val="auto"/>
              </w:rPr>
            </w:pPr>
            <w:r>
              <w:rPr>
                <w:rFonts w:ascii="Arial" w:cs="Arial" w:eastAsia="Arial" w:hAnsi="Arial"/>
                <w:sz w:val="16"/>
                <w:szCs w:val="16"/>
                <w:color w:val="auto"/>
              </w:rPr>
              <w:t>46,093</w:t>
            </w:r>
          </w:p>
        </w:tc>
        <w:tc>
          <w:tcPr>
            <w:tcW w:w="580" w:type="dxa"/>
            <w:vAlign w:val="bottom"/>
          </w:tcPr>
          <w:p>
            <w:pPr>
              <w:jc w:val="right"/>
              <w:spacing w:after="0"/>
              <w:rPr>
                <w:sz w:val="20"/>
                <w:szCs w:val="20"/>
                <w:color w:val="auto"/>
              </w:rPr>
            </w:pPr>
            <w:r>
              <w:rPr>
                <w:rFonts w:ascii="Arial" w:cs="Arial" w:eastAsia="Arial" w:hAnsi="Arial"/>
                <w:sz w:val="16"/>
                <w:szCs w:val="16"/>
                <w:color w:val="auto"/>
              </w:rPr>
              <w:t>541</w:t>
            </w:r>
          </w:p>
        </w:tc>
        <w:tc>
          <w:tcPr>
            <w:tcW w:w="100" w:type="dxa"/>
            <w:vAlign w:val="bottom"/>
          </w:tcPr>
          <w:p>
            <w:pPr>
              <w:spacing w:after="0"/>
              <w:rPr>
                <w:sz w:val="16"/>
                <w:szCs w:val="16"/>
                <w:color w:val="auto"/>
              </w:rPr>
            </w:pPr>
          </w:p>
        </w:tc>
        <w:tc>
          <w:tcPr>
            <w:tcW w:w="4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640" w:type="dxa"/>
            <w:vAlign w:val="bottom"/>
          </w:tcPr>
          <w:p>
            <w:pPr>
              <w:jc w:val="right"/>
              <w:spacing w:after="0"/>
              <w:rPr>
                <w:sz w:val="20"/>
                <w:szCs w:val="20"/>
                <w:color w:val="auto"/>
              </w:rPr>
            </w:pPr>
            <w:r>
              <w:rPr>
                <w:rFonts w:ascii="Arial" w:cs="Arial" w:eastAsia="Arial" w:hAnsi="Arial"/>
                <w:sz w:val="16"/>
                <w:szCs w:val="16"/>
                <w:color w:val="auto"/>
              </w:rPr>
              <w:t>47,882</w:t>
            </w:r>
          </w:p>
        </w:tc>
        <w:tc>
          <w:tcPr>
            <w:tcW w:w="2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636</w:t>
            </w:r>
          </w:p>
        </w:tc>
        <w:tc>
          <w:tcPr>
            <w:tcW w:w="100" w:type="dxa"/>
            <w:vAlign w:val="bottom"/>
          </w:tcPr>
          <w:p>
            <w:pPr>
              <w:spacing w:after="0"/>
              <w:rPr>
                <w:sz w:val="16"/>
                <w:szCs w:val="16"/>
                <w:color w:val="auto"/>
              </w:rPr>
            </w:pPr>
          </w:p>
        </w:tc>
        <w:tc>
          <w:tcPr>
            <w:tcW w:w="4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49,576</w:t>
            </w:r>
          </w:p>
        </w:tc>
        <w:tc>
          <w:tcPr>
            <w:tcW w:w="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652</w:t>
            </w:r>
          </w:p>
        </w:tc>
        <w:tc>
          <w:tcPr>
            <w:tcW w:w="520" w:type="dxa"/>
            <w:vAlign w:val="bottom"/>
            <w:tcBorders>
              <w:right w:val="single" w:sz="8" w:color="auto"/>
            </w:tcBorders>
            <w:gridSpan w:val="2"/>
          </w:tcPr>
          <w:p>
            <w:pPr>
              <w:jc w:val="right"/>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18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6"/>
                <w:szCs w:val="16"/>
                <w:color w:val="auto"/>
              </w:rPr>
              <w:t>Loans</w:t>
            </w:r>
          </w:p>
        </w:tc>
        <w:tc>
          <w:tcPr>
            <w:tcW w:w="660" w:type="dxa"/>
            <w:vAlign w:val="bottom"/>
          </w:tcPr>
          <w:p>
            <w:pPr>
              <w:jc w:val="right"/>
              <w:spacing w:after="0"/>
              <w:rPr>
                <w:sz w:val="20"/>
                <w:szCs w:val="20"/>
                <w:color w:val="auto"/>
              </w:rPr>
            </w:pPr>
            <w:r>
              <w:rPr>
                <w:rFonts w:ascii="Arial" w:cs="Arial" w:eastAsia="Arial" w:hAnsi="Arial"/>
                <w:sz w:val="16"/>
                <w:szCs w:val="16"/>
                <w:color w:val="auto"/>
              </w:rPr>
              <w:t>150,881</w:t>
            </w:r>
          </w:p>
        </w:tc>
        <w:tc>
          <w:tcPr>
            <w:tcW w:w="680" w:type="dxa"/>
            <w:vAlign w:val="bottom"/>
            <w:gridSpan w:val="2"/>
          </w:tcPr>
          <w:p>
            <w:pPr>
              <w:jc w:val="right"/>
              <w:ind w:right="18"/>
              <w:spacing w:after="0"/>
              <w:rPr>
                <w:sz w:val="20"/>
                <w:szCs w:val="20"/>
                <w:color w:val="auto"/>
              </w:rPr>
            </w:pPr>
            <w:r>
              <w:rPr>
                <w:rFonts w:ascii="Arial" w:cs="Arial" w:eastAsia="Arial" w:hAnsi="Arial"/>
                <w:sz w:val="16"/>
                <w:szCs w:val="16"/>
                <w:color w:val="auto"/>
              </w:rPr>
              <w:t>3,289</w:t>
            </w:r>
          </w:p>
        </w:tc>
        <w:tc>
          <w:tcPr>
            <w:tcW w:w="4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8.7%</w:t>
            </w:r>
          </w:p>
        </w:tc>
        <w:tc>
          <w:tcPr>
            <w:tcW w:w="640" w:type="dxa"/>
            <w:vAlign w:val="bottom"/>
          </w:tcPr>
          <w:p>
            <w:pPr>
              <w:jc w:val="right"/>
              <w:spacing w:after="0"/>
              <w:rPr>
                <w:sz w:val="20"/>
                <w:szCs w:val="20"/>
                <w:color w:val="auto"/>
              </w:rPr>
            </w:pPr>
            <w:r>
              <w:rPr>
                <w:rFonts w:ascii="Arial" w:cs="Arial" w:eastAsia="Arial" w:hAnsi="Arial"/>
                <w:sz w:val="16"/>
                <w:szCs w:val="16"/>
                <w:color w:val="auto"/>
              </w:rPr>
              <w:t>144,006</w:t>
            </w:r>
          </w:p>
        </w:tc>
        <w:tc>
          <w:tcPr>
            <w:tcW w:w="2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3,713</w:t>
            </w:r>
          </w:p>
        </w:tc>
        <w:tc>
          <w:tcPr>
            <w:tcW w:w="580" w:type="dxa"/>
            <w:vAlign w:val="bottom"/>
            <w:tcBorders>
              <w:right w:val="single" w:sz="8" w:color="auto"/>
            </w:tcBorders>
            <w:gridSpan w:val="2"/>
          </w:tcPr>
          <w:p>
            <w:pPr>
              <w:jc w:val="right"/>
              <w:spacing w:after="0"/>
              <w:rPr>
                <w:sz w:val="20"/>
                <w:szCs w:val="20"/>
                <w:color w:val="auto"/>
              </w:rPr>
            </w:pPr>
            <w:r>
              <w:rPr>
                <w:rFonts w:ascii="Arial" w:cs="Arial" w:eastAsia="Arial" w:hAnsi="Arial"/>
                <w:sz w:val="16"/>
                <w:szCs w:val="16"/>
                <w:color w:val="auto"/>
              </w:rPr>
              <w:t>10.3%</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143,987</w:t>
            </w:r>
          </w:p>
        </w:tc>
        <w:tc>
          <w:tcPr>
            <w:tcW w:w="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3,853</w:t>
            </w:r>
          </w:p>
        </w:tc>
        <w:tc>
          <w:tcPr>
            <w:tcW w:w="520" w:type="dxa"/>
            <w:vAlign w:val="bottom"/>
            <w:tcBorders>
              <w:right w:val="single" w:sz="8" w:color="auto"/>
            </w:tcBorders>
            <w:gridSpan w:val="2"/>
          </w:tcPr>
          <w:p>
            <w:pPr>
              <w:jc w:val="right"/>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180" w:type="dxa"/>
            <w:vAlign w:val="bottom"/>
            <w:tcBorders>
              <w:left w:val="single" w:sz="8" w:color="auto"/>
              <w:right w:val="single" w:sz="8" w:color="auto"/>
            </w:tcBorders>
            <w:gridSpan w:val="3"/>
          </w:tcPr>
          <w:p>
            <w:pPr>
              <w:ind w:left="160"/>
              <w:spacing w:after="0"/>
              <w:rPr>
                <w:sz w:val="20"/>
                <w:szCs w:val="20"/>
                <w:color w:val="auto"/>
              </w:rPr>
            </w:pPr>
            <w:r>
              <w:rPr>
                <w:rFonts w:ascii="Arial" w:cs="Arial" w:eastAsia="Arial" w:hAnsi="Arial"/>
                <w:sz w:val="16"/>
                <w:szCs w:val="16"/>
                <w:color w:val="auto"/>
              </w:rPr>
              <w:t>Structural</w:t>
            </w:r>
          </w:p>
        </w:tc>
        <w:tc>
          <w:tcPr>
            <w:tcW w:w="660" w:type="dxa"/>
            <w:vAlign w:val="bottom"/>
          </w:tcPr>
          <w:p>
            <w:pPr>
              <w:jc w:val="right"/>
              <w:spacing w:after="0"/>
              <w:rPr>
                <w:sz w:val="20"/>
                <w:szCs w:val="20"/>
                <w:color w:val="auto"/>
              </w:rPr>
            </w:pPr>
            <w:r>
              <w:rPr>
                <w:rFonts w:ascii="Arial" w:cs="Arial" w:eastAsia="Arial" w:hAnsi="Arial"/>
                <w:sz w:val="16"/>
                <w:szCs w:val="16"/>
                <w:color w:val="auto"/>
              </w:rPr>
              <w:t>137,457</w:t>
            </w:r>
          </w:p>
        </w:tc>
        <w:tc>
          <w:tcPr>
            <w:tcW w:w="680" w:type="dxa"/>
            <w:vAlign w:val="bottom"/>
            <w:gridSpan w:val="2"/>
          </w:tcPr>
          <w:p>
            <w:pPr>
              <w:jc w:val="right"/>
              <w:ind w:right="18"/>
              <w:spacing w:after="0"/>
              <w:rPr>
                <w:sz w:val="20"/>
                <w:szCs w:val="20"/>
                <w:color w:val="auto"/>
              </w:rPr>
            </w:pPr>
            <w:r>
              <w:rPr>
                <w:rFonts w:ascii="Arial" w:cs="Arial" w:eastAsia="Arial" w:hAnsi="Arial"/>
                <w:sz w:val="16"/>
                <w:szCs w:val="16"/>
                <w:color w:val="auto"/>
              </w:rPr>
              <w:t>3,235</w:t>
            </w:r>
          </w:p>
        </w:tc>
        <w:tc>
          <w:tcPr>
            <w:tcW w:w="4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9.4%</w:t>
            </w:r>
          </w:p>
        </w:tc>
        <w:tc>
          <w:tcPr>
            <w:tcW w:w="640" w:type="dxa"/>
            <w:vAlign w:val="bottom"/>
          </w:tcPr>
          <w:p>
            <w:pPr>
              <w:jc w:val="right"/>
              <w:spacing w:after="0"/>
              <w:rPr>
                <w:sz w:val="20"/>
                <w:szCs w:val="20"/>
                <w:color w:val="auto"/>
              </w:rPr>
            </w:pPr>
            <w:r>
              <w:rPr>
                <w:rFonts w:ascii="Arial" w:cs="Arial" w:eastAsia="Arial" w:hAnsi="Arial"/>
                <w:sz w:val="16"/>
                <w:szCs w:val="16"/>
                <w:color w:val="auto"/>
              </w:rPr>
              <w:t>138,260</w:t>
            </w:r>
          </w:p>
        </w:tc>
        <w:tc>
          <w:tcPr>
            <w:tcW w:w="2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3,678</w:t>
            </w:r>
          </w:p>
        </w:tc>
        <w:tc>
          <w:tcPr>
            <w:tcW w:w="580" w:type="dxa"/>
            <w:vAlign w:val="bottom"/>
            <w:tcBorders>
              <w:right w:val="single" w:sz="8" w:color="auto"/>
            </w:tcBorders>
            <w:gridSpan w:val="2"/>
          </w:tcPr>
          <w:p>
            <w:pPr>
              <w:jc w:val="right"/>
              <w:spacing w:after="0"/>
              <w:rPr>
                <w:sz w:val="20"/>
                <w:szCs w:val="20"/>
                <w:color w:val="auto"/>
              </w:rPr>
            </w:pPr>
            <w:r>
              <w:rPr>
                <w:rFonts w:ascii="Arial" w:cs="Arial" w:eastAsia="Arial" w:hAnsi="Arial"/>
                <w:sz w:val="16"/>
                <w:szCs w:val="16"/>
                <w:color w:val="auto"/>
              </w:rPr>
              <w:t>10.6%</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139,427</w:t>
            </w:r>
          </w:p>
        </w:tc>
        <w:tc>
          <w:tcPr>
            <w:tcW w:w="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3,822</w:t>
            </w:r>
          </w:p>
        </w:tc>
        <w:tc>
          <w:tcPr>
            <w:tcW w:w="520" w:type="dxa"/>
            <w:vAlign w:val="bottom"/>
            <w:tcBorders>
              <w:right w:val="single" w:sz="8" w:color="auto"/>
            </w:tcBorders>
            <w:gridSpan w:val="2"/>
          </w:tcPr>
          <w:p>
            <w:pPr>
              <w:jc w:val="right"/>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180" w:type="dxa"/>
            <w:vAlign w:val="bottom"/>
            <w:tcBorders>
              <w:left w:val="single" w:sz="8" w:color="auto"/>
              <w:bottom w:val="single" w:sz="8" w:color="auto"/>
              <w:right w:val="single" w:sz="8" w:color="auto"/>
            </w:tcBorders>
            <w:gridSpan w:val="3"/>
          </w:tcPr>
          <w:p>
            <w:pPr>
              <w:ind w:left="160"/>
              <w:spacing w:after="0"/>
              <w:rPr>
                <w:sz w:val="20"/>
                <w:szCs w:val="20"/>
                <w:color w:val="auto"/>
              </w:rPr>
            </w:pPr>
            <w:r>
              <w:rPr>
                <w:rFonts w:ascii="Arial" w:cs="Arial" w:eastAsia="Arial" w:hAnsi="Arial"/>
                <w:sz w:val="16"/>
                <w:szCs w:val="16"/>
                <w:color w:val="auto"/>
              </w:rPr>
              <w:t>Government Programs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13,425</w:t>
            </w:r>
          </w:p>
        </w:tc>
        <w:tc>
          <w:tcPr>
            <w:tcW w:w="680" w:type="dxa"/>
            <w:vAlign w:val="bottom"/>
            <w:tcBorders>
              <w:bottom w:val="single" w:sz="8" w:color="auto"/>
            </w:tcBorders>
            <w:gridSpan w:val="2"/>
          </w:tcPr>
          <w:p>
            <w:pPr>
              <w:jc w:val="right"/>
              <w:ind w:right="18"/>
              <w:spacing w:after="0"/>
              <w:rPr>
                <w:sz w:val="20"/>
                <w:szCs w:val="20"/>
                <w:color w:val="auto"/>
              </w:rPr>
            </w:pPr>
            <w:r>
              <w:rPr>
                <w:rFonts w:ascii="Arial" w:cs="Arial" w:eastAsia="Arial" w:hAnsi="Arial"/>
                <w:sz w:val="16"/>
                <w:szCs w:val="16"/>
                <w:color w:val="auto"/>
              </w:rPr>
              <w:t>54</w:t>
            </w:r>
          </w:p>
        </w:tc>
        <w:tc>
          <w:tcPr>
            <w:tcW w:w="4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5,745</w:t>
            </w:r>
          </w:p>
        </w:tc>
        <w:tc>
          <w:tcPr>
            <w:tcW w:w="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auto"/>
            </w:tcBorders>
          </w:tcPr>
          <w:p>
            <w:pPr>
              <w:spacing w:after="0"/>
              <w:rPr>
                <w:sz w:val="17"/>
                <w:szCs w:val="17"/>
                <w:color w:val="auto"/>
              </w:rPr>
            </w:pPr>
          </w:p>
        </w:tc>
        <w:tc>
          <w:tcPr>
            <w:tcW w:w="4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4,560</w:t>
            </w:r>
          </w:p>
        </w:tc>
        <w:tc>
          <w:tcPr>
            <w:tcW w:w="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52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180" w:type="dxa"/>
            <w:vAlign w:val="bottom"/>
            <w:tcBorders>
              <w:left w:val="single" w:sz="8" w:color="auto"/>
              <w:bottom w:val="single" w:sz="8" w:color="auto"/>
              <w:right w:val="single" w:sz="8" w:color="auto"/>
            </w:tcBorders>
            <w:gridSpan w:val="3"/>
          </w:tcPr>
          <w:p>
            <w:pPr>
              <w:ind w:left="20"/>
              <w:spacing w:after="0" w:line="178" w:lineRule="exact"/>
              <w:rPr>
                <w:sz w:val="20"/>
                <w:szCs w:val="20"/>
                <w:color w:val="auto"/>
              </w:rPr>
            </w:pPr>
            <w:r>
              <w:rPr>
                <w:rFonts w:ascii="Arial" w:cs="Arial" w:eastAsia="Arial" w:hAnsi="Arial"/>
                <w:sz w:val="16"/>
                <w:szCs w:val="16"/>
                <w:b w:val="1"/>
                <w:bCs w:val="1"/>
                <w:color w:val="auto"/>
              </w:rPr>
              <w:t>Total IEA</w:t>
            </w:r>
          </w:p>
        </w:tc>
        <w:tc>
          <w:tcPr>
            <w:tcW w:w="66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b w:val="1"/>
                <w:bCs w:val="1"/>
                <w:color w:val="auto"/>
              </w:rPr>
              <w:t>225,372</w:t>
            </w:r>
          </w:p>
        </w:tc>
        <w:tc>
          <w:tcPr>
            <w:tcW w:w="680" w:type="dxa"/>
            <w:vAlign w:val="bottom"/>
            <w:tcBorders>
              <w:bottom w:val="single" w:sz="8" w:color="auto"/>
            </w:tcBorders>
            <w:gridSpan w:val="2"/>
          </w:tcPr>
          <w:p>
            <w:pPr>
              <w:jc w:val="right"/>
              <w:ind w:right="18"/>
              <w:spacing w:after="0" w:line="178" w:lineRule="exact"/>
              <w:rPr>
                <w:sz w:val="20"/>
                <w:szCs w:val="20"/>
                <w:color w:val="auto"/>
              </w:rPr>
            </w:pPr>
            <w:r>
              <w:rPr>
                <w:rFonts w:ascii="Arial" w:cs="Arial" w:eastAsia="Arial" w:hAnsi="Arial"/>
                <w:sz w:val="16"/>
                <w:szCs w:val="16"/>
                <w:b w:val="1"/>
                <w:bCs w:val="1"/>
                <w:color w:val="auto"/>
              </w:rPr>
              <w:t>3,989</w:t>
            </w:r>
          </w:p>
        </w:tc>
        <w:tc>
          <w:tcPr>
            <w:tcW w:w="460" w:type="dxa"/>
            <w:vAlign w:val="bottom"/>
            <w:tcBorders>
              <w:bottom w:val="single" w:sz="8" w:color="auto"/>
              <w:right w:val="single" w:sz="8" w:color="auto"/>
            </w:tcBorders>
          </w:tcPr>
          <w:p>
            <w:pPr>
              <w:jc w:val="right"/>
              <w:spacing w:after="0" w:line="178" w:lineRule="exact"/>
              <w:rPr>
                <w:sz w:val="20"/>
                <w:szCs w:val="20"/>
                <w:color w:val="auto"/>
              </w:rPr>
            </w:pPr>
            <w:r>
              <w:rPr>
                <w:rFonts w:ascii="Arial" w:cs="Arial" w:eastAsia="Arial" w:hAnsi="Arial"/>
                <w:sz w:val="16"/>
                <w:szCs w:val="16"/>
                <w:b w:val="1"/>
                <w:bCs w:val="1"/>
                <w:color w:val="auto"/>
              </w:rPr>
              <w:t>7.1%</w:t>
            </w:r>
          </w:p>
        </w:tc>
        <w:tc>
          <w:tcPr>
            <w:tcW w:w="64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b w:val="1"/>
                <w:bCs w:val="1"/>
                <w:color w:val="auto"/>
              </w:rPr>
              <w:t>220,652</w:t>
            </w:r>
          </w:p>
        </w:tc>
        <w:tc>
          <w:tcPr>
            <w:tcW w:w="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2"/>
          </w:tcPr>
          <w:p>
            <w:pPr>
              <w:jc w:val="right"/>
              <w:spacing w:after="0" w:line="178" w:lineRule="exact"/>
              <w:rPr>
                <w:sz w:val="20"/>
                <w:szCs w:val="20"/>
                <w:color w:val="auto"/>
              </w:rPr>
            </w:pPr>
            <w:r>
              <w:rPr>
                <w:rFonts w:ascii="Arial" w:cs="Arial" w:eastAsia="Arial" w:hAnsi="Arial"/>
                <w:sz w:val="16"/>
                <w:szCs w:val="16"/>
                <w:b w:val="1"/>
                <w:bCs w:val="1"/>
                <w:color w:val="auto"/>
              </w:rPr>
              <w:t>4,653</w:t>
            </w: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right w:val="single" w:sz="8" w:color="auto"/>
            </w:tcBorders>
          </w:tcPr>
          <w:p>
            <w:pPr>
              <w:jc w:val="right"/>
              <w:spacing w:after="0" w:line="178" w:lineRule="exact"/>
              <w:rPr>
                <w:sz w:val="20"/>
                <w:szCs w:val="20"/>
                <w:color w:val="auto"/>
              </w:rPr>
            </w:pPr>
            <w:r>
              <w:rPr>
                <w:rFonts w:ascii="Arial" w:cs="Arial" w:eastAsia="Arial" w:hAnsi="Arial"/>
                <w:sz w:val="16"/>
                <w:szCs w:val="16"/>
                <w:b w:val="1"/>
                <w:bCs w:val="1"/>
                <w:color w:val="auto"/>
              </w:rPr>
              <w:t>8.4%</w:t>
            </w:r>
          </w:p>
        </w:tc>
        <w:tc>
          <w:tcPr>
            <w:tcW w:w="660" w:type="dxa"/>
            <w:vAlign w:val="bottom"/>
            <w:tcBorders>
              <w:bottom w:val="single" w:sz="8" w:color="auto"/>
            </w:tcBorders>
            <w:gridSpan w:val="2"/>
          </w:tcPr>
          <w:p>
            <w:pPr>
              <w:jc w:val="right"/>
              <w:spacing w:after="0" w:line="178" w:lineRule="exact"/>
              <w:rPr>
                <w:sz w:val="20"/>
                <w:szCs w:val="20"/>
                <w:color w:val="auto"/>
              </w:rPr>
            </w:pPr>
            <w:r>
              <w:rPr>
                <w:rFonts w:ascii="Arial" w:cs="Arial" w:eastAsia="Arial" w:hAnsi="Arial"/>
                <w:sz w:val="16"/>
                <w:szCs w:val="16"/>
                <w:b w:val="1"/>
                <w:bCs w:val="1"/>
                <w:color w:val="auto"/>
              </w:rPr>
              <w:t>220,724</w:t>
            </w:r>
          </w:p>
        </w:tc>
        <w:tc>
          <w:tcPr>
            <w:tcW w:w="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b w:val="1"/>
                <w:bCs w:val="1"/>
                <w:color w:val="auto"/>
              </w:rPr>
              <w:t>4,819</w:t>
            </w:r>
          </w:p>
        </w:tc>
        <w:tc>
          <w:tcPr>
            <w:tcW w:w="520" w:type="dxa"/>
            <w:vAlign w:val="bottom"/>
            <w:tcBorders>
              <w:bottom w:val="single" w:sz="8" w:color="auto"/>
              <w:right w:val="single" w:sz="8" w:color="auto"/>
            </w:tcBorders>
            <w:gridSpan w:val="2"/>
          </w:tcPr>
          <w:p>
            <w:pPr>
              <w:jc w:val="right"/>
              <w:spacing w:after="0" w:line="178" w:lineRule="exact"/>
              <w:rPr>
                <w:sz w:val="20"/>
                <w:szCs w:val="20"/>
                <w:color w:val="auto"/>
              </w:rPr>
            </w:pPr>
            <w:r>
              <w:rPr>
                <w:rFonts w:ascii="Arial" w:cs="Arial" w:eastAsia="Arial" w:hAnsi="Arial"/>
                <w:sz w:val="16"/>
                <w:szCs w:val="16"/>
                <w:b w:val="1"/>
                <w:bCs w:val="1"/>
                <w:color w:val="auto"/>
              </w:rPr>
              <w:t>8.7%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180" w:type="dxa"/>
            <w:vAlign w:val="bottom"/>
            <w:tcBorders>
              <w:left w:val="single" w:sz="8" w:color="auto"/>
              <w:bottom w:val="single" w:sz="8" w:color="auto"/>
              <w:right w:val="single" w:sz="8" w:color="auto"/>
            </w:tcBorders>
            <w:gridSpan w:val="3"/>
          </w:tcPr>
          <w:p>
            <w:pPr>
              <w:ind w:left="20"/>
              <w:spacing w:after="0" w:line="178" w:lineRule="exact"/>
              <w:rPr>
                <w:sz w:val="20"/>
                <w:szCs w:val="20"/>
                <w:color w:val="auto"/>
              </w:rPr>
            </w:pPr>
            <w:r>
              <w:rPr>
                <w:rFonts w:ascii="Arial" w:cs="Arial" w:eastAsia="Arial" w:hAnsi="Arial"/>
                <w:sz w:val="16"/>
                <w:szCs w:val="16"/>
                <w:color w:val="auto"/>
              </w:rPr>
              <w:t>IEA (LC)</w:t>
            </w:r>
          </w:p>
        </w:tc>
        <w:tc>
          <w:tcPr>
            <w:tcW w:w="66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57.1%</w:t>
            </w:r>
          </w:p>
        </w:tc>
        <w:tc>
          <w:tcPr>
            <w:tcW w:w="680" w:type="dxa"/>
            <w:vAlign w:val="bottom"/>
            <w:tcBorders>
              <w:bottom w:val="single" w:sz="8" w:color="auto"/>
            </w:tcBorders>
            <w:gridSpan w:val="2"/>
          </w:tcPr>
          <w:p>
            <w:pPr>
              <w:jc w:val="right"/>
              <w:ind w:right="18"/>
              <w:spacing w:after="0" w:line="178" w:lineRule="exact"/>
              <w:rPr>
                <w:sz w:val="20"/>
                <w:szCs w:val="20"/>
                <w:color w:val="auto"/>
              </w:rPr>
            </w:pPr>
            <w:r>
              <w:rPr>
                <w:rFonts w:ascii="Arial" w:cs="Arial" w:eastAsia="Arial" w:hAnsi="Arial"/>
                <w:sz w:val="16"/>
                <w:szCs w:val="16"/>
                <w:color w:val="auto"/>
              </w:rPr>
              <w:t>75.0%</w:t>
            </w:r>
          </w:p>
        </w:tc>
        <w:tc>
          <w:tcPr>
            <w:tcW w:w="460" w:type="dxa"/>
            <w:vAlign w:val="bottom"/>
            <w:tcBorders>
              <w:bottom w:val="single" w:sz="8" w:color="auto"/>
              <w:right w:val="single" w:sz="8" w:color="auto"/>
            </w:tcBorders>
          </w:tcPr>
          <w:p>
            <w:pPr>
              <w:jc w:val="right"/>
              <w:spacing w:after="0" w:line="178" w:lineRule="exact"/>
              <w:rPr>
                <w:sz w:val="20"/>
                <w:szCs w:val="20"/>
                <w:color w:val="auto"/>
              </w:rPr>
            </w:pPr>
            <w:r>
              <w:rPr>
                <w:rFonts w:ascii="Arial" w:cs="Arial" w:eastAsia="Arial" w:hAnsi="Arial"/>
                <w:sz w:val="16"/>
                <w:szCs w:val="16"/>
                <w:color w:val="auto"/>
              </w:rPr>
              <w:t>9.3%</w:t>
            </w:r>
          </w:p>
        </w:tc>
        <w:tc>
          <w:tcPr>
            <w:tcW w:w="64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57.3%</w:t>
            </w:r>
          </w:p>
        </w:tc>
        <w:tc>
          <w:tcPr>
            <w:tcW w:w="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2"/>
          </w:tcPr>
          <w:p>
            <w:pPr>
              <w:jc w:val="right"/>
              <w:spacing w:after="0" w:line="178" w:lineRule="exact"/>
              <w:rPr>
                <w:sz w:val="20"/>
                <w:szCs w:val="20"/>
                <w:color w:val="auto"/>
              </w:rPr>
            </w:pPr>
            <w:r>
              <w:rPr>
                <w:rFonts w:ascii="Arial" w:cs="Arial" w:eastAsia="Arial" w:hAnsi="Arial"/>
                <w:sz w:val="16"/>
                <w:szCs w:val="16"/>
                <w:color w:val="auto"/>
              </w:rPr>
              <w:t>71.4%</w:t>
            </w:r>
          </w:p>
        </w:tc>
        <w:tc>
          <w:tcPr>
            <w:tcW w:w="580" w:type="dxa"/>
            <w:vAlign w:val="bottom"/>
            <w:tcBorders>
              <w:bottom w:val="single" w:sz="8" w:color="auto"/>
              <w:right w:val="single" w:sz="8" w:color="auto"/>
            </w:tcBorders>
            <w:gridSpan w:val="2"/>
          </w:tcPr>
          <w:p>
            <w:pPr>
              <w:jc w:val="right"/>
              <w:spacing w:after="0" w:line="178" w:lineRule="exact"/>
              <w:rPr>
                <w:sz w:val="20"/>
                <w:szCs w:val="20"/>
                <w:color w:val="auto"/>
              </w:rPr>
            </w:pPr>
            <w:r>
              <w:rPr>
                <w:rFonts w:ascii="Arial" w:cs="Arial" w:eastAsia="Arial" w:hAnsi="Arial"/>
                <w:sz w:val="16"/>
                <w:szCs w:val="16"/>
                <w:color w:val="auto"/>
              </w:rPr>
              <w:t>10.5%</w:t>
            </w:r>
          </w:p>
        </w:tc>
        <w:tc>
          <w:tcPr>
            <w:tcW w:w="660" w:type="dxa"/>
            <w:vAlign w:val="bottom"/>
            <w:tcBorders>
              <w:bottom w:val="single" w:sz="8" w:color="auto"/>
            </w:tcBorders>
            <w:gridSpan w:val="2"/>
          </w:tcPr>
          <w:p>
            <w:pPr>
              <w:jc w:val="right"/>
              <w:spacing w:after="0" w:line="178" w:lineRule="exact"/>
              <w:rPr>
                <w:sz w:val="20"/>
                <w:szCs w:val="20"/>
                <w:color w:val="auto"/>
              </w:rPr>
            </w:pPr>
            <w:r>
              <w:rPr>
                <w:rFonts w:ascii="Arial" w:cs="Arial" w:eastAsia="Arial" w:hAnsi="Arial"/>
                <w:sz w:val="16"/>
                <w:szCs w:val="16"/>
                <w:color w:val="auto"/>
              </w:rPr>
              <w:t>57.7%</w:t>
            </w:r>
          </w:p>
        </w:tc>
        <w:tc>
          <w:tcPr>
            <w:tcW w:w="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71.3%</w:t>
            </w:r>
          </w:p>
        </w:tc>
        <w:tc>
          <w:tcPr>
            <w:tcW w:w="520" w:type="dxa"/>
            <w:vAlign w:val="bottom"/>
            <w:tcBorders>
              <w:bottom w:val="single" w:sz="8" w:color="auto"/>
              <w:right w:val="single" w:sz="8" w:color="auto"/>
            </w:tcBorders>
            <w:gridSpan w:val="2"/>
          </w:tcPr>
          <w:p>
            <w:pPr>
              <w:jc w:val="right"/>
              <w:spacing w:after="0" w:line="178" w:lineRule="exact"/>
              <w:rPr>
                <w:sz w:val="20"/>
                <w:szCs w:val="20"/>
                <w:color w:val="auto"/>
              </w:rPr>
            </w:pPr>
            <w:r>
              <w:rPr>
                <w:rFonts w:ascii="Arial" w:cs="Arial" w:eastAsia="Arial" w:hAnsi="Arial"/>
                <w:sz w:val="16"/>
                <w:szCs w:val="16"/>
                <w:color w:val="auto"/>
              </w:rPr>
              <w:t>10.8%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180" w:type="dxa"/>
            <w:vAlign w:val="bottom"/>
            <w:tcBorders>
              <w:left w:val="single" w:sz="8" w:color="auto"/>
              <w:bottom w:val="single" w:sz="8" w:color="auto"/>
              <w:right w:val="single" w:sz="8" w:color="auto"/>
            </w:tcBorders>
            <w:gridSpan w:val="3"/>
          </w:tcPr>
          <w:p>
            <w:pPr>
              <w:ind w:left="20"/>
              <w:spacing w:after="0" w:line="178" w:lineRule="exact"/>
              <w:rPr>
                <w:sz w:val="20"/>
                <w:szCs w:val="20"/>
                <w:color w:val="auto"/>
              </w:rPr>
            </w:pPr>
            <w:r>
              <w:rPr>
                <w:rFonts w:ascii="Arial" w:cs="Arial" w:eastAsia="Arial" w:hAnsi="Arial"/>
                <w:sz w:val="16"/>
                <w:szCs w:val="16"/>
                <w:color w:val="auto"/>
              </w:rPr>
              <w:t>IEA (FC)</w:t>
            </w:r>
          </w:p>
        </w:tc>
        <w:tc>
          <w:tcPr>
            <w:tcW w:w="66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42.9%</w:t>
            </w:r>
          </w:p>
        </w:tc>
        <w:tc>
          <w:tcPr>
            <w:tcW w:w="680" w:type="dxa"/>
            <w:vAlign w:val="bottom"/>
            <w:tcBorders>
              <w:bottom w:val="single" w:sz="8" w:color="auto"/>
            </w:tcBorders>
            <w:gridSpan w:val="2"/>
          </w:tcPr>
          <w:p>
            <w:pPr>
              <w:jc w:val="right"/>
              <w:ind w:right="18"/>
              <w:spacing w:after="0" w:line="178" w:lineRule="exact"/>
              <w:rPr>
                <w:sz w:val="20"/>
                <w:szCs w:val="20"/>
                <w:color w:val="auto"/>
              </w:rPr>
            </w:pPr>
            <w:r>
              <w:rPr>
                <w:rFonts w:ascii="Arial" w:cs="Arial" w:eastAsia="Arial" w:hAnsi="Arial"/>
                <w:sz w:val="16"/>
                <w:szCs w:val="16"/>
                <w:color w:val="auto"/>
              </w:rPr>
              <w:t>25.0%</w:t>
            </w:r>
          </w:p>
        </w:tc>
        <w:tc>
          <w:tcPr>
            <w:tcW w:w="460" w:type="dxa"/>
            <w:vAlign w:val="bottom"/>
            <w:tcBorders>
              <w:bottom w:val="single" w:sz="8" w:color="auto"/>
              <w:right w:val="single" w:sz="8" w:color="auto"/>
            </w:tcBorders>
          </w:tcPr>
          <w:p>
            <w:pPr>
              <w:jc w:val="right"/>
              <w:spacing w:after="0" w:line="178" w:lineRule="exact"/>
              <w:rPr>
                <w:sz w:val="20"/>
                <w:szCs w:val="20"/>
                <w:color w:val="auto"/>
              </w:rPr>
            </w:pPr>
            <w:r>
              <w:rPr>
                <w:rFonts w:ascii="Arial" w:cs="Arial" w:eastAsia="Arial" w:hAnsi="Arial"/>
                <w:sz w:val="16"/>
                <w:szCs w:val="16"/>
                <w:color w:val="auto"/>
              </w:rPr>
              <w:t>4.1%</w:t>
            </w:r>
          </w:p>
        </w:tc>
        <w:tc>
          <w:tcPr>
            <w:tcW w:w="64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42.7%</w:t>
            </w:r>
          </w:p>
        </w:tc>
        <w:tc>
          <w:tcPr>
            <w:tcW w:w="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2"/>
          </w:tcPr>
          <w:p>
            <w:pPr>
              <w:jc w:val="right"/>
              <w:spacing w:after="0" w:line="178" w:lineRule="exact"/>
              <w:rPr>
                <w:sz w:val="20"/>
                <w:szCs w:val="20"/>
                <w:color w:val="auto"/>
              </w:rPr>
            </w:pPr>
            <w:r>
              <w:rPr>
                <w:rFonts w:ascii="Arial" w:cs="Arial" w:eastAsia="Arial" w:hAnsi="Arial"/>
                <w:sz w:val="16"/>
                <w:szCs w:val="16"/>
                <w:color w:val="auto"/>
              </w:rPr>
              <w:t>28.6%</w:t>
            </w: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right w:val="single" w:sz="8" w:color="auto"/>
            </w:tcBorders>
          </w:tcPr>
          <w:p>
            <w:pPr>
              <w:jc w:val="right"/>
              <w:spacing w:after="0" w:line="178" w:lineRule="exact"/>
              <w:rPr>
                <w:sz w:val="20"/>
                <w:szCs w:val="20"/>
                <w:color w:val="auto"/>
              </w:rPr>
            </w:pPr>
            <w:r>
              <w:rPr>
                <w:rFonts w:ascii="Arial" w:cs="Arial" w:eastAsia="Arial" w:hAnsi="Arial"/>
                <w:sz w:val="16"/>
                <w:szCs w:val="16"/>
                <w:color w:val="auto"/>
              </w:rPr>
              <w:t>5.7%</w:t>
            </w:r>
          </w:p>
        </w:tc>
        <w:tc>
          <w:tcPr>
            <w:tcW w:w="660" w:type="dxa"/>
            <w:vAlign w:val="bottom"/>
            <w:tcBorders>
              <w:bottom w:val="single" w:sz="8" w:color="auto"/>
            </w:tcBorders>
            <w:gridSpan w:val="2"/>
          </w:tcPr>
          <w:p>
            <w:pPr>
              <w:jc w:val="right"/>
              <w:spacing w:after="0" w:line="178" w:lineRule="exact"/>
              <w:rPr>
                <w:sz w:val="20"/>
                <w:szCs w:val="20"/>
                <w:color w:val="auto"/>
              </w:rPr>
            </w:pPr>
            <w:r>
              <w:rPr>
                <w:rFonts w:ascii="Arial" w:cs="Arial" w:eastAsia="Arial" w:hAnsi="Arial"/>
                <w:sz w:val="16"/>
                <w:szCs w:val="16"/>
                <w:color w:val="auto"/>
              </w:rPr>
              <w:t>42.3%</w:t>
            </w:r>
          </w:p>
        </w:tc>
        <w:tc>
          <w:tcPr>
            <w:tcW w:w="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28.7%</w:t>
            </w:r>
          </w:p>
        </w:tc>
        <w:tc>
          <w:tcPr>
            <w:tcW w:w="520" w:type="dxa"/>
            <w:vAlign w:val="bottom"/>
            <w:tcBorders>
              <w:bottom w:val="single" w:sz="8" w:color="auto"/>
              <w:right w:val="single" w:sz="8" w:color="auto"/>
            </w:tcBorders>
            <w:gridSpan w:val="2"/>
          </w:tcPr>
          <w:p>
            <w:pPr>
              <w:jc w:val="right"/>
              <w:spacing w:after="0" w:line="178" w:lineRule="exact"/>
              <w:rPr>
                <w:sz w:val="20"/>
                <w:szCs w:val="20"/>
                <w:color w:val="auto"/>
              </w:rPr>
            </w:pPr>
            <w:r>
              <w:rPr>
                <w:rFonts w:ascii="Arial" w:cs="Arial" w:eastAsia="Arial" w:hAnsi="Arial"/>
                <w:sz w:val="16"/>
                <w:szCs w:val="16"/>
                <w:color w:val="auto"/>
              </w:rPr>
              <w:t>5.9%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8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2"/>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840" w:type="dxa"/>
            <w:vAlign w:val="bottom"/>
            <w:tcBorders>
              <w:left w:val="single" w:sz="8" w:color="auto"/>
            </w:tcBorders>
            <w:shd w:val="clear" w:color="auto" w:fill="2AD2C9"/>
          </w:tcPr>
          <w:p>
            <w:pPr>
              <w:spacing w:after="0"/>
              <w:rPr>
                <w:sz w:val="15"/>
                <w:szCs w:val="15"/>
                <w:color w:val="auto"/>
              </w:rPr>
            </w:pPr>
          </w:p>
        </w:tc>
        <w:tc>
          <w:tcPr>
            <w:tcW w:w="800" w:type="dxa"/>
            <w:vAlign w:val="bottom"/>
            <w:shd w:val="clear" w:color="auto" w:fill="2AD2C9"/>
          </w:tcPr>
          <w:p>
            <w:pPr>
              <w:spacing w:after="0"/>
              <w:rPr>
                <w:sz w:val="15"/>
                <w:szCs w:val="15"/>
                <w:color w:val="auto"/>
              </w:rPr>
            </w:pPr>
          </w:p>
        </w:tc>
        <w:tc>
          <w:tcPr>
            <w:tcW w:w="540" w:type="dxa"/>
            <w:vAlign w:val="bottom"/>
            <w:tcBorders>
              <w:right w:val="single" w:sz="8" w:color="auto"/>
            </w:tcBorders>
            <w:shd w:val="clear" w:color="auto" w:fill="2AD2C9"/>
          </w:tcPr>
          <w:p>
            <w:pPr>
              <w:spacing w:after="0"/>
              <w:rPr>
                <w:sz w:val="15"/>
                <w:szCs w:val="15"/>
                <w:color w:val="auto"/>
              </w:rPr>
            </w:pPr>
          </w:p>
        </w:tc>
        <w:tc>
          <w:tcPr>
            <w:tcW w:w="660" w:type="dxa"/>
            <w:vAlign w:val="bottom"/>
            <w:vMerge w:val="restart"/>
            <w:shd w:val="clear" w:color="auto" w:fill="2AD2C9"/>
          </w:tcPr>
          <w:p>
            <w:pPr>
              <w:spacing w:after="0"/>
              <w:rPr>
                <w:sz w:val="20"/>
                <w:szCs w:val="20"/>
                <w:color w:val="auto"/>
              </w:rPr>
            </w:pPr>
            <w:r>
              <w:rPr>
                <w:rFonts w:ascii="Arial" w:cs="Arial" w:eastAsia="Arial" w:hAnsi="Arial"/>
                <w:sz w:val="16"/>
                <w:szCs w:val="16"/>
                <w:b w:val="1"/>
                <w:bCs w:val="1"/>
                <w:color w:val="FFFFFF"/>
              </w:rPr>
              <w:t>Average</w:t>
            </w:r>
          </w:p>
        </w:tc>
        <w:tc>
          <w:tcPr>
            <w:tcW w:w="680" w:type="dxa"/>
            <w:vAlign w:val="bottom"/>
            <w:gridSpan w:val="2"/>
            <w:shd w:val="clear" w:color="auto" w:fill="2AD2C9"/>
          </w:tcPr>
          <w:p>
            <w:pPr>
              <w:jc w:val="right"/>
              <w:ind w:right="198"/>
              <w:spacing w:after="0" w:line="178" w:lineRule="exact"/>
              <w:rPr>
                <w:sz w:val="20"/>
                <w:szCs w:val="20"/>
                <w:color w:val="auto"/>
              </w:rPr>
            </w:pPr>
            <w:r>
              <w:rPr>
                <w:rFonts w:ascii="Arial" w:cs="Arial" w:eastAsia="Arial" w:hAnsi="Arial"/>
                <w:sz w:val="16"/>
                <w:szCs w:val="16"/>
                <w:b w:val="1"/>
                <w:bCs w:val="1"/>
                <w:color w:val="FFFFFF"/>
                <w:w w:val="96"/>
              </w:rPr>
              <w:t>3Q22</w:t>
            </w:r>
          </w:p>
        </w:tc>
        <w:tc>
          <w:tcPr>
            <w:tcW w:w="460" w:type="dxa"/>
            <w:vAlign w:val="bottom"/>
            <w:tcBorders>
              <w:right w:val="single" w:sz="8" w:color="auto"/>
            </w:tcBorders>
            <w:shd w:val="clear" w:color="auto" w:fill="2AD2C9"/>
          </w:tcPr>
          <w:p>
            <w:pPr>
              <w:spacing w:after="0"/>
              <w:rPr>
                <w:sz w:val="15"/>
                <w:szCs w:val="15"/>
                <w:color w:val="auto"/>
              </w:rPr>
            </w:pPr>
          </w:p>
        </w:tc>
        <w:tc>
          <w:tcPr>
            <w:tcW w:w="640" w:type="dxa"/>
            <w:vAlign w:val="bottom"/>
            <w:vMerge w:val="restart"/>
            <w:shd w:val="clear" w:color="auto" w:fill="2AD2C9"/>
          </w:tcPr>
          <w:p>
            <w:pPr>
              <w:spacing w:after="0"/>
              <w:rPr>
                <w:sz w:val="20"/>
                <w:szCs w:val="20"/>
                <w:color w:val="auto"/>
              </w:rPr>
            </w:pPr>
            <w:r>
              <w:rPr>
                <w:rFonts w:ascii="Arial" w:cs="Arial" w:eastAsia="Arial" w:hAnsi="Arial"/>
                <w:sz w:val="16"/>
                <w:szCs w:val="16"/>
                <w:b w:val="1"/>
                <w:bCs w:val="1"/>
                <w:color w:val="FFFFFF"/>
                <w:w w:val="98"/>
              </w:rPr>
              <w:t>Average</w:t>
            </w:r>
          </w:p>
        </w:tc>
        <w:tc>
          <w:tcPr>
            <w:tcW w:w="20" w:type="dxa"/>
            <w:vAlign w:val="bottom"/>
            <w:shd w:val="clear" w:color="auto" w:fill="2AD2C9"/>
          </w:tcPr>
          <w:p>
            <w:pPr>
              <w:spacing w:after="0"/>
              <w:rPr>
                <w:sz w:val="15"/>
                <w:szCs w:val="15"/>
                <w:color w:val="auto"/>
              </w:rPr>
            </w:pPr>
          </w:p>
        </w:tc>
        <w:tc>
          <w:tcPr>
            <w:tcW w:w="580" w:type="dxa"/>
            <w:vAlign w:val="bottom"/>
            <w:gridSpan w:val="2"/>
            <w:shd w:val="clear" w:color="auto" w:fill="2AD2C9"/>
          </w:tcPr>
          <w:p>
            <w:pPr>
              <w:ind w:left="40"/>
              <w:spacing w:after="0" w:line="178" w:lineRule="exact"/>
              <w:rPr>
                <w:sz w:val="20"/>
                <w:szCs w:val="20"/>
                <w:color w:val="auto"/>
              </w:rPr>
            </w:pPr>
            <w:r>
              <w:rPr>
                <w:rFonts w:ascii="Arial" w:cs="Arial" w:eastAsia="Arial" w:hAnsi="Arial"/>
                <w:sz w:val="16"/>
                <w:szCs w:val="16"/>
                <w:b w:val="1"/>
                <w:bCs w:val="1"/>
                <w:color w:val="FFFFFF"/>
              </w:rPr>
              <w:t>2Q23</w:t>
            </w:r>
          </w:p>
        </w:tc>
        <w:tc>
          <w:tcPr>
            <w:tcW w:w="100" w:type="dxa"/>
            <w:vAlign w:val="bottom"/>
            <w:tcBorders>
              <w:right w:val="single" w:sz="8" w:color="2AD2C9"/>
            </w:tcBorders>
            <w:shd w:val="clear" w:color="auto" w:fill="2AD2C9"/>
          </w:tcPr>
          <w:p>
            <w:pPr>
              <w:spacing w:after="0"/>
              <w:rPr>
                <w:sz w:val="15"/>
                <w:szCs w:val="15"/>
                <w:color w:val="auto"/>
              </w:rPr>
            </w:pPr>
          </w:p>
        </w:tc>
        <w:tc>
          <w:tcPr>
            <w:tcW w:w="480" w:type="dxa"/>
            <w:vAlign w:val="bottom"/>
            <w:tcBorders>
              <w:right w:val="single" w:sz="8" w:color="auto"/>
            </w:tcBorders>
            <w:shd w:val="clear" w:color="auto" w:fill="2AD2C9"/>
          </w:tcPr>
          <w:p>
            <w:pPr>
              <w:spacing w:after="0"/>
              <w:rPr>
                <w:sz w:val="15"/>
                <w:szCs w:val="15"/>
                <w:color w:val="auto"/>
              </w:rPr>
            </w:pPr>
          </w:p>
        </w:tc>
        <w:tc>
          <w:tcPr>
            <w:tcW w:w="660" w:type="dxa"/>
            <w:vAlign w:val="bottom"/>
            <w:gridSpan w:val="2"/>
            <w:vMerge w:val="restart"/>
            <w:shd w:val="clear" w:color="auto" w:fill="2AD2C9"/>
          </w:tcPr>
          <w:p>
            <w:pPr>
              <w:spacing w:after="0"/>
              <w:rPr>
                <w:sz w:val="20"/>
                <w:szCs w:val="20"/>
                <w:color w:val="auto"/>
              </w:rPr>
            </w:pPr>
            <w:r>
              <w:rPr>
                <w:rFonts w:ascii="Arial" w:cs="Arial" w:eastAsia="Arial" w:hAnsi="Arial"/>
                <w:sz w:val="16"/>
                <w:szCs w:val="16"/>
                <w:b w:val="1"/>
                <w:bCs w:val="1"/>
                <w:color w:val="FFFFFF"/>
              </w:rPr>
              <w:t>Average</w:t>
            </w:r>
          </w:p>
        </w:tc>
        <w:tc>
          <w:tcPr>
            <w:tcW w:w="20" w:type="dxa"/>
            <w:vAlign w:val="bottom"/>
            <w:shd w:val="clear" w:color="auto" w:fill="2AD2C9"/>
          </w:tcPr>
          <w:p>
            <w:pPr>
              <w:spacing w:after="0"/>
              <w:rPr>
                <w:sz w:val="15"/>
                <w:szCs w:val="15"/>
                <w:color w:val="auto"/>
              </w:rPr>
            </w:pPr>
          </w:p>
        </w:tc>
        <w:tc>
          <w:tcPr>
            <w:tcW w:w="520" w:type="dxa"/>
            <w:vAlign w:val="bottom"/>
            <w:shd w:val="clear" w:color="auto" w:fill="2AD2C9"/>
          </w:tcPr>
          <w:p>
            <w:pPr>
              <w:jc w:val="right"/>
              <w:ind w:right="18"/>
              <w:spacing w:after="0" w:line="178" w:lineRule="exact"/>
              <w:rPr>
                <w:sz w:val="20"/>
                <w:szCs w:val="20"/>
                <w:color w:val="auto"/>
              </w:rPr>
            </w:pPr>
            <w:r>
              <w:rPr>
                <w:rFonts w:ascii="Arial" w:cs="Arial" w:eastAsia="Arial" w:hAnsi="Arial"/>
                <w:sz w:val="16"/>
                <w:szCs w:val="16"/>
                <w:b w:val="1"/>
                <w:bCs w:val="1"/>
                <w:color w:val="FFFFFF"/>
              </w:rPr>
              <w:t>3Q23</w:t>
            </w:r>
          </w:p>
        </w:tc>
        <w:tc>
          <w:tcPr>
            <w:tcW w:w="180" w:type="dxa"/>
            <w:vAlign w:val="bottom"/>
            <w:shd w:val="clear" w:color="auto" w:fill="2AD2C9"/>
          </w:tcPr>
          <w:p>
            <w:pPr>
              <w:spacing w:after="0"/>
              <w:rPr>
                <w:sz w:val="15"/>
                <w:szCs w:val="15"/>
                <w:color w:val="auto"/>
              </w:rPr>
            </w:pPr>
          </w:p>
        </w:tc>
        <w:tc>
          <w:tcPr>
            <w:tcW w:w="340" w:type="dxa"/>
            <w:vAlign w:val="bottom"/>
            <w:tcBorders>
              <w:right w:val="single" w:sz="8" w:color="2AD2C9"/>
            </w:tcBorders>
            <w:shd w:val="clear" w:color="auto" w:fill="2AD2C9"/>
          </w:tcPr>
          <w:p>
            <w:pPr>
              <w:spacing w:after="0"/>
              <w:rPr>
                <w:sz w:val="15"/>
                <w:szCs w:val="15"/>
                <w:color w:val="auto"/>
              </w:rPr>
            </w:pPr>
          </w:p>
        </w:tc>
        <w:tc>
          <w:tcPr>
            <w:tcW w:w="120" w:type="dxa"/>
            <w:vAlign w:val="bottom"/>
            <w:tcBorders>
              <w:right w:val="single" w:sz="8" w:color="auto"/>
            </w:tcBorders>
            <w:shd w:val="clear" w:color="auto" w:fill="2AD2C9"/>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180" w:type="dxa"/>
            <w:vAlign w:val="bottom"/>
            <w:tcBorders>
              <w:left w:val="single" w:sz="8" w:color="auto"/>
              <w:bottom w:val="single" w:sz="8" w:color="33CCCC"/>
              <w:right w:val="single" w:sz="8" w:color="auto"/>
            </w:tcBorders>
            <w:gridSpan w:val="3"/>
            <w:shd w:val="clear" w:color="auto" w:fill="33CCCC"/>
          </w:tcPr>
          <w:p>
            <w:pPr>
              <w:ind w:left="20"/>
              <w:spacing w:after="0" w:line="165" w:lineRule="exact"/>
              <w:rPr>
                <w:sz w:val="20"/>
                <w:szCs w:val="20"/>
                <w:color w:val="auto"/>
              </w:rPr>
            </w:pPr>
            <w:r>
              <w:rPr>
                <w:rFonts w:ascii="Arial" w:cs="Arial" w:eastAsia="Arial" w:hAnsi="Arial"/>
                <w:sz w:val="16"/>
                <w:szCs w:val="16"/>
                <w:b w:val="1"/>
                <w:bCs w:val="1"/>
                <w:color w:val="FFFFFF"/>
                <w:shd w:val="clear" w:color="auto" w:fill="33CCCC"/>
              </w:rPr>
              <w:t>Interest Expense / Funding</w:t>
            </w:r>
          </w:p>
        </w:tc>
        <w:tc>
          <w:tcPr>
            <w:tcW w:w="660" w:type="dxa"/>
            <w:vAlign w:val="bottom"/>
            <w:tcBorders>
              <w:bottom w:val="single" w:sz="8" w:color="2AD2C9"/>
            </w:tcBorders>
            <w:vMerge w:val="continue"/>
            <w:shd w:val="clear" w:color="auto" w:fill="2AD2C9"/>
          </w:tcPr>
          <w:p>
            <w:pPr>
              <w:spacing w:after="0"/>
              <w:rPr>
                <w:sz w:val="14"/>
                <w:szCs w:val="14"/>
                <w:color w:val="auto"/>
              </w:rPr>
            </w:pPr>
          </w:p>
        </w:tc>
        <w:tc>
          <w:tcPr>
            <w:tcW w:w="580" w:type="dxa"/>
            <w:vAlign w:val="bottom"/>
            <w:tcBorders>
              <w:bottom w:val="single" w:sz="8" w:color="2AD2C9"/>
            </w:tcBorders>
            <w:shd w:val="clear" w:color="auto" w:fill="2AD2C9"/>
          </w:tcPr>
          <w:p>
            <w:pPr>
              <w:spacing w:after="0"/>
              <w:rPr>
                <w:sz w:val="14"/>
                <w:szCs w:val="14"/>
                <w:color w:val="auto"/>
              </w:rPr>
            </w:pPr>
          </w:p>
        </w:tc>
        <w:tc>
          <w:tcPr>
            <w:tcW w:w="100" w:type="dxa"/>
            <w:vAlign w:val="bottom"/>
            <w:tcBorders>
              <w:bottom w:val="single" w:sz="8" w:color="2AD2C9"/>
            </w:tcBorders>
            <w:shd w:val="clear" w:color="auto" w:fill="2AD2C9"/>
          </w:tcPr>
          <w:p>
            <w:pPr>
              <w:spacing w:after="0"/>
              <w:rPr>
                <w:sz w:val="14"/>
                <w:szCs w:val="14"/>
                <w:color w:val="auto"/>
              </w:rPr>
            </w:pPr>
          </w:p>
        </w:tc>
        <w:tc>
          <w:tcPr>
            <w:tcW w:w="460" w:type="dxa"/>
            <w:vAlign w:val="bottom"/>
            <w:tcBorders>
              <w:bottom w:val="single" w:sz="8" w:color="2AD2C9"/>
              <w:right w:val="single" w:sz="8" w:color="auto"/>
            </w:tcBorders>
            <w:shd w:val="clear" w:color="auto" w:fill="2AD2C9"/>
          </w:tcPr>
          <w:p>
            <w:pPr>
              <w:spacing w:after="0"/>
              <w:rPr>
                <w:sz w:val="14"/>
                <w:szCs w:val="14"/>
                <w:color w:val="auto"/>
              </w:rPr>
            </w:pPr>
          </w:p>
        </w:tc>
        <w:tc>
          <w:tcPr>
            <w:tcW w:w="640" w:type="dxa"/>
            <w:vAlign w:val="bottom"/>
            <w:tcBorders>
              <w:bottom w:val="single" w:sz="8" w:color="2AD2C9"/>
            </w:tcBorders>
            <w:vMerge w:val="continue"/>
            <w:shd w:val="clear" w:color="auto" w:fill="2AD2C9"/>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AD2C9"/>
            </w:tcBorders>
          </w:tcPr>
          <w:p>
            <w:pPr>
              <w:spacing w:after="0"/>
              <w:rPr>
                <w:sz w:val="14"/>
                <w:szCs w:val="14"/>
                <w:color w:val="auto"/>
              </w:rPr>
            </w:pPr>
          </w:p>
        </w:tc>
        <w:tc>
          <w:tcPr>
            <w:tcW w:w="480" w:type="dxa"/>
            <w:vAlign w:val="bottom"/>
            <w:tcBorders>
              <w:bottom w:val="single" w:sz="8" w:color="2AD2C9"/>
              <w:right w:val="single" w:sz="8" w:color="auto"/>
            </w:tcBorders>
            <w:shd w:val="clear" w:color="auto" w:fill="2AD2C9"/>
          </w:tcPr>
          <w:p>
            <w:pPr>
              <w:spacing w:after="0"/>
              <w:rPr>
                <w:sz w:val="14"/>
                <w:szCs w:val="14"/>
                <w:color w:val="auto"/>
              </w:rPr>
            </w:pPr>
          </w:p>
        </w:tc>
        <w:tc>
          <w:tcPr>
            <w:tcW w:w="660" w:type="dxa"/>
            <w:vAlign w:val="bottom"/>
            <w:tcBorders>
              <w:bottom w:val="single" w:sz="8" w:color="2AD2C9"/>
            </w:tcBorders>
            <w:gridSpan w:val="2"/>
            <w:vMerge w:val="continue"/>
            <w:shd w:val="clear" w:color="auto" w:fill="2AD2C9"/>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840" w:type="dxa"/>
            <w:vAlign w:val="bottom"/>
            <w:tcBorders>
              <w:left w:val="single" w:sz="8" w:color="auto"/>
              <w:bottom w:val="single" w:sz="8" w:color="auto"/>
            </w:tcBorders>
            <w:shd w:val="clear" w:color="auto" w:fill="33CCCC"/>
          </w:tcPr>
          <w:p>
            <w:pPr>
              <w:ind w:left="20"/>
              <w:spacing w:after="0"/>
              <w:rPr>
                <w:sz w:val="20"/>
                <w:szCs w:val="20"/>
                <w:color w:val="auto"/>
              </w:rPr>
            </w:pPr>
            <w:r>
              <w:rPr>
                <w:rFonts w:ascii="Arial" w:cs="Arial" w:eastAsia="Arial" w:hAnsi="Arial"/>
                <w:sz w:val="16"/>
                <w:szCs w:val="16"/>
                <w:b w:val="1"/>
                <w:bCs w:val="1"/>
                <w:color w:val="FFFFFF"/>
                <w:w w:val="99"/>
                <w:shd w:val="clear" w:color="auto" w:fill="33CCCC"/>
              </w:rPr>
              <w:t>S/ millions</w:t>
            </w:r>
          </w:p>
        </w:tc>
        <w:tc>
          <w:tcPr>
            <w:tcW w:w="1340" w:type="dxa"/>
            <w:vAlign w:val="bottom"/>
            <w:tcBorders>
              <w:bottom w:val="single" w:sz="8" w:color="auto"/>
              <w:right w:val="single" w:sz="8" w:color="auto"/>
            </w:tcBorders>
            <w:gridSpan w:val="2"/>
            <w:shd w:val="clear" w:color="auto" w:fill="2AD2C9"/>
          </w:tcPr>
          <w:p>
            <w:pPr>
              <w:spacing w:after="0"/>
              <w:rPr>
                <w:sz w:val="16"/>
                <w:szCs w:val="16"/>
                <w:color w:val="auto"/>
              </w:rPr>
            </w:pPr>
          </w:p>
        </w:tc>
        <w:tc>
          <w:tcPr>
            <w:tcW w:w="1800" w:type="dxa"/>
            <w:vAlign w:val="bottom"/>
            <w:tcBorders>
              <w:bottom w:val="single" w:sz="8" w:color="auto"/>
              <w:right w:val="single" w:sz="8" w:color="auto"/>
            </w:tcBorders>
            <w:gridSpan w:val="4"/>
            <w:shd w:val="clear" w:color="auto" w:fill="2AD2C9"/>
          </w:tcPr>
          <w:p>
            <w:pPr>
              <w:spacing w:after="0"/>
              <w:rPr>
                <w:sz w:val="20"/>
                <w:szCs w:val="20"/>
                <w:color w:val="auto"/>
              </w:rPr>
            </w:pPr>
            <w:r>
              <w:rPr>
                <w:rFonts w:ascii="Arial" w:cs="Arial" w:eastAsia="Arial" w:hAnsi="Arial"/>
                <w:sz w:val="16"/>
                <w:szCs w:val="16"/>
                <w:b w:val="1"/>
                <w:bCs w:val="1"/>
                <w:color w:val="FFFFFF"/>
              </w:rPr>
              <w:t>BalanceExpenseYields</w:t>
            </w:r>
          </w:p>
        </w:tc>
        <w:tc>
          <w:tcPr>
            <w:tcW w:w="1820" w:type="dxa"/>
            <w:vAlign w:val="bottom"/>
            <w:tcBorders>
              <w:bottom w:val="single" w:sz="8" w:color="auto"/>
              <w:right w:val="single" w:sz="8" w:color="auto"/>
            </w:tcBorders>
            <w:gridSpan w:val="6"/>
          </w:tcPr>
          <w:p>
            <w:pPr>
              <w:spacing w:after="0"/>
              <w:rPr>
                <w:sz w:val="20"/>
                <w:szCs w:val="20"/>
                <w:color w:val="auto"/>
              </w:rPr>
            </w:pPr>
            <w:r>
              <w:rPr>
                <w:rFonts w:ascii="Arial" w:cs="Arial" w:eastAsia="Arial" w:hAnsi="Arial"/>
                <w:sz w:val="16"/>
                <w:szCs w:val="16"/>
                <w:b w:val="1"/>
                <w:bCs w:val="1"/>
                <w:color w:val="FFFFFF"/>
                <w:shd w:val="clear" w:color="auto" w:fill="2AD2C9"/>
              </w:rPr>
              <w:t>BalanceExpenseYields</w:t>
            </w:r>
          </w:p>
        </w:tc>
        <w:tc>
          <w:tcPr>
            <w:tcW w:w="1840" w:type="dxa"/>
            <w:vAlign w:val="bottom"/>
            <w:tcBorders>
              <w:bottom w:val="single" w:sz="8" w:color="auto"/>
              <w:right w:val="single" w:sz="8" w:color="auto"/>
            </w:tcBorders>
            <w:gridSpan w:val="7"/>
          </w:tcPr>
          <w:p>
            <w:pPr>
              <w:spacing w:after="0"/>
              <w:rPr>
                <w:sz w:val="20"/>
                <w:szCs w:val="20"/>
                <w:color w:val="auto"/>
              </w:rPr>
            </w:pPr>
            <w:r>
              <w:rPr>
                <w:rFonts w:ascii="Arial" w:cs="Arial" w:eastAsia="Arial" w:hAnsi="Arial"/>
                <w:sz w:val="16"/>
                <w:szCs w:val="16"/>
                <w:b w:val="1"/>
                <w:bCs w:val="1"/>
                <w:color w:val="FFFFFF"/>
                <w:shd w:val="clear" w:color="auto" w:fill="2AD2C9"/>
              </w:rPr>
              <w:t>BalanceExpenseYields</w:t>
            </w:r>
          </w:p>
        </w:tc>
        <w:tc>
          <w:tcPr>
            <w:tcW w:w="0" w:type="dxa"/>
            <w:vAlign w:val="bottom"/>
          </w:tcPr>
          <w:p>
            <w:pPr>
              <w:spacing w:after="0"/>
              <w:rPr>
                <w:sz w:val="1"/>
                <w:szCs w:val="1"/>
                <w:color w:val="auto"/>
              </w:rPr>
            </w:pPr>
          </w:p>
        </w:tc>
      </w:tr>
      <w:tr>
        <w:trPr>
          <w:trHeight w:val="165"/>
        </w:trPr>
        <w:tc>
          <w:tcPr>
            <w:tcW w:w="2180" w:type="dxa"/>
            <w:vAlign w:val="bottom"/>
            <w:tcBorders>
              <w:left w:val="single" w:sz="8" w:color="auto"/>
              <w:right w:val="single" w:sz="8" w:color="auto"/>
            </w:tcBorders>
            <w:gridSpan w:val="3"/>
          </w:tcPr>
          <w:p>
            <w:pPr>
              <w:ind w:left="20"/>
              <w:spacing w:after="0" w:line="165" w:lineRule="exact"/>
              <w:rPr>
                <w:sz w:val="20"/>
                <w:szCs w:val="20"/>
                <w:color w:val="auto"/>
              </w:rPr>
            </w:pPr>
            <w:r>
              <w:rPr>
                <w:rFonts w:ascii="Arial" w:cs="Arial" w:eastAsia="Arial" w:hAnsi="Arial"/>
                <w:sz w:val="16"/>
                <w:szCs w:val="16"/>
                <w:color w:val="auto"/>
              </w:rPr>
              <w:t>Deposits</w:t>
            </w:r>
          </w:p>
        </w:tc>
        <w:tc>
          <w:tcPr>
            <w:tcW w:w="660" w:type="dxa"/>
            <w:vAlign w:val="bottom"/>
          </w:tcPr>
          <w:p>
            <w:pPr>
              <w:jc w:val="right"/>
              <w:spacing w:after="0" w:line="165" w:lineRule="exact"/>
              <w:rPr>
                <w:sz w:val="20"/>
                <w:szCs w:val="20"/>
                <w:color w:val="auto"/>
              </w:rPr>
            </w:pPr>
            <w:r>
              <w:rPr>
                <w:rFonts w:ascii="Arial" w:cs="Arial" w:eastAsia="Arial" w:hAnsi="Arial"/>
                <w:sz w:val="16"/>
                <w:szCs w:val="16"/>
                <w:color w:val="auto"/>
              </w:rPr>
              <w:t>150,116</w:t>
            </w:r>
          </w:p>
        </w:tc>
        <w:tc>
          <w:tcPr>
            <w:tcW w:w="680" w:type="dxa"/>
            <w:vAlign w:val="bottom"/>
            <w:gridSpan w:val="2"/>
          </w:tcPr>
          <w:p>
            <w:pPr>
              <w:jc w:val="right"/>
              <w:spacing w:after="0" w:line="165" w:lineRule="exact"/>
              <w:rPr>
                <w:sz w:val="20"/>
                <w:szCs w:val="20"/>
                <w:color w:val="auto"/>
              </w:rPr>
            </w:pPr>
            <w:r>
              <w:rPr>
                <w:rFonts w:ascii="Arial" w:cs="Arial" w:eastAsia="Arial" w:hAnsi="Arial"/>
                <w:sz w:val="16"/>
                <w:szCs w:val="16"/>
                <w:color w:val="auto"/>
              </w:rPr>
              <w:t>510</w:t>
            </w:r>
          </w:p>
        </w:tc>
        <w:tc>
          <w:tcPr>
            <w:tcW w:w="460" w:type="dxa"/>
            <w:vAlign w:val="bottom"/>
            <w:tcBorders>
              <w:right w:val="single" w:sz="8" w:color="auto"/>
            </w:tcBorders>
          </w:tcPr>
          <w:p>
            <w:pPr>
              <w:jc w:val="right"/>
              <w:spacing w:after="0" w:line="165" w:lineRule="exact"/>
              <w:rPr>
                <w:sz w:val="20"/>
                <w:szCs w:val="20"/>
                <w:color w:val="auto"/>
              </w:rPr>
            </w:pPr>
            <w:r>
              <w:rPr>
                <w:rFonts w:ascii="Arial" w:cs="Arial" w:eastAsia="Arial" w:hAnsi="Arial"/>
                <w:sz w:val="16"/>
                <w:szCs w:val="16"/>
                <w:color w:val="auto"/>
              </w:rPr>
              <w:t>1.4%</w:t>
            </w:r>
          </w:p>
        </w:tc>
        <w:tc>
          <w:tcPr>
            <w:tcW w:w="640" w:type="dxa"/>
            <w:vAlign w:val="bottom"/>
          </w:tcPr>
          <w:p>
            <w:pPr>
              <w:jc w:val="right"/>
              <w:spacing w:after="0" w:line="165" w:lineRule="exact"/>
              <w:rPr>
                <w:sz w:val="20"/>
                <w:szCs w:val="20"/>
                <w:color w:val="auto"/>
              </w:rPr>
            </w:pPr>
            <w:r>
              <w:rPr>
                <w:rFonts w:ascii="Arial" w:cs="Arial" w:eastAsia="Arial" w:hAnsi="Arial"/>
                <w:sz w:val="16"/>
                <w:szCs w:val="16"/>
                <w:color w:val="auto"/>
              </w:rPr>
              <w:t>146,006</w:t>
            </w:r>
          </w:p>
        </w:tc>
        <w:tc>
          <w:tcPr>
            <w:tcW w:w="20" w:type="dxa"/>
            <w:vAlign w:val="bottom"/>
          </w:tcPr>
          <w:p>
            <w:pPr>
              <w:spacing w:after="0"/>
              <w:rPr>
                <w:sz w:val="14"/>
                <w:szCs w:val="14"/>
                <w:color w:val="auto"/>
              </w:rPr>
            </w:pPr>
          </w:p>
        </w:tc>
        <w:tc>
          <w:tcPr>
            <w:tcW w:w="680" w:type="dxa"/>
            <w:vAlign w:val="bottom"/>
            <w:gridSpan w:val="3"/>
          </w:tcPr>
          <w:p>
            <w:pPr>
              <w:jc w:val="right"/>
              <w:spacing w:after="0" w:line="165" w:lineRule="exact"/>
              <w:rPr>
                <w:sz w:val="20"/>
                <w:szCs w:val="20"/>
                <w:color w:val="auto"/>
              </w:rPr>
            </w:pPr>
            <w:r>
              <w:rPr>
                <w:rFonts w:ascii="Arial" w:cs="Arial" w:eastAsia="Arial" w:hAnsi="Arial"/>
                <w:sz w:val="16"/>
                <w:szCs w:val="16"/>
                <w:color w:val="auto"/>
              </w:rPr>
              <w:t>777</w:t>
            </w:r>
          </w:p>
        </w:tc>
        <w:tc>
          <w:tcPr>
            <w:tcW w:w="480" w:type="dxa"/>
            <w:vAlign w:val="bottom"/>
            <w:tcBorders>
              <w:right w:val="single" w:sz="8" w:color="auto"/>
            </w:tcBorders>
          </w:tcPr>
          <w:p>
            <w:pPr>
              <w:jc w:val="right"/>
              <w:spacing w:after="0" w:line="165" w:lineRule="exact"/>
              <w:rPr>
                <w:sz w:val="20"/>
                <w:szCs w:val="20"/>
                <w:color w:val="auto"/>
              </w:rPr>
            </w:pPr>
            <w:r>
              <w:rPr>
                <w:rFonts w:ascii="Arial" w:cs="Arial" w:eastAsia="Arial" w:hAnsi="Arial"/>
                <w:sz w:val="16"/>
                <w:szCs w:val="16"/>
                <w:color w:val="auto"/>
              </w:rPr>
              <w:t>2.1%</w:t>
            </w:r>
          </w:p>
        </w:tc>
        <w:tc>
          <w:tcPr>
            <w:tcW w:w="680" w:type="dxa"/>
            <w:vAlign w:val="bottom"/>
            <w:gridSpan w:val="3"/>
          </w:tcPr>
          <w:p>
            <w:pPr>
              <w:jc w:val="right"/>
              <w:ind w:right="20"/>
              <w:spacing w:after="0" w:line="165" w:lineRule="exact"/>
              <w:rPr>
                <w:sz w:val="20"/>
                <w:szCs w:val="20"/>
                <w:color w:val="auto"/>
              </w:rPr>
            </w:pPr>
            <w:r>
              <w:rPr>
                <w:rFonts w:ascii="Arial" w:cs="Arial" w:eastAsia="Arial" w:hAnsi="Arial"/>
                <w:sz w:val="16"/>
                <w:szCs w:val="16"/>
                <w:color w:val="auto"/>
              </w:rPr>
              <w:t>145,930</w:t>
            </w:r>
          </w:p>
        </w:tc>
        <w:tc>
          <w:tcPr>
            <w:tcW w:w="700" w:type="dxa"/>
            <w:vAlign w:val="bottom"/>
            <w:gridSpan w:val="2"/>
          </w:tcPr>
          <w:p>
            <w:pPr>
              <w:jc w:val="right"/>
              <w:spacing w:after="0" w:line="165" w:lineRule="exact"/>
              <w:rPr>
                <w:sz w:val="20"/>
                <w:szCs w:val="20"/>
                <w:color w:val="auto"/>
              </w:rPr>
            </w:pPr>
            <w:r>
              <w:rPr>
                <w:rFonts w:ascii="Arial" w:cs="Arial" w:eastAsia="Arial" w:hAnsi="Arial"/>
                <w:sz w:val="16"/>
                <w:szCs w:val="16"/>
                <w:color w:val="auto"/>
              </w:rPr>
              <w:t>860</w:t>
            </w:r>
          </w:p>
        </w:tc>
        <w:tc>
          <w:tcPr>
            <w:tcW w:w="460" w:type="dxa"/>
            <w:vAlign w:val="bottom"/>
            <w:tcBorders>
              <w:right w:val="single" w:sz="8" w:color="auto"/>
            </w:tcBorders>
            <w:gridSpan w:val="2"/>
          </w:tcPr>
          <w:p>
            <w:pPr>
              <w:jc w:val="right"/>
              <w:ind w:right="20"/>
              <w:spacing w:after="0" w:line="165" w:lineRule="exact"/>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185"/>
        </w:trPr>
        <w:tc>
          <w:tcPr>
            <w:tcW w:w="218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6"/>
                <w:szCs w:val="16"/>
                <w:color w:val="auto"/>
              </w:rPr>
              <w:t>BCRP + Due to Banks</w:t>
            </w:r>
          </w:p>
        </w:tc>
        <w:tc>
          <w:tcPr>
            <w:tcW w:w="660" w:type="dxa"/>
            <w:vAlign w:val="bottom"/>
          </w:tcPr>
          <w:p>
            <w:pPr>
              <w:jc w:val="right"/>
              <w:spacing w:after="0"/>
              <w:rPr>
                <w:sz w:val="20"/>
                <w:szCs w:val="20"/>
                <w:color w:val="auto"/>
              </w:rPr>
            </w:pPr>
            <w:r>
              <w:rPr>
                <w:rFonts w:ascii="Arial" w:cs="Arial" w:eastAsia="Arial" w:hAnsi="Arial"/>
                <w:sz w:val="16"/>
                <w:szCs w:val="16"/>
                <w:color w:val="auto"/>
              </w:rPr>
              <w:t>22,970</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186</w:t>
            </w:r>
          </w:p>
        </w:tc>
        <w:tc>
          <w:tcPr>
            <w:tcW w:w="4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20,908</w:t>
            </w:r>
          </w:p>
        </w:tc>
        <w:tc>
          <w:tcPr>
            <w:tcW w:w="680" w:type="dxa"/>
            <w:vAlign w:val="bottom"/>
            <w:gridSpan w:val="3"/>
          </w:tcPr>
          <w:p>
            <w:pPr>
              <w:jc w:val="right"/>
              <w:spacing w:after="0"/>
              <w:rPr>
                <w:sz w:val="20"/>
                <w:szCs w:val="20"/>
                <w:color w:val="auto"/>
              </w:rPr>
            </w:pPr>
            <w:r>
              <w:rPr>
                <w:rFonts w:ascii="Arial" w:cs="Arial" w:eastAsia="Arial" w:hAnsi="Arial"/>
                <w:sz w:val="16"/>
                <w:szCs w:val="16"/>
                <w:color w:val="auto"/>
              </w:rPr>
              <w:t>297</w:t>
            </w:r>
          </w:p>
        </w:tc>
        <w:tc>
          <w:tcPr>
            <w:tcW w:w="4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680" w:type="dxa"/>
            <w:vAlign w:val="bottom"/>
            <w:gridSpan w:val="3"/>
          </w:tcPr>
          <w:p>
            <w:pPr>
              <w:jc w:val="right"/>
              <w:ind w:right="20"/>
              <w:spacing w:after="0"/>
              <w:rPr>
                <w:sz w:val="20"/>
                <w:szCs w:val="20"/>
                <w:color w:val="auto"/>
              </w:rPr>
            </w:pPr>
            <w:r>
              <w:rPr>
                <w:rFonts w:ascii="Arial" w:cs="Arial" w:eastAsia="Arial" w:hAnsi="Arial"/>
                <w:sz w:val="16"/>
                <w:szCs w:val="16"/>
                <w:color w:val="auto"/>
              </w:rPr>
              <w:t>20,972</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326</w:t>
            </w:r>
          </w:p>
        </w:tc>
        <w:tc>
          <w:tcPr>
            <w:tcW w:w="460" w:type="dxa"/>
            <w:vAlign w:val="bottom"/>
            <w:tcBorders>
              <w:right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185"/>
        </w:trPr>
        <w:tc>
          <w:tcPr>
            <w:tcW w:w="218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6"/>
                <w:szCs w:val="16"/>
                <w:color w:val="auto"/>
              </w:rPr>
              <w:t>Bonds and Notes</w:t>
            </w:r>
          </w:p>
        </w:tc>
        <w:tc>
          <w:tcPr>
            <w:tcW w:w="660" w:type="dxa"/>
            <w:vAlign w:val="bottom"/>
          </w:tcPr>
          <w:p>
            <w:pPr>
              <w:jc w:val="right"/>
              <w:spacing w:after="0"/>
              <w:rPr>
                <w:sz w:val="20"/>
                <w:szCs w:val="20"/>
                <w:color w:val="auto"/>
              </w:rPr>
            </w:pPr>
            <w:r>
              <w:rPr>
                <w:rFonts w:ascii="Arial" w:cs="Arial" w:eastAsia="Arial" w:hAnsi="Arial"/>
                <w:sz w:val="16"/>
                <w:szCs w:val="16"/>
                <w:color w:val="auto"/>
              </w:rPr>
              <w:t>16,800</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212</w:t>
            </w:r>
          </w:p>
        </w:tc>
        <w:tc>
          <w:tcPr>
            <w:tcW w:w="4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14,274</w:t>
            </w:r>
          </w:p>
        </w:tc>
        <w:tc>
          <w:tcPr>
            <w:tcW w:w="680" w:type="dxa"/>
            <w:vAlign w:val="bottom"/>
            <w:gridSpan w:val="3"/>
          </w:tcPr>
          <w:p>
            <w:pPr>
              <w:jc w:val="right"/>
              <w:spacing w:after="0"/>
              <w:rPr>
                <w:sz w:val="20"/>
                <w:szCs w:val="20"/>
                <w:color w:val="auto"/>
              </w:rPr>
            </w:pPr>
            <w:r>
              <w:rPr>
                <w:rFonts w:ascii="Arial" w:cs="Arial" w:eastAsia="Arial" w:hAnsi="Arial"/>
                <w:sz w:val="16"/>
                <w:szCs w:val="16"/>
                <w:color w:val="auto"/>
              </w:rPr>
              <w:t>149</w:t>
            </w:r>
          </w:p>
        </w:tc>
        <w:tc>
          <w:tcPr>
            <w:tcW w:w="4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680" w:type="dxa"/>
            <w:vAlign w:val="bottom"/>
            <w:gridSpan w:val="3"/>
          </w:tcPr>
          <w:p>
            <w:pPr>
              <w:jc w:val="right"/>
              <w:ind w:right="20"/>
              <w:spacing w:after="0"/>
              <w:rPr>
                <w:sz w:val="20"/>
                <w:szCs w:val="20"/>
                <w:color w:val="auto"/>
              </w:rPr>
            </w:pPr>
            <w:r>
              <w:rPr>
                <w:rFonts w:ascii="Arial" w:cs="Arial" w:eastAsia="Arial" w:hAnsi="Arial"/>
                <w:sz w:val="16"/>
                <w:szCs w:val="16"/>
                <w:color w:val="auto"/>
              </w:rPr>
              <w:t>14,575</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149</w:t>
            </w:r>
          </w:p>
        </w:tc>
        <w:tc>
          <w:tcPr>
            <w:tcW w:w="460" w:type="dxa"/>
            <w:vAlign w:val="bottom"/>
            <w:tcBorders>
              <w:right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0"/>
        </w:trPr>
        <w:tc>
          <w:tcPr>
            <w:tcW w:w="218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6"/>
                <w:szCs w:val="16"/>
                <w:color w:val="auto"/>
              </w:rPr>
              <w:t>Others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1,262</w:t>
            </w:r>
          </w:p>
        </w:tc>
        <w:tc>
          <w:tcPr>
            <w:tcW w:w="1140" w:type="dxa"/>
            <w:vAlign w:val="bottom"/>
            <w:tcBorders>
              <w:bottom w:val="single" w:sz="8" w:color="auto"/>
              <w:right w:val="single" w:sz="8" w:color="auto"/>
            </w:tcBorders>
            <w:gridSpan w:val="3"/>
          </w:tcPr>
          <w:p>
            <w:pPr>
              <w:jc w:val="right"/>
              <w:spacing w:after="0"/>
              <w:rPr>
                <w:sz w:val="20"/>
                <w:szCs w:val="20"/>
                <w:color w:val="auto"/>
              </w:rPr>
            </w:pPr>
            <w:r>
              <w:rPr>
                <w:rFonts w:ascii="Arial" w:cs="Arial" w:eastAsia="Arial" w:hAnsi="Arial"/>
                <w:sz w:val="16"/>
                <w:szCs w:val="16"/>
                <w:color w:val="auto"/>
              </w:rPr>
              <w:t>19925.5%</w:t>
            </w: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1,242</w:t>
            </w:r>
          </w:p>
        </w:tc>
        <w:tc>
          <w:tcPr>
            <w:tcW w:w="1160" w:type="dxa"/>
            <w:vAlign w:val="bottom"/>
            <w:tcBorders>
              <w:bottom w:val="single" w:sz="8" w:color="auto"/>
              <w:right w:val="single" w:sz="8" w:color="auto"/>
            </w:tcBorders>
            <w:gridSpan w:val="4"/>
          </w:tcPr>
          <w:p>
            <w:pPr>
              <w:jc w:val="right"/>
              <w:spacing w:after="0"/>
              <w:rPr>
                <w:sz w:val="20"/>
                <w:szCs w:val="20"/>
                <w:color w:val="auto"/>
              </w:rPr>
            </w:pPr>
            <w:r>
              <w:rPr>
                <w:rFonts w:ascii="Arial" w:cs="Arial" w:eastAsia="Arial" w:hAnsi="Arial"/>
                <w:sz w:val="16"/>
                <w:szCs w:val="16"/>
                <w:color w:val="auto"/>
              </w:rPr>
              <w:t>22635.6%</w:t>
            </w:r>
          </w:p>
        </w:tc>
        <w:tc>
          <w:tcPr>
            <w:tcW w:w="6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1,272</w:t>
            </w:r>
          </w:p>
        </w:tc>
        <w:tc>
          <w:tcPr>
            <w:tcW w:w="1160" w:type="dxa"/>
            <w:vAlign w:val="bottom"/>
            <w:tcBorders>
              <w:bottom w:val="single" w:sz="8" w:color="auto"/>
              <w:right w:val="single" w:sz="8" w:color="auto"/>
            </w:tcBorders>
            <w:gridSpan w:val="4"/>
          </w:tcPr>
          <w:p>
            <w:pPr>
              <w:jc w:val="right"/>
              <w:ind w:right="20"/>
              <w:spacing w:after="0"/>
              <w:rPr>
                <w:sz w:val="20"/>
                <w:szCs w:val="20"/>
                <w:color w:val="auto"/>
              </w:rPr>
            </w:pPr>
            <w:r>
              <w:rPr>
                <w:rFonts w:ascii="Arial" w:cs="Arial" w:eastAsia="Arial" w:hAnsi="Arial"/>
                <w:sz w:val="16"/>
                <w:szCs w:val="16"/>
                <w:color w:val="auto"/>
              </w:rPr>
              <w:t>23035.8%</w:t>
            </w:r>
          </w:p>
        </w:tc>
        <w:tc>
          <w:tcPr>
            <w:tcW w:w="0" w:type="dxa"/>
            <w:vAlign w:val="bottom"/>
          </w:tcPr>
          <w:p>
            <w:pPr>
              <w:spacing w:after="0"/>
              <w:rPr>
                <w:sz w:val="1"/>
                <w:szCs w:val="1"/>
                <w:color w:val="auto"/>
              </w:rPr>
            </w:pPr>
          </w:p>
        </w:tc>
      </w:tr>
      <w:tr>
        <w:trPr>
          <w:trHeight w:val="179"/>
        </w:trPr>
        <w:tc>
          <w:tcPr>
            <w:tcW w:w="2180" w:type="dxa"/>
            <w:vAlign w:val="bottom"/>
            <w:tcBorders>
              <w:left w:val="single" w:sz="8" w:color="auto"/>
              <w:bottom w:val="single" w:sz="8" w:color="auto"/>
              <w:right w:val="single" w:sz="8" w:color="auto"/>
            </w:tcBorders>
            <w:gridSpan w:val="3"/>
          </w:tcPr>
          <w:p>
            <w:pPr>
              <w:ind w:left="20"/>
              <w:spacing w:after="0" w:line="178" w:lineRule="exact"/>
              <w:rPr>
                <w:sz w:val="20"/>
                <w:szCs w:val="20"/>
                <w:color w:val="auto"/>
              </w:rPr>
            </w:pPr>
            <w:r>
              <w:rPr>
                <w:rFonts w:ascii="Arial" w:cs="Arial" w:eastAsia="Arial" w:hAnsi="Arial"/>
                <w:sz w:val="16"/>
                <w:szCs w:val="16"/>
                <w:b w:val="1"/>
                <w:bCs w:val="1"/>
                <w:color w:val="auto"/>
              </w:rPr>
              <w:t>Total Funding</w:t>
            </w:r>
          </w:p>
        </w:tc>
        <w:tc>
          <w:tcPr>
            <w:tcW w:w="66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b w:val="1"/>
                <w:bCs w:val="1"/>
                <w:color w:val="auto"/>
              </w:rPr>
              <w:t>192,002</w:t>
            </w:r>
          </w:p>
        </w:tc>
        <w:tc>
          <w:tcPr>
            <w:tcW w:w="680" w:type="dxa"/>
            <w:vAlign w:val="bottom"/>
            <w:tcBorders>
              <w:bottom w:val="single" w:sz="8" w:color="auto"/>
            </w:tcBorders>
            <w:gridSpan w:val="2"/>
          </w:tcPr>
          <w:p>
            <w:pPr>
              <w:jc w:val="right"/>
              <w:spacing w:after="0" w:line="178" w:lineRule="exact"/>
              <w:rPr>
                <w:sz w:val="20"/>
                <w:szCs w:val="20"/>
                <w:color w:val="auto"/>
              </w:rPr>
            </w:pPr>
            <w:r>
              <w:rPr>
                <w:rFonts w:ascii="Arial" w:cs="Arial" w:eastAsia="Arial" w:hAnsi="Arial"/>
                <w:sz w:val="16"/>
                <w:szCs w:val="16"/>
                <w:b w:val="1"/>
                <w:bCs w:val="1"/>
                <w:color w:val="auto"/>
              </w:rPr>
              <w:t>1,106</w:t>
            </w:r>
          </w:p>
        </w:tc>
        <w:tc>
          <w:tcPr>
            <w:tcW w:w="460" w:type="dxa"/>
            <w:vAlign w:val="bottom"/>
            <w:tcBorders>
              <w:bottom w:val="single" w:sz="8" w:color="auto"/>
              <w:right w:val="single" w:sz="8" w:color="auto"/>
            </w:tcBorders>
          </w:tcPr>
          <w:p>
            <w:pPr>
              <w:jc w:val="right"/>
              <w:spacing w:after="0" w:line="178" w:lineRule="exact"/>
              <w:rPr>
                <w:sz w:val="20"/>
                <w:szCs w:val="20"/>
                <w:color w:val="auto"/>
              </w:rPr>
            </w:pPr>
            <w:r>
              <w:rPr>
                <w:rFonts w:ascii="Arial" w:cs="Arial" w:eastAsia="Arial" w:hAnsi="Arial"/>
                <w:sz w:val="16"/>
                <w:szCs w:val="16"/>
                <w:b w:val="1"/>
                <w:bCs w:val="1"/>
                <w:color w:val="auto"/>
              </w:rPr>
              <w:t>2.1%</w:t>
            </w:r>
          </w:p>
        </w:tc>
        <w:tc>
          <w:tcPr>
            <w:tcW w:w="64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b w:val="1"/>
                <w:bCs w:val="1"/>
                <w:color w:val="auto"/>
              </w:rPr>
              <w:t>183,408</w:t>
            </w:r>
          </w:p>
        </w:tc>
        <w:tc>
          <w:tcPr>
            <w:tcW w:w="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3"/>
          </w:tcPr>
          <w:p>
            <w:pPr>
              <w:jc w:val="right"/>
              <w:spacing w:after="0" w:line="178" w:lineRule="exact"/>
              <w:rPr>
                <w:sz w:val="20"/>
                <w:szCs w:val="20"/>
                <w:color w:val="auto"/>
              </w:rPr>
            </w:pPr>
            <w:r>
              <w:rPr>
                <w:rFonts w:ascii="Arial" w:cs="Arial" w:eastAsia="Arial" w:hAnsi="Arial"/>
                <w:sz w:val="16"/>
                <w:szCs w:val="16"/>
                <w:b w:val="1"/>
                <w:bCs w:val="1"/>
                <w:color w:val="auto"/>
              </w:rPr>
              <w:t>1,449</w:t>
            </w:r>
          </w:p>
        </w:tc>
        <w:tc>
          <w:tcPr>
            <w:tcW w:w="480" w:type="dxa"/>
            <w:vAlign w:val="bottom"/>
            <w:tcBorders>
              <w:bottom w:val="single" w:sz="8" w:color="auto"/>
              <w:right w:val="single" w:sz="8" w:color="auto"/>
            </w:tcBorders>
          </w:tcPr>
          <w:p>
            <w:pPr>
              <w:jc w:val="right"/>
              <w:spacing w:after="0" w:line="178" w:lineRule="exact"/>
              <w:rPr>
                <w:sz w:val="20"/>
                <w:szCs w:val="20"/>
                <w:color w:val="auto"/>
              </w:rPr>
            </w:pPr>
            <w:r>
              <w:rPr>
                <w:rFonts w:ascii="Arial" w:cs="Arial" w:eastAsia="Arial" w:hAnsi="Arial"/>
                <w:sz w:val="16"/>
                <w:szCs w:val="16"/>
                <w:b w:val="1"/>
                <w:bCs w:val="1"/>
                <w:color w:val="auto"/>
              </w:rPr>
              <w:t>2.9%</w:t>
            </w:r>
          </w:p>
        </w:tc>
        <w:tc>
          <w:tcPr>
            <w:tcW w:w="680" w:type="dxa"/>
            <w:vAlign w:val="bottom"/>
            <w:tcBorders>
              <w:bottom w:val="single" w:sz="8" w:color="auto"/>
            </w:tcBorders>
            <w:gridSpan w:val="3"/>
          </w:tcPr>
          <w:p>
            <w:pPr>
              <w:jc w:val="right"/>
              <w:ind w:right="20"/>
              <w:spacing w:after="0" w:line="178" w:lineRule="exact"/>
              <w:rPr>
                <w:sz w:val="20"/>
                <w:szCs w:val="20"/>
                <w:color w:val="auto"/>
              </w:rPr>
            </w:pPr>
            <w:r>
              <w:rPr>
                <w:rFonts w:ascii="Arial" w:cs="Arial" w:eastAsia="Arial" w:hAnsi="Arial"/>
                <w:sz w:val="16"/>
                <w:szCs w:val="16"/>
                <w:b w:val="1"/>
                <w:bCs w:val="1"/>
                <w:color w:val="auto"/>
              </w:rPr>
              <w:t>183,805</w:t>
            </w:r>
          </w:p>
        </w:tc>
        <w:tc>
          <w:tcPr>
            <w:tcW w:w="700" w:type="dxa"/>
            <w:vAlign w:val="bottom"/>
            <w:tcBorders>
              <w:bottom w:val="single" w:sz="8" w:color="auto"/>
            </w:tcBorders>
            <w:gridSpan w:val="2"/>
          </w:tcPr>
          <w:p>
            <w:pPr>
              <w:jc w:val="right"/>
              <w:spacing w:after="0" w:line="178" w:lineRule="exact"/>
              <w:rPr>
                <w:sz w:val="20"/>
                <w:szCs w:val="20"/>
                <w:color w:val="auto"/>
              </w:rPr>
            </w:pPr>
            <w:r>
              <w:rPr>
                <w:rFonts w:ascii="Arial" w:cs="Arial" w:eastAsia="Arial" w:hAnsi="Arial"/>
                <w:sz w:val="16"/>
                <w:szCs w:val="16"/>
                <w:b w:val="1"/>
                <w:bCs w:val="1"/>
                <w:color w:val="auto"/>
              </w:rPr>
              <w:t>1,565</w:t>
            </w:r>
          </w:p>
        </w:tc>
        <w:tc>
          <w:tcPr>
            <w:tcW w:w="460" w:type="dxa"/>
            <w:vAlign w:val="bottom"/>
            <w:tcBorders>
              <w:bottom w:val="single" w:sz="8" w:color="auto"/>
              <w:right w:val="single" w:sz="8" w:color="auto"/>
            </w:tcBorders>
            <w:gridSpan w:val="2"/>
          </w:tcPr>
          <w:p>
            <w:pPr>
              <w:jc w:val="right"/>
              <w:ind w:right="20"/>
              <w:spacing w:after="0" w:line="178" w:lineRule="exact"/>
              <w:rPr>
                <w:sz w:val="20"/>
                <w:szCs w:val="20"/>
                <w:color w:val="auto"/>
              </w:rPr>
            </w:pPr>
            <w:r>
              <w:rPr>
                <w:rFonts w:ascii="Arial" w:cs="Arial" w:eastAsia="Arial" w:hAnsi="Arial"/>
                <w:sz w:val="16"/>
                <w:szCs w:val="16"/>
                <w:b w:val="1"/>
                <w:bCs w:val="1"/>
                <w:color w:val="auto"/>
              </w:rPr>
              <w:t>3.2%</w:t>
            </w:r>
          </w:p>
        </w:tc>
        <w:tc>
          <w:tcPr>
            <w:tcW w:w="0" w:type="dxa"/>
            <w:vAlign w:val="bottom"/>
          </w:tcPr>
          <w:p>
            <w:pPr>
              <w:spacing w:after="0"/>
              <w:rPr>
                <w:sz w:val="1"/>
                <w:szCs w:val="1"/>
                <w:color w:val="auto"/>
              </w:rPr>
            </w:pPr>
          </w:p>
        </w:tc>
      </w:tr>
      <w:tr>
        <w:trPr>
          <w:trHeight w:val="178"/>
        </w:trPr>
        <w:tc>
          <w:tcPr>
            <w:tcW w:w="2180" w:type="dxa"/>
            <w:vAlign w:val="bottom"/>
            <w:tcBorders>
              <w:left w:val="single" w:sz="8" w:color="auto"/>
              <w:bottom w:val="single" w:sz="8" w:color="auto"/>
              <w:right w:val="single" w:sz="8" w:color="auto"/>
            </w:tcBorders>
            <w:gridSpan w:val="3"/>
          </w:tcPr>
          <w:p>
            <w:pPr>
              <w:ind w:left="20"/>
              <w:spacing w:after="0" w:line="178" w:lineRule="exact"/>
              <w:rPr>
                <w:sz w:val="20"/>
                <w:szCs w:val="20"/>
                <w:color w:val="auto"/>
              </w:rPr>
            </w:pPr>
            <w:r>
              <w:rPr>
                <w:rFonts w:ascii="Arial" w:cs="Arial" w:eastAsia="Arial" w:hAnsi="Arial"/>
                <w:sz w:val="16"/>
                <w:szCs w:val="16"/>
                <w:color w:val="auto"/>
              </w:rPr>
              <w:t>Funding (LC)</w:t>
            </w:r>
          </w:p>
        </w:tc>
        <w:tc>
          <w:tcPr>
            <w:tcW w:w="66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50.9%</w:t>
            </w:r>
          </w:p>
        </w:tc>
        <w:tc>
          <w:tcPr>
            <w:tcW w:w="680" w:type="dxa"/>
            <w:vAlign w:val="bottom"/>
            <w:tcBorders>
              <w:bottom w:val="single" w:sz="8" w:color="auto"/>
            </w:tcBorders>
            <w:gridSpan w:val="2"/>
          </w:tcPr>
          <w:p>
            <w:pPr>
              <w:jc w:val="right"/>
              <w:spacing w:after="0" w:line="178" w:lineRule="exact"/>
              <w:rPr>
                <w:sz w:val="20"/>
                <w:szCs w:val="20"/>
                <w:color w:val="auto"/>
              </w:rPr>
            </w:pPr>
            <w:r>
              <w:rPr>
                <w:rFonts w:ascii="Arial" w:cs="Arial" w:eastAsia="Arial" w:hAnsi="Arial"/>
                <w:sz w:val="16"/>
                <w:szCs w:val="16"/>
                <w:color w:val="auto"/>
              </w:rPr>
              <w:t>60.3%</w:t>
            </w:r>
          </w:p>
        </w:tc>
        <w:tc>
          <w:tcPr>
            <w:tcW w:w="460" w:type="dxa"/>
            <w:vAlign w:val="bottom"/>
            <w:tcBorders>
              <w:bottom w:val="single" w:sz="8" w:color="auto"/>
              <w:right w:val="single" w:sz="8" w:color="auto"/>
            </w:tcBorders>
          </w:tcPr>
          <w:p>
            <w:pPr>
              <w:jc w:val="right"/>
              <w:spacing w:after="0" w:line="178" w:lineRule="exact"/>
              <w:rPr>
                <w:sz w:val="20"/>
                <w:szCs w:val="20"/>
                <w:color w:val="auto"/>
              </w:rPr>
            </w:pPr>
            <w:r>
              <w:rPr>
                <w:rFonts w:ascii="Arial" w:cs="Arial" w:eastAsia="Arial" w:hAnsi="Arial"/>
                <w:sz w:val="16"/>
                <w:szCs w:val="16"/>
                <w:color w:val="auto"/>
              </w:rPr>
              <w:t>2.4%</w:t>
            </w:r>
          </w:p>
        </w:tc>
        <w:tc>
          <w:tcPr>
            <w:tcW w:w="660" w:type="dxa"/>
            <w:vAlign w:val="bottom"/>
            <w:tcBorders>
              <w:bottom w:val="single" w:sz="8" w:color="auto"/>
            </w:tcBorders>
            <w:gridSpan w:val="2"/>
          </w:tcPr>
          <w:p>
            <w:pPr>
              <w:jc w:val="right"/>
              <w:spacing w:after="0" w:line="178" w:lineRule="exact"/>
              <w:rPr>
                <w:sz w:val="20"/>
                <w:szCs w:val="20"/>
                <w:color w:val="auto"/>
              </w:rPr>
            </w:pPr>
            <w:r>
              <w:rPr>
                <w:rFonts w:ascii="Arial" w:cs="Arial" w:eastAsia="Arial" w:hAnsi="Arial"/>
                <w:sz w:val="16"/>
                <w:szCs w:val="16"/>
                <w:color w:val="auto"/>
              </w:rPr>
              <w:t>50.8%</w:t>
            </w:r>
          </w:p>
        </w:tc>
        <w:tc>
          <w:tcPr>
            <w:tcW w:w="680" w:type="dxa"/>
            <w:vAlign w:val="bottom"/>
            <w:tcBorders>
              <w:bottom w:val="single" w:sz="8" w:color="auto"/>
            </w:tcBorders>
            <w:gridSpan w:val="3"/>
          </w:tcPr>
          <w:p>
            <w:pPr>
              <w:jc w:val="right"/>
              <w:spacing w:after="0" w:line="178" w:lineRule="exact"/>
              <w:rPr>
                <w:sz w:val="20"/>
                <w:szCs w:val="20"/>
                <w:color w:val="auto"/>
              </w:rPr>
            </w:pPr>
            <w:r>
              <w:rPr>
                <w:rFonts w:ascii="Arial" w:cs="Arial" w:eastAsia="Arial" w:hAnsi="Arial"/>
                <w:sz w:val="16"/>
                <w:szCs w:val="16"/>
                <w:color w:val="auto"/>
              </w:rPr>
              <w:t>60.3%</w:t>
            </w:r>
          </w:p>
        </w:tc>
        <w:tc>
          <w:tcPr>
            <w:tcW w:w="480" w:type="dxa"/>
            <w:vAlign w:val="bottom"/>
            <w:tcBorders>
              <w:bottom w:val="single" w:sz="8" w:color="auto"/>
              <w:right w:val="single" w:sz="8" w:color="auto"/>
            </w:tcBorders>
          </w:tcPr>
          <w:p>
            <w:pPr>
              <w:jc w:val="right"/>
              <w:spacing w:after="0" w:line="178" w:lineRule="exact"/>
              <w:rPr>
                <w:sz w:val="20"/>
                <w:szCs w:val="20"/>
                <w:color w:val="auto"/>
              </w:rPr>
            </w:pPr>
            <w:r>
              <w:rPr>
                <w:rFonts w:ascii="Arial" w:cs="Arial" w:eastAsia="Arial" w:hAnsi="Arial"/>
                <w:sz w:val="16"/>
                <w:szCs w:val="16"/>
                <w:color w:val="auto"/>
              </w:rPr>
              <w:t>3.4%</w:t>
            </w:r>
          </w:p>
        </w:tc>
        <w:tc>
          <w:tcPr>
            <w:tcW w:w="680" w:type="dxa"/>
            <w:vAlign w:val="bottom"/>
            <w:tcBorders>
              <w:bottom w:val="single" w:sz="8" w:color="auto"/>
            </w:tcBorders>
            <w:gridSpan w:val="3"/>
          </w:tcPr>
          <w:p>
            <w:pPr>
              <w:jc w:val="right"/>
              <w:ind w:right="20"/>
              <w:spacing w:after="0" w:line="178" w:lineRule="exact"/>
              <w:rPr>
                <w:sz w:val="20"/>
                <w:szCs w:val="20"/>
                <w:color w:val="auto"/>
              </w:rPr>
            </w:pPr>
            <w:r>
              <w:rPr>
                <w:rFonts w:ascii="Arial" w:cs="Arial" w:eastAsia="Arial" w:hAnsi="Arial"/>
                <w:sz w:val="16"/>
                <w:szCs w:val="16"/>
                <w:color w:val="auto"/>
              </w:rPr>
              <w:t>50.9%</w:t>
            </w:r>
          </w:p>
        </w:tc>
        <w:tc>
          <w:tcPr>
            <w:tcW w:w="700" w:type="dxa"/>
            <w:vAlign w:val="bottom"/>
            <w:tcBorders>
              <w:bottom w:val="single" w:sz="8" w:color="auto"/>
            </w:tcBorders>
            <w:gridSpan w:val="2"/>
          </w:tcPr>
          <w:p>
            <w:pPr>
              <w:jc w:val="right"/>
              <w:spacing w:after="0" w:line="178" w:lineRule="exact"/>
              <w:rPr>
                <w:sz w:val="20"/>
                <w:szCs w:val="20"/>
                <w:color w:val="auto"/>
              </w:rPr>
            </w:pPr>
            <w:r>
              <w:rPr>
                <w:rFonts w:ascii="Arial" w:cs="Arial" w:eastAsia="Arial" w:hAnsi="Arial"/>
                <w:sz w:val="16"/>
                <w:szCs w:val="16"/>
                <w:color w:val="auto"/>
              </w:rPr>
              <w:t>59.8%</w:t>
            </w:r>
          </w:p>
        </w:tc>
        <w:tc>
          <w:tcPr>
            <w:tcW w:w="460" w:type="dxa"/>
            <w:vAlign w:val="bottom"/>
            <w:tcBorders>
              <w:bottom w:val="single" w:sz="8" w:color="auto"/>
              <w:right w:val="single" w:sz="8" w:color="auto"/>
            </w:tcBorders>
            <w:gridSpan w:val="2"/>
          </w:tcPr>
          <w:p>
            <w:pPr>
              <w:jc w:val="right"/>
              <w:ind w:right="20"/>
              <w:spacing w:after="0" w:line="178" w:lineRule="exact"/>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178"/>
        </w:trPr>
        <w:tc>
          <w:tcPr>
            <w:tcW w:w="2180" w:type="dxa"/>
            <w:vAlign w:val="bottom"/>
            <w:tcBorders>
              <w:left w:val="single" w:sz="8" w:color="auto"/>
              <w:bottom w:val="single" w:sz="8" w:color="auto"/>
              <w:right w:val="single" w:sz="8" w:color="auto"/>
            </w:tcBorders>
            <w:gridSpan w:val="3"/>
          </w:tcPr>
          <w:p>
            <w:pPr>
              <w:ind w:left="20"/>
              <w:spacing w:after="0" w:line="178" w:lineRule="exact"/>
              <w:rPr>
                <w:sz w:val="20"/>
                <w:szCs w:val="20"/>
                <w:color w:val="auto"/>
              </w:rPr>
            </w:pPr>
            <w:r>
              <w:rPr>
                <w:rFonts w:ascii="Arial" w:cs="Arial" w:eastAsia="Arial" w:hAnsi="Arial"/>
                <w:sz w:val="16"/>
                <w:szCs w:val="16"/>
                <w:color w:val="auto"/>
              </w:rPr>
              <w:t>Funding (FC)</w:t>
            </w:r>
          </w:p>
        </w:tc>
        <w:tc>
          <w:tcPr>
            <w:tcW w:w="66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49.1%</w:t>
            </w:r>
          </w:p>
        </w:tc>
        <w:tc>
          <w:tcPr>
            <w:tcW w:w="680" w:type="dxa"/>
            <w:vAlign w:val="bottom"/>
            <w:tcBorders>
              <w:bottom w:val="single" w:sz="8" w:color="auto"/>
            </w:tcBorders>
            <w:gridSpan w:val="2"/>
          </w:tcPr>
          <w:p>
            <w:pPr>
              <w:jc w:val="right"/>
              <w:spacing w:after="0" w:line="178" w:lineRule="exact"/>
              <w:rPr>
                <w:sz w:val="20"/>
                <w:szCs w:val="20"/>
                <w:color w:val="auto"/>
              </w:rPr>
            </w:pPr>
            <w:r>
              <w:rPr>
                <w:rFonts w:ascii="Arial" w:cs="Arial" w:eastAsia="Arial" w:hAnsi="Arial"/>
                <w:sz w:val="16"/>
                <w:szCs w:val="16"/>
                <w:color w:val="auto"/>
              </w:rPr>
              <w:t>39.7%</w:t>
            </w:r>
          </w:p>
        </w:tc>
        <w:tc>
          <w:tcPr>
            <w:tcW w:w="460" w:type="dxa"/>
            <w:vAlign w:val="bottom"/>
            <w:tcBorders>
              <w:bottom w:val="single" w:sz="8" w:color="auto"/>
              <w:right w:val="single" w:sz="8" w:color="auto"/>
            </w:tcBorders>
          </w:tcPr>
          <w:p>
            <w:pPr>
              <w:jc w:val="right"/>
              <w:spacing w:after="0" w:line="178" w:lineRule="exact"/>
              <w:rPr>
                <w:sz w:val="20"/>
                <w:szCs w:val="20"/>
                <w:color w:val="auto"/>
              </w:rPr>
            </w:pPr>
            <w:r>
              <w:rPr>
                <w:rFonts w:ascii="Arial" w:cs="Arial" w:eastAsia="Arial" w:hAnsi="Arial"/>
                <w:sz w:val="16"/>
                <w:szCs w:val="16"/>
                <w:color w:val="auto"/>
              </w:rPr>
              <w:t>1.7%</w:t>
            </w:r>
          </w:p>
        </w:tc>
        <w:tc>
          <w:tcPr>
            <w:tcW w:w="660" w:type="dxa"/>
            <w:vAlign w:val="bottom"/>
            <w:tcBorders>
              <w:bottom w:val="single" w:sz="8" w:color="auto"/>
            </w:tcBorders>
            <w:gridSpan w:val="2"/>
          </w:tcPr>
          <w:p>
            <w:pPr>
              <w:jc w:val="right"/>
              <w:spacing w:after="0" w:line="178" w:lineRule="exact"/>
              <w:rPr>
                <w:sz w:val="20"/>
                <w:szCs w:val="20"/>
                <w:color w:val="auto"/>
              </w:rPr>
            </w:pPr>
            <w:r>
              <w:rPr>
                <w:rFonts w:ascii="Arial" w:cs="Arial" w:eastAsia="Arial" w:hAnsi="Arial"/>
                <w:sz w:val="16"/>
                <w:szCs w:val="16"/>
                <w:color w:val="auto"/>
              </w:rPr>
              <w:t>49.2%</w:t>
            </w:r>
          </w:p>
        </w:tc>
        <w:tc>
          <w:tcPr>
            <w:tcW w:w="680" w:type="dxa"/>
            <w:vAlign w:val="bottom"/>
            <w:tcBorders>
              <w:bottom w:val="single" w:sz="8" w:color="auto"/>
            </w:tcBorders>
            <w:gridSpan w:val="3"/>
          </w:tcPr>
          <w:p>
            <w:pPr>
              <w:jc w:val="right"/>
              <w:spacing w:after="0" w:line="178" w:lineRule="exact"/>
              <w:rPr>
                <w:sz w:val="20"/>
                <w:szCs w:val="20"/>
                <w:color w:val="auto"/>
              </w:rPr>
            </w:pPr>
            <w:r>
              <w:rPr>
                <w:rFonts w:ascii="Arial" w:cs="Arial" w:eastAsia="Arial" w:hAnsi="Arial"/>
                <w:sz w:val="16"/>
                <w:szCs w:val="16"/>
                <w:color w:val="auto"/>
              </w:rPr>
              <w:t>39.7%</w:t>
            </w:r>
          </w:p>
        </w:tc>
        <w:tc>
          <w:tcPr>
            <w:tcW w:w="480" w:type="dxa"/>
            <w:vAlign w:val="bottom"/>
            <w:tcBorders>
              <w:bottom w:val="single" w:sz="8" w:color="auto"/>
              <w:right w:val="single" w:sz="8" w:color="auto"/>
            </w:tcBorders>
          </w:tcPr>
          <w:p>
            <w:pPr>
              <w:jc w:val="right"/>
              <w:spacing w:after="0" w:line="178" w:lineRule="exact"/>
              <w:rPr>
                <w:sz w:val="20"/>
                <w:szCs w:val="20"/>
                <w:color w:val="auto"/>
              </w:rPr>
            </w:pPr>
            <w:r>
              <w:rPr>
                <w:rFonts w:ascii="Arial" w:cs="Arial" w:eastAsia="Arial" w:hAnsi="Arial"/>
                <w:sz w:val="16"/>
                <w:szCs w:val="16"/>
                <w:color w:val="auto"/>
              </w:rPr>
              <w:t>2.4%</w:t>
            </w:r>
          </w:p>
        </w:tc>
        <w:tc>
          <w:tcPr>
            <w:tcW w:w="680" w:type="dxa"/>
            <w:vAlign w:val="bottom"/>
            <w:tcBorders>
              <w:bottom w:val="single" w:sz="8" w:color="auto"/>
            </w:tcBorders>
            <w:gridSpan w:val="3"/>
          </w:tcPr>
          <w:p>
            <w:pPr>
              <w:jc w:val="right"/>
              <w:ind w:right="20"/>
              <w:spacing w:after="0" w:line="178" w:lineRule="exact"/>
              <w:rPr>
                <w:sz w:val="20"/>
                <w:szCs w:val="20"/>
                <w:color w:val="auto"/>
              </w:rPr>
            </w:pPr>
            <w:r>
              <w:rPr>
                <w:rFonts w:ascii="Arial" w:cs="Arial" w:eastAsia="Arial" w:hAnsi="Arial"/>
                <w:sz w:val="16"/>
                <w:szCs w:val="16"/>
                <w:color w:val="auto"/>
              </w:rPr>
              <w:t>49.1%</w:t>
            </w:r>
          </w:p>
        </w:tc>
        <w:tc>
          <w:tcPr>
            <w:tcW w:w="700" w:type="dxa"/>
            <w:vAlign w:val="bottom"/>
            <w:tcBorders>
              <w:bottom w:val="single" w:sz="8" w:color="auto"/>
            </w:tcBorders>
            <w:gridSpan w:val="2"/>
          </w:tcPr>
          <w:p>
            <w:pPr>
              <w:jc w:val="right"/>
              <w:spacing w:after="0" w:line="178" w:lineRule="exact"/>
              <w:rPr>
                <w:sz w:val="20"/>
                <w:szCs w:val="20"/>
                <w:color w:val="auto"/>
              </w:rPr>
            </w:pPr>
            <w:r>
              <w:rPr>
                <w:rFonts w:ascii="Arial" w:cs="Arial" w:eastAsia="Arial" w:hAnsi="Arial"/>
                <w:sz w:val="16"/>
                <w:szCs w:val="16"/>
                <w:color w:val="auto"/>
              </w:rPr>
              <w:t>40.2%</w:t>
            </w:r>
          </w:p>
        </w:tc>
        <w:tc>
          <w:tcPr>
            <w:tcW w:w="460" w:type="dxa"/>
            <w:vAlign w:val="bottom"/>
            <w:tcBorders>
              <w:bottom w:val="single" w:sz="8" w:color="auto"/>
              <w:right w:val="single" w:sz="8" w:color="auto"/>
            </w:tcBorders>
            <w:gridSpan w:val="2"/>
          </w:tcPr>
          <w:p>
            <w:pPr>
              <w:jc w:val="right"/>
              <w:ind w:right="20"/>
              <w:spacing w:after="0" w:line="178" w:lineRule="exact"/>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78"/>
        </w:trPr>
        <w:tc>
          <w:tcPr>
            <w:tcW w:w="8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180" w:type="dxa"/>
            <w:vAlign w:val="bottom"/>
            <w:tcBorders>
              <w:left w:val="single" w:sz="8" w:color="auto"/>
              <w:bottom w:val="single" w:sz="8" w:color="auto"/>
              <w:right w:val="single" w:sz="8" w:color="auto"/>
            </w:tcBorders>
            <w:gridSpan w:val="3"/>
          </w:tcPr>
          <w:p>
            <w:pPr>
              <w:ind w:left="20"/>
              <w:spacing w:after="0" w:line="178" w:lineRule="exact"/>
              <w:rPr>
                <w:sz w:val="20"/>
                <w:szCs w:val="20"/>
                <w:color w:val="auto"/>
              </w:rPr>
            </w:pPr>
            <w:r>
              <w:rPr>
                <w:rFonts w:ascii="Arial" w:cs="Arial" w:eastAsia="Arial" w:hAnsi="Arial"/>
                <w:sz w:val="16"/>
                <w:szCs w:val="16"/>
                <w:b w:val="1"/>
                <w:bCs w:val="1"/>
                <w:color w:val="auto"/>
              </w:rPr>
              <w:t>NIM</w:t>
            </w:r>
          </w:p>
        </w:tc>
        <w:tc>
          <w:tcPr>
            <w:tcW w:w="66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b w:val="1"/>
                <w:bCs w:val="1"/>
                <w:color w:val="auto"/>
              </w:rPr>
              <w:t>225,372</w:t>
            </w:r>
          </w:p>
        </w:tc>
        <w:tc>
          <w:tcPr>
            <w:tcW w:w="680" w:type="dxa"/>
            <w:vAlign w:val="bottom"/>
            <w:tcBorders>
              <w:bottom w:val="single" w:sz="8" w:color="auto"/>
            </w:tcBorders>
            <w:gridSpan w:val="2"/>
          </w:tcPr>
          <w:p>
            <w:pPr>
              <w:jc w:val="right"/>
              <w:spacing w:after="0" w:line="178" w:lineRule="exact"/>
              <w:rPr>
                <w:sz w:val="20"/>
                <w:szCs w:val="20"/>
                <w:color w:val="auto"/>
              </w:rPr>
            </w:pPr>
            <w:r>
              <w:rPr>
                <w:rFonts w:ascii="Arial" w:cs="Arial" w:eastAsia="Arial" w:hAnsi="Arial"/>
                <w:sz w:val="16"/>
                <w:szCs w:val="16"/>
                <w:b w:val="1"/>
                <w:bCs w:val="1"/>
                <w:color w:val="auto"/>
              </w:rPr>
              <w:t>2,882</w:t>
            </w:r>
          </w:p>
        </w:tc>
        <w:tc>
          <w:tcPr>
            <w:tcW w:w="460" w:type="dxa"/>
            <w:vAlign w:val="bottom"/>
            <w:tcBorders>
              <w:bottom w:val="single" w:sz="8" w:color="auto"/>
              <w:right w:val="single" w:sz="8" w:color="auto"/>
            </w:tcBorders>
          </w:tcPr>
          <w:p>
            <w:pPr>
              <w:jc w:val="right"/>
              <w:spacing w:after="0" w:line="178" w:lineRule="exact"/>
              <w:rPr>
                <w:sz w:val="20"/>
                <w:szCs w:val="20"/>
                <w:color w:val="auto"/>
              </w:rPr>
            </w:pPr>
            <w:r>
              <w:rPr>
                <w:rFonts w:ascii="Arial" w:cs="Arial" w:eastAsia="Arial" w:hAnsi="Arial"/>
                <w:sz w:val="16"/>
                <w:szCs w:val="16"/>
                <w:b w:val="1"/>
                <w:bCs w:val="1"/>
                <w:color w:val="auto"/>
              </w:rPr>
              <w:t>5.1%</w:t>
            </w:r>
          </w:p>
        </w:tc>
        <w:tc>
          <w:tcPr>
            <w:tcW w:w="64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b w:val="1"/>
                <w:bCs w:val="1"/>
                <w:color w:val="auto"/>
              </w:rPr>
              <w:t>220,652</w:t>
            </w:r>
          </w:p>
        </w:tc>
        <w:tc>
          <w:tcPr>
            <w:tcW w:w="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3"/>
          </w:tcPr>
          <w:p>
            <w:pPr>
              <w:jc w:val="right"/>
              <w:spacing w:after="0" w:line="178" w:lineRule="exact"/>
              <w:rPr>
                <w:sz w:val="20"/>
                <w:szCs w:val="20"/>
                <w:color w:val="auto"/>
              </w:rPr>
            </w:pPr>
            <w:r>
              <w:rPr>
                <w:rFonts w:ascii="Arial" w:cs="Arial" w:eastAsia="Arial" w:hAnsi="Arial"/>
                <w:sz w:val="16"/>
                <w:szCs w:val="16"/>
                <w:b w:val="1"/>
                <w:bCs w:val="1"/>
                <w:color w:val="auto"/>
              </w:rPr>
              <w:t>3,204</w:t>
            </w:r>
          </w:p>
        </w:tc>
        <w:tc>
          <w:tcPr>
            <w:tcW w:w="480" w:type="dxa"/>
            <w:vAlign w:val="bottom"/>
            <w:tcBorders>
              <w:bottom w:val="single" w:sz="8" w:color="auto"/>
              <w:right w:val="single" w:sz="8" w:color="auto"/>
            </w:tcBorders>
          </w:tcPr>
          <w:p>
            <w:pPr>
              <w:jc w:val="right"/>
              <w:spacing w:after="0" w:line="178" w:lineRule="exact"/>
              <w:rPr>
                <w:sz w:val="20"/>
                <w:szCs w:val="20"/>
                <w:color w:val="auto"/>
              </w:rPr>
            </w:pPr>
            <w:r>
              <w:rPr>
                <w:rFonts w:ascii="Arial" w:cs="Arial" w:eastAsia="Arial" w:hAnsi="Arial"/>
                <w:sz w:val="16"/>
                <w:szCs w:val="16"/>
                <w:b w:val="1"/>
                <w:bCs w:val="1"/>
                <w:color w:val="auto"/>
              </w:rPr>
              <w:t>5.8%</w:t>
            </w:r>
          </w:p>
        </w:tc>
        <w:tc>
          <w:tcPr>
            <w:tcW w:w="680" w:type="dxa"/>
            <w:vAlign w:val="bottom"/>
            <w:tcBorders>
              <w:bottom w:val="single" w:sz="8" w:color="auto"/>
            </w:tcBorders>
            <w:gridSpan w:val="3"/>
          </w:tcPr>
          <w:p>
            <w:pPr>
              <w:jc w:val="right"/>
              <w:ind w:right="20"/>
              <w:spacing w:after="0" w:line="178" w:lineRule="exact"/>
              <w:rPr>
                <w:sz w:val="20"/>
                <w:szCs w:val="20"/>
                <w:color w:val="auto"/>
              </w:rPr>
            </w:pPr>
            <w:r>
              <w:rPr>
                <w:rFonts w:ascii="Arial" w:cs="Arial" w:eastAsia="Arial" w:hAnsi="Arial"/>
                <w:sz w:val="16"/>
                <w:szCs w:val="16"/>
                <w:b w:val="1"/>
                <w:bCs w:val="1"/>
                <w:color w:val="auto"/>
              </w:rPr>
              <w:t>220,724</w:t>
            </w:r>
          </w:p>
        </w:tc>
        <w:tc>
          <w:tcPr>
            <w:tcW w:w="700" w:type="dxa"/>
            <w:vAlign w:val="bottom"/>
            <w:tcBorders>
              <w:bottom w:val="single" w:sz="8" w:color="auto"/>
            </w:tcBorders>
            <w:gridSpan w:val="2"/>
          </w:tcPr>
          <w:p>
            <w:pPr>
              <w:jc w:val="right"/>
              <w:spacing w:after="0" w:line="178" w:lineRule="exact"/>
              <w:rPr>
                <w:sz w:val="20"/>
                <w:szCs w:val="20"/>
                <w:color w:val="auto"/>
              </w:rPr>
            </w:pPr>
            <w:r>
              <w:rPr>
                <w:rFonts w:ascii="Arial" w:cs="Arial" w:eastAsia="Arial" w:hAnsi="Arial"/>
                <w:sz w:val="16"/>
                <w:szCs w:val="16"/>
                <w:b w:val="1"/>
                <w:bCs w:val="1"/>
                <w:color w:val="auto"/>
              </w:rPr>
              <w:t>3,254</w:t>
            </w:r>
          </w:p>
        </w:tc>
        <w:tc>
          <w:tcPr>
            <w:tcW w:w="460" w:type="dxa"/>
            <w:vAlign w:val="bottom"/>
            <w:tcBorders>
              <w:bottom w:val="single" w:sz="8" w:color="auto"/>
              <w:right w:val="single" w:sz="8" w:color="auto"/>
            </w:tcBorders>
            <w:gridSpan w:val="2"/>
          </w:tcPr>
          <w:p>
            <w:pPr>
              <w:jc w:val="right"/>
              <w:ind w:right="20"/>
              <w:spacing w:after="0" w:line="178" w:lineRule="exact"/>
              <w:rPr>
                <w:sz w:val="20"/>
                <w:szCs w:val="20"/>
                <w:color w:val="auto"/>
              </w:rPr>
            </w:pPr>
            <w:r>
              <w:rPr>
                <w:rFonts w:ascii="Arial" w:cs="Arial" w:eastAsia="Arial" w:hAnsi="Arial"/>
                <w:sz w:val="16"/>
                <w:szCs w:val="16"/>
                <w:b w:val="1"/>
                <w:bCs w:val="1"/>
                <w:color w:val="auto"/>
              </w:rPr>
              <w:t>5.9%</w:t>
            </w:r>
          </w:p>
        </w:tc>
        <w:tc>
          <w:tcPr>
            <w:tcW w:w="0" w:type="dxa"/>
            <w:vAlign w:val="bottom"/>
          </w:tcPr>
          <w:p>
            <w:pPr>
              <w:spacing w:after="0"/>
              <w:rPr>
                <w:sz w:val="1"/>
                <w:szCs w:val="1"/>
                <w:color w:val="auto"/>
              </w:rPr>
            </w:pPr>
          </w:p>
        </w:tc>
      </w:tr>
      <w:tr>
        <w:trPr>
          <w:trHeight w:val="178"/>
        </w:trPr>
        <w:tc>
          <w:tcPr>
            <w:tcW w:w="2180" w:type="dxa"/>
            <w:vAlign w:val="bottom"/>
            <w:tcBorders>
              <w:left w:val="single" w:sz="8" w:color="auto"/>
              <w:bottom w:val="single" w:sz="8" w:color="auto"/>
              <w:right w:val="single" w:sz="8" w:color="auto"/>
            </w:tcBorders>
            <w:gridSpan w:val="3"/>
          </w:tcPr>
          <w:p>
            <w:pPr>
              <w:ind w:left="20"/>
              <w:spacing w:after="0" w:line="178" w:lineRule="exact"/>
              <w:rPr>
                <w:sz w:val="20"/>
                <w:szCs w:val="20"/>
                <w:color w:val="auto"/>
              </w:rPr>
            </w:pPr>
            <w:r>
              <w:rPr>
                <w:rFonts w:ascii="Arial" w:cs="Arial" w:eastAsia="Arial" w:hAnsi="Arial"/>
                <w:sz w:val="16"/>
                <w:szCs w:val="16"/>
                <w:color w:val="auto"/>
              </w:rPr>
              <w:t>NIM (LC)</w:t>
            </w:r>
          </w:p>
        </w:tc>
        <w:tc>
          <w:tcPr>
            <w:tcW w:w="66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57.1%</w:t>
            </w:r>
          </w:p>
        </w:tc>
        <w:tc>
          <w:tcPr>
            <w:tcW w:w="680" w:type="dxa"/>
            <w:vAlign w:val="bottom"/>
            <w:tcBorders>
              <w:bottom w:val="single" w:sz="8" w:color="auto"/>
            </w:tcBorders>
            <w:gridSpan w:val="2"/>
          </w:tcPr>
          <w:p>
            <w:pPr>
              <w:jc w:val="right"/>
              <w:spacing w:after="0" w:line="178" w:lineRule="exact"/>
              <w:rPr>
                <w:sz w:val="20"/>
                <w:szCs w:val="20"/>
                <w:color w:val="auto"/>
              </w:rPr>
            </w:pPr>
            <w:r>
              <w:rPr>
                <w:rFonts w:ascii="Arial" w:cs="Arial" w:eastAsia="Arial" w:hAnsi="Arial"/>
                <w:sz w:val="16"/>
                <w:szCs w:val="16"/>
                <w:color w:val="auto"/>
              </w:rPr>
              <w:t>80.7%</w:t>
            </w:r>
          </w:p>
        </w:tc>
        <w:tc>
          <w:tcPr>
            <w:tcW w:w="460" w:type="dxa"/>
            <w:vAlign w:val="bottom"/>
            <w:tcBorders>
              <w:bottom w:val="single" w:sz="8" w:color="auto"/>
              <w:right w:val="single" w:sz="8" w:color="auto"/>
            </w:tcBorders>
          </w:tcPr>
          <w:p>
            <w:pPr>
              <w:jc w:val="right"/>
              <w:spacing w:after="0" w:line="178" w:lineRule="exact"/>
              <w:rPr>
                <w:sz w:val="20"/>
                <w:szCs w:val="20"/>
                <w:color w:val="auto"/>
              </w:rPr>
            </w:pPr>
            <w:r>
              <w:rPr>
                <w:rFonts w:ascii="Arial" w:cs="Arial" w:eastAsia="Arial" w:hAnsi="Arial"/>
                <w:sz w:val="16"/>
                <w:szCs w:val="16"/>
                <w:color w:val="auto"/>
              </w:rPr>
              <w:t>7.2%</w:t>
            </w:r>
          </w:p>
        </w:tc>
        <w:tc>
          <w:tcPr>
            <w:tcW w:w="660" w:type="dxa"/>
            <w:vAlign w:val="bottom"/>
            <w:tcBorders>
              <w:bottom w:val="single" w:sz="8" w:color="auto"/>
            </w:tcBorders>
            <w:gridSpan w:val="2"/>
          </w:tcPr>
          <w:p>
            <w:pPr>
              <w:jc w:val="right"/>
              <w:spacing w:after="0" w:line="178" w:lineRule="exact"/>
              <w:rPr>
                <w:sz w:val="20"/>
                <w:szCs w:val="20"/>
                <w:color w:val="auto"/>
              </w:rPr>
            </w:pPr>
            <w:r>
              <w:rPr>
                <w:rFonts w:ascii="Arial" w:cs="Arial" w:eastAsia="Arial" w:hAnsi="Arial"/>
                <w:sz w:val="16"/>
                <w:szCs w:val="16"/>
                <w:color w:val="auto"/>
              </w:rPr>
              <w:t>57.3%</w:t>
            </w:r>
          </w:p>
        </w:tc>
        <w:tc>
          <w:tcPr>
            <w:tcW w:w="680" w:type="dxa"/>
            <w:vAlign w:val="bottom"/>
            <w:tcBorders>
              <w:bottom w:val="single" w:sz="8" w:color="auto"/>
            </w:tcBorders>
            <w:gridSpan w:val="3"/>
          </w:tcPr>
          <w:p>
            <w:pPr>
              <w:jc w:val="right"/>
              <w:spacing w:after="0" w:line="178" w:lineRule="exact"/>
              <w:rPr>
                <w:sz w:val="20"/>
                <w:szCs w:val="20"/>
                <w:color w:val="auto"/>
              </w:rPr>
            </w:pPr>
            <w:r>
              <w:rPr>
                <w:rFonts w:ascii="Arial" w:cs="Arial" w:eastAsia="Arial" w:hAnsi="Arial"/>
                <w:sz w:val="16"/>
                <w:szCs w:val="16"/>
                <w:color w:val="auto"/>
              </w:rPr>
              <w:t>76.4%</w:t>
            </w:r>
          </w:p>
        </w:tc>
        <w:tc>
          <w:tcPr>
            <w:tcW w:w="480" w:type="dxa"/>
            <w:vAlign w:val="bottom"/>
            <w:tcBorders>
              <w:bottom w:val="single" w:sz="8" w:color="auto"/>
              <w:right w:val="single" w:sz="8" w:color="auto"/>
            </w:tcBorders>
          </w:tcPr>
          <w:p>
            <w:pPr>
              <w:jc w:val="right"/>
              <w:spacing w:after="0" w:line="178" w:lineRule="exact"/>
              <w:rPr>
                <w:sz w:val="20"/>
                <w:szCs w:val="20"/>
                <w:color w:val="auto"/>
              </w:rPr>
            </w:pPr>
            <w:r>
              <w:rPr>
                <w:rFonts w:ascii="Arial" w:cs="Arial" w:eastAsia="Arial" w:hAnsi="Arial"/>
                <w:sz w:val="16"/>
                <w:szCs w:val="16"/>
                <w:color w:val="auto"/>
              </w:rPr>
              <w:t>7.7%</w:t>
            </w:r>
          </w:p>
        </w:tc>
        <w:tc>
          <w:tcPr>
            <w:tcW w:w="680" w:type="dxa"/>
            <w:vAlign w:val="bottom"/>
            <w:tcBorders>
              <w:bottom w:val="single" w:sz="8" w:color="auto"/>
            </w:tcBorders>
            <w:gridSpan w:val="3"/>
          </w:tcPr>
          <w:p>
            <w:pPr>
              <w:jc w:val="right"/>
              <w:ind w:right="20"/>
              <w:spacing w:after="0" w:line="178" w:lineRule="exact"/>
              <w:rPr>
                <w:sz w:val="20"/>
                <w:szCs w:val="20"/>
                <w:color w:val="auto"/>
              </w:rPr>
            </w:pPr>
            <w:r>
              <w:rPr>
                <w:rFonts w:ascii="Arial" w:cs="Arial" w:eastAsia="Arial" w:hAnsi="Arial"/>
                <w:sz w:val="16"/>
                <w:szCs w:val="16"/>
                <w:color w:val="auto"/>
              </w:rPr>
              <w:t>57.7%</w:t>
            </w:r>
          </w:p>
        </w:tc>
        <w:tc>
          <w:tcPr>
            <w:tcW w:w="700" w:type="dxa"/>
            <w:vAlign w:val="bottom"/>
            <w:tcBorders>
              <w:bottom w:val="single" w:sz="8" w:color="auto"/>
            </w:tcBorders>
            <w:gridSpan w:val="2"/>
          </w:tcPr>
          <w:p>
            <w:pPr>
              <w:jc w:val="right"/>
              <w:spacing w:after="0" w:line="178" w:lineRule="exact"/>
              <w:rPr>
                <w:sz w:val="20"/>
                <w:szCs w:val="20"/>
                <w:color w:val="auto"/>
              </w:rPr>
            </w:pPr>
            <w:r>
              <w:rPr>
                <w:rFonts w:ascii="Arial" w:cs="Arial" w:eastAsia="Arial" w:hAnsi="Arial"/>
                <w:sz w:val="16"/>
                <w:szCs w:val="16"/>
                <w:color w:val="auto"/>
              </w:rPr>
              <w:t>76.8%</w:t>
            </w:r>
          </w:p>
        </w:tc>
        <w:tc>
          <w:tcPr>
            <w:tcW w:w="460" w:type="dxa"/>
            <w:vAlign w:val="bottom"/>
            <w:tcBorders>
              <w:bottom w:val="single" w:sz="8" w:color="auto"/>
              <w:right w:val="single" w:sz="8" w:color="auto"/>
            </w:tcBorders>
            <w:gridSpan w:val="2"/>
          </w:tcPr>
          <w:p>
            <w:pPr>
              <w:jc w:val="right"/>
              <w:ind w:right="20"/>
              <w:spacing w:after="0" w:line="178" w:lineRule="exact"/>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178"/>
        </w:trPr>
        <w:tc>
          <w:tcPr>
            <w:tcW w:w="2180" w:type="dxa"/>
            <w:vAlign w:val="bottom"/>
            <w:tcBorders>
              <w:left w:val="single" w:sz="8" w:color="auto"/>
              <w:bottom w:val="single" w:sz="8" w:color="auto"/>
              <w:right w:val="single" w:sz="8" w:color="auto"/>
            </w:tcBorders>
            <w:gridSpan w:val="3"/>
          </w:tcPr>
          <w:p>
            <w:pPr>
              <w:ind w:left="20"/>
              <w:spacing w:after="0" w:line="178" w:lineRule="exact"/>
              <w:rPr>
                <w:sz w:val="20"/>
                <w:szCs w:val="20"/>
                <w:color w:val="auto"/>
              </w:rPr>
            </w:pPr>
            <w:r>
              <w:rPr>
                <w:rFonts w:ascii="Arial" w:cs="Arial" w:eastAsia="Arial" w:hAnsi="Arial"/>
                <w:sz w:val="16"/>
                <w:szCs w:val="16"/>
                <w:color w:val="auto"/>
              </w:rPr>
              <w:t>NIM (FC)</w:t>
            </w:r>
          </w:p>
        </w:tc>
        <w:tc>
          <w:tcPr>
            <w:tcW w:w="66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42.9%</w:t>
            </w:r>
          </w:p>
        </w:tc>
        <w:tc>
          <w:tcPr>
            <w:tcW w:w="680" w:type="dxa"/>
            <w:vAlign w:val="bottom"/>
            <w:tcBorders>
              <w:bottom w:val="single" w:sz="8" w:color="auto"/>
            </w:tcBorders>
            <w:gridSpan w:val="2"/>
          </w:tcPr>
          <w:p>
            <w:pPr>
              <w:jc w:val="right"/>
              <w:spacing w:after="0" w:line="178" w:lineRule="exact"/>
              <w:rPr>
                <w:sz w:val="20"/>
                <w:szCs w:val="20"/>
                <w:color w:val="auto"/>
              </w:rPr>
            </w:pPr>
            <w:r>
              <w:rPr>
                <w:rFonts w:ascii="Arial" w:cs="Arial" w:eastAsia="Arial" w:hAnsi="Arial"/>
                <w:sz w:val="16"/>
                <w:szCs w:val="16"/>
                <w:color w:val="auto"/>
              </w:rPr>
              <w:t>19.3%</w:t>
            </w:r>
          </w:p>
        </w:tc>
        <w:tc>
          <w:tcPr>
            <w:tcW w:w="460" w:type="dxa"/>
            <w:vAlign w:val="bottom"/>
            <w:tcBorders>
              <w:bottom w:val="single" w:sz="8" w:color="auto"/>
              <w:right w:val="single" w:sz="8" w:color="auto"/>
            </w:tcBorders>
          </w:tcPr>
          <w:p>
            <w:pPr>
              <w:jc w:val="right"/>
              <w:spacing w:after="0" w:line="178" w:lineRule="exact"/>
              <w:rPr>
                <w:sz w:val="20"/>
                <w:szCs w:val="20"/>
                <w:color w:val="auto"/>
              </w:rPr>
            </w:pPr>
            <w:r>
              <w:rPr>
                <w:rFonts w:ascii="Arial" w:cs="Arial" w:eastAsia="Arial" w:hAnsi="Arial"/>
                <w:sz w:val="16"/>
                <w:szCs w:val="16"/>
                <w:color w:val="auto"/>
              </w:rPr>
              <w:t>2.3%</w:t>
            </w:r>
          </w:p>
        </w:tc>
        <w:tc>
          <w:tcPr>
            <w:tcW w:w="660" w:type="dxa"/>
            <w:vAlign w:val="bottom"/>
            <w:tcBorders>
              <w:bottom w:val="single" w:sz="8" w:color="auto"/>
            </w:tcBorders>
            <w:gridSpan w:val="2"/>
          </w:tcPr>
          <w:p>
            <w:pPr>
              <w:jc w:val="right"/>
              <w:spacing w:after="0" w:line="178" w:lineRule="exact"/>
              <w:rPr>
                <w:sz w:val="20"/>
                <w:szCs w:val="20"/>
                <w:color w:val="auto"/>
              </w:rPr>
            </w:pPr>
            <w:r>
              <w:rPr>
                <w:rFonts w:ascii="Arial" w:cs="Arial" w:eastAsia="Arial" w:hAnsi="Arial"/>
                <w:sz w:val="16"/>
                <w:szCs w:val="16"/>
                <w:color w:val="auto"/>
              </w:rPr>
              <w:t>42.7%</w:t>
            </w:r>
          </w:p>
        </w:tc>
        <w:tc>
          <w:tcPr>
            <w:tcW w:w="680" w:type="dxa"/>
            <w:vAlign w:val="bottom"/>
            <w:tcBorders>
              <w:bottom w:val="single" w:sz="8" w:color="auto"/>
            </w:tcBorders>
            <w:gridSpan w:val="3"/>
          </w:tcPr>
          <w:p>
            <w:pPr>
              <w:jc w:val="right"/>
              <w:spacing w:after="0" w:line="178" w:lineRule="exact"/>
              <w:rPr>
                <w:sz w:val="20"/>
                <w:szCs w:val="20"/>
                <w:color w:val="auto"/>
              </w:rPr>
            </w:pPr>
            <w:r>
              <w:rPr>
                <w:rFonts w:ascii="Arial" w:cs="Arial" w:eastAsia="Arial" w:hAnsi="Arial"/>
                <w:sz w:val="16"/>
                <w:szCs w:val="16"/>
                <w:color w:val="auto"/>
              </w:rPr>
              <w:t>23.6%</w:t>
            </w:r>
          </w:p>
        </w:tc>
        <w:tc>
          <w:tcPr>
            <w:tcW w:w="480" w:type="dxa"/>
            <w:vAlign w:val="bottom"/>
            <w:tcBorders>
              <w:bottom w:val="single" w:sz="8" w:color="auto"/>
              <w:right w:val="single" w:sz="8" w:color="auto"/>
            </w:tcBorders>
          </w:tcPr>
          <w:p>
            <w:pPr>
              <w:jc w:val="right"/>
              <w:spacing w:after="0" w:line="178" w:lineRule="exact"/>
              <w:rPr>
                <w:sz w:val="20"/>
                <w:szCs w:val="20"/>
                <w:color w:val="auto"/>
              </w:rPr>
            </w:pPr>
            <w:r>
              <w:rPr>
                <w:rFonts w:ascii="Arial" w:cs="Arial" w:eastAsia="Arial" w:hAnsi="Arial"/>
                <w:sz w:val="16"/>
                <w:szCs w:val="16"/>
                <w:color w:val="auto"/>
              </w:rPr>
              <w:t>3.2%</w:t>
            </w:r>
          </w:p>
        </w:tc>
        <w:tc>
          <w:tcPr>
            <w:tcW w:w="680" w:type="dxa"/>
            <w:vAlign w:val="bottom"/>
            <w:tcBorders>
              <w:bottom w:val="single" w:sz="8" w:color="auto"/>
            </w:tcBorders>
            <w:gridSpan w:val="3"/>
          </w:tcPr>
          <w:p>
            <w:pPr>
              <w:jc w:val="right"/>
              <w:ind w:right="20"/>
              <w:spacing w:after="0" w:line="178" w:lineRule="exact"/>
              <w:rPr>
                <w:sz w:val="20"/>
                <w:szCs w:val="20"/>
                <w:color w:val="auto"/>
              </w:rPr>
            </w:pPr>
            <w:r>
              <w:rPr>
                <w:rFonts w:ascii="Arial" w:cs="Arial" w:eastAsia="Arial" w:hAnsi="Arial"/>
                <w:sz w:val="16"/>
                <w:szCs w:val="16"/>
                <w:color w:val="auto"/>
              </w:rPr>
              <w:t>42.3%</w:t>
            </w:r>
          </w:p>
        </w:tc>
        <w:tc>
          <w:tcPr>
            <w:tcW w:w="700" w:type="dxa"/>
            <w:vAlign w:val="bottom"/>
            <w:tcBorders>
              <w:bottom w:val="single" w:sz="8" w:color="auto"/>
            </w:tcBorders>
            <w:gridSpan w:val="2"/>
          </w:tcPr>
          <w:p>
            <w:pPr>
              <w:jc w:val="right"/>
              <w:spacing w:after="0" w:line="178" w:lineRule="exact"/>
              <w:rPr>
                <w:sz w:val="20"/>
                <w:szCs w:val="20"/>
                <w:color w:val="auto"/>
              </w:rPr>
            </w:pPr>
            <w:r>
              <w:rPr>
                <w:rFonts w:ascii="Arial" w:cs="Arial" w:eastAsia="Arial" w:hAnsi="Arial"/>
                <w:sz w:val="16"/>
                <w:szCs w:val="16"/>
                <w:color w:val="auto"/>
              </w:rPr>
              <w:t>23.2%</w:t>
            </w:r>
          </w:p>
        </w:tc>
        <w:tc>
          <w:tcPr>
            <w:tcW w:w="460" w:type="dxa"/>
            <w:vAlign w:val="bottom"/>
            <w:tcBorders>
              <w:bottom w:val="single" w:sz="8" w:color="auto"/>
              <w:right w:val="single" w:sz="8" w:color="auto"/>
            </w:tcBorders>
            <w:gridSpan w:val="2"/>
          </w:tcPr>
          <w:p>
            <w:pPr>
              <w:jc w:val="right"/>
              <w:ind w:right="20"/>
              <w:spacing w:after="0" w:line="178" w:lineRule="exact"/>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2935605</wp:posOffset>
            </wp:positionH>
            <wp:positionV relativeFrom="paragraph">
              <wp:posOffset>-1608455</wp:posOffset>
            </wp:positionV>
            <wp:extent cx="1899920" cy="2355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899920" cy="2355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78"/>
        </w:trPr>
        <w:tc>
          <w:tcPr>
            <w:tcW w:w="60" w:type="dxa"/>
            <w:vAlign w:val="bottom"/>
            <w:tcBorders>
              <w:right w:val="single" w:sz="8" w:color="auto"/>
            </w:tcBorders>
          </w:tcPr>
          <w:p>
            <w:pPr>
              <w:spacing w:after="0"/>
              <w:rPr>
                <w:sz w:val="15"/>
                <w:szCs w:val="15"/>
                <w:color w:val="auto"/>
              </w:rPr>
            </w:pPr>
          </w:p>
        </w:tc>
        <w:tc>
          <w:tcPr>
            <w:tcW w:w="1340" w:type="dxa"/>
            <w:vAlign w:val="bottom"/>
            <w:tcBorders>
              <w:top w:val="single" w:sz="8" w:color="auto"/>
              <w:bottom w:val="single" w:sz="8" w:color="2AD2C9"/>
            </w:tcBorders>
            <w:gridSpan w:val="3"/>
            <w:shd w:val="clear" w:color="auto" w:fill="2AD2C9"/>
          </w:tcPr>
          <w:p>
            <w:pPr>
              <w:jc w:val="center"/>
              <w:ind w:left="338"/>
              <w:spacing w:after="0" w:line="177" w:lineRule="exact"/>
              <w:rPr>
                <w:sz w:val="20"/>
                <w:szCs w:val="20"/>
                <w:color w:val="auto"/>
              </w:rPr>
            </w:pPr>
            <w:r>
              <w:rPr>
                <w:rFonts w:ascii="Arial" w:cs="Arial" w:eastAsia="Arial" w:hAnsi="Arial"/>
                <w:sz w:val="16"/>
                <w:szCs w:val="16"/>
                <w:b w:val="1"/>
                <w:bCs w:val="1"/>
                <w:color w:val="FFFFFF"/>
              </w:rPr>
              <w:t>Sep 22</w:t>
            </w:r>
          </w:p>
        </w:tc>
        <w:tc>
          <w:tcPr>
            <w:tcW w:w="440" w:type="dxa"/>
            <w:vAlign w:val="bottom"/>
            <w:tcBorders>
              <w:top w:val="single" w:sz="8" w:color="auto"/>
              <w:bottom w:val="single" w:sz="8" w:color="2AD2C9"/>
              <w:right w:val="single" w:sz="8" w:color="auto"/>
            </w:tcBorders>
            <w:shd w:val="clear" w:color="auto" w:fill="2AD2C9"/>
          </w:tcPr>
          <w:p>
            <w:pPr>
              <w:spacing w:after="0"/>
              <w:rPr>
                <w:sz w:val="15"/>
                <w:szCs w:val="15"/>
                <w:color w:val="auto"/>
              </w:rPr>
            </w:pPr>
          </w:p>
        </w:tc>
        <w:tc>
          <w:tcPr>
            <w:tcW w:w="1340" w:type="dxa"/>
            <w:vAlign w:val="bottom"/>
            <w:tcBorders>
              <w:top w:val="single" w:sz="8" w:color="auto"/>
              <w:bottom w:val="single" w:sz="8" w:color="2AD2C9"/>
            </w:tcBorders>
            <w:gridSpan w:val="3"/>
            <w:shd w:val="clear" w:color="auto" w:fill="2AD2C9"/>
          </w:tcPr>
          <w:p>
            <w:pPr>
              <w:jc w:val="right"/>
              <w:ind w:right="138"/>
              <w:spacing w:after="0" w:line="177" w:lineRule="exact"/>
              <w:rPr>
                <w:sz w:val="20"/>
                <w:szCs w:val="20"/>
                <w:color w:val="auto"/>
              </w:rPr>
            </w:pPr>
            <w:r>
              <w:rPr>
                <w:rFonts w:ascii="Arial" w:cs="Arial" w:eastAsia="Arial" w:hAnsi="Arial"/>
                <w:sz w:val="16"/>
                <w:szCs w:val="16"/>
                <w:b w:val="1"/>
                <w:bCs w:val="1"/>
                <w:color w:val="FFFFFF"/>
              </w:rPr>
              <w:t>Sep 23</w:t>
            </w:r>
          </w:p>
        </w:tc>
        <w:tc>
          <w:tcPr>
            <w:tcW w:w="380" w:type="dxa"/>
            <w:vAlign w:val="bottom"/>
            <w:tcBorders>
              <w:top w:val="single" w:sz="8" w:color="auto"/>
              <w:bottom w:val="single" w:sz="8" w:color="2AD2C9"/>
            </w:tcBorders>
            <w:shd w:val="clear" w:color="auto" w:fill="2AD2C9"/>
          </w:tcPr>
          <w:p>
            <w:pPr>
              <w:spacing w:after="0"/>
              <w:rPr>
                <w:sz w:val="15"/>
                <w:szCs w:val="15"/>
                <w:color w:val="auto"/>
              </w:rPr>
            </w:pPr>
          </w:p>
        </w:tc>
        <w:tc>
          <w:tcPr>
            <w:tcW w:w="120" w:type="dxa"/>
            <w:vAlign w:val="bottom"/>
            <w:tcBorders>
              <w:left w:val="single" w:sz="8" w:color="auto"/>
            </w:tcBorders>
          </w:tcPr>
          <w:p>
            <w:pPr>
              <w:spacing w:after="0"/>
              <w:rPr>
                <w:sz w:val="15"/>
                <w:szCs w:val="15"/>
                <w:color w:val="auto"/>
              </w:rPr>
            </w:pPr>
          </w:p>
        </w:tc>
      </w:tr>
      <w:tr>
        <w:trPr>
          <w:trHeight w:val="165"/>
        </w:trPr>
        <w:tc>
          <w:tcPr>
            <w:tcW w:w="60" w:type="dxa"/>
            <w:vAlign w:val="bottom"/>
            <w:tcBorders>
              <w:right w:val="single" w:sz="8" w:color="auto"/>
            </w:tcBorders>
          </w:tcPr>
          <w:p>
            <w:pPr>
              <w:spacing w:after="0"/>
              <w:rPr>
                <w:sz w:val="14"/>
                <w:szCs w:val="14"/>
                <w:color w:val="auto"/>
              </w:rPr>
            </w:pPr>
          </w:p>
        </w:tc>
        <w:tc>
          <w:tcPr>
            <w:tcW w:w="720" w:type="dxa"/>
            <w:vAlign w:val="bottom"/>
            <w:shd w:val="clear" w:color="auto" w:fill="2AD2C9"/>
          </w:tcPr>
          <w:p>
            <w:pPr>
              <w:spacing w:after="0" w:line="165" w:lineRule="exact"/>
              <w:rPr>
                <w:sz w:val="20"/>
                <w:szCs w:val="20"/>
                <w:color w:val="auto"/>
              </w:rPr>
            </w:pPr>
            <w:r>
              <w:rPr>
                <w:rFonts w:ascii="Arial" w:cs="Arial" w:eastAsia="Arial" w:hAnsi="Arial"/>
                <w:sz w:val="16"/>
                <w:szCs w:val="16"/>
                <w:b w:val="1"/>
                <w:bCs w:val="1"/>
                <w:color w:val="FFFFFF"/>
              </w:rPr>
              <w:t>Average</w:t>
            </w:r>
          </w:p>
        </w:tc>
        <w:tc>
          <w:tcPr>
            <w:tcW w:w="520" w:type="dxa"/>
            <w:vAlign w:val="bottom"/>
            <w:shd w:val="clear" w:color="auto" w:fill="2AD2C9"/>
          </w:tcPr>
          <w:p>
            <w:pPr>
              <w:spacing w:after="0"/>
              <w:rPr>
                <w:sz w:val="14"/>
                <w:szCs w:val="14"/>
                <w:color w:val="auto"/>
              </w:rPr>
            </w:pPr>
          </w:p>
        </w:tc>
        <w:tc>
          <w:tcPr>
            <w:tcW w:w="100" w:type="dxa"/>
            <w:vAlign w:val="bottom"/>
            <w:shd w:val="clear" w:color="auto" w:fill="2AD2C9"/>
          </w:tcPr>
          <w:p>
            <w:pPr>
              <w:spacing w:after="0"/>
              <w:rPr>
                <w:sz w:val="14"/>
                <w:szCs w:val="14"/>
                <w:color w:val="auto"/>
              </w:rPr>
            </w:pPr>
          </w:p>
        </w:tc>
        <w:tc>
          <w:tcPr>
            <w:tcW w:w="440" w:type="dxa"/>
            <w:vAlign w:val="bottom"/>
            <w:tcBorders>
              <w:right w:val="single" w:sz="8" w:color="auto"/>
            </w:tcBorders>
            <w:shd w:val="clear" w:color="auto" w:fill="2AD2C9"/>
          </w:tcPr>
          <w:p>
            <w:pPr>
              <w:spacing w:after="0"/>
              <w:rPr>
                <w:sz w:val="14"/>
                <w:szCs w:val="14"/>
                <w:color w:val="auto"/>
              </w:rPr>
            </w:pPr>
          </w:p>
        </w:tc>
        <w:tc>
          <w:tcPr>
            <w:tcW w:w="660" w:type="dxa"/>
            <w:vAlign w:val="bottom"/>
            <w:shd w:val="clear" w:color="auto" w:fill="2AD2C9"/>
          </w:tcPr>
          <w:p>
            <w:pPr>
              <w:spacing w:after="0" w:line="165" w:lineRule="exact"/>
              <w:rPr>
                <w:sz w:val="20"/>
                <w:szCs w:val="20"/>
                <w:color w:val="auto"/>
              </w:rPr>
            </w:pPr>
            <w:r>
              <w:rPr>
                <w:rFonts w:ascii="Arial" w:cs="Arial" w:eastAsia="Arial" w:hAnsi="Arial"/>
                <w:sz w:val="16"/>
                <w:szCs w:val="16"/>
                <w:b w:val="1"/>
                <w:bCs w:val="1"/>
                <w:color w:val="FFFFFF"/>
              </w:rPr>
              <w:t>Average</w:t>
            </w:r>
          </w:p>
        </w:tc>
        <w:tc>
          <w:tcPr>
            <w:tcW w:w="40" w:type="dxa"/>
            <w:vAlign w:val="bottom"/>
            <w:shd w:val="clear" w:color="auto" w:fill="2AD2C9"/>
          </w:tcPr>
          <w:p>
            <w:pPr>
              <w:spacing w:after="0"/>
              <w:rPr>
                <w:sz w:val="14"/>
                <w:szCs w:val="14"/>
                <w:color w:val="auto"/>
              </w:rPr>
            </w:pPr>
          </w:p>
        </w:tc>
        <w:tc>
          <w:tcPr>
            <w:tcW w:w="640" w:type="dxa"/>
            <w:vAlign w:val="bottom"/>
            <w:shd w:val="clear" w:color="auto" w:fill="2AD2C9"/>
          </w:tcPr>
          <w:p>
            <w:pPr>
              <w:spacing w:after="0"/>
              <w:rPr>
                <w:sz w:val="14"/>
                <w:szCs w:val="14"/>
                <w:color w:val="auto"/>
              </w:rPr>
            </w:pPr>
          </w:p>
        </w:tc>
        <w:tc>
          <w:tcPr>
            <w:tcW w:w="380" w:type="dxa"/>
            <w:vAlign w:val="bottom"/>
            <w:shd w:val="clear" w:color="auto" w:fill="2AD2C9"/>
          </w:tcPr>
          <w:p>
            <w:pPr>
              <w:spacing w:after="0"/>
              <w:rPr>
                <w:sz w:val="14"/>
                <w:szCs w:val="14"/>
                <w:color w:val="auto"/>
              </w:rPr>
            </w:pPr>
          </w:p>
        </w:tc>
        <w:tc>
          <w:tcPr>
            <w:tcW w:w="120" w:type="dxa"/>
            <w:vAlign w:val="bottom"/>
          </w:tcPr>
          <w:p>
            <w:pPr>
              <w:spacing w:after="0"/>
              <w:rPr>
                <w:sz w:val="14"/>
                <w:szCs w:val="14"/>
                <w:color w:val="auto"/>
              </w:rPr>
            </w:pPr>
          </w:p>
        </w:tc>
      </w:tr>
      <w:tr>
        <w:trPr>
          <w:trHeight w:val="206"/>
        </w:trPr>
        <w:tc>
          <w:tcPr>
            <w:tcW w:w="60" w:type="dxa"/>
            <w:vAlign w:val="bottom"/>
            <w:tcBorders>
              <w:right w:val="single" w:sz="8" w:color="auto"/>
            </w:tcBorders>
          </w:tcPr>
          <w:p>
            <w:pPr>
              <w:spacing w:after="0"/>
              <w:rPr>
                <w:sz w:val="17"/>
                <w:szCs w:val="17"/>
                <w:color w:val="auto"/>
              </w:rPr>
            </w:pPr>
          </w:p>
        </w:tc>
        <w:tc>
          <w:tcPr>
            <w:tcW w:w="1240" w:type="dxa"/>
            <w:vAlign w:val="bottom"/>
            <w:tcBorders>
              <w:bottom w:val="single" w:sz="8" w:color="auto"/>
            </w:tcBorders>
            <w:gridSpan w:val="2"/>
            <w:shd w:val="clear" w:color="auto" w:fill="2AD2C9"/>
          </w:tcPr>
          <w:p>
            <w:pPr>
              <w:spacing w:after="0"/>
              <w:rPr>
                <w:sz w:val="20"/>
                <w:szCs w:val="20"/>
                <w:color w:val="auto"/>
              </w:rPr>
            </w:pPr>
            <w:r>
              <w:rPr>
                <w:rFonts w:ascii="Arial" w:cs="Arial" w:eastAsia="Arial" w:hAnsi="Arial"/>
                <w:sz w:val="16"/>
                <w:szCs w:val="16"/>
                <w:b w:val="1"/>
                <w:bCs w:val="1"/>
                <w:color w:val="FFFFFF"/>
              </w:rPr>
              <w:t>BalanceIncome</w:t>
            </w:r>
          </w:p>
        </w:tc>
        <w:tc>
          <w:tcPr>
            <w:tcW w:w="540" w:type="dxa"/>
            <w:vAlign w:val="bottom"/>
            <w:tcBorders>
              <w:bottom w:val="single" w:sz="8" w:color="auto"/>
              <w:right w:val="single" w:sz="8" w:color="auto"/>
            </w:tcBorders>
            <w:gridSpan w:val="2"/>
            <w:shd w:val="clear" w:color="auto" w:fill="2AD2C9"/>
          </w:tcPr>
          <w:p>
            <w:pPr>
              <w:jc w:val="right"/>
              <w:spacing w:after="0"/>
              <w:rPr>
                <w:sz w:val="20"/>
                <w:szCs w:val="20"/>
                <w:color w:val="auto"/>
              </w:rPr>
            </w:pPr>
            <w:r>
              <w:rPr>
                <w:rFonts w:ascii="Arial" w:cs="Arial" w:eastAsia="Arial" w:hAnsi="Arial"/>
                <w:sz w:val="16"/>
                <w:szCs w:val="16"/>
                <w:b w:val="1"/>
                <w:bCs w:val="1"/>
                <w:color w:val="FFFFFF"/>
              </w:rPr>
              <w:t>Yields</w:t>
            </w:r>
          </w:p>
        </w:tc>
        <w:tc>
          <w:tcPr>
            <w:tcW w:w="660" w:type="dxa"/>
            <w:vAlign w:val="bottom"/>
            <w:tcBorders>
              <w:bottom w:val="single" w:sz="8" w:color="auto"/>
            </w:tcBorders>
            <w:shd w:val="clear" w:color="auto" w:fill="2AD2C9"/>
          </w:tcPr>
          <w:p>
            <w:pPr>
              <w:spacing w:after="0"/>
              <w:rPr>
                <w:sz w:val="20"/>
                <w:szCs w:val="20"/>
                <w:color w:val="auto"/>
              </w:rPr>
            </w:pPr>
            <w:r>
              <w:rPr>
                <w:rFonts w:ascii="Arial" w:cs="Arial" w:eastAsia="Arial" w:hAnsi="Arial"/>
                <w:sz w:val="16"/>
                <w:szCs w:val="16"/>
                <w:b w:val="1"/>
                <w:bCs w:val="1"/>
                <w:color w:val="FFFFFF"/>
                <w:shd w:val="clear" w:color="auto" w:fill="2AD2C9"/>
              </w:rPr>
              <w:t>Balance</w:t>
            </w:r>
          </w:p>
        </w:tc>
        <w:tc>
          <w:tcPr>
            <w:tcW w:w="1060" w:type="dxa"/>
            <w:vAlign w:val="bottom"/>
            <w:tcBorders>
              <w:bottom w:val="single" w:sz="8" w:color="auto"/>
            </w:tcBorders>
            <w:gridSpan w:val="3"/>
            <w:shd w:val="clear" w:color="auto" w:fill="2AD2C9"/>
          </w:tcPr>
          <w:p>
            <w:pPr>
              <w:jc w:val="right"/>
              <w:spacing w:after="0"/>
              <w:rPr>
                <w:sz w:val="20"/>
                <w:szCs w:val="20"/>
                <w:color w:val="auto"/>
              </w:rPr>
            </w:pPr>
            <w:r>
              <w:rPr>
                <w:rFonts w:ascii="Arial" w:cs="Arial" w:eastAsia="Arial" w:hAnsi="Arial"/>
                <w:sz w:val="16"/>
                <w:szCs w:val="16"/>
                <w:b w:val="1"/>
                <w:bCs w:val="1"/>
                <w:color w:val="FFFFFF"/>
              </w:rPr>
              <w:t>IncomeYields</w:t>
            </w:r>
          </w:p>
        </w:tc>
        <w:tc>
          <w:tcPr>
            <w:tcW w:w="120" w:type="dxa"/>
            <w:vAlign w:val="bottom"/>
          </w:tcPr>
          <w:p>
            <w:pPr>
              <w:spacing w:after="0"/>
              <w:rPr>
                <w:sz w:val="17"/>
                <w:szCs w:val="17"/>
                <w:color w:val="auto"/>
              </w:rPr>
            </w:pPr>
          </w:p>
        </w:tc>
      </w:tr>
      <w:tr>
        <w:trPr>
          <w:trHeight w:val="165"/>
        </w:trPr>
        <w:tc>
          <w:tcPr>
            <w:tcW w:w="60" w:type="dxa"/>
            <w:vAlign w:val="bottom"/>
            <w:tcBorders>
              <w:right w:val="single" w:sz="8" w:color="auto"/>
            </w:tcBorders>
          </w:tcPr>
          <w:p>
            <w:pPr>
              <w:spacing w:after="0"/>
              <w:rPr>
                <w:sz w:val="14"/>
                <w:szCs w:val="14"/>
                <w:color w:val="auto"/>
              </w:rPr>
            </w:pPr>
          </w:p>
        </w:tc>
        <w:tc>
          <w:tcPr>
            <w:tcW w:w="720" w:type="dxa"/>
            <w:vAlign w:val="bottom"/>
          </w:tcPr>
          <w:p>
            <w:pPr>
              <w:jc w:val="right"/>
              <w:spacing w:after="0" w:line="165" w:lineRule="exact"/>
              <w:rPr>
                <w:sz w:val="20"/>
                <w:szCs w:val="20"/>
                <w:color w:val="auto"/>
              </w:rPr>
            </w:pPr>
            <w:r>
              <w:rPr>
                <w:rFonts w:ascii="Arial" w:cs="Arial" w:eastAsia="Arial" w:hAnsi="Arial"/>
                <w:sz w:val="16"/>
                <w:szCs w:val="16"/>
                <w:color w:val="auto"/>
              </w:rPr>
              <w:t>30,863</w:t>
            </w:r>
          </w:p>
        </w:tc>
        <w:tc>
          <w:tcPr>
            <w:tcW w:w="620" w:type="dxa"/>
            <w:vAlign w:val="bottom"/>
            <w:gridSpan w:val="2"/>
          </w:tcPr>
          <w:p>
            <w:pPr>
              <w:jc w:val="right"/>
              <w:ind w:right="18"/>
              <w:spacing w:after="0" w:line="165" w:lineRule="exact"/>
              <w:rPr>
                <w:sz w:val="20"/>
                <w:szCs w:val="20"/>
                <w:color w:val="auto"/>
              </w:rPr>
            </w:pPr>
            <w:r>
              <w:rPr>
                <w:rFonts w:ascii="Arial" w:cs="Arial" w:eastAsia="Arial" w:hAnsi="Arial"/>
                <w:sz w:val="16"/>
                <w:szCs w:val="16"/>
                <w:color w:val="auto"/>
              </w:rPr>
              <w:t>225</w:t>
            </w:r>
          </w:p>
        </w:tc>
        <w:tc>
          <w:tcPr>
            <w:tcW w:w="440" w:type="dxa"/>
            <w:vAlign w:val="bottom"/>
            <w:tcBorders>
              <w:right w:val="single" w:sz="8" w:color="auto"/>
            </w:tcBorders>
          </w:tcPr>
          <w:p>
            <w:pPr>
              <w:jc w:val="right"/>
              <w:spacing w:after="0" w:line="165" w:lineRule="exact"/>
              <w:rPr>
                <w:sz w:val="20"/>
                <w:szCs w:val="20"/>
                <w:color w:val="auto"/>
              </w:rPr>
            </w:pPr>
            <w:r>
              <w:rPr>
                <w:rFonts w:ascii="Arial" w:cs="Arial" w:eastAsia="Arial" w:hAnsi="Arial"/>
                <w:sz w:val="16"/>
                <w:szCs w:val="16"/>
                <w:color w:val="auto"/>
              </w:rPr>
              <w:t>0.7%</w:t>
            </w:r>
          </w:p>
        </w:tc>
        <w:tc>
          <w:tcPr>
            <w:tcW w:w="660" w:type="dxa"/>
            <w:vAlign w:val="bottom"/>
          </w:tcPr>
          <w:p>
            <w:pPr>
              <w:jc w:val="right"/>
              <w:spacing w:after="0" w:line="165" w:lineRule="exact"/>
              <w:rPr>
                <w:sz w:val="20"/>
                <w:szCs w:val="20"/>
                <w:color w:val="auto"/>
              </w:rPr>
            </w:pPr>
            <w:r>
              <w:rPr>
                <w:rFonts w:ascii="Arial" w:cs="Arial" w:eastAsia="Arial" w:hAnsi="Arial"/>
                <w:sz w:val="16"/>
                <w:szCs w:val="16"/>
                <w:color w:val="auto"/>
              </w:rPr>
              <w:t>25,903</w:t>
            </w:r>
          </w:p>
        </w:tc>
        <w:tc>
          <w:tcPr>
            <w:tcW w:w="40" w:type="dxa"/>
            <w:vAlign w:val="bottom"/>
          </w:tcPr>
          <w:p>
            <w:pPr>
              <w:spacing w:after="0"/>
              <w:rPr>
                <w:sz w:val="14"/>
                <w:szCs w:val="14"/>
                <w:color w:val="auto"/>
              </w:rPr>
            </w:pPr>
          </w:p>
        </w:tc>
        <w:tc>
          <w:tcPr>
            <w:tcW w:w="640" w:type="dxa"/>
            <w:vAlign w:val="bottom"/>
          </w:tcPr>
          <w:p>
            <w:pPr>
              <w:jc w:val="right"/>
              <w:ind w:right="18"/>
              <w:spacing w:after="0" w:line="165" w:lineRule="exact"/>
              <w:rPr>
                <w:sz w:val="20"/>
                <w:szCs w:val="20"/>
                <w:color w:val="auto"/>
              </w:rPr>
            </w:pPr>
            <w:r>
              <w:rPr>
                <w:rFonts w:ascii="Arial" w:cs="Arial" w:eastAsia="Arial" w:hAnsi="Arial"/>
                <w:sz w:val="16"/>
                <w:szCs w:val="16"/>
                <w:color w:val="auto"/>
              </w:rPr>
              <w:t>854</w:t>
            </w:r>
          </w:p>
        </w:tc>
        <w:tc>
          <w:tcPr>
            <w:tcW w:w="380" w:type="dxa"/>
            <w:vAlign w:val="bottom"/>
          </w:tcPr>
          <w:p>
            <w:pPr>
              <w:jc w:val="right"/>
              <w:spacing w:after="0" w:line="165" w:lineRule="exact"/>
              <w:rPr>
                <w:sz w:val="20"/>
                <w:szCs w:val="20"/>
                <w:color w:val="auto"/>
              </w:rPr>
            </w:pPr>
            <w:r>
              <w:rPr>
                <w:rFonts w:ascii="Arial" w:cs="Arial" w:eastAsia="Arial" w:hAnsi="Arial"/>
                <w:sz w:val="16"/>
                <w:szCs w:val="16"/>
                <w:color w:val="auto"/>
                <w:w w:val="98"/>
              </w:rPr>
              <w:t>3.3%</w:t>
            </w:r>
          </w:p>
        </w:tc>
        <w:tc>
          <w:tcPr>
            <w:tcW w:w="120" w:type="dxa"/>
            <w:vAlign w:val="bottom"/>
          </w:tcPr>
          <w:p>
            <w:pPr>
              <w:spacing w:after="0"/>
              <w:rPr>
                <w:sz w:val="14"/>
                <w:szCs w:val="14"/>
                <w:color w:val="auto"/>
              </w:rPr>
            </w:pPr>
          </w:p>
        </w:tc>
      </w:tr>
      <w:tr>
        <w:trPr>
          <w:trHeight w:val="185"/>
        </w:trPr>
        <w:tc>
          <w:tcPr>
            <w:tcW w:w="60" w:type="dxa"/>
            <w:vAlign w:val="bottom"/>
            <w:tcBorders>
              <w:right w:val="single" w:sz="8" w:color="auto"/>
            </w:tcBorders>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1,677</w:t>
            </w:r>
          </w:p>
        </w:tc>
        <w:tc>
          <w:tcPr>
            <w:tcW w:w="620" w:type="dxa"/>
            <w:vAlign w:val="bottom"/>
            <w:gridSpan w:val="2"/>
          </w:tcPr>
          <w:p>
            <w:pPr>
              <w:jc w:val="right"/>
              <w:ind w:right="18"/>
              <w:spacing w:after="0"/>
              <w:rPr>
                <w:sz w:val="20"/>
                <w:szCs w:val="20"/>
                <w:color w:val="auto"/>
              </w:rPr>
            </w:pPr>
            <w:r>
              <w:rPr>
                <w:rFonts w:ascii="Arial" w:cs="Arial" w:eastAsia="Arial" w:hAnsi="Arial"/>
                <w:sz w:val="16"/>
                <w:szCs w:val="16"/>
                <w:color w:val="auto"/>
              </w:rPr>
              <w:t>49</w:t>
            </w:r>
          </w:p>
        </w:tc>
        <w:tc>
          <w:tcPr>
            <w:tcW w:w="4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1,308</w:t>
            </w:r>
          </w:p>
        </w:tc>
        <w:tc>
          <w:tcPr>
            <w:tcW w:w="640" w:type="dxa"/>
            <w:vAlign w:val="bottom"/>
          </w:tcPr>
          <w:p>
            <w:pPr>
              <w:jc w:val="right"/>
              <w:ind w:right="18"/>
              <w:spacing w:after="0"/>
              <w:rPr>
                <w:sz w:val="20"/>
                <w:szCs w:val="20"/>
                <w:color w:val="auto"/>
              </w:rPr>
            </w:pPr>
            <w:r>
              <w:rPr>
                <w:rFonts w:ascii="Arial" w:cs="Arial" w:eastAsia="Arial" w:hAnsi="Arial"/>
                <w:sz w:val="16"/>
                <w:szCs w:val="16"/>
                <w:color w:val="auto"/>
              </w:rPr>
              <w:t>58</w:t>
            </w:r>
          </w:p>
        </w:tc>
        <w:tc>
          <w:tcPr>
            <w:tcW w:w="380" w:type="dxa"/>
            <w:vAlign w:val="bottom"/>
          </w:tcPr>
          <w:p>
            <w:pPr>
              <w:jc w:val="right"/>
              <w:spacing w:after="0"/>
              <w:rPr>
                <w:sz w:val="20"/>
                <w:szCs w:val="20"/>
                <w:color w:val="auto"/>
              </w:rPr>
            </w:pPr>
            <w:r>
              <w:rPr>
                <w:rFonts w:ascii="Arial" w:cs="Arial" w:eastAsia="Arial" w:hAnsi="Arial"/>
                <w:sz w:val="16"/>
                <w:szCs w:val="16"/>
                <w:color w:val="auto"/>
                <w:w w:val="98"/>
              </w:rPr>
              <w:t>4.4%</w:t>
            </w:r>
          </w:p>
        </w:tc>
        <w:tc>
          <w:tcPr>
            <w:tcW w:w="120" w:type="dxa"/>
            <w:vAlign w:val="bottom"/>
            <w:tcBorders>
              <w:left w:val="single" w:sz="8" w:color="auto"/>
            </w:tcBorders>
          </w:tcPr>
          <w:p>
            <w:pPr>
              <w:spacing w:after="0"/>
              <w:rPr>
                <w:sz w:val="16"/>
                <w:szCs w:val="16"/>
                <w:color w:val="auto"/>
              </w:rPr>
            </w:pPr>
          </w:p>
        </w:tc>
      </w:tr>
      <w:tr>
        <w:trPr>
          <w:trHeight w:val="185"/>
        </w:trPr>
        <w:tc>
          <w:tcPr>
            <w:tcW w:w="60" w:type="dxa"/>
            <w:vAlign w:val="bottom"/>
            <w:tcBorders>
              <w:right w:val="single" w:sz="8" w:color="auto"/>
            </w:tcBorders>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47,898</w:t>
            </w:r>
          </w:p>
        </w:tc>
        <w:tc>
          <w:tcPr>
            <w:tcW w:w="620" w:type="dxa"/>
            <w:vAlign w:val="bottom"/>
            <w:gridSpan w:val="2"/>
          </w:tcPr>
          <w:p>
            <w:pPr>
              <w:jc w:val="right"/>
              <w:ind w:right="18"/>
              <w:spacing w:after="0"/>
              <w:rPr>
                <w:sz w:val="20"/>
                <w:szCs w:val="20"/>
                <w:color w:val="auto"/>
              </w:rPr>
            </w:pPr>
            <w:r>
              <w:rPr>
                <w:rFonts w:ascii="Arial" w:cs="Arial" w:eastAsia="Arial" w:hAnsi="Arial"/>
                <w:sz w:val="16"/>
                <w:szCs w:val="16"/>
                <w:color w:val="auto"/>
              </w:rPr>
              <w:t>1,471</w:t>
            </w:r>
          </w:p>
        </w:tc>
        <w:tc>
          <w:tcPr>
            <w:tcW w:w="4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48,274</w:t>
            </w:r>
          </w:p>
        </w:tc>
        <w:tc>
          <w:tcPr>
            <w:tcW w:w="640" w:type="dxa"/>
            <w:vAlign w:val="bottom"/>
          </w:tcPr>
          <w:p>
            <w:pPr>
              <w:jc w:val="right"/>
              <w:ind w:right="18"/>
              <w:spacing w:after="0"/>
              <w:rPr>
                <w:sz w:val="20"/>
                <w:szCs w:val="20"/>
                <w:color w:val="auto"/>
              </w:rPr>
            </w:pPr>
            <w:r>
              <w:rPr>
                <w:rFonts w:ascii="Arial" w:cs="Arial" w:eastAsia="Arial" w:hAnsi="Arial"/>
                <w:sz w:val="16"/>
                <w:szCs w:val="16"/>
                <w:color w:val="auto"/>
              </w:rPr>
              <w:t>1,880</w:t>
            </w:r>
          </w:p>
        </w:tc>
        <w:tc>
          <w:tcPr>
            <w:tcW w:w="380" w:type="dxa"/>
            <w:vAlign w:val="bottom"/>
          </w:tcPr>
          <w:p>
            <w:pPr>
              <w:jc w:val="right"/>
              <w:spacing w:after="0"/>
              <w:rPr>
                <w:sz w:val="20"/>
                <w:szCs w:val="20"/>
                <w:color w:val="auto"/>
              </w:rPr>
            </w:pPr>
            <w:r>
              <w:rPr>
                <w:rFonts w:ascii="Arial" w:cs="Arial" w:eastAsia="Arial" w:hAnsi="Arial"/>
                <w:sz w:val="16"/>
                <w:szCs w:val="16"/>
                <w:color w:val="auto"/>
                <w:w w:val="98"/>
              </w:rPr>
              <w:t>3.9%</w:t>
            </w:r>
          </w:p>
        </w:tc>
        <w:tc>
          <w:tcPr>
            <w:tcW w:w="120" w:type="dxa"/>
            <w:vAlign w:val="bottom"/>
            <w:tcBorders>
              <w:left w:val="single" w:sz="8" w:color="auto"/>
            </w:tcBorders>
          </w:tcPr>
          <w:p>
            <w:pPr>
              <w:spacing w:after="0"/>
              <w:rPr>
                <w:sz w:val="16"/>
                <w:szCs w:val="16"/>
                <w:color w:val="auto"/>
              </w:rPr>
            </w:pPr>
          </w:p>
        </w:tc>
      </w:tr>
      <w:tr>
        <w:trPr>
          <w:trHeight w:val="185"/>
        </w:trPr>
        <w:tc>
          <w:tcPr>
            <w:tcW w:w="60" w:type="dxa"/>
            <w:vAlign w:val="bottom"/>
            <w:tcBorders>
              <w:right w:val="single" w:sz="8" w:color="auto"/>
            </w:tcBorders>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149,495</w:t>
            </w:r>
          </w:p>
        </w:tc>
        <w:tc>
          <w:tcPr>
            <w:tcW w:w="620" w:type="dxa"/>
            <w:vAlign w:val="bottom"/>
            <w:gridSpan w:val="2"/>
          </w:tcPr>
          <w:p>
            <w:pPr>
              <w:jc w:val="right"/>
              <w:ind w:right="18"/>
              <w:spacing w:after="0"/>
              <w:rPr>
                <w:sz w:val="20"/>
                <w:szCs w:val="20"/>
                <w:color w:val="auto"/>
              </w:rPr>
            </w:pPr>
            <w:r>
              <w:rPr>
                <w:rFonts w:ascii="Arial" w:cs="Arial" w:eastAsia="Arial" w:hAnsi="Arial"/>
                <w:sz w:val="16"/>
                <w:szCs w:val="16"/>
                <w:color w:val="auto"/>
              </w:rPr>
              <w:t>8,904</w:t>
            </w:r>
          </w:p>
        </w:tc>
        <w:tc>
          <w:tcPr>
            <w:tcW w:w="4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146,878</w:t>
            </w:r>
          </w:p>
        </w:tc>
        <w:tc>
          <w:tcPr>
            <w:tcW w:w="640" w:type="dxa"/>
            <w:vAlign w:val="bottom"/>
          </w:tcPr>
          <w:p>
            <w:pPr>
              <w:jc w:val="right"/>
              <w:ind w:right="18"/>
              <w:spacing w:after="0"/>
              <w:rPr>
                <w:sz w:val="20"/>
                <w:szCs w:val="20"/>
                <w:color w:val="auto"/>
              </w:rPr>
            </w:pPr>
            <w:r>
              <w:rPr>
                <w:rFonts w:ascii="Arial" w:cs="Arial" w:eastAsia="Arial" w:hAnsi="Arial"/>
                <w:sz w:val="16"/>
                <w:szCs w:val="16"/>
                <w:color w:val="auto"/>
              </w:rPr>
              <w:t>11,137</w:t>
            </w:r>
          </w:p>
        </w:tc>
        <w:tc>
          <w:tcPr>
            <w:tcW w:w="380" w:type="dxa"/>
            <w:vAlign w:val="bottom"/>
          </w:tcPr>
          <w:p>
            <w:pPr>
              <w:jc w:val="right"/>
              <w:spacing w:after="0"/>
              <w:rPr>
                <w:sz w:val="20"/>
                <w:szCs w:val="20"/>
                <w:color w:val="auto"/>
              </w:rPr>
            </w:pPr>
            <w:r>
              <w:rPr>
                <w:rFonts w:ascii="Arial" w:cs="Arial" w:eastAsia="Arial" w:hAnsi="Arial"/>
                <w:sz w:val="16"/>
                <w:szCs w:val="16"/>
                <w:color w:val="auto"/>
                <w:w w:val="98"/>
              </w:rPr>
              <w:t>7.6%</w:t>
            </w:r>
          </w:p>
        </w:tc>
        <w:tc>
          <w:tcPr>
            <w:tcW w:w="120" w:type="dxa"/>
            <w:vAlign w:val="bottom"/>
            <w:tcBorders>
              <w:left w:val="single" w:sz="8" w:color="auto"/>
            </w:tcBorders>
          </w:tcPr>
          <w:p>
            <w:pPr>
              <w:spacing w:after="0"/>
              <w:rPr>
                <w:sz w:val="16"/>
                <w:szCs w:val="16"/>
                <w:color w:val="auto"/>
              </w:rPr>
            </w:pPr>
          </w:p>
        </w:tc>
      </w:tr>
      <w:tr>
        <w:trPr>
          <w:trHeight w:val="185"/>
        </w:trPr>
        <w:tc>
          <w:tcPr>
            <w:tcW w:w="60" w:type="dxa"/>
            <w:vAlign w:val="bottom"/>
            <w:tcBorders>
              <w:right w:val="single" w:sz="8" w:color="auto"/>
            </w:tcBorders>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134,059</w:t>
            </w:r>
          </w:p>
        </w:tc>
        <w:tc>
          <w:tcPr>
            <w:tcW w:w="620" w:type="dxa"/>
            <w:vAlign w:val="bottom"/>
            <w:gridSpan w:val="2"/>
          </w:tcPr>
          <w:p>
            <w:pPr>
              <w:jc w:val="right"/>
              <w:ind w:right="18"/>
              <w:spacing w:after="0"/>
              <w:rPr>
                <w:sz w:val="20"/>
                <w:szCs w:val="20"/>
                <w:color w:val="auto"/>
              </w:rPr>
            </w:pPr>
            <w:r>
              <w:rPr>
                <w:rFonts w:ascii="Arial" w:cs="Arial" w:eastAsia="Arial" w:hAnsi="Arial"/>
                <w:sz w:val="16"/>
                <w:szCs w:val="16"/>
                <w:color w:val="auto"/>
              </w:rPr>
              <w:t>8,725</w:t>
            </w:r>
          </w:p>
        </w:tc>
        <w:tc>
          <w:tcPr>
            <w:tcW w:w="4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140,032</w:t>
            </w:r>
          </w:p>
        </w:tc>
        <w:tc>
          <w:tcPr>
            <w:tcW w:w="640" w:type="dxa"/>
            <w:vAlign w:val="bottom"/>
          </w:tcPr>
          <w:p>
            <w:pPr>
              <w:jc w:val="right"/>
              <w:ind w:right="18"/>
              <w:spacing w:after="0"/>
              <w:rPr>
                <w:sz w:val="20"/>
                <w:szCs w:val="20"/>
                <w:color w:val="auto"/>
              </w:rPr>
            </w:pPr>
            <w:r>
              <w:rPr>
                <w:rFonts w:ascii="Arial" w:cs="Arial" w:eastAsia="Arial" w:hAnsi="Arial"/>
                <w:sz w:val="16"/>
                <w:szCs w:val="16"/>
                <w:color w:val="auto"/>
              </w:rPr>
              <w:t>11,029</w:t>
            </w:r>
          </w:p>
        </w:tc>
        <w:tc>
          <w:tcPr>
            <w:tcW w:w="380" w:type="dxa"/>
            <w:vAlign w:val="bottom"/>
          </w:tcPr>
          <w:p>
            <w:pPr>
              <w:jc w:val="right"/>
              <w:spacing w:after="0"/>
              <w:rPr>
                <w:sz w:val="20"/>
                <w:szCs w:val="20"/>
                <w:color w:val="auto"/>
              </w:rPr>
            </w:pPr>
            <w:r>
              <w:rPr>
                <w:rFonts w:ascii="Arial" w:cs="Arial" w:eastAsia="Arial" w:hAnsi="Arial"/>
                <w:sz w:val="16"/>
                <w:szCs w:val="16"/>
                <w:color w:val="auto"/>
                <w:w w:val="98"/>
              </w:rPr>
              <w:t>7.9%</w:t>
            </w:r>
          </w:p>
        </w:tc>
        <w:tc>
          <w:tcPr>
            <w:tcW w:w="120" w:type="dxa"/>
            <w:vAlign w:val="bottom"/>
            <w:tcBorders>
              <w:left w:val="single" w:sz="8" w:color="auto"/>
            </w:tcBorders>
          </w:tcPr>
          <w:p>
            <w:pPr>
              <w:spacing w:after="0"/>
              <w:rPr>
                <w:sz w:val="16"/>
                <w:szCs w:val="16"/>
                <w:color w:val="auto"/>
              </w:rPr>
            </w:pPr>
          </w:p>
        </w:tc>
      </w:tr>
      <w:tr>
        <w:trPr>
          <w:trHeight w:val="198"/>
        </w:trPr>
        <w:tc>
          <w:tcPr>
            <w:tcW w:w="60" w:type="dxa"/>
            <w:vAlign w:val="bottom"/>
            <w:tcBorders>
              <w:right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15,436</w:t>
            </w:r>
          </w:p>
        </w:tc>
        <w:tc>
          <w:tcPr>
            <w:tcW w:w="620" w:type="dxa"/>
            <w:vAlign w:val="bottom"/>
            <w:tcBorders>
              <w:bottom w:val="single" w:sz="8" w:color="auto"/>
            </w:tcBorders>
            <w:gridSpan w:val="2"/>
          </w:tcPr>
          <w:p>
            <w:pPr>
              <w:jc w:val="right"/>
              <w:ind w:right="18"/>
              <w:spacing w:after="0"/>
              <w:rPr>
                <w:sz w:val="20"/>
                <w:szCs w:val="20"/>
                <w:color w:val="auto"/>
              </w:rPr>
            </w:pPr>
            <w:r>
              <w:rPr>
                <w:rFonts w:ascii="Arial" w:cs="Arial" w:eastAsia="Arial" w:hAnsi="Arial"/>
                <w:sz w:val="16"/>
                <w:szCs w:val="16"/>
                <w:color w:val="auto"/>
              </w:rPr>
              <w:t>179</w:t>
            </w:r>
          </w:p>
        </w:tc>
        <w:tc>
          <w:tcPr>
            <w:tcW w:w="4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6,845</w:t>
            </w:r>
          </w:p>
        </w:tc>
        <w:tc>
          <w:tcPr>
            <w:tcW w:w="6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109</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1.6%</w:t>
            </w:r>
          </w:p>
        </w:tc>
        <w:tc>
          <w:tcPr>
            <w:tcW w:w="120" w:type="dxa"/>
            <w:vAlign w:val="bottom"/>
            <w:tcBorders>
              <w:left w:val="single" w:sz="8" w:color="auto"/>
            </w:tcBorders>
          </w:tcPr>
          <w:p>
            <w:pPr>
              <w:spacing w:after="0"/>
              <w:rPr>
                <w:sz w:val="17"/>
                <w:szCs w:val="17"/>
                <w:color w:val="auto"/>
              </w:rPr>
            </w:pPr>
          </w:p>
        </w:tc>
      </w:tr>
      <w:tr>
        <w:trPr>
          <w:trHeight w:val="178"/>
        </w:trPr>
        <w:tc>
          <w:tcPr>
            <w:tcW w:w="60" w:type="dxa"/>
            <w:vAlign w:val="bottom"/>
            <w:tcBorders>
              <w:right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18"/>
              <w:spacing w:after="0" w:line="178" w:lineRule="exact"/>
              <w:rPr>
                <w:sz w:val="20"/>
                <w:szCs w:val="20"/>
                <w:color w:val="auto"/>
              </w:rPr>
            </w:pPr>
            <w:r>
              <w:rPr>
                <w:rFonts w:ascii="Arial" w:cs="Arial" w:eastAsia="Arial" w:hAnsi="Arial"/>
                <w:sz w:val="16"/>
                <w:szCs w:val="16"/>
                <w:b w:val="1"/>
                <w:bCs w:val="1"/>
                <w:color w:val="auto"/>
              </w:rPr>
              <w:t>229,932 10,649</w:t>
            </w:r>
          </w:p>
        </w:tc>
        <w:tc>
          <w:tcPr>
            <w:tcW w:w="440" w:type="dxa"/>
            <w:vAlign w:val="bottom"/>
            <w:tcBorders>
              <w:bottom w:val="single" w:sz="8" w:color="auto"/>
              <w:right w:val="single" w:sz="8" w:color="auto"/>
            </w:tcBorders>
          </w:tcPr>
          <w:p>
            <w:pPr>
              <w:jc w:val="right"/>
              <w:spacing w:after="0" w:line="178" w:lineRule="exact"/>
              <w:rPr>
                <w:sz w:val="20"/>
                <w:szCs w:val="20"/>
                <w:color w:val="auto"/>
              </w:rPr>
            </w:pPr>
            <w:r>
              <w:rPr>
                <w:rFonts w:ascii="Arial" w:cs="Arial" w:eastAsia="Arial" w:hAnsi="Arial"/>
                <w:sz w:val="16"/>
                <w:szCs w:val="16"/>
                <w:b w:val="1"/>
                <w:bCs w:val="1"/>
                <w:color w:val="auto"/>
              </w:rPr>
              <w:t>4.6%</w:t>
            </w:r>
          </w:p>
        </w:tc>
        <w:tc>
          <w:tcPr>
            <w:tcW w:w="700" w:type="dxa"/>
            <w:vAlign w:val="bottom"/>
            <w:tcBorders>
              <w:bottom w:val="single" w:sz="8" w:color="auto"/>
            </w:tcBorders>
            <w:gridSpan w:val="2"/>
          </w:tcPr>
          <w:p>
            <w:pPr>
              <w:jc w:val="right"/>
              <w:spacing w:after="0" w:line="178" w:lineRule="exact"/>
              <w:rPr>
                <w:sz w:val="20"/>
                <w:szCs w:val="20"/>
                <w:color w:val="auto"/>
              </w:rPr>
            </w:pPr>
            <w:r>
              <w:rPr>
                <w:rFonts w:ascii="Arial" w:cs="Arial" w:eastAsia="Arial" w:hAnsi="Arial"/>
                <w:sz w:val="16"/>
                <w:szCs w:val="16"/>
                <w:b w:val="1"/>
                <w:bCs w:val="1"/>
                <w:color w:val="auto"/>
              </w:rPr>
              <w:t>222,362</w:t>
            </w:r>
          </w:p>
        </w:tc>
        <w:tc>
          <w:tcPr>
            <w:tcW w:w="640" w:type="dxa"/>
            <w:vAlign w:val="bottom"/>
            <w:tcBorders>
              <w:bottom w:val="single" w:sz="8" w:color="auto"/>
            </w:tcBorders>
          </w:tcPr>
          <w:p>
            <w:pPr>
              <w:jc w:val="right"/>
              <w:ind w:right="18"/>
              <w:spacing w:after="0" w:line="178" w:lineRule="exact"/>
              <w:rPr>
                <w:sz w:val="20"/>
                <w:szCs w:val="20"/>
                <w:color w:val="auto"/>
              </w:rPr>
            </w:pPr>
            <w:r>
              <w:rPr>
                <w:rFonts w:ascii="Arial" w:cs="Arial" w:eastAsia="Arial" w:hAnsi="Arial"/>
                <w:sz w:val="16"/>
                <w:szCs w:val="16"/>
                <w:b w:val="1"/>
                <w:bCs w:val="1"/>
                <w:color w:val="auto"/>
              </w:rPr>
              <w:t>13,928</w:t>
            </w:r>
          </w:p>
        </w:tc>
        <w:tc>
          <w:tcPr>
            <w:tcW w:w="38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b w:val="1"/>
                <w:bCs w:val="1"/>
                <w:color w:val="auto"/>
                <w:w w:val="98"/>
              </w:rPr>
              <w:t>6.3%</w:t>
            </w:r>
          </w:p>
        </w:tc>
        <w:tc>
          <w:tcPr>
            <w:tcW w:w="120" w:type="dxa"/>
            <w:vAlign w:val="bottom"/>
            <w:tcBorders>
              <w:left w:val="single" w:sz="8" w:color="auto"/>
            </w:tcBorders>
          </w:tcPr>
          <w:p>
            <w:pPr>
              <w:spacing w:after="0"/>
              <w:rPr>
                <w:sz w:val="15"/>
                <w:szCs w:val="15"/>
                <w:color w:val="auto"/>
              </w:rPr>
            </w:pPr>
          </w:p>
        </w:tc>
      </w:tr>
      <w:tr>
        <w:trPr>
          <w:trHeight w:val="178"/>
        </w:trPr>
        <w:tc>
          <w:tcPr>
            <w:tcW w:w="60" w:type="dxa"/>
            <w:vAlign w:val="bottom"/>
            <w:tcBorders>
              <w:right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56.4%</w:t>
            </w:r>
          </w:p>
        </w:tc>
        <w:tc>
          <w:tcPr>
            <w:tcW w:w="620" w:type="dxa"/>
            <w:vAlign w:val="bottom"/>
            <w:tcBorders>
              <w:bottom w:val="single" w:sz="8" w:color="auto"/>
            </w:tcBorders>
            <w:gridSpan w:val="2"/>
          </w:tcPr>
          <w:p>
            <w:pPr>
              <w:jc w:val="right"/>
              <w:ind w:right="18"/>
              <w:spacing w:after="0" w:line="178" w:lineRule="exact"/>
              <w:rPr>
                <w:sz w:val="20"/>
                <w:szCs w:val="20"/>
                <w:color w:val="auto"/>
              </w:rPr>
            </w:pPr>
            <w:r>
              <w:rPr>
                <w:rFonts w:ascii="Arial" w:cs="Arial" w:eastAsia="Arial" w:hAnsi="Arial"/>
                <w:sz w:val="16"/>
                <w:szCs w:val="16"/>
                <w:color w:val="auto"/>
              </w:rPr>
              <w:t>77.2%</w:t>
            </w:r>
          </w:p>
        </w:tc>
        <w:tc>
          <w:tcPr>
            <w:tcW w:w="440" w:type="dxa"/>
            <w:vAlign w:val="bottom"/>
            <w:tcBorders>
              <w:bottom w:val="single" w:sz="8" w:color="auto"/>
              <w:right w:val="single" w:sz="8" w:color="auto"/>
            </w:tcBorders>
          </w:tcPr>
          <w:p>
            <w:pPr>
              <w:jc w:val="right"/>
              <w:spacing w:after="0" w:line="178" w:lineRule="exact"/>
              <w:rPr>
                <w:sz w:val="20"/>
                <w:szCs w:val="20"/>
                <w:color w:val="auto"/>
              </w:rPr>
            </w:pPr>
            <w:r>
              <w:rPr>
                <w:rFonts w:ascii="Arial" w:cs="Arial" w:eastAsia="Arial" w:hAnsi="Arial"/>
                <w:sz w:val="16"/>
                <w:szCs w:val="16"/>
                <w:color w:val="auto"/>
              </w:rPr>
              <w:t>6.3%</w:t>
            </w:r>
          </w:p>
        </w:tc>
        <w:tc>
          <w:tcPr>
            <w:tcW w:w="700" w:type="dxa"/>
            <w:vAlign w:val="bottom"/>
            <w:tcBorders>
              <w:bottom w:val="single" w:sz="8" w:color="auto"/>
            </w:tcBorders>
            <w:gridSpan w:val="2"/>
          </w:tcPr>
          <w:p>
            <w:pPr>
              <w:jc w:val="right"/>
              <w:spacing w:after="0" w:line="178" w:lineRule="exact"/>
              <w:rPr>
                <w:sz w:val="20"/>
                <w:szCs w:val="20"/>
                <w:color w:val="auto"/>
              </w:rPr>
            </w:pPr>
            <w:r>
              <w:rPr>
                <w:rFonts w:ascii="Arial" w:cs="Arial" w:eastAsia="Arial" w:hAnsi="Arial"/>
                <w:sz w:val="16"/>
                <w:szCs w:val="16"/>
                <w:color w:val="auto"/>
              </w:rPr>
              <w:t>57.2%</w:t>
            </w:r>
          </w:p>
        </w:tc>
        <w:tc>
          <w:tcPr>
            <w:tcW w:w="640" w:type="dxa"/>
            <w:vAlign w:val="bottom"/>
            <w:tcBorders>
              <w:bottom w:val="single" w:sz="8" w:color="auto"/>
            </w:tcBorders>
          </w:tcPr>
          <w:p>
            <w:pPr>
              <w:jc w:val="right"/>
              <w:ind w:right="18"/>
              <w:spacing w:after="0" w:line="178" w:lineRule="exact"/>
              <w:rPr>
                <w:sz w:val="20"/>
                <w:szCs w:val="20"/>
                <w:color w:val="auto"/>
              </w:rPr>
            </w:pPr>
            <w:r>
              <w:rPr>
                <w:rFonts w:ascii="Arial" w:cs="Arial" w:eastAsia="Arial" w:hAnsi="Arial"/>
                <w:sz w:val="16"/>
                <w:szCs w:val="16"/>
                <w:color w:val="auto"/>
              </w:rPr>
              <w:t>71.3%</w:t>
            </w:r>
          </w:p>
        </w:tc>
        <w:tc>
          <w:tcPr>
            <w:tcW w:w="38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w w:val="98"/>
              </w:rPr>
              <w:t>7.8%</w:t>
            </w:r>
          </w:p>
        </w:tc>
        <w:tc>
          <w:tcPr>
            <w:tcW w:w="120" w:type="dxa"/>
            <w:vAlign w:val="bottom"/>
            <w:tcBorders>
              <w:left w:val="single" w:sz="8" w:color="auto"/>
            </w:tcBorders>
          </w:tcPr>
          <w:p>
            <w:pPr>
              <w:spacing w:after="0"/>
              <w:rPr>
                <w:sz w:val="15"/>
                <w:szCs w:val="15"/>
                <w:color w:val="auto"/>
              </w:rPr>
            </w:pPr>
          </w:p>
        </w:tc>
      </w:tr>
      <w:tr>
        <w:trPr>
          <w:trHeight w:val="178"/>
        </w:trPr>
        <w:tc>
          <w:tcPr>
            <w:tcW w:w="60" w:type="dxa"/>
            <w:vAlign w:val="bottom"/>
            <w:tcBorders>
              <w:right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43.6%</w:t>
            </w:r>
          </w:p>
        </w:tc>
        <w:tc>
          <w:tcPr>
            <w:tcW w:w="620" w:type="dxa"/>
            <w:vAlign w:val="bottom"/>
            <w:tcBorders>
              <w:bottom w:val="single" w:sz="8" w:color="auto"/>
            </w:tcBorders>
            <w:gridSpan w:val="2"/>
          </w:tcPr>
          <w:p>
            <w:pPr>
              <w:jc w:val="right"/>
              <w:ind w:right="18"/>
              <w:spacing w:after="0" w:line="178" w:lineRule="exact"/>
              <w:rPr>
                <w:sz w:val="20"/>
                <w:szCs w:val="20"/>
                <w:color w:val="auto"/>
              </w:rPr>
            </w:pPr>
            <w:r>
              <w:rPr>
                <w:rFonts w:ascii="Arial" w:cs="Arial" w:eastAsia="Arial" w:hAnsi="Arial"/>
                <w:sz w:val="16"/>
                <w:szCs w:val="16"/>
                <w:color w:val="auto"/>
              </w:rPr>
              <w:t>22.8%</w:t>
            </w:r>
          </w:p>
        </w:tc>
        <w:tc>
          <w:tcPr>
            <w:tcW w:w="440" w:type="dxa"/>
            <w:vAlign w:val="bottom"/>
            <w:tcBorders>
              <w:bottom w:val="single" w:sz="8" w:color="auto"/>
              <w:right w:val="single" w:sz="8" w:color="auto"/>
            </w:tcBorders>
          </w:tcPr>
          <w:p>
            <w:pPr>
              <w:jc w:val="right"/>
              <w:spacing w:after="0" w:line="178" w:lineRule="exact"/>
              <w:rPr>
                <w:sz w:val="20"/>
                <w:szCs w:val="20"/>
                <w:color w:val="auto"/>
              </w:rPr>
            </w:pPr>
            <w:r>
              <w:rPr>
                <w:rFonts w:ascii="Arial" w:cs="Arial" w:eastAsia="Arial" w:hAnsi="Arial"/>
                <w:sz w:val="16"/>
                <w:szCs w:val="16"/>
                <w:color w:val="auto"/>
              </w:rPr>
              <w:t>2.4%</w:t>
            </w:r>
          </w:p>
        </w:tc>
        <w:tc>
          <w:tcPr>
            <w:tcW w:w="700" w:type="dxa"/>
            <w:vAlign w:val="bottom"/>
            <w:tcBorders>
              <w:bottom w:val="single" w:sz="8" w:color="auto"/>
            </w:tcBorders>
            <w:gridSpan w:val="2"/>
          </w:tcPr>
          <w:p>
            <w:pPr>
              <w:jc w:val="right"/>
              <w:spacing w:after="0" w:line="178" w:lineRule="exact"/>
              <w:rPr>
                <w:sz w:val="20"/>
                <w:szCs w:val="20"/>
                <w:color w:val="auto"/>
              </w:rPr>
            </w:pPr>
            <w:r>
              <w:rPr>
                <w:rFonts w:ascii="Arial" w:cs="Arial" w:eastAsia="Arial" w:hAnsi="Arial"/>
                <w:sz w:val="16"/>
                <w:szCs w:val="16"/>
                <w:color w:val="auto"/>
              </w:rPr>
              <w:t>42.8%</w:t>
            </w:r>
          </w:p>
        </w:tc>
        <w:tc>
          <w:tcPr>
            <w:tcW w:w="640" w:type="dxa"/>
            <w:vAlign w:val="bottom"/>
            <w:tcBorders>
              <w:bottom w:val="single" w:sz="8" w:color="auto"/>
            </w:tcBorders>
          </w:tcPr>
          <w:p>
            <w:pPr>
              <w:jc w:val="right"/>
              <w:ind w:right="18"/>
              <w:spacing w:after="0" w:line="178" w:lineRule="exact"/>
              <w:rPr>
                <w:sz w:val="20"/>
                <w:szCs w:val="20"/>
                <w:color w:val="auto"/>
              </w:rPr>
            </w:pPr>
            <w:r>
              <w:rPr>
                <w:rFonts w:ascii="Arial" w:cs="Arial" w:eastAsia="Arial" w:hAnsi="Arial"/>
                <w:sz w:val="16"/>
                <w:szCs w:val="16"/>
                <w:color w:val="auto"/>
              </w:rPr>
              <w:t>28.7%</w:t>
            </w:r>
          </w:p>
        </w:tc>
        <w:tc>
          <w:tcPr>
            <w:tcW w:w="38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w w:val="98"/>
              </w:rPr>
              <w:t>4.2%</w:t>
            </w:r>
          </w:p>
        </w:tc>
        <w:tc>
          <w:tcPr>
            <w:tcW w:w="120" w:type="dxa"/>
            <w:vAlign w:val="bottom"/>
            <w:tcBorders>
              <w:left w:val="single" w:sz="8" w:color="auto"/>
            </w:tcBorders>
          </w:tcPr>
          <w:p>
            <w:pPr>
              <w:spacing w:after="0"/>
              <w:rPr>
                <w:sz w:val="15"/>
                <w:szCs w:val="15"/>
                <w:color w:val="auto"/>
              </w:rPr>
            </w:pPr>
          </w:p>
        </w:tc>
      </w:tr>
      <w:tr>
        <w:trPr>
          <w:trHeight w:val="178"/>
        </w:trPr>
        <w:tc>
          <w:tcPr>
            <w:tcW w:w="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r>
      <w:tr>
        <w:trPr>
          <w:trHeight w:val="158"/>
        </w:trPr>
        <w:tc>
          <w:tcPr>
            <w:tcW w:w="60" w:type="dxa"/>
            <w:vAlign w:val="bottom"/>
            <w:tcBorders>
              <w:left w:val="single" w:sz="8" w:color="auto"/>
              <w:bottom w:val="single" w:sz="8" w:color="2AD2C9"/>
              <w:right w:val="single" w:sz="8" w:color="2AD2C9"/>
            </w:tcBorders>
            <w:shd w:val="clear" w:color="auto" w:fill="2AD2C9"/>
          </w:tcPr>
          <w:p>
            <w:pPr>
              <w:spacing w:after="0"/>
              <w:rPr>
                <w:sz w:val="13"/>
                <w:szCs w:val="13"/>
                <w:color w:val="auto"/>
              </w:rPr>
            </w:pPr>
          </w:p>
        </w:tc>
        <w:tc>
          <w:tcPr>
            <w:tcW w:w="1340" w:type="dxa"/>
            <w:vAlign w:val="bottom"/>
            <w:tcBorders>
              <w:bottom w:val="single" w:sz="8" w:color="2AD2C9"/>
            </w:tcBorders>
            <w:gridSpan w:val="3"/>
            <w:shd w:val="clear" w:color="auto" w:fill="2AD2C9"/>
          </w:tcPr>
          <w:p>
            <w:pPr>
              <w:jc w:val="center"/>
              <w:ind w:left="298"/>
              <w:spacing w:after="0" w:line="157" w:lineRule="exact"/>
              <w:rPr>
                <w:sz w:val="20"/>
                <w:szCs w:val="20"/>
                <w:color w:val="auto"/>
              </w:rPr>
            </w:pPr>
            <w:r>
              <w:rPr>
                <w:rFonts w:ascii="Arial" w:cs="Arial" w:eastAsia="Arial" w:hAnsi="Arial"/>
                <w:sz w:val="16"/>
                <w:szCs w:val="16"/>
                <w:b w:val="1"/>
                <w:bCs w:val="1"/>
                <w:color w:val="FFFFFF"/>
              </w:rPr>
              <w:t>Sep 22</w:t>
            </w:r>
          </w:p>
        </w:tc>
        <w:tc>
          <w:tcPr>
            <w:tcW w:w="440" w:type="dxa"/>
            <w:vAlign w:val="bottom"/>
            <w:tcBorders>
              <w:bottom w:val="single" w:sz="8" w:color="2AD2C9"/>
              <w:right w:val="single" w:sz="8" w:color="auto"/>
            </w:tcBorders>
            <w:shd w:val="clear" w:color="auto" w:fill="2AD2C9"/>
          </w:tcPr>
          <w:p>
            <w:pPr>
              <w:spacing w:after="0"/>
              <w:rPr>
                <w:sz w:val="13"/>
                <w:szCs w:val="13"/>
                <w:color w:val="auto"/>
              </w:rPr>
            </w:pPr>
          </w:p>
        </w:tc>
        <w:tc>
          <w:tcPr>
            <w:tcW w:w="1340" w:type="dxa"/>
            <w:vAlign w:val="bottom"/>
            <w:tcBorders>
              <w:bottom w:val="single" w:sz="8" w:color="2AD2C9"/>
            </w:tcBorders>
            <w:gridSpan w:val="3"/>
            <w:shd w:val="clear" w:color="auto" w:fill="2AD2C9"/>
          </w:tcPr>
          <w:p>
            <w:pPr>
              <w:jc w:val="right"/>
              <w:ind w:right="78"/>
              <w:spacing w:after="0" w:line="157" w:lineRule="exact"/>
              <w:rPr>
                <w:sz w:val="20"/>
                <w:szCs w:val="20"/>
                <w:color w:val="auto"/>
              </w:rPr>
            </w:pPr>
            <w:r>
              <w:rPr>
                <w:rFonts w:ascii="Arial" w:cs="Arial" w:eastAsia="Arial" w:hAnsi="Arial"/>
                <w:sz w:val="16"/>
                <w:szCs w:val="16"/>
                <w:b w:val="1"/>
                <w:bCs w:val="1"/>
                <w:color w:val="FFFFFF"/>
              </w:rPr>
              <w:t>Sep 23</w:t>
            </w:r>
          </w:p>
        </w:tc>
        <w:tc>
          <w:tcPr>
            <w:tcW w:w="380" w:type="dxa"/>
            <w:vAlign w:val="bottom"/>
            <w:tcBorders>
              <w:bottom w:val="single" w:sz="8" w:color="2AD2C9"/>
            </w:tcBorders>
            <w:shd w:val="clear" w:color="auto" w:fill="2AD2C9"/>
          </w:tcPr>
          <w:p>
            <w:pPr>
              <w:spacing w:after="0"/>
              <w:rPr>
                <w:sz w:val="13"/>
                <w:szCs w:val="13"/>
                <w:color w:val="auto"/>
              </w:rPr>
            </w:pPr>
          </w:p>
        </w:tc>
        <w:tc>
          <w:tcPr>
            <w:tcW w:w="120" w:type="dxa"/>
            <w:vAlign w:val="bottom"/>
            <w:tcBorders>
              <w:left w:val="single" w:sz="8" w:color="2AD2C9"/>
              <w:bottom w:val="single" w:sz="8" w:color="2AD2C9"/>
              <w:right w:val="single" w:sz="8" w:color="auto"/>
            </w:tcBorders>
            <w:shd w:val="clear" w:color="auto" w:fill="2AD2C9"/>
          </w:tcPr>
          <w:p>
            <w:pPr>
              <w:spacing w:after="0"/>
              <w:rPr>
                <w:sz w:val="13"/>
                <w:szCs w:val="13"/>
                <w:color w:val="auto"/>
              </w:rPr>
            </w:pPr>
          </w:p>
        </w:tc>
      </w:tr>
      <w:tr>
        <w:trPr>
          <w:trHeight w:val="165"/>
        </w:trPr>
        <w:tc>
          <w:tcPr>
            <w:tcW w:w="780" w:type="dxa"/>
            <w:vAlign w:val="bottom"/>
            <w:tcBorders>
              <w:left w:val="single" w:sz="8" w:color="auto"/>
              <w:bottom w:val="single" w:sz="8" w:color="2AD2C9"/>
            </w:tcBorders>
            <w:gridSpan w:val="2"/>
            <w:shd w:val="clear" w:color="auto" w:fill="2AD2C9"/>
          </w:tcPr>
          <w:p>
            <w:pPr>
              <w:jc w:val="right"/>
              <w:ind w:right="38"/>
              <w:spacing w:after="0" w:line="165" w:lineRule="exact"/>
              <w:rPr>
                <w:sz w:val="20"/>
                <w:szCs w:val="20"/>
                <w:color w:val="auto"/>
              </w:rPr>
            </w:pPr>
            <w:r>
              <w:rPr>
                <w:rFonts w:ascii="Arial" w:cs="Arial" w:eastAsia="Arial" w:hAnsi="Arial"/>
                <w:sz w:val="16"/>
                <w:szCs w:val="16"/>
                <w:b w:val="1"/>
                <w:bCs w:val="1"/>
                <w:color w:val="FFFFFF"/>
              </w:rPr>
              <w:t>Average</w:t>
            </w:r>
          </w:p>
        </w:tc>
        <w:tc>
          <w:tcPr>
            <w:tcW w:w="520" w:type="dxa"/>
            <w:vAlign w:val="bottom"/>
            <w:tcBorders>
              <w:bottom w:val="single" w:sz="8" w:color="2AD2C9"/>
            </w:tcBorders>
            <w:shd w:val="clear" w:color="auto" w:fill="2AD2C9"/>
          </w:tcPr>
          <w:p>
            <w:pPr>
              <w:spacing w:after="0"/>
              <w:rPr>
                <w:sz w:val="14"/>
                <w:szCs w:val="14"/>
                <w:color w:val="auto"/>
              </w:rPr>
            </w:pPr>
          </w:p>
        </w:tc>
        <w:tc>
          <w:tcPr>
            <w:tcW w:w="100" w:type="dxa"/>
            <w:vAlign w:val="bottom"/>
            <w:tcBorders>
              <w:bottom w:val="single" w:sz="8" w:color="2AD2C9"/>
            </w:tcBorders>
            <w:shd w:val="clear" w:color="auto" w:fill="2AD2C9"/>
          </w:tcPr>
          <w:p>
            <w:pPr>
              <w:spacing w:after="0"/>
              <w:rPr>
                <w:sz w:val="14"/>
                <w:szCs w:val="14"/>
                <w:color w:val="auto"/>
              </w:rPr>
            </w:pPr>
          </w:p>
        </w:tc>
        <w:tc>
          <w:tcPr>
            <w:tcW w:w="440" w:type="dxa"/>
            <w:vAlign w:val="bottom"/>
            <w:tcBorders>
              <w:bottom w:val="single" w:sz="8" w:color="2AD2C9"/>
              <w:right w:val="single" w:sz="8" w:color="auto"/>
            </w:tcBorders>
            <w:shd w:val="clear" w:color="auto" w:fill="2AD2C9"/>
          </w:tcPr>
          <w:p>
            <w:pPr>
              <w:spacing w:after="0"/>
              <w:rPr>
                <w:sz w:val="14"/>
                <w:szCs w:val="14"/>
                <w:color w:val="auto"/>
              </w:rPr>
            </w:pPr>
          </w:p>
        </w:tc>
        <w:tc>
          <w:tcPr>
            <w:tcW w:w="660" w:type="dxa"/>
            <w:vAlign w:val="bottom"/>
            <w:tcBorders>
              <w:bottom w:val="single" w:sz="8" w:color="2AD2C9"/>
            </w:tcBorders>
            <w:shd w:val="clear" w:color="auto" w:fill="2AD2C9"/>
          </w:tcPr>
          <w:p>
            <w:pPr>
              <w:spacing w:after="0" w:line="165" w:lineRule="exact"/>
              <w:rPr>
                <w:sz w:val="20"/>
                <w:szCs w:val="20"/>
                <w:color w:val="auto"/>
              </w:rPr>
            </w:pPr>
            <w:r>
              <w:rPr>
                <w:rFonts w:ascii="Arial" w:cs="Arial" w:eastAsia="Arial" w:hAnsi="Arial"/>
                <w:sz w:val="16"/>
                <w:szCs w:val="16"/>
                <w:b w:val="1"/>
                <w:bCs w:val="1"/>
                <w:color w:val="FFFFFF"/>
              </w:rPr>
              <w:t>Average</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r>
      <w:tr>
        <w:trPr>
          <w:trHeight w:val="185"/>
        </w:trPr>
        <w:tc>
          <w:tcPr>
            <w:tcW w:w="1840" w:type="dxa"/>
            <w:vAlign w:val="bottom"/>
            <w:tcBorders>
              <w:left w:val="single" w:sz="8" w:color="auto"/>
              <w:bottom w:val="single" w:sz="8" w:color="auto"/>
              <w:right w:val="single" w:sz="8" w:color="auto"/>
            </w:tcBorders>
            <w:gridSpan w:val="5"/>
            <w:shd w:val="clear" w:color="auto" w:fill="2AD2C9"/>
          </w:tcPr>
          <w:p>
            <w:pPr>
              <w:jc w:val="center"/>
              <w:spacing w:after="0"/>
              <w:rPr>
                <w:sz w:val="20"/>
                <w:szCs w:val="20"/>
                <w:color w:val="auto"/>
              </w:rPr>
            </w:pPr>
            <w:r>
              <w:rPr>
                <w:rFonts w:ascii="Arial" w:cs="Arial" w:eastAsia="Arial" w:hAnsi="Arial"/>
                <w:sz w:val="16"/>
                <w:szCs w:val="16"/>
                <w:b w:val="1"/>
                <w:bCs w:val="1"/>
                <w:color w:val="FFFFFF"/>
              </w:rPr>
              <w:t>BalanceExpenseYields</w:t>
            </w:r>
          </w:p>
        </w:tc>
        <w:tc>
          <w:tcPr>
            <w:tcW w:w="1840" w:type="dxa"/>
            <w:vAlign w:val="bottom"/>
            <w:tcBorders>
              <w:bottom w:val="single" w:sz="8" w:color="auto"/>
              <w:right w:val="single" w:sz="8" w:color="auto"/>
            </w:tcBorders>
            <w:gridSpan w:val="5"/>
          </w:tcPr>
          <w:p>
            <w:pPr>
              <w:spacing w:after="0"/>
              <w:rPr>
                <w:sz w:val="20"/>
                <w:szCs w:val="20"/>
                <w:color w:val="auto"/>
              </w:rPr>
            </w:pPr>
            <w:r>
              <w:rPr>
                <w:rFonts w:ascii="Arial" w:cs="Arial" w:eastAsia="Arial" w:hAnsi="Arial"/>
                <w:sz w:val="16"/>
                <w:szCs w:val="16"/>
                <w:b w:val="1"/>
                <w:bCs w:val="1"/>
                <w:color w:val="FFFFFF"/>
                <w:shd w:val="clear" w:color="auto" w:fill="2AD2C9"/>
              </w:rPr>
              <w:t>BalanceExpenseYields</w:t>
            </w:r>
          </w:p>
        </w:tc>
      </w:tr>
      <w:tr>
        <w:trPr>
          <w:trHeight w:val="165"/>
        </w:trPr>
        <w:tc>
          <w:tcPr>
            <w:tcW w:w="780" w:type="dxa"/>
            <w:vAlign w:val="bottom"/>
            <w:tcBorders>
              <w:left w:val="single" w:sz="8" w:color="auto"/>
            </w:tcBorders>
            <w:gridSpan w:val="2"/>
          </w:tcPr>
          <w:p>
            <w:pPr>
              <w:jc w:val="right"/>
              <w:ind w:right="38"/>
              <w:spacing w:after="0" w:line="165" w:lineRule="exact"/>
              <w:rPr>
                <w:sz w:val="20"/>
                <w:szCs w:val="20"/>
                <w:color w:val="auto"/>
              </w:rPr>
            </w:pPr>
            <w:r>
              <w:rPr>
                <w:rFonts w:ascii="Arial" w:cs="Arial" w:eastAsia="Arial" w:hAnsi="Arial"/>
                <w:sz w:val="16"/>
                <w:szCs w:val="16"/>
                <w:color w:val="auto"/>
              </w:rPr>
              <w:t>151,194</w:t>
            </w:r>
          </w:p>
        </w:tc>
        <w:tc>
          <w:tcPr>
            <w:tcW w:w="620" w:type="dxa"/>
            <w:vAlign w:val="bottom"/>
            <w:gridSpan w:val="2"/>
          </w:tcPr>
          <w:p>
            <w:pPr>
              <w:jc w:val="right"/>
              <w:spacing w:after="0" w:line="165" w:lineRule="exact"/>
              <w:rPr>
                <w:sz w:val="20"/>
                <w:szCs w:val="20"/>
                <w:color w:val="auto"/>
              </w:rPr>
            </w:pPr>
            <w:r>
              <w:rPr>
                <w:rFonts w:ascii="Arial" w:cs="Arial" w:eastAsia="Arial" w:hAnsi="Arial"/>
                <w:sz w:val="16"/>
                <w:szCs w:val="16"/>
                <w:color w:val="auto"/>
              </w:rPr>
              <w:t>1,106</w:t>
            </w:r>
          </w:p>
        </w:tc>
        <w:tc>
          <w:tcPr>
            <w:tcW w:w="440" w:type="dxa"/>
            <w:vAlign w:val="bottom"/>
            <w:tcBorders>
              <w:right w:val="single" w:sz="8" w:color="auto"/>
            </w:tcBorders>
          </w:tcPr>
          <w:p>
            <w:pPr>
              <w:jc w:val="right"/>
              <w:spacing w:after="0" w:line="165" w:lineRule="exact"/>
              <w:rPr>
                <w:sz w:val="20"/>
                <w:szCs w:val="20"/>
                <w:color w:val="auto"/>
              </w:rPr>
            </w:pPr>
            <w:r>
              <w:rPr>
                <w:rFonts w:ascii="Arial" w:cs="Arial" w:eastAsia="Arial" w:hAnsi="Arial"/>
                <w:sz w:val="16"/>
                <w:szCs w:val="16"/>
                <w:color w:val="auto"/>
              </w:rPr>
              <w:t>0.7%</w:t>
            </w:r>
          </w:p>
        </w:tc>
        <w:tc>
          <w:tcPr>
            <w:tcW w:w="700" w:type="dxa"/>
            <w:vAlign w:val="bottom"/>
            <w:gridSpan w:val="2"/>
          </w:tcPr>
          <w:p>
            <w:pPr>
              <w:jc w:val="right"/>
              <w:spacing w:after="0" w:line="165" w:lineRule="exact"/>
              <w:rPr>
                <w:sz w:val="20"/>
                <w:szCs w:val="20"/>
                <w:color w:val="auto"/>
              </w:rPr>
            </w:pPr>
            <w:r>
              <w:rPr>
                <w:rFonts w:ascii="Arial" w:cs="Arial" w:eastAsia="Arial" w:hAnsi="Arial"/>
                <w:sz w:val="16"/>
                <w:szCs w:val="16"/>
                <w:color w:val="auto"/>
              </w:rPr>
              <w:t>147,746</w:t>
            </w:r>
          </w:p>
        </w:tc>
        <w:tc>
          <w:tcPr>
            <w:tcW w:w="640" w:type="dxa"/>
            <w:vAlign w:val="bottom"/>
          </w:tcPr>
          <w:p>
            <w:pPr>
              <w:jc w:val="right"/>
              <w:spacing w:after="0" w:line="165" w:lineRule="exact"/>
              <w:rPr>
                <w:sz w:val="20"/>
                <w:szCs w:val="20"/>
                <w:color w:val="auto"/>
              </w:rPr>
            </w:pPr>
            <w:r>
              <w:rPr>
                <w:rFonts w:ascii="Arial" w:cs="Arial" w:eastAsia="Arial" w:hAnsi="Arial"/>
                <w:sz w:val="16"/>
                <w:szCs w:val="16"/>
                <w:color w:val="auto"/>
              </w:rPr>
              <w:t>2,314</w:t>
            </w:r>
          </w:p>
        </w:tc>
        <w:tc>
          <w:tcPr>
            <w:tcW w:w="500" w:type="dxa"/>
            <w:vAlign w:val="bottom"/>
            <w:tcBorders>
              <w:right w:val="single" w:sz="8" w:color="auto"/>
            </w:tcBorders>
            <w:gridSpan w:val="2"/>
          </w:tcPr>
          <w:p>
            <w:pPr>
              <w:jc w:val="right"/>
              <w:ind w:right="20"/>
              <w:spacing w:after="0" w:line="165" w:lineRule="exact"/>
              <w:rPr>
                <w:sz w:val="20"/>
                <w:szCs w:val="20"/>
                <w:color w:val="auto"/>
              </w:rPr>
            </w:pPr>
            <w:r>
              <w:rPr>
                <w:rFonts w:ascii="Arial" w:cs="Arial" w:eastAsia="Arial" w:hAnsi="Arial"/>
                <w:sz w:val="16"/>
                <w:szCs w:val="16"/>
                <w:color w:val="auto"/>
              </w:rPr>
              <w:t>1.6%</w:t>
            </w:r>
          </w:p>
        </w:tc>
      </w:tr>
      <w:tr>
        <w:trPr>
          <w:trHeight w:val="185"/>
        </w:trPr>
        <w:tc>
          <w:tcPr>
            <w:tcW w:w="780" w:type="dxa"/>
            <w:vAlign w:val="bottom"/>
            <w:tcBorders>
              <w:left w:val="single" w:sz="8" w:color="auto"/>
            </w:tcBorders>
            <w:gridSpan w:val="2"/>
          </w:tcPr>
          <w:p>
            <w:pPr>
              <w:jc w:val="right"/>
              <w:ind w:right="38"/>
              <w:spacing w:after="0"/>
              <w:rPr>
                <w:sz w:val="20"/>
                <w:szCs w:val="20"/>
                <w:color w:val="auto"/>
              </w:rPr>
            </w:pPr>
            <w:r>
              <w:rPr>
                <w:rFonts w:ascii="Arial" w:cs="Arial" w:eastAsia="Arial" w:hAnsi="Arial"/>
                <w:sz w:val="16"/>
                <w:szCs w:val="16"/>
                <w:color w:val="auto"/>
              </w:rPr>
              <w:t>25,179</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444</w:t>
            </w:r>
          </w:p>
        </w:tc>
        <w:tc>
          <w:tcPr>
            <w:tcW w:w="4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20,172</w:t>
            </w:r>
          </w:p>
        </w:tc>
        <w:tc>
          <w:tcPr>
            <w:tcW w:w="640" w:type="dxa"/>
            <w:vAlign w:val="bottom"/>
          </w:tcPr>
          <w:p>
            <w:pPr>
              <w:jc w:val="right"/>
              <w:spacing w:after="0"/>
              <w:rPr>
                <w:sz w:val="20"/>
                <w:szCs w:val="20"/>
                <w:color w:val="auto"/>
              </w:rPr>
            </w:pPr>
            <w:r>
              <w:rPr>
                <w:rFonts w:ascii="Arial" w:cs="Arial" w:eastAsia="Arial" w:hAnsi="Arial"/>
                <w:sz w:val="16"/>
                <w:szCs w:val="16"/>
                <w:color w:val="auto"/>
              </w:rPr>
              <w:t>861</w:t>
            </w:r>
          </w:p>
        </w:tc>
        <w:tc>
          <w:tcPr>
            <w:tcW w:w="500" w:type="dxa"/>
            <w:vAlign w:val="bottom"/>
            <w:tcBorders>
              <w:right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4.3%</w:t>
            </w:r>
          </w:p>
        </w:tc>
      </w:tr>
      <w:tr>
        <w:trPr>
          <w:trHeight w:val="185"/>
        </w:trPr>
        <w:tc>
          <w:tcPr>
            <w:tcW w:w="780" w:type="dxa"/>
            <w:vAlign w:val="bottom"/>
            <w:tcBorders>
              <w:left w:val="single" w:sz="8" w:color="auto"/>
            </w:tcBorders>
            <w:gridSpan w:val="2"/>
          </w:tcPr>
          <w:p>
            <w:pPr>
              <w:jc w:val="right"/>
              <w:ind w:right="38"/>
              <w:spacing w:after="0"/>
              <w:rPr>
                <w:sz w:val="20"/>
                <w:szCs w:val="20"/>
                <w:color w:val="auto"/>
              </w:rPr>
            </w:pPr>
            <w:r>
              <w:rPr>
                <w:rFonts w:ascii="Arial" w:cs="Arial" w:eastAsia="Arial" w:hAnsi="Arial"/>
                <w:sz w:val="16"/>
                <w:szCs w:val="16"/>
                <w:color w:val="auto"/>
              </w:rPr>
              <w:t>17,421</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552</w:t>
            </w:r>
          </w:p>
        </w:tc>
        <w:tc>
          <w:tcPr>
            <w:tcW w:w="4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15,961</w:t>
            </w:r>
          </w:p>
        </w:tc>
        <w:tc>
          <w:tcPr>
            <w:tcW w:w="640" w:type="dxa"/>
            <w:vAlign w:val="bottom"/>
          </w:tcPr>
          <w:p>
            <w:pPr>
              <w:jc w:val="right"/>
              <w:spacing w:after="0"/>
              <w:rPr>
                <w:sz w:val="20"/>
                <w:szCs w:val="20"/>
                <w:color w:val="auto"/>
              </w:rPr>
            </w:pPr>
            <w:r>
              <w:rPr>
                <w:rFonts w:ascii="Arial" w:cs="Arial" w:eastAsia="Arial" w:hAnsi="Arial"/>
                <w:sz w:val="16"/>
                <w:szCs w:val="16"/>
                <w:color w:val="auto"/>
              </w:rPr>
              <w:t>481</w:t>
            </w:r>
          </w:p>
        </w:tc>
        <w:tc>
          <w:tcPr>
            <w:tcW w:w="500" w:type="dxa"/>
            <w:vAlign w:val="bottom"/>
            <w:tcBorders>
              <w:right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3.0%</w:t>
            </w:r>
          </w:p>
        </w:tc>
      </w:tr>
      <w:tr>
        <w:trPr>
          <w:trHeight w:val="210"/>
        </w:trPr>
        <w:tc>
          <w:tcPr>
            <w:tcW w:w="780" w:type="dxa"/>
            <w:vAlign w:val="bottom"/>
            <w:tcBorders>
              <w:left w:val="single" w:sz="8" w:color="auto"/>
              <w:bottom w:val="single" w:sz="8" w:color="auto"/>
            </w:tcBorders>
            <w:gridSpan w:val="2"/>
          </w:tcPr>
          <w:p>
            <w:pPr>
              <w:jc w:val="right"/>
              <w:ind w:right="38"/>
              <w:spacing w:after="0"/>
              <w:rPr>
                <w:sz w:val="20"/>
                <w:szCs w:val="20"/>
                <w:color w:val="auto"/>
              </w:rPr>
            </w:pPr>
            <w:r>
              <w:rPr>
                <w:rFonts w:ascii="Arial" w:cs="Arial" w:eastAsia="Arial" w:hAnsi="Arial"/>
                <w:sz w:val="16"/>
                <w:szCs w:val="16"/>
                <w:color w:val="auto"/>
              </w:rPr>
              <w:t>2,224</w:t>
            </w:r>
          </w:p>
        </w:tc>
        <w:tc>
          <w:tcPr>
            <w:tcW w:w="1060" w:type="dxa"/>
            <w:vAlign w:val="bottom"/>
            <w:tcBorders>
              <w:bottom w:val="single" w:sz="8" w:color="auto"/>
              <w:right w:val="single" w:sz="8" w:color="auto"/>
            </w:tcBorders>
            <w:gridSpan w:val="3"/>
          </w:tcPr>
          <w:p>
            <w:pPr>
              <w:jc w:val="right"/>
              <w:spacing w:after="0"/>
              <w:rPr>
                <w:sz w:val="20"/>
                <w:szCs w:val="20"/>
                <w:color w:val="auto"/>
              </w:rPr>
            </w:pPr>
            <w:r>
              <w:rPr>
                <w:rFonts w:ascii="Arial" w:cs="Arial" w:eastAsia="Arial" w:hAnsi="Arial"/>
                <w:sz w:val="16"/>
                <w:szCs w:val="16"/>
                <w:color w:val="auto"/>
              </w:rPr>
              <w:t>59712.3%</w:t>
            </w: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1,895</w:t>
            </w:r>
          </w:p>
        </w:tc>
        <w:tc>
          <w:tcPr>
            <w:tcW w:w="1140" w:type="dxa"/>
            <w:vAlign w:val="bottom"/>
            <w:tcBorders>
              <w:bottom w:val="single" w:sz="8" w:color="auto"/>
              <w:right w:val="single" w:sz="8" w:color="auto"/>
            </w:tcBorders>
            <w:gridSpan w:val="3"/>
          </w:tcPr>
          <w:p>
            <w:pPr>
              <w:jc w:val="right"/>
              <w:ind w:right="20"/>
              <w:spacing w:after="0"/>
              <w:rPr>
                <w:sz w:val="20"/>
                <w:szCs w:val="20"/>
                <w:color w:val="auto"/>
              </w:rPr>
            </w:pPr>
            <w:r>
              <w:rPr>
                <w:rFonts w:ascii="Arial" w:cs="Arial" w:eastAsia="Arial" w:hAnsi="Arial"/>
                <w:sz w:val="16"/>
                <w:szCs w:val="16"/>
                <w:color w:val="auto"/>
              </w:rPr>
              <w:t>68117.6%</w:t>
            </w:r>
          </w:p>
        </w:tc>
      </w:tr>
      <w:tr>
        <w:trPr>
          <w:trHeight w:val="179"/>
        </w:trPr>
        <w:tc>
          <w:tcPr>
            <w:tcW w:w="780" w:type="dxa"/>
            <w:vAlign w:val="bottom"/>
            <w:tcBorders>
              <w:left w:val="single" w:sz="8" w:color="auto"/>
              <w:bottom w:val="single" w:sz="8" w:color="auto"/>
            </w:tcBorders>
            <w:gridSpan w:val="2"/>
          </w:tcPr>
          <w:p>
            <w:pPr>
              <w:jc w:val="right"/>
              <w:ind w:right="38"/>
              <w:spacing w:after="0" w:line="178" w:lineRule="exact"/>
              <w:rPr>
                <w:sz w:val="20"/>
                <w:szCs w:val="20"/>
                <w:color w:val="auto"/>
              </w:rPr>
            </w:pPr>
            <w:r>
              <w:rPr>
                <w:rFonts w:ascii="Arial" w:cs="Arial" w:eastAsia="Arial" w:hAnsi="Arial"/>
                <w:sz w:val="16"/>
                <w:szCs w:val="16"/>
                <w:b w:val="1"/>
                <w:bCs w:val="1"/>
                <w:color w:val="auto"/>
              </w:rPr>
              <w:t>196,018</w:t>
            </w:r>
          </w:p>
        </w:tc>
        <w:tc>
          <w:tcPr>
            <w:tcW w:w="620" w:type="dxa"/>
            <w:vAlign w:val="bottom"/>
            <w:tcBorders>
              <w:bottom w:val="single" w:sz="8" w:color="auto"/>
            </w:tcBorders>
            <w:gridSpan w:val="2"/>
          </w:tcPr>
          <w:p>
            <w:pPr>
              <w:jc w:val="right"/>
              <w:spacing w:after="0" w:line="178" w:lineRule="exact"/>
              <w:rPr>
                <w:sz w:val="20"/>
                <w:szCs w:val="20"/>
                <w:color w:val="auto"/>
              </w:rPr>
            </w:pPr>
            <w:r>
              <w:rPr>
                <w:rFonts w:ascii="Arial" w:cs="Arial" w:eastAsia="Arial" w:hAnsi="Arial"/>
                <w:sz w:val="16"/>
                <w:szCs w:val="16"/>
                <w:b w:val="1"/>
                <w:bCs w:val="1"/>
                <w:color w:val="auto"/>
              </w:rPr>
              <w:t>2,698</w:t>
            </w:r>
          </w:p>
        </w:tc>
        <w:tc>
          <w:tcPr>
            <w:tcW w:w="440" w:type="dxa"/>
            <w:vAlign w:val="bottom"/>
            <w:tcBorders>
              <w:bottom w:val="single" w:sz="8" w:color="auto"/>
              <w:right w:val="single" w:sz="8" w:color="auto"/>
            </w:tcBorders>
          </w:tcPr>
          <w:p>
            <w:pPr>
              <w:jc w:val="right"/>
              <w:spacing w:after="0" w:line="178" w:lineRule="exact"/>
              <w:rPr>
                <w:sz w:val="20"/>
                <w:szCs w:val="20"/>
                <w:color w:val="auto"/>
              </w:rPr>
            </w:pPr>
            <w:r>
              <w:rPr>
                <w:rFonts w:ascii="Arial" w:cs="Arial" w:eastAsia="Arial" w:hAnsi="Arial"/>
                <w:sz w:val="16"/>
                <w:szCs w:val="16"/>
                <w:b w:val="1"/>
                <w:bCs w:val="1"/>
                <w:color w:val="auto"/>
              </w:rPr>
              <w:t>1.2%</w:t>
            </w:r>
          </w:p>
        </w:tc>
        <w:tc>
          <w:tcPr>
            <w:tcW w:w="700" w:type="dxa"/>
            <w:vAlign w:val="bottom"/>
            <w:tcBorders>
              <w:bottom w:val="single" w:sz="8" w:color="auto"/>
            </w:tcBorders>
            <w:gridSpan w:val="2"/>
          </w:tcPr>
          <w:p>
            <w:pPr>
              <w:jc w:val="right"/>
              <w:spacing w:after="0" w:line="178" w:lineRule="exact"/>
              <w:rPr>
                <w:sz w:val="20"/>
                <w:szCs w:val="20"/>
                <w:color w:val="auto"/>
              </w:rPr>
            </w:pPr>
            <w:r>
              <w:rPr>
                <w:rFonts w:ascii="Arial" w:cs="Arial" w:eastAsia="Arial" w:hAnsi="Arial"/>
                <w:sz w:val="16"/>
                <w:szCs w:val="16"/>
                <w:b w:val="1"/>
                <w:bCs w:val="1"/>
                <w:color w:val="auto"/>
              </w:rPr>
              <w:t>185,775</w:t>
            </w:r>
          </w:p>
        </w:tc>
        <w:tc>
          <w:tcPr>
            <w:tcW w:w="64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b w:val="1"/>
                <w:bCs w:val="1"/>
                <w:color w:val="auto"/>
              </w:rPr>
              <w:t>4,338</w:t>
            </w:r>
          </w:p>
        </w:tc>
        <w:tc>
          <w:tcPr>
            <w:tcW w:w="500" w:type="dxa"/>
            <w:vAlign w:val="bottom"/>
            <w:tcBorders>
              <w:bottom w:val="single" w:sz="8" w:color="auto"/>
              <w:right w:val="single" w:sz="8" w:color="auto"/>
            </w:tcBorders>
            <w:gridSpan w:val="2"/>
          </w:tcPr>
          <w:p>
            <w:pPr>
              <w:jc w:val="right"/>
              <w:ind w:right="20"/>
              <w:spacing w:after="0" w:line="178" w:lineRule="exact"/>
              <w:rPr>
                <w:sz w:val="20"/>
                <w:szCs w:val="20"/>
                <w:color w:val="auto"/>
              </w:rPr>
            </w:pPr>
            <w:r>
              <w:rPr>
                <w:rFonts w:ascii="Arial" w:cs="Arial" w:eastAsia="Arial" w:hAnsi="Arial"/>
                <w:sz w:val="16"/>
                <w:szCs w:val="16"/>
                <w:b w:val="1"/>
                <w:bCs w:val="1"/>
                <w:color w:val="auto"/>
              </w:rPr>
              <w:t>2.1%</w:t>
            </w:r>
          </w:p>
        </w:tc>
      </w:tr>
      <w:tr>
        <w:trPr>
          <w:trHeight w:val="178"/>
        </w:trPr>
        <w:tc>
          <w:tcPr>
            <w:tcW w:w="780" w:type="dxa"/>
            <w:vAlign w:val="bottom"/>
            <w:tcBorders>
              <w:left w:val="single" w:sz="8" w:color="auto"/>
              <w:bottom w:val="single" w:sz="8" w:color="auto"/>
            </w:tcBorders>
            <w:gridSpan w:val="2"/>
          </w:tcPr>
          <w:p>
            <w:pPr>
              <w:jc w:val="right"/>
              <w:ind w:right="38"/>
              <w:spacing w:after="0" w:line="178" w:lineRule="exact"/>
              <w:rPr>
                <w:sz w:val="20"/>
                <w:szCs w:val="20"/>
                <w:color w:val="auto"/>
              </w:rPr>
            </w:pPr>
            <w:r>
              <w:rPr>
                <w:rFonts w:ascii="Arial" w:cs="Arial" w:eastAsia="Arial" w:hAnsi="Arial"/>
                <w:sz w:val="16"/>
                <w:szCs w:val="16"/>
                <w:color w:val="auto"/>
              </w:rPr>
              <w:t>50.9%</w:t>
            </w:r>
          </w:p>
        </w:tc>
        <w:tc>
          <w:tcPr>
            <w:tcW w:w="620" w:type="dxa"/>
            <w:vAlign w:val="bottom"/>
            <w:tcBorders>
              <w:bottom w:val="single" w:sz="8" w:color="auto"/>
            </w:tcBorders>
            <w:gridSpan w:val="2"/>
          </w:tcPr>
          <w:p>
            <w:pPr>
              <w:jc w:val="right"/>
              <w:spacing w:after="0" w:line="178" w:lineRule="exact"/>
              <w:rPr>
                <w:sz w:val="20"/>
                <w:szCs w:val="20"/>
                <w:color w:val="auto"/>
              </w:rPr>
            </w:pPr>
            <w:r>
              <w:rPr>
                <w:rFonts w:ascii="Arial" w:cs="Arial" w:eastAsia="Arial" w:hAnsi="Arial"/>
                <w:sz w:val="16"/>
                <w:szCs w:val="16"/>
                <w:color w:val="auto"/>
              </w:rPr>
              <w:t>58.4%</w:t>
            </w:r>
          </w:p>
        </w:tc>
        <w:tc>
          <w:tcPr>
            <w:tcW w:w="440" w:type="dxa"/>
            <w:vAlign w:val="bottom"/>
            <w:tcBorders>
              <w:bottom w:val="single" w:sz="8" w:color="auto"/>
              <w:right w:val="single" w:sz="8" w:color="auto"/>
            </w:tcBorders>
          </w:tcPr>
          <w:p>
            <w:pPr>
              <w:jc w:val="right"/>
              <w:spacing w:after="0" w:line="178" w:lineRule="exact"/>
              <w:rPr>
                <w:sz w:val="20"/>
                <w:szCs w:val="20"/>
                <w:color w:val="auto"/>
              </w:rPr>
            </w:pPr>
            <w:r>
              <w:rPr>
                <w:rFonts w:ascii="Arial" w:cs="Arial" w:eastAsia="Arial" w:hAnsi="Arial"/>
                <w:sz w:val="16"/>
                <w:szCs w:val="16"/>
                <w:color w:val="auto"/>
              </w:rPr>
              <w:t>1.4%</w:t>
            </w:r>
          </w:p>
        </w:tc>
        <w:tc>
          <w:tcPr>
            <w:tcW w:w="700" w:type="dxa"/>
            <w:vAlign w:val="bottom"/>
            <w:tcBorders>
              <w:bottom w:val="single" w:sz="8" w:color="auto"/>
            </w:tcBorders>
            <w:gridSpan w:val="2"/>
          </w:tcPr>
          <w:p>
            <w:pPr>
              <w:jc w:val="right"/>
              <w:spacing w:after="0" w:line="178" w:lineRule="exact"/>
              <w:rPr>
                <w:sz w:val="20"/>
                <w:szCs w:val="20"/>
                <w:color w:val="auto"/>
              </w:rPr>
            </w:pPr>
            <w:r>
              <w:rPr>
                <w:rFonts w:ascii="Arial" w:cs="Arial" w:eastAsia="Arial" w:hAnsi="Arial"/>
                <w:sz w:val="16"/>
                <w:szCs w:val="16"/>
                <w:color w:val="auto"/>
              </w:rPr>
              <w:t>50.6%</w:t>
            </w:r>
          </w:p>
        </w:tc>
        <w:tc>
          <w:tcPr>
            <w:tcW w:w="64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59.0%</w:t>
            </w:r>
          </w:p>
        </w:tc>
        <w:tc>
          <w:tcPr>
            <w:tcW w:w="500" w:type="dxa"/>
            <w:vAlign w:val="bottom"/>
            <w:tcBorders>
              <w:bottom w:val="single" w:sz="8" w:color="auto"/>
              <w:right w:val="single" w:sz="8" w:color="auto"/>
            </w:tcBorders>
            <w:gridSpan w:val="2"/>
          </w:tcPr>
          <w:p>
            <w:pPr>
              <w:jc w:val="right"/>
              <w:ind w:right="20"/>
              <w:spacing w:after="0" w:line="178" w:lineRule="exact"/>
              <w:rPr>
                <w:sz w:val="20"/>
                <w:szCs w:val="20"/>
                <w:color w:val="auto"/>
              </w:rPr>
            </w:pPr>
            <w:r>
              <w:rPr>
                <w:rFonts w:ascii="Arial" w:cs="Arial" w:eastAsia="Arial" w:hAnsi="Arial"/>
                <w:sz w:val="16"/>
                <w:szCs w:val="16"/>
                <w:color w:val="auto"/>
              </w:rPr>
              <w:t>2.5%</w:t>
            </w:r>
          </w:p>
        </w:tc>
      </w:tr>
      <w:tr>
        <w:trPr>
          <w:trHeight w:val="178"/>
        </w:trPr>
        <w:tc>
          <w:tcPr>
            <w:tcW w:w="780" w:type="dxa"/>
            <w:vAlign w:val="bottom"/>
            <w:tcBorders>
              <w:left w:val="single" w:sz="8" w:color="auto"/>
              <w:bottom w:val="single" w:sz="8" w:color="auto"/>
            </w:tcBorders>
            <w:gridSpan w:val="2"/>
          </w:tcPr>
          <w:p>
            <w:pPr>
              <w:jc w:val="right"/>
              <w:ind w:right="38"/>
              <w:spacing w:after="0" w:line="178" w:lineRule="exact"/>
              <w:rPr>
                <w:sz w:val="20"/>
                <w:szCs w:val="20"/>
                <w:color w:val="auto"/>
              </w:rPr>
            </w:pPr>
            <w:r>
              <w:rPr>
                <w:rFonts w:ascii="Arial" w:cs="Arial" w:eastAsia="Arial" w:hAnsi="Arial"/>
                <w:sz w:val="16"/>
                <w:szCs w:val="16"/>
                <w:color w:val="auto"/>
              </w:rPr>
              <w:t>49.1%</w:t>
            </w:r>
          </w:p>
        </w:tc>
        <w:tc>
          <w:tcPr>
            <w:tcW w:w="620" w:type="dxa"/>
            <w:vAlign w:val="bottom"/>
            <w:tcBorders>
              <w:bottom w:val="single" w:sz="8" w:color="auto"/>
            </w:tcBorders>
            <w:gridSpan w:val="2"/>
          </w:tcPr>
          <w:p>
            <w:pPr>
              <w:jc w:val="right"/>
              <w:spacing w:after="0" w:line="178" w:lineRule="exact"/>
              <w:rPr>
                <w:sz w:val="20"/>
                <w:szCs w:val="20"/>
                <w:color w:val="auto"/>
              </w:rPr>
            </w:pPr>
            <w:r>
              <w:rPr>
                <w:rFonts w:ascii="Arial" w:cs="Arial" w:eastAsia="Arial" w:hAnsi="Arial"/>
                <w:sz w:val="16"/>
                <w:szCs w:val="16"/>
                <w:color w:val="auto"/>
              </w:rPr>
              <w:t>41.6%</w:t>
            </w:r>
          </w:p>
        </w:tc>
        <w:tc>
          <w:tcPr>
            <w:tcW w:w="440" w:type="dxa"/>
            <w:vAlign w:val="bottom"/>
            <w:tcBorders>
              <w:bottom w:val="single" w:sz="8" w:color="auto"/>
              <w:right w:val="single" w:sz="8" w:color="auto"/>
            </w:tcBorders>
          </w:tcPr>
          <w:p>
            <w:pPr>
              <w:jc w:val="right"/>
              <w:spacing w:after="0" w:line="178" w:lineRule="exact"/>
              <w:rPr>
                <w:sz w:val="20"/>
                <w:szCs w:val="20"/>
                <w:color w:val="auto"/>
              </w:rPr>
            </w:pPr>
            <w:r>
              <w:rPr>
                <w:rFonts w:ascii="Arial" w:cs="Arial" w:eastAsia="Arial" w:hAnsi="Arial"/>
                <w:sz w:val="16"/>
                <w:szCs w:val="16"/>
                <w:color w:val="auto"/>
              </w:rPr>
              <w:t>1.0%</w:t>
            </w:r>
          </w:p>
        </w:tc>
        <w:tc>
          <w:tcPr>
            <w:tcW w:w="700" w:type="dxa"/>
            <w:vAlign w:val="bottom"/>
            <w:tcBorders>
              <w:bottom w:val="single" w:sz="8" w:color="auto"/>
            </w:tcBorders>
            <w:gridSpan w:val="2"/>
          </w:tcPr>
          <w:p>
            <w:pPr>
              <w:jc w:val="right"/>
              <w:spacing w:after="0" w:line="178" w:lineRule="exact"/>
              <w:rPr>
                <w:sz w:val="20"/>
                <w:szCs w:val="20"/>
                <w:color w:val="auto"/>
              </w:rPr>
            </w:pPr>
            <w:r>
              <w:rPr>
                <w:rFonts w:ascii="Arial" w:cs="Arial" w:eastAsia="Arial" w:hAnsi="Arial"/>
                <w:sz w:val="16"/>
                <w:szCs w:val="16"/>
                <w:color w:val="auto"/>
              </w:rPr>
              <w:t>49.4%</w:t>
            </w:r>
          </w:p>
        </w:tc>
        <w:tc>
          <w:tcPr>
            <w:tcW w:w="64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41.0%</w:t>
            </w:r>
          </w:p>
        </w:tc>
        <w:tc>
          <w:tcPr>
            <w:tcW w:w="500" w:type="dxa"/>
            <w:vAlign w:val="bottom"/>
            <w:tcBorders>
              <w:bottom w:val="single" w:sz="8" w:color="auto"/>
              <w:right w:val="single" w:sz="8" w:color="auto"/>
            </w:tcBorders>
            <w:gridSpan w:val="2"/>
          </w:tcPr>
          <w:p>
            <w:pPr>
              <w:jc w:val="right"/>
              <w:ind w:right="20"/>
              <w:spacing w:after="0" w:line="178" w:lineRule="exact"/>
              <w:rPr>
                <w:sz w:val="20"/>
                <w:szCs w:val="20"/>
                <w:color w:val="auto"/>
              </w:rPr>
            </w:pPr>
            <w:r>
              <w:rPr>
                <w:rFonts w:ascii="Arial" w:cs="Arial" w:eastAsia="Arial" w:hAnsi="Arial"/>
                <w:sz w:val="16"/>
                <w:szCs w:val="16"/>
                <w:color w:val="auto"/>
              </w:rPr>
              <w:t>1.8%</w:t>
            </w:r>
          </w:p>
        </w:tc>
      </w:tr>
      <w:tr>
        <w:trPr>
          <w:trHeight w:val="178"/>
        </w:trPr>
        <w:tc>
          <w:tcPr>
            <w:tcW w:w="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r>
      <w:tr>
        <w:trPr>
          <w:trHeight w:val="178"/>
        </w:trPr>
        <w:tc>
          <w:tcPr>
            <w:tcW w:w="780" w:type="dxa"/>
            <w:vAlign w:val="bottom"/>
            <w:tcBorders>
              <w:left w:val="single" w:sz="8" w:color="auto"/>
              <w:bottom w:val="single" w:sz="8" w:color="auto"/>
            </w:tcBorders>
            <w:gridSpan w:val="2"/>
          </w:tcPr>
          <w:p>
            <w:pPr>
              <w:jc w:val="right"/>
              <w:ind w:right="38"/>
              <w:spacing w:after="0" w:line="178" w:lineRule="exact"/>
              <w:rPr>
                <w:sz w:val="20"/>
                <w:szCs w:val="20"/>
                <w:color w:val="auto"/>
              </w:rPr>
            </w:pPr>
            <w:r>
              <w:rPr>
                <w:rFonts w:ascii="Arial" w:cs="Arial" w:eastAsia="Arial" w:hAnsi="Arial"/>
                <w:sz w:val="16"/>
                <w:szCs w:val="16"/>
                <w:b w:val="1"/>
                <w:bCs w:val="1"/>
                <w:color w:val="auto"/>
              </w:rPr>
              <w:t>229,932</w:t>
            </w:r>
          </w:p>
        </w:tc>
        <w:tc>
          <w:tcPr>
            <w:tcW w:w="620" w:type="dxa"/>
            <w:vAlign w:val="bottom"/>
            <w:tcBorders>
              <w:bottom w:val="single" w:sz="8" w:color="auto"/>
            </w:tcBorders>
            <w:gridSpan w:val="2"/>
          </w:tcPr>
          <w:p>
            <w:pPr>
              <w:jc w:val="right"/>
              <w:spacing w:after="0" w:line="178" w:lineRule="exact"/>
              <w:rPr>
                <w:sz w:val="20"/>
                <w:szCs w:val="20"/>
                <w:color w:val="auto"/>
              </w:rPr>
            </w:pPr>
            <w:r>
              <w:rPr>
                <w:rFonts w:ascii="Arial" w:cs="Arial" w:eastAsia="Arial" w:hAnsi="Arial"/>
                <w:sz w:val="16"/>
                <w:szCs w:val="16"/>
                <w:b w:val="1"/>
                <w:bCs w:val="1"/>
                <w:color w:val="auto"/>
              </w:rPr>
              <w:t>7,951</w:t>
            </w:r>
          </w:p>
        </w:tc>
        <w:tc>
          <w:tcPr>
            <w:tcW w:w="440" w:type="dxa"/>
            <w:vAlign w:val="bottom"/>
            <w:tcBorders>
              <w:bottom w:val="single" w:sz="8" w:color="auto"/>
              <w:right w:val="single" w:sz="8" w:color="auto"/>
            </w:tcBorders>
          </w:tcPr>
          <w:p>
            <w:pPr>
              <w:jc w:val="right"/>
              <w:spacing w:after="0" w:line="178" w:lineRule="exact"/>
              <w:rPr>
                <w:sz w:val="20"/>
                <w:szCs w:val="20"/>
                <w:color w:val="auto"/>
              </w:rPr>
            </w:pPr>
            <w:r>
              <w:rPr>
                <w:rFonts w:ascii="Arial" w:cs="Arial" w:eastAsia="Arial" w:hAnsi="Arial"/>
                <w:sz w:val="16"/>
                <w:szCs w:val="16"/>
                <w:b w:val="1"/>
                <w:bCs w:val="1"/>
                <w:color w:val="auto"/>
              </w:rPr>
              <w:t>4.6%</w:t>
            </w:r>
          </w:p>
        </w:tc>
        <w:tc>
          <w:tcPr>
            <w:tcW w:w="700" w:type="dxa"/>
            <w:vAlign w:val="bottom"/>
            <w:tcBorders>
              <w:bottom w:val="single" w:sz="8" w:color="auto"/>
            </w:tcBorders>
            <w:gridSpan w:val="2"/>
          </w:tcPr>
          <w:p>
            <w:pPr>
              <w:jc w:val="right"/>
              <w:spacing w:after="0" w:line="178" w:lineRule="exact"/>
              <w:rPr>
                <w:sz w:val="20"/>
                <w:szCs w:val="20"/>
                <w:color w:val="auto"/>
              </w:rPr>
            </w:pPr>
            <w:r>
              <w:rPr>
                <w:rFonts w:ascii="Arial" w:cs="Arial" w:eastAsia="Arial" w:hAnsi="Arial"/>
                <w:sz w:val="16"/>
                <w:szCs w:val="16"/>
                <w:b w:val="1"/>
                <w:bCs w:val="1"/>
                <w:color w:val="auto"/>
              </w:rPr>
              <w:t>222,362</w:t>
            </w:r>
          </w:p>
        </w:tc>
        <w:tc>
          <w:tcPr>
            <w:tcW w:w="64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b w:val="1"/>
                <w:bCs w:val="1"/>
                <w:color w:val="auto"/>
              </w:rPr>
              <w:t>9,590</w:t>
            </w:r>
          </w:p>
        </w:tc>
        <w:tc>
          <w:tcPr>
            <w:tcW w:w="500" w:type="dxa"/>
            <w:vAlign w:val="bottom"/>
            <w:tcBorders>
              <w:bottom w:val="single" w:sz="8" w:color="auto"/>
              <w:right w:val="single" w:sz="8" w:color="auto"/>
            </w:tcBorders>
            <w:gridSpan w:val="2"/>
          </w:tcPr>
          <w:p>
            <w:pPr>
              <w:jc w:val="right"/>
              <w:ind w:right="20"/>
              <w:spacing w:after="0" w:line="178" w:lineRule="exact"/>
              <w:rPr>
                <w:sz w:val="20"/>
                <w:szCs w:val="20"/>
                <w:color w:val="auto"/>
              </w:rPr>
            </w:pPr>
            <w:r>
              <w:rPr>
                <w:rFonts w:ascii="Arial" w:cs="Arial" w:eastAsia="Arial" w:hAnsi="Arial"/>
                <w:sz w:val="16"/>
                <w:szCs w:val="16"/>
                <w:b w:val="1"/>
                <w:bCs w:val="1"/>
                <w:color w:val="auto"/>
              </w:rPr>
              <w:t>5.8%</w:t>
            </w:r>
          </w:p>
        </w:tc>
      </w:tr>
      <w:tr>
        <w:trPr>
          <w:trHeight w:val="178"/>
        </w:trPr>
        <w:tc>
          <w:tcPr>
            <w:tcW w:w="780" w:type="dxa"/>
            <w:vAlign w:val="bottom"/>
            <w:tcBorders>
              <w:left w:val="single" w:sz="8" w:color="auto"/>
              <w:bottom w:val="single" w:sz="8" w:color="auto"/>
            </w:tcBorders>
            <w:gridSpan w:val="2"/>
          </w:tcPr>
          <w:p>
            <w:pPr>
              <w:jc w:val="right"/>
              <w:ind w:right="38"/>
              <w:spacing w:after="0" w:line="178" w:lineRule="exact"/>
              <w:rPr>
                <w:sz w:val="20"/>
                <w:szCs w:val="20"/>
                <w:color w:val="auto"/>
              </w:rPr>
            </w:pPr>
            <w:r>
              <w:rPr>
                <w:rFonts w:ascii="Arial" w:cs="Arial" w:eastAsia="Arial" w:hAnsi="Arial"/>
                <w:sz w:val="16"/>
                <w:szCs w:val="16"/>
                <w:color w:val="auto"/>
              </w:rPr>
              <w:t>56.4%</w:t>
            </w:r>
          </w:p>
        </w:tc>
        <w:tc>
          <w:tcPr>
            <w:tcW w:w="620" w:type="dxa"/>
            <w:vAlign w:val="bottom"/>
            <w:tcBorders>
              <w:bottom w:val="single" w:sz="8" w:color="auto"/>
            </w:tcBorders>
            <w:gridSpan w:val="2"/>
          </w:tcPr>
          <w:p>
            <w:pPr>
              <w:jc w:val="right"/>
              <w:spacing w:after="0" w:line="178" w:lineRule="exact"/>
              <w:rPr>
                <w:sz w:val="20"/>
                <w:szCs w:val="20"/>
                <w:color w:val="auto"/>
              </w:rPr>
            </w:pPr>
            <w:r>
              <w:rPr>
                <w:rFonts w:ascii="Arial" w:cs="Arial" w:eastAsia="Arial" w:hAnsi="Arial"/>
                <w:sz w:val="16"/>
                <w:szCs w:val="16"/>
                <w:color w:val="auto"/>
              </w:rPr>
              <w:t>83.6%</w:t>
            </w:r>
          </w:p>
        </w:tc>
        <w:tc>
          <w:tcPr>
            <w:tcW w:w="440" w:type="dxa"/>
            <w:vAlign w:val="bottom"/>
            <w:tcBorders>
              <w:bottom w:val="single" w:sz="8" w:color="auto"/>
              <w:right w:val="single" w:sz="8" w:color="auto"/>
            </w:tcBorders>
          </w:tcPr>
          <w:p>
            <w:pPr>
              <w:jc w:val="right"/>
              <w:spacing w:after="0" w:line="178" w:lineRule="exact"/>
              <w:rPr>
                <w:sz w:val="20"/>
                <w:szCs w:val="20"/>
                <w:color w:val="auto"/>
              </w:rPr>
            </w:pPr>
            <w:r>
              <w:rPr>
                <w:rFonts w:ascii="Arial" w:cs="Arial" w:eastAsia="Arial" w:hAnsi="Arial"/>
                <w:sz w:val="16"/>
                <w:szCs w:val="16"/>
                <w:color w:val="auto"/>
              </w:rPr>
              <w:t>5.1%</w:t>
            </w:r>
          </w:p>
        </w:tc>
        <w:tc>
          <w:tcPr>
            <w:tcW w:w="700" w:type="dxa"/>
            <w:vAlign w:val="bottom"/>
            <w:tcBorders>
              <w:bottom w:val="single" w:sz="8" w:color="auto"/>
            </w:tcBorders>
            <w:gridSpan w:val="2"/>
          </w:tcPr>
          <w:p>
            <w:pPr>
              <w:jc w:val="right"/>
              <w:spacing w:after="0" w:line="178" w:lineRule="exact"/>
              <w:rPr>
                <w:sz w:val="20"/>
                <w:szCs w:val="20"/>
                <w:color w:val="auto"/>
              </w:rPr>
            </w:pPr>
            <w:r>
              <w:rPr>
                <w:rFonts w:ascii="Arial" w:cs="Arial" w:eastAsia="Arial" w:hAnsi="Arial"/>
                <w:sz w:val="16"/>
                <w:szCs w:val="16"/>
                <w:color w:val="auto"/>
              </w:rPr>
              <w:t>57.2%</w:t>
            </w:r>
          </w:p>
        </w:tc>
        <w:tc>
          <w:tcPr>
            <w:tcW w:w="64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76.9%</w:t>
            </w:r>
          </w:p>
        </w:tc>
        <w:tc>
          <w:tcPr>
            <w:tcW w:w="500" w:type="dxa"/>
            <w:vAlign w:val="bottom"/>
            <w:tcBorders>
              <w:bottom w:val="single" w:sz="8" w:color="auto"/>
              <w:right w:val="single" w:sz="8" w:color="auto"/>
            </w:tcBorders>
            <w:gridSpan w:val="2"/>
          </w:tcPr>
          <w:p>
            <w:pPr>
              <w:jc w:val="right"/>
              <w:ind w:right="20"/>
              <w:spacing w:after="0" w:line="178" w:lineRule="exact"/>
              <w:rPr>
                <w:sz w:val="20"/>
                <w:szCs w:val="20"/>
                <w:color w:val="auto"/>
              </w:rPr>
            </w:pPr>
            <w:r>
              <w:rPr>
                <w:rFonts w:ascii="Arial" w:cs="Arial" w:eastAsia="Arial" w:hAnsi="Arial"/>
                <w:sz w:val="16"/>
                <w:szCs w:val="16"/>
                <w:color w:val="auto"/>
              </w:rPr>
              <w:t>5.8%</w:t>
            </w:r>
          </w:p>
        </w:tc>
      </w:tr>
      <w:tr>
        <w:trPr>
          <w:trHeight w:val="178"/>
        </w:trPr>
        <w:tc>
          <w:tcPr>
            <w:tcW w:w="780" w:type="dxa"/>
            <w:vAlign w:val="bottom"/>
            <w:tcBorders>
              <w:left w:val="single" w:sz="8" w:color="auto"/>
              <w:bottom w:val="single" w:sz="8" w:color="auto"/>
            </w:tcBorders>
            <w:gridSpan w:val="2"/>
          </w:tcPr>
          <w:p>
            <w:pPr>
              <w:jc w:val="right"/>
              <w:ind w:right="38"/>
              <w:spacing w:after="0" w:line="178" w:lineRule="exact"/>
              <w:rPr>
                <w:sz w:val="20"/>
                <w:szCs w:val="20"/>
                <w:color w:val="auto"/>
              </w:rPr>
            </w:pPr>
            <w:r>
              <w:rPr>
                <w:rFonts w:ascii="Arial" w:cs="Arial" w:eastAsia="Arial" w:hAnsi="Arial"/>
                <w:sz w:val="16"/>
                <w:szCs w:val="16"/>
                <w:color w:val="auto"/>
              </w:rPr>
              <w:t>34.6%</w:t>
            </w:r>
          </w:p>
        </w:tc>
        <w:tc>
          <w:tcPr>
            <w:tcW w:w="620" w:type="dxa"/>
            <w:vAlign w:val="bottom"/>
            <w:tcBorders>
              <w:bottom w:val="single" w:sz="8" w:color="auto"/>
            </w:tcBorders>
            <w:gridSpan w:val="2"/>
          </w:tcPr>
          <w:p>
            <w:pPr>
              <w:jc w:val="right"/>
              <w:spacing w:after="0" w:line="178" w:lineRule="exact"/>
              <w:rPr>
                <w:sz w:val="20"/>
                <w:szCs w:val="20"/>
                <w:color w:val="auto"/>
              </w:rPr>
            </w:pPr>
            <w:r>
              <w:rPr>
                <w:rFonts w:ascii="Arial" w:cs="Arial" w:eastAsia="Arial" w:hAnsi="Arial"/>
                <w:sz w:val="16"/>
                <w:szCs w:val="16"/>
                <w:color w:val="auto"/>
              </w:rPr>
              <w:t>16.4%</w:t>
            </w:r>
          </w:p>
        </w:tc>
        <w:tc>
          <w:tcPr>
            <w:tcW w:w="440" w:type="dxa"/>
            <w:vAlign w:val="bottom"/>
            <w:tcBorders>
              <w:bottom w:val="single" w:sz="8" w:color="auto"/>
              <w:right w:val="single" w:sz="8" w:color="auto"/>
            </w:tcBorders>
          </w:tcPr>
          <w:p>
            <w:pPr>
              <w:jc w:val="right"/>
              <w:spacing w:after="0" w:line="178" w:lineRule="exact"/>
              <w:rPr>
                <w:sz w:val="20"/>
                <w:szCs w:val="20"/>
                <w:color w:val="auto"/>
              </w:rPr>
            </w:pPr>
            <w:r>
              <w:rPr>
                <w:rFonts w:ascii="Arial" w:cs="Arial" w:eastAsia="Arial" w:hAnsi="Arial"/>
                <w:sz w:val="16"/>
                <w:szCs w:val="16"/>
                <w:color w:val="auto"/>
              </w:rPr>
              <w:t>1.3%</w:t>
            </w:r>
          </w:p>
        </w:tc>
        <w:tc>
          <w:tcPr>
            <w:tcW w:w="700" w:type="dxa"/>
            <w:vAlign w:val="bottom"/>
            <w:tcBorders>
              <w:bottom w:val="single" w:sz="8" w:color="auto"/>
            </w:tcBorders>
            <w:gridSpan w:val="2"/>
          </w:tcPr>
          <w:p>
            <w:pPr>
              <w:jc w:val="right"/>
              <w:spacing w:after="0" w:line="178" w:lineRule="exact"/>
              <w:rPr>
                <w:sz w:val="20"/>
                <w:szCs w:val="20"/>
                <w:color w:val="auto"/>
              </w:rPr>
            </w:pPr>
            <w:r>
              <w:rPr>
                <w:rFonts w:ascii="Arial" w:cs="Arial" w:eastAsia="Arial" w:hAnsi="Arial"/>
                <w:sz w:val="16"/>
                <w:szCs w:val="16"/>
                <w:color w:val="auto"/>
              </w:rPr>
              <w:t>42.8%</w:t>
            </w:r>
          </w:p>
        </w:tc>
        <w:tc>
          <w:tcPr>
            <w:tcW w:w="64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23.1%</w:t>
            </w:r>
          </w:p>
        </w:tc>
        <w:tc>
          <w:tcPr>
            <w:tcW w:w="500" w:type="dxa"/>
            <w:vAlign w:val="bottom"/>
            <w:tcBorders>
              <w:bottom w:val="single" w:sz="8" w:color="auto"/>
              <w:right w:val="single" w:sz="8" w:color="auto"/>
            </w:tcBorders>
            <w:gridSpan w:val="2"/>
          </w:tcPr>
          <w:p>
            <w:pPr>
              <w:jc w:val="right"/>
              <w:ind w:right="20"/>
              <w:spacing w:after="0" w:line="178" w:lineRule="exact"/>
              <w:rPr>
                <w:sz w:val="20"/>
                <w:szCs w:val="20"/>
                <w:color w:val="auto"/>
              </w:rPr>
            </w:pPr>
            <w:r>
              <w:rPr>
                <w:rFonts w:ascii="Arial" w:cs="Arial" w:eastAsia="Arial" w:hAnsi="Arial"/>
                <w:sz w:val="16"/>
                <w:szCs w:val="16"/>
                <w:color w:val="auto"/>
              </w:rPr>
              <w:t>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1583690</wp:posOffset>
            </wp:positionH>
            <wp:positionV relativeFrom="paragraph">
              <wp:posOffset>-1608455</wp:posOffset>
            </wp:positionV>
            <wp:extent cx="737870" cy="2355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37870" cy="235585"/>
                    </a:xfrm>
                    <a:prstGeom prst="rect">
                      <a:avLst/>
                    </a:prstGeom>
                    <a:noFill/>
                  </pic:spPr>
                </pic:pic>
              </a:graphicData>
            </a:graphic>
          </wp:anchor>
        </w:drawing>
      </w:r>
    </w:p>
    <w:p>
      <w:pPr>
        <w:spacing w:after="0" w:line="192" w:lineRule="exact"/>
        <w:rPr>
          <w:sz w:val="20"/>
          <w:szCs w:val="20"/>
          <w:color w:val="auto"/>
        </w:rPr>
      </w:pPr>
    </w:p>
    <w:p>
      <w:pPr>
        <w:sectPr>
          <w:pgSz w:w="11900" w:h="16838" w:orient="portrait"/>
          <w:cols w:equalWidth="0" w:num="2">
            <w:col w:w="7620" w:space="60"/>
            <w:col w:w="3660"/>
          </w:cols>
          <w:pgMar w:left="320" w:top="312" w:right="239" w:bottom="1440" w:gutter="0" w:footer="0" w:header="0"/>
          <w:type w:val="continuous"/>
        </w:sectPr>
      </w:pPr>
    </w:p>
    <w:p>
      <w:pPr>
        <w:spacing w:after="0"/>
        <w:rPr>
          <w:sz w:val="20"/>
          <w:szCs w:val="20"/>
          <w:color w:val="auto"/>
        </w:rPr>
      </w:pPr>
      <w:r>
        <w:rPr>
          <w:rFonts w:ascii="Arial" w:cs="Arial" w:eastAsia="Arial" w:hAnsi="Arial"/>
          <w:sz w:val="11"/>
          <w:szCs w:val="11"/>
          <w:color w:val="auto"/>
        </w:rPr>
        <w:t>(1) The yield calculation includes “Financial Expense associated with the insurance and reinsurance activity, net”.</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QoQ Analysis</w:t>
      </w:r>
    </w:p>
    <w:p>
      <w:pPr>
        <w:spacing w:after="0" w:line="199" w:lineRule="exact"/>
        <w:rPr>
          <w:sz w:val="20"/>
          <w:szCs w:val="20"/>
          <w:color w:val="auto"/>
        </w:rPr>
      </w:pPr>
    </w:p>
    <w:p>
      <w:pPr>
        <w:ind w:right="540"/>
        <w:spacing w:after="0" w:line="285" w:lineRule="auto"/>
        <w:rPr>
          <w:sz w:val="20"/>
          <w:szCs w:val="20"/>
          <w:color w:val="auto"/>
        </w:rPr>
      </w:pPr>
      <w:r>
        <w:rPr>
          <w:rFonts w:ascii="Arial" w:cs="Arial" w:eastAsia="Arial" w:hAnsi="Arial"/>
          <w:sz w:val="16"/>
          <w:szCs w:val="16"/>
          <w:color w:val="auto"/>
        </w:rPr>
        <w:t xml:space="preserve">QoQ, </w:t>
      </w:r>
      <w:r>
        <w:rPr>
          <w:rFonts w:ascii="Arial" w:cs="Arial" w:eastAsia="Arial" w:hAnsi="Arial"/>
          <w:sz w:val="16"/>
          <w:szCs w:val="16"/>
          <w:b w:val="1"/>
          <w:bCs w:val="1"/>
          <w:color w:val="auto"/>
        </w:rPr>
        <w:t>Net Interest Income</w:t>
      </w:r>
      <w:r>
        <w:rPr>
          <w:rFonts w:ascii="Arial" w:cs="Arial" w:eastAsia="Arial" w:hAnsi="Arial"/>
          <w:sz w:val="16"/>
          <w:szCs w:val="16"/>
          <w:color w:val="auto"/>
        </w:rPr>
        <w:t xml:space="preserve"> rose 1.6%, driven by growth in IEAs in LC and FC. IEAs in LC represented 57.7% of total IEAs and 71.3% of Net Interest Income generated in 3Q23.</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Local Currency Dynamics (LC)</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Net interest income in LC </w:t>
      </w:r>
      <w:r>
        <w:rPr>
          <w:rFonts w:ascii="Arial" w:cs="Arial" w:eastAsia="Arial" w:hAnsi="Arial"/>
          <w:sz w:val="16"/>
          <w:szCs w:val="16"/>
          <w:color w:val="auto"/>
        </w:rPr>
        <w:t>rose 2.1% due to the following dynamics:</w:t>
      </w:r>
    </w:p>
    <w:p>
      <w:pPr>
        <w:spacing w:after="0" w:line="207" w:lineRule="exact"/>
        <w:rPr>
          <w:sz w:val="20"/>
          <w:szCs w:val="20"/>
          <w:color w:val="auto"/>
        </w:rPr>
      </w:pPr>
    </w:p>
    <w:p>
      <w:pPr>
        <w:jc w:val="both"/>
        <w:ind w:right="100"/>
        <w:spacing w:after="0" w:line="252" w:lineRule="auto"/>
        <w:rPr>
          <w:sz w:val="20"/>
          <w:szCs w:val="20"/>
          <w:color w:val="auto"/>
        </w:rPr>
      </w:pPr>
      <w:r>
        <w:rPr>
          <w:rFonts w:ascii="Arial" w:cs="Arial" w:eastAsia="Arial" w:hAnsi="Arial"/>
          <w:sz w:val="16"/>
          <w:szCs w:val="16"/>
          <w:color w:val="auto"/>
        </w:rPr>
        <w:t>As was the case last quarter, Retail loans’ share of total IEA rose via an uptick in SME-Pyme loans; this evolution offset the drop recorded this Q in Wholesale Banking balances. This shift toward a heavier weight for retail in the structural loan composition led to a 3.0% increase in income on LC loans and was the primary driver of growth in interest income. Renewals of investments and deposits in other Banks at higher rates also contributed to growth in income. In this context, the yield on IEAs in LC rose from 10.5% in 2Q23 to 10.8% in 3Q23, which led to growth of 3.4% in financial income in LC in 3Q23.</w:t>
      </w:r>
    </w:p>
    <w:p>
      <w:pPr>
        <w:spacing w:after="0" w:line="154" w:lineRule="exact"/>
        <w:rPr>
          <w:sz w:val="20"/>
          <w:szCs w:val="20"/>
          <w:color w:val="auto"/>
        </w:rPr>
      </w:pPr>
    </w:p>
    <w:p>
      <w:pPr>
        <w:jc w:val="both"/>
        <w:ind w:right="100"/>
        <w:spacing w:after="0" w:line="252" w:lineRule="auto"/>
        <w:rPr>
          <w:sz w:val="20"/>
          <w:szCs w:val="20"/>
          <w:color w:val="auto"/>
        </w:rPr>
      </w:pPr>
      <w:r>
        <w:rPr>
          <w:rFonts w:ascii="Arial" w:cs="Arial" w:eastAsia="Arial" w:hAnsi="Arial"/>
          <w:sz w:val="16"/>
          <w:szCs w:val="16"/>
          <w:color w:val="auto"/>
        </w:rPr>
        <w:t>On the funding side, average daily balances in LC rose 0.4%, driven by an increase in the deposit balance (+0.7%), which was offset by expirations of repos (-1.5%) associated with Government loans and securities. The funding cost in LC rose to 3.7% in 3Q23, up from 3.4% last quarter. This evolution was driven by a shift in the deposit mix toward higher-rate deposits, which was reflected in an uptick in the share of time deposits. Consequently, interest expenses in LC rose 7.1% in 3Q23.</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Currency Dynamics (FC)</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Net Interest Income in FC </w:t>
      </w:r>
      <w:r>
        <w:rPr>
          <w:rFonts w:ascii="Arial" w:cs="Arial" w:eastAsia="Arial" w:hAnsi="Arial"/>
          <w:sz w:val="16"/>
          <w:szCs w:val="16"/>
          <w:color w:val="auto"/>
        </w:rPr>
        <w:t>was relatively stable (-0.1% QoQ) due to the following dynamics:</w:t>
      </w:r>
    </w:p>
    <w:p>
      <w:pPr>
        <w:spacing w:after="0" w:line="195" w:lineRule="exact"/>
        <w:rPr>
          <w:sz w:val="20"/>
          <w:szCs w:val="20"/>
          <w:color w:val="auto"/>
        </w:rPr>
      </w:pPr>
    </w:p>
    <w:p>
      <w:pPr>
        <w:jc w:val="both"/>
        <w:ind w:right="100"/>
        <w:spacing w:after="0" w:line="274" w:lineRule="auto"/>
        <w:rPr>
          <w:sz w:val="20"/>
          <w:szCs w:val="20"/>
          <w:color w:val="auto"/>
        </w:rPr>
      </w:pPr>
      <w:r>
        <w:rPr>
          <w:rFonts w:ascii="Arial" w:cs="Arial" w:eastAsia="Arial" w:hAnsi="Arial"/>
          <w:sz w:val="16"/>
          <w:szCs w:val="16"/>
          <w:color w:val="auto"/>
        </w:rPr>
        <w:t>Average IEA in foreign currency fell 08% QoQ due to a reduction in available funds (-7.2%). This contraction was partially offset, in order of contribution to impact, by growth in loans and an uptick in the investment balance.</w:t>
      </w:r>
    </w:p>
    <w:p>
      <w:pPr>
        <w:spacing w:after="0" w:line="136" w:lineRule="exact"/>
        <w:rPr>
          <w:sz w:val="20"/>
          <w:szCs w:val="20"/>
          <w:color w:val="auto"/>
        </w:rPr>
      </w:pPr>
    </w:p>
    <w:p>
      <w:pPr>
        <w:jc w:val="both"/>
        <w:ind w:right="100"/>
        <w:spacing w:after="0" w:line="258" w:lineRule="auto"/>
        <w:rPr>
          <w:sz w:val="20"/>
          <w:szCs w:val="20"/>
          <w:color w:val="auto"/>
        </w:rPr>
      </w:pPr>
      <w:r>
        <w:rPr>
          <w:rFonts w:ascii="Arial" w:cs="Arial" w:eastAsia="Arial" w:hAnsi="Arial"/>
          <w:sz w:val="16"/>
          <w:szCs w:val="16"/>
          <w:color w:val="auto"/>
        </w:rPr>
        <w:t>Nevertheless, the yield on average IEAs rose from 5.7% in 2Q23 to 5.9% in 2Q23 on the back of a more profitable mix, which was driven by the upticks in balances described earlier. It is important to note that the reduction in available funds did not lead to a relevant drop in interest income because this asset class has lower implicit rates. In this context, interest income in FC rose 4% in 3Q23.</w:t>
      </w:r>
    </w:p>
    <w:p>
      <w:pPr>
        <w:spacing w:after="0" w:line="148" w:lineRule="exact"/>
        <w:rPr>
          <w:sz w:val="20"/>
          <w:szCs w:val="20"/>
          <w:color w:val="auto"/>
        </w:rPr>
      </w:pPr>
    </w:p>
    <w:p>
      <w:pPr>
        <w:jc w:val="both"/>
        <w:ind w:right="100"/>
        <w:spacing w:after="0" w:line="258" w:lineRule="auto"/>
        <w:rPr>
          <w:sz w:val="20"/>
          <w:szCs w:val="20"/>
          <w:color w:val="auto"/>
        </w:rPr>
      </w:pPr>
      <w:r>
        <w:rPr>
          <w:rFonts w:ascii="Arial" w:cs="Arial" w:eastAsia="Arial" w:hAnsi="Arial"/>
          <w:sz w:val="16"/>
          <w:szCs w:val="16"/>
          <w:color w:val="auto"/>
        </w:rPr>
        <w:t>Average funding in FC was relatively stable (+0.1% QoQ) due to growth in average daily balances in obligations and issuances, which was partially offset by a drop in the deposit balance. These movements in the composition of FC funding led the cost of funding to increase from 2.4% in 2Q23 to 2.6% in 3Q23. Consequently, interest expenses rose 9.3% QoQ.</w:t>
      </w:r>
    </w:p>
    <w:p>
      <w:pPr>
        <w:spacing w:after="0" w:line="306" w:lineRule="exact"/>
        <w:rPr>
          <w:sz w:val="20"/>
          <w:szCs w:val="20"/>
          <w:color w:val="auto"/>
        </w:rPr>
      </w:pPr>
    </w:p>
    <w:p>
      <w:pPr>
        <w:jc w:val="right"/>
        <w:ind w:right="100"/>
        <w:spacing w:after="0"/>
        <w:rPr>
          <w:sz w:val="20"/>
          <w:szCs w:val="20"/>
          <w:color w:val="auto"/>
        </w:rPr>
      </w:pPr>
      <w:r>
        <w:rPr>
          <w:rFonts w:ascii="Arial" w:cs="Arial" w:eastAsia="Arial" w:hAnsi="Arial"/>
          <w:sz w:val="13"/>
          <w:szCs w:val="13"/>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43750" cy="158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340"/>
          </w:cols>
          <w:pgMar w:left="320" w:top="312" w:right="239" w:bottom="1440" w:gutter="0" w:footer="0" w:header="0"/>
          <w:type w:val="continuous"/>
        </w:sectPr>
      </w:pPr>
    </w:p>
    <w:bookmarkStart w:id="30" w:name="page31"/>
    <w:bookmarkEnd w:id="30"/>
    <w:p>
      <w:pPr>
        <w:ind w:left="2960"/>
        <w:spacing w:after="0"/>
        <w:tabs>
          <w:tab w:leader="none" w:pos="3140" w:val="left"/>
          <w:tab w:leader="none" w:pos="7700" w:val="left"/>
        </w:tabs>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202565</wp:posOffset>
            </wp:positionH>
            <wp:positionV relativeFrom="page">
              <wp:posOffset>88900</wp:posOffset>
            </wp:positionV>
            <wp:extent cx="7143750" cy="311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3750" cy="31115"/>
                    </a:xfrm>
                    <a:prstGeom prst="rect">
                      <a:avLst/>
                    </a:prstGeom>
                    <a:noFill/>
                  </pic:spPr>
                </pic:pic>
              </a:graphicData>
            </a:graphic>
          </wp:anchor>
        </w:drawing>
        <w:drawing>
          <wp:anchor simplePos="0" relativeHeight="251657728" behindDoc="1" locked="0" layoutInCell="0" allowOverlap="1">
            <wp:simplePos x="0" y="0"/>
            <wp:positionH relativeFrom="page">
              <wp:posOffset>202565</wp:posOffset>
            </wp:positionH>
            <wp:positionV relativeFrom="page">
              <wp:posOffset>167640</wp:posOffset>
            </wp:positionV>
            <wp:extent cx="7143750" cy="41592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3750" cy="415925"/>
                    </a:xfrm>
                    <a:prstGeom prst="rect">
                      <a:avLst/>
                    </a:prstGeom>
                    <a:noFill/>
                  </pic:spPr>
                </pic:pic>
              </a:graphicData>
            </a:graphic>
          </wp:anchor>
        </w:drawing>
        <w:t>|</w:t>
      </w:r>
      <w:r>
        <w:rPr>
          <w:sz w:val="20"/>
          <w:szCs w:val="20"/>
          <w:color w:val="auto"/>
        </w:rPr>
        <w:tab/>
      </w:r>
      <w:r>
        <w:rPr>
          <w:rFonts w:ascii="Arial" w:cs="Arial" w:eastAsia="Arial" w:hAnsi="Arial"/>
          <w:sz w:val="16"/>
          <w:szCs w:val="16"/>
          <w:b w:val="1"/>
          <w:bCs w:val="1"/>
          <w:color w:val="FFFFFF"/>
        </w:rPr>
        <w:t>Earnings Release 3Q / 2023</w:t>
      </w:r>
      <w:r>
        <w:rPr>
          <w:sz w:val="20"/>
          <w:szCs w:val="20"/>
          <w:color w:val="auto"/>
        </w:rPr>
        <w:tab/>
      </w:r>
      <w:r>
        <w:rPr>
          <w:rFonts w:ascii="Arial" w:cs="Arial" w:eastAsia="Arial" w:hAnsi="Arial"/>
          <w:sz w:val="18"/>
          <w:szCs w:val="18"/>
          <w:b w:val="1"/>
          <w:bCs w:val="1"/>
          <w:color w:val="E93CAC"/>
        </w:rPr>
        <w:t>Analysis of 3Q23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159385</wp:posOffset>
            </wp:positionV>
            <wp:extent cx="7143750" cy="1885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3750" cy="188595"/>
                    </a:xfrm>
                    <a:prstGeom prst="rect">
                      <a:avLst/>
                    </a:prstGeom>
                    <a:noFill/>
                  </pic:spPr>
                </pic:pic>
              </a:graphicData>
            </a:graphic>
          </wp:anchor>
        </w:drawing>
      </w:r>
    </w:p>
    <w:p>
      <w:pPr>
        <w:spacing w:after="0" w:line="25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FFFFFF"/>
        </w:rPr>
        <w:t>04. Net Interest Income (NII)</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YoY Analysis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YoY, </w:t>
      </w:r>
      <w:r>
        <w:rPr>
          <w:rFonts w:ascii="Arial" w:cs="Arial" w:eastAsia="Arial" w:hAnsi="Arial"/>
          <w:sz w:val="16"/>
          <w:szCs w:val="16"/>
          <w:b w:val="1"/>
          <w:bCs w:val="1"/>
          <w:color w:val="auto"/>
        </w:rPr>
        <w:t>Net Interest Income</w:t>
      </w:r>
      <w:r>
        <w:rPr>
          <w:rFonts w:ascii="Arial" w:cs="Arial" w:eastAsia="Arial" w:hAnsi="Arial"/>
          <w:sz w:val="16"/>
          <w:szCs w:val="16"/>
          <w:color w:val="auto"/>
        </w:rPr>
        <w:t xml:space="preserve"> rose 12.9%. This positive evolution took place despite drops in average IEA in LC (-1.2%) and FC (-3.2%).</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Local Currency Dynamics (LC)</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Net interest income in LC </w:t>
      </w:r>
      <w:r>
        <w:rPr>
          <w:rFonts w:ascii="Arial" w:cs="Arial" w:eastAsia="Arial" w:hAnsi="Arial"/>
          <w:sz w:val="16"/>
          <w:szCs w:val="16"/>
          <w:color w:val="auto"/>
        </w:rPr>
        <w:t>increased 7.5% YoY due to the following dynamics:</w:t>
      </w:r>
    </w:p>
    <w:p>
      <w:pPr>
        <w:spacing w:after="0" w:line="195"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Average IEA in LC fell 1.2% YoY due to a 5.5% contraction in loan balances, which was driven by amortizations of Government Loans (GP). It is important to note that average daily balances of structural loans rose 4.1% over the period. Another factor worth mentioning is the uptick reported in investment balances, which reflects strategies to capitalize on surplus liquidity in a context marked by high rates. In this context, the IEA yield rose from 9.3% in 2Q23 to 10.8% in 3Q23. Consequently, interest income in LC increased 14.8% YoY.</w:t>
      </w:r>
    </w:p>
    <w:p>
      <w:pPr>
        <w:spacing w:after="0" w:line="14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Average funding in LC dropped 4.3% YoY due to reductions in balances for due to banks and BCRP instruments. These movements were driven by expirations of repos for GP loans and securities. Despite the repos dynamic, the cost of funding rose 125 bps YoY up to 3.7%, due to fund migration from low-cost to time deposits. Consequently, the interest rate expense in LC rose 40.1% YoY in 3Q23.</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Currency Dynamics (FC)</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Net interest income in FC </w:t>
      </w:r>
      <w:r>
        <w:rPr>
          <w:rFonts w:ascii="Arial" w:cs="Arial" w:eastAsia="Arial" w:hAnsi="Arial"/>
          <w:sz w:val="16"/>
          <w:szCs w:val="16"/>
          <w:color w:val="auto"/>
        </w:rPr>
        <w:t>rose 35.6% YoY due to the following dynamics:</w:t>
      </w:r>
    </w:p>
    <w:p>
      <w:pPr>
        <w:spacing w:after="0" w:line="183"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Average IEA in FC dropped 3.2% YoY due primarily to a contraction in loans and secondarily to a drop in the balance of available funds. Despite the reduction in balances in both accounts, higher interest rates over the last 12 months have driven the yield on IEAs upward 180 bps. In this context interest income in LC rose 39.1% YoY.</w:t>
      </w:r>
    </w:p>
    <w:p>
      <w:pPr>
        <w:spacing w:after="0" w:line="14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Average funding in FC dropped 4.3% due primarily to a reduction in FC deposits and secondarily to a decrease in the balance for emissions, which reflects the expiration of a corporate bond in BCP over the period. The cost of funding YoY rose 86 bps, driven primarily by an uptick in rates associated with time deposits and secondarily by higher rates on obligations. In this context, interest expenses rose 43.5% YoY.</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YTD Analysis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YTD, </w:t>
      </w:r>
      <w:r>
        <w:rPr>
          <w:rFonts w:ascii="Arial" w:cs="Arial" w:eastAsia="Arial" w:hAnsi="Arial"/>
          <w:sz w:val="16"/>
          <w:szCs w:val="16"/>
          <w:b w:val="1"/>
          <w:bCs w:val="1"/>
          <w:color w:val="auto"/>
        </w:rPr>
        <w:t>Net Interest Income</w:t>
      </w:r>
      <w:r>
        <w:rPr>
          <w:rFonts w:ascii="Arial" w:cs="Arial" w:eastAsia="Arial" w:hAnsi="Arial"/>
          <w:sz w:val="16"/>
          <w:szCs w:val="16"/>
          <w:color w:val="auto"/>
        </w:rPr>
        <w:t xml:space="preserve"> rose 21.3%. This positive evolution took place despite drops in average IEA in LC (-1.9%) and FC (-5.1%).</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Local Currency Dynamics (LC)</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Net interest income in LC </w:t>
      </w:r>
      <w:r>
        <w:rPr>
          <w:rFonts w:ascii="Arial" w:cs="Arial" w:eastAsia="Arial" w:hAnsi="Arial"/>
          <w:sz w:val="16"/>
          <w:szCs w:val="16"/>
          <w:color w:val="auto"/>
        </w:rPr>
        <w:t>increased 11.0% YTD due to the following dynamics:</w:t>
      </w:r>
    </w:p>
    <w:p>
      <w:pPr>
        <w:spacing w:after="0" w:line="195"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YTD result at the end of Sep 23 was driven by dynamics similar to those seen YoY. Interest income rose 20.8% YTD, driven by a shift in the mix of structural loans toward a heavier weight in Retail and, to a lesser extent, by an increase in the investment balance. On the funding side, the volume fell, as was the case in the YoY comparison. YTD, the fact that the deposit mix was more heavily weighted toward time deposits led the interest expense to rise 62.4%.</w:t>
      </w: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Currency Dynamics (FC)</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Net interest income in FC </w:t>
      </w:r>
      <w:r>
        <w:rPr>
          <w:rFonts w:ascii="Arial" w:cs="Arial" w:eastAsia="Arial" w:hAnsi="Arial"/>
          <w:sz w:val="16"/>
          <w:szCs w:val="16"/>
          <w:color w:val="auto"/>
        </w:rPr>
        <w:t>rose 64.1% YTD due to the following dynamics:</w:t>
      </w:r>
    </w:p>
    <w:p>
      <w:pPr>
        <w:spacing w:after="0" w:line="183"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YTD, interest income in FC rose 64.7% as of Sep 23. This growth, which occurred despite a drop in volumes, was driven by higher rates on both loans and available funds. Interest expenses rose 58.5% YTD, driven by the same funding dynamics in play YoY.</w:t>
      </w:r>
    </w:p>
    <w:p>
      <w:pPr>
        <w:spacing w:after="0" w:line="28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43750" cy="158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460" w:right="339" w:bottom="1440" w:gutter="0" w:footer="0" w:header="0"/>
        </w:sectPr>
      </w:pPr>
    </w:p>
    <w:bookmarkStart w:id="31" w:name="page32"/>
    <w:bookmarkEnd w:id="31"/>
    <w:p>
      <w:pPr>
        <w:jc w:val="right"/>
        <w:spacing w:after="0"/>
        <w:tabs>
          <w:tab w:leader="none" w:pos="8060" w:val="left"/>
          <w:tab w:leader="none" w:pos="3340" w:val="left"/>
        </w:tabs>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202565</wp:posOffset>
            </wp:positionH>
            <wp:positionV relativeFrom="page">
              <wp:posOffset>88900</wp:posOffset>
            </wp:positionV>
            <wp:extent cx="7143750" cy="41592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3750" cy="415925"/>
                    </a:xfrm>
                    <a:prstGeom prst="rect">
                      <a:avLst/>
                    </a:prstGeom>
                    <a:noFill/>
                  </pic:spPr>
                </pic:pic>
              </a:graphicData>
            </a:graphic>
          </wp:anchor>
        </w:drawing>
        <w:t>|</w:t>
      </w:r>
      <w:r>
        <w:rPr>
          <w:sz w:val="20"/>
          <w:szCs w:val="20"/>
          <w:color w:val="auto"/>
        </w:rPr>
        <w:tab/>
      </w:r>
      <w:r>
        <w:rPr>
          <w:rFonts w:ascii="Arial" w:cs="Arial" w:eastAsia="Arial" w:hAnsi="Arial"/>
          <w:sz w:val="16"/>
          <w:szCs w:val="16"/>
          <w:b w:val="1"/>
          <w:bCs w:val="1"/>
          <w:color w:val="FFFFFF"/>
        </w:rPr>
        <w:t>Earnings Release 3Q / 2023</w:t>
      </w:r>
      <w:r>
        <w:rPr>
          <w:sz w:val="20"/>
          <w:szCs w:val="20"/>
          <w:color w:val="auto"/>
        </w:rPr>
        <w:tab/>
      </w:r>
      <w:r>
        <w:rPr>
          <w:rFonts w:ascii="Arial" w:cs="Arial" w:eastAsia="Arial" w:hAnsi="Arial"/>
          <w:sz w:val="18"/>
          <w:szCs w:val="18"/>
          <w:b w:val="1"/>
          <w:bCs w:val="1"/>
          <w:color w:val="E93CAC"/>
        </w:rPr>
        <w:t>Analysis of 3Q23 Consolidated Results</w:t>
      </w:r>
    </w:p>
    <w:p>
      <w:pPr>
        <w:spacing w:after="0" w:line="191" w:lineRule="exact"/>
        <w:rPr>
          <w:sz w:val="20"/>
          <w:szCs w:val="20"/>
          <w:color w:val="auto"/>
        </w:rPr>
      </w:pPr>
    </w:p>
    <w:p>
      <w:pPr>
        <w:ind w:left="1"/>
        <w:spacing w:after="0"/>
        <w:rPr>
          <w:sz w:val="20"/>
          <w:szCs w:val="20"/>
          <w:color w:val="auto"/>
        </w:rPr>
      </w:pPr>
      <w:r>
        <w:rPr>
          <w:rFonts w:ascii="Arial" w:cs="Arial" w:eastAsia="Arial" w:hAnsi="Arial"/>
          <w:sz w:val="48"/>
          <w:szCs w:val="48"/>
          <w:b w:val="1"/>
          <w:bCs w:val="1"/>
          <w:color w:val="E93CAC"/>
        </w:rPr>
        <w:t xml:space="preserve">05  </w:t>
      </w:r>
      <w:r>
        <w:rPr>
          <w:rFonts w:ascii="Arial" w:cs="Arial" w:eastAsia="Arial" w:hAnsi="Arial"/>
          <w:sz w:val="29"/>
          <w:szCs w:val="29"/>
          <w:color w:val="E93CAC"/>
        </w:rPr>
        <w:t>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7143750" cy="13893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3750" cy="1389380"/>
                    </a:xfrm>
                    <a:prstGeom prst="rect">
                      <a:avLst/>
                    </a:prstGeom>
                    <a:noFill/>
                  </pic:spPr>
                </pic:pic>
              </a:graphicData>
            </a:graphic>
          </wp:anchor>
        </w:drawing>
      </w:r>
    </w:p>
    <w:p>
      <w:pPr>
        <w:spacing w:after="0" w:line="217" w:lineRule="exact"/>
        <w:rPr>
          <w:sz w:val="20"/>
          <w:szCs w:val="20"/>
          <w:color w:val="auto"/>
        </w:rPr>
      </w:pPr>
    </w:p>
    <w:p>
      <w:pPr>
        <w:jc w:val="both"/>
        <w:ind w:left="121" w:right="100"/>
        <w:spacing w:after="0" w:line="248" w:lineRule="auto"/>
        <w:rPr>
          <w:sz w:val="20"/>
          <w:szCs w:val="20"/>
          <w:color w:val="auto"/>
        </w:rPr>
      </w:pPr>
      <w:r>
        <w:rPr>
          <w:rFonts w:ascii="Arial" w:cs="Arial" w:eastAsia="Arial" w:hAnsi="Arial"/>
          <w:sz w:val="16"/>
          <w:szCs w:val="16"/>
          <w:color w:val="FFFFFF"/>
        </w:rPr>
        <w:t>Structural provisions remain at historical highs (without considering the pandemic) for Consumer Loans, Credit Cards and SME- Pyme at BCP and for Mibanco loans due to a recessive environment impacted by high inflation, low internal demand and high interest rates. Growth in provisions at BCP was spurred by i) vulnerable sub-segments in Individuals, customers who are overindebted at the system level and have less job stability; ii) higher-risk subsegments with lower tickets in SME-Pyme; and iii) Mortgage, after recognizing higher expected losses for certain clients who have become delinquent in consumer products or at other financial institutions. At Mibanco, the uptick in provisions was driven by a downturn in payment of customers who are overindebted, affected by social conflicts, or impacted by climatic anomalies.</w:t>
      </w:r>
    </w:p>
    <w:p>
      <w:pPr>
        <w:spacing w:after="0" w:line="157" w:lineRule="exact"/>
        <w:rPr>
          <w:sz w:val="20"/>
          <w:szCs w:val="20"/>
          <w:color w:val="auto"/>
        </w:rPr>
      </w:pPr>
    </w:p>
    <w:p>
      <w:pPr>
        <w:jc w:val="both"/>
        <w:ind w:left="121" w:right="100"/>
        <w:spacing w:after="0" w:line="274" w:lineRule="auto"/>
        <w:rPr>
          <w:sz w:val="20"/>
          <w:szCs w:val="20"/>
          <w:color w:val="auto"/>
        </w:rPr>
      </w:pPr>
      <w:r>
        <w:rPr>
          <w:rFonts w:ascii="Arial" w:cs="Arial" w:eastAsia="Arial" w:hAnsi="Arial"/>
          <w:sz w:val="16"/>
          <w:szCs w:val="16"/>
          <w:color w:val="FFFFFF"/>
        </w:rPr>
        <w:t>In the aforementioned context, the Structural Cost of Risk (CofR) rose 23 bps QoQ and 134 bps YoY to stand at 2.6%. YTD, the Structural CofR rose 130 bps to stand at 2.3%.</w:t>
      </w:r>
    </w:p>
    <w:p>
      <w:pPr>
        <w:spacing w:after="0" w:line="136" w:lineRule="exact"/>
        <w:rPr>
          <w:sz w:val="20"/>
          <w:szCs w:val="20"/>
          <w:color w:val="auto"/>
        </w:rPr>
      </w:pPr>
    </w:p>
    <w:p>
      <w:pPr>
        <w:ind w:left="121"/>
        <w:spacing w:after="0"/>
        <w:rPr>
          <w:sz w:val="20"/>
          <w:szCs w:val="20"/>
          <w:color w:val="auto"/>
        </w:rPr>
      </w:pPr>
      <w:r>
        <w:rPr>
          <w:rFonts w:ascii="Arial" w:cs="Arial" w:eastAsia="Arial" w:hAnsi="Arial"/>
          <w:sz w:val="16"/>
          <w:szCs w:val="16"/>
          <w:color w:val="FFFFFF"/>
        </w:rPr>
        <w:t>The CofR rose 28 bps QoQ and 131 bps YoY to stand at 2.5%. YTD, the CofR rose 130 bps to stand at 2.2%.</w:t>
      </w:r>
    </w:p>
    <w:p>
      <w:pPr>
        <w:spacing w:after="0" w:line="228"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Provisions and Cost of Risk</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Provisions and the Cost of Risk (CoR)</w:t>
      </w:r>
      <w:r>
        <w:rPr>
          <w:rFonts w:ascii="Arial" w:cs="Arial" w:eastAsia="Arial" w:hAnsi="Arial"/>
          <w:sz w:val="27"/>
          <w:szCs w:val="27"/>
          <w:b w:val="1"/>
          <w:bCs w:val="1"/>
          <w:color w:val="auto"/>
          <w:vertAlign w:val="superscript"/>
        </w:rPr>
        <w:t>1</w:t>
      </w:r>
      <w:r>
        <w:rPr>
          <w:rFonts w:ascii="Arial" w:cs="Arial" w:eastAsia="Arial" w:hAnsi="Arial"/>
          <w:sz w:val="16"/>
          <w:szCs w:val="16"/>
          <w:b w:val="1"/>
          <w:bCs w:val="1"/>
          <w:color w:val="auto"/>
        </w:rPr>
        <w:t xml:space="preserve"> of the Structural Loans Portfolio</w:t>
      </w:r>
    </w:p>
    <w:p>
      <w:pPr>
        <w:spacing w:after="0" w:line="131" w:lineRule="exact"/>
        <w:rPr>
          <w:sz w:val="20"/>
          <w:szCs w:val="20"/>
          <w:color w:val="auto"/>
        </w:rPr>
      </w:pPr>
    </w:p>
    <w:tbl>
      <w:tblPr>
        <w:tblLayout w:type="fixed"/>
        <w:tblInd w:w="11" w:type="dxa"/>
        <w:tblCellMar>
          <w:top w:w="0" w:type="dxa"/>
          <w:left w:w="0" w:type="dxa"/>
          <w:bottom w:w="0" w:type="dxa"/>
          <w:right w:w="0" w:type="dxa"/>
        </w:tblCellMar>
      </w:tblPr>
      <w:tr>
        <w:trPr>
          <w:trHeight w:val="177"/>
        </w:trPr>
        <w:tc>
          <w:tcPr>
            <w:tcW w:w="4020" w:type="dxa"/>
            <w:vAlign w:val="bottom"/>
            <w:tcBorders>
              <w:top w:val="single" w:sz="8" w:color="auto"/>
              <w:left w:val="single" w:sz="8" w:color="auto"/>
            </w:tcBorders>
            <w:shd w:val="clear" w:color="auto" w:fill="2AD2C9"/>
          </w:tcPr>
          <w:p>
            <w:pPr>
              <w:ind w:left="20"/>
              <w:spacing w:after="0" w:line="177" w:lineRule="exact"/>
              <w:rPr>
                <w:sz w:val="20"/>
                <w:szCs w:val="20"/>
                <w:color w:val="auto"/>
              </w:rPr>
            </w:pPr>
            <w:r>
              <w:rPr>
                <w:rFonts w:ascii="Arial" w:cs="Arial" w:eastAsia="Arial" w:hAnsi="Arial"/>
                <w:sz w:val="16"/>
                <w:szCs w:val="16"/>
                <w:b w:val="1"/>
                <w:bCs w:val="1"/>
                <w:color w:val="FFFFFF"/>
              </w:rPr>
              <w:t>Structural Loan Portfolio Provisions</w:t>
            </w:r>
          </w:p>
        </w:tc>
        <w:tc>
          <w:tcPr>
            <w:tcW w:w="900" w:type="dxa"/>
            <w:vAlign w:val="bottom"/>
            <w:tcBorders>
              <w:top w:val="single" w:sz="8" w:color="auto"/>
              <w:right w:val="single" w:sz="8" w:color="auto"/>
            </w:tcBorders>
            <w:shd w:val="clear" w:color="auto" w:fill="2AD2C9"/>
          </w:tcPr>
          <w:p>
            <w:pPr>
              <w:spacing w:after="0"/>
              <w:rPr>
                <w:sz w:val="15"/>
                <w:szCs w:val="15"/>
                <w:color w:val="auto"/>
              </w:rPr>
            </w:pPr>
          </w:p>
        </w:tc>
        <w:tc>
          <w:tcPr>
            <w:tcW w:w="740" w:type="dxa"/>
            <w:vAlign w:val="bottom"/>
            <w:tcBorders>
              <w:top w:val="single" w:sz="8" w:color="auto"/>
            </w:tcBorders>
            <w:shd w:val="clear" w:color="auto" w:fill="2AD2C9"/>
          </w:tcPr>
          <w:p>
            <w:pPr>
              <w:spacing w:after="0"/>
              <w:rPr>
                <w:sz w:val="15"/>
                <w:szCs w:val="15"/>
                <w:color w:val="auto"/>
              </w:rPr>
            </w:pPr>
          </w:p>
        </w:tc>
        <w:tc>
          <w:tcPr>
            <w:tcW w:w="700" w:type="dxa"/>
            <w:vAlign w:val="bottom"/>
            <w:tcBorders>
              <w:top w:val="single" w:sz="8" w:color="auto"/>
            </w:tcBorders>
            <w:shd w:val="clear" w:color="auto" w:fill="2AD2C9"/>
          </w:tcPr>
          <w:p>
            <w:pPr>
              <w:jc w:val="right"/>
              <w:spacing w:after="0" w:line="177" w:lineRule="exact"/>
              <w:rPr>
                <w:sz w:val="20"/>
                <w:szCs w:val="20"/>
                <w:color w:val="auto"/>
              </w:rPr>
            </w:pPr>
            <w:r>
              <w:rPr>
                <w:rFonts w:ascii="Arial" w:cs="Arial" w:eastAsia="Arial" w:hAnsi="Arial"/>
                <w:sz w:val="16"/>
                <w:szCs w:val="16"/>
                <w:b w:val="1"/>
                <w:bCs w:val="1"/>
                <w:color w:val="FFFFFF"/>
              </w:rPr>
              <w:t>Quarter</w:t>
            </w:r>
          </w:p>
        </w:tc>
        <w:tc>
          <w:tcPr>
            <w:tcW w:w="740" w:type="dxa"/>
            <w:vAlign w:val="bottom"/>
            <w:tcBorders>
              <w:top w:val="single" w:sz="8" w:color="auto"/>
              <w:right w:val="single" w:sz="8" w:color="auto"/>
            </w:tcBorders>
            <w:shd w:val="clear" w:color="auto" w:fill="2AD2C9"/>
          </w:tcPr>
          <w:p>
            <w:pPr>
              <w:spacing w:after="0"/>
              <w:rPr>
                <w:sz w:val="15"/>
                <w:szCs w:val="15"/>
                <w:color w:val="auto"/>
              </w:rPr>
            </w:pPr>
          </w:p>
        </w:tc>
        <w:tc>
          <w:tcPr>
            <w:tcW w:w="1160" w:type="dxa"/>
            <w:vAlign w:val="bottom"/>
            <w:tcBorders>
              <w:top w:val="single" w:sz="8" w:color="auto"/>
              <w:right w:val="single" w:sz="8" w:color="auto"/>
            </w:tcBorders>
            <w:gridSpan w:val="2"/>
            <w:shd w:val="clear" w:color="auto" w:fill="2AD2C9"/>
          </w:tcPr>
          <w:p>
            <w:pPr>
              <w:ind w:left="180"/>
              <w:spacing w:after="0" w:line="177" w:lineRule="exact"/>
              <w:rPr>
                <w:sz w:val="20"/>
                <w:szCs w:val="20"/>
                <w:color w:val="auto"/>
              </w:rPr>
            </w:pPr>
            <w:r>
              <w:rPr>
                <w:rFonts w:ascii="Arial" w:cs="Arial" w:eastAsia="Arial" w:hAnsi="Arial"/>
                <w:sz w:val="16"/>
                <w:szCs w:val="16"/>
                <w:b w:val="1"/>
                <w:bCs w:val="1"/>
                <w:color w:val="FFFFFF"/>
              </w:rPr>
              <w:t>% change</w:t>
            </w:r>
          </w:p>
        </w:tc>
        <w:tc>
          <w:tcPr>
            <w:tcW w:w="1740" w:type="dxa"/>
            <w:vAlign w:val="bottom"/>
            <w:tcBorders>
              <w:top w:val="single" w:sz="8" w:color="auto"/>
              <w:right w:val="single" w:sz="8" w:color="auto"/>
            </w:tcBorders>
            <w:gridSpan w:val="2"/>
            <w:shd w:val="clear" w:color="auto" w:fill="2AD2C9"/>
          </w:tcPr>
          <w:p>
            <w:pPr>
              <w:jc w:val="right"/>
              <w:ind w:right="598"/>
              <w:spacing w:after="0" w:line="177" w:lineRule="exact"/>
              <w:rPr>
                <w:sz w:val="20"/>
                <w:szCs w:val="20"/>
                <w:color w:val="auto"/>
              </w:rPr>
            </w:pPr>
            <w:r>
              <w:rPr>
                <w:rFonts w:ascii="Arial" w:cs="Arial" w:eastAsia="Arial" w:hAnsi="Arial"/>
                <w:sz w:val="16"/>
                <w:szCs w:val="16"/>
                <w:b w:val="1"/>
                <w:bCs w:val="1"/>
                <w:color w:val="FFFFFF"/>
              </w:rPr>
              <w:t>Up to</w:t>
            </w:r>
          </w:p>
        </w:tc>
        <w:tc>
          <w:tcPr>
            <w:tcW w:w="1260" w:type="dxa"/>
            <w:vAlign w:val="bottom"/>
            <w:tcBorders>
              <w:top w:val="single" w:sz="8" w:color="auto"/>
              <w:right w:val="single" w:sz="8" w:color="auto"/>
            </w:tcBorders>
            <w:shd w:val="clear" w:color="auto" w:fill="2AD2C9"/>
          </w:tcPr>
          <w:p>
            <w:pPr>
              <w:jc w:val="center"/>
              <w:spacing w:after="0" w:line="177" w:lineRule="exact"/>
              <w:rPr>
                <w:sz w:val="20"/>
                <w:szCs w:val="20"/>
                <w:color w:val="auto"/>
              </w:rPr>
            </w:pPr>
            <w:r>
              <w:rPr>
                <w:rFonts w:ascii="Arial" w:cs="Arial" w:eastAsia="Arial" w:hAnsi="Arial"/>
                <w:sz w:val="16"/>
                <w:szCs w:val="16"/>
                <w:b w:val="1"/>
                <w:bCs w:val="1"/>
                <w:color w:val="FFFFFF"/>
              </w:rPr>
              <w:t>% change</w:t>
            </w:r>
          </w:p>
        </w:tc>
      </w:tr>
      <w:tr>
        <w:trPr>
          <w:trHeight w:val="206"/>
        </w:trPr>
        <w:tc>
          <w:tcPr>
            <w:tcW w:w="4020" w:type="dxa"/>
            <w:vAlign w:val="bottom"/>
            <w:tcBorders>
              <w:left w:val="single" w:sz="8" w:color="auto"/>
              <w:bottom w:val="single" w:sz="8" w:color="auto"/>
            </w:tcBorders>
            <w:shd w:val="clear" w:color="auto" w:fill="2AD2C9"/>
          </w:tcPr>
          <w:p>
            <w:pPr>
              <w:ind w:left="20"/>
              <w:spacing w:after="0"/>
              <w:rPr>
                <w:sz w:val="20"/>
                <w:szCs w:val="20"/>
                <w:color w:val="auto"/>
              </w:rPr>
            </w:pPr>
            <w:r>
              <w:rPr>
                <w:rFonts w:ascii="Arial" w:cs="Arial" w:eastAsia="Arial" w:hAnsi="Arial"/>
                <w:sz w:val="16"/>
                <w:szCs w:val="16"/>
                <w:b w:val="1"/>
                <w:bCs w:val="1"/>
                <w:color w:val="FFFFFF"/>
              </w:rPr>
              <w:t>S/ 000</w:t>
            </w:r>
          </w:p>
        </w:tc>
        <w:tc>
          <w:tcPr>
            <w:tcW w:w="900" w:type="dxa"/>
            <w:vAlign w:val="bottom"/>
            <w:tcBorders>
              <w:bottom w:val="single" w:sz="8" w:color="auto"/>
              <w:right w:val="single" w:sz="8" w:color="auto"/>
            </w:tcBorders>
            <w:shd w:val="clear" w:color="auto" w:fill="2AD2C9"/>
          </w:tcPr>
          <w:p>
            <w:pPr>
              <w:spacing w:after="0"/>
              <w:rPr>
                <w:sz w:val="17"/>
                <w:szCs w:val="17"/>
                <w:color w:val="auto"/>
              </w:rPr>
            </w:pPr>
          </w:p>
        </w:tc>
        <w:tc>
          <w:tcPr>
            <w:tcW w:w="740" w:type="dxa"/>
            <w:vAlign w:val="bottom"/>
            <w:tcBorders>
              <w:bottom w:val="single" w:sz="8" w:color="auto"/>
            </w:tcBorders>
            <w:shd w:val="clear" w:color="auto" w:fill="2AD2C9"/>
          </w:tcPr>
          <w:p>
            <w:pPr>
              <w:jc w:val="right"/>
              <w:ind w:right="118"/>
              <w:spacing w:after="0"/>
              <w:rPr>
                <w:sz w:val="20"/>
                <w:szCs w:val="20"/>
                <w:color w:val="auto"/>
              </w:rPr>
            </w:pPr>
            <w:r>
              <w:rPr>
                <w:rFonts w:ascii="Arial" w:cs="Arial" w:eastAsia="Arial" w:hAnsi="Arial"/>
                <w:sz w:val="16"/>
                <w:szCs w:val="16"/>
                <w:b w:val="1"/>
                <w:bCs w:val="1"/>
                <w:color w:val="FFFFFF"/>
              </w:rPr>
              <w:t>3Q22</w:t>
            </w:r>
          </w:p>
        </w:tc>
        <w:tc>
          <w:tcPr>
            <w:tcW w:w="700" w:type="dxa"/>
            <w:vAlign w:val="bottom"/>
            <w:tcBorders>
              <w:bottom w:val="single" w:sz="8" w:color="auto"/>
            </w:tcBorders>
            <w:shd w:val="clear" w:color="auto" w:fill="2AD2C9"/>
          </w:tcPr>
          <w:p>
            <w:pPr>
              <w:jc w:val="right"/>
              <w:ind w:right="98"/>
              <w:spacing w:after="0"/>
              <w:rPr>
                <w:sz w:val="20"/>
                <w:szCs w:val="20"/>
                <w:color w:val="auto"/>
              </w:rPr>
            </w:pPr>
            <w:r>
              <w:rPr>
                <w:rFonts w:ascii="Arial" w:cs="Arial" w:eastAsia="Arial" w:hAnsi="Arial"/>
                <w:sz w:val="16"/>
                <w:szCs w:val="16"/>
                <w:b w:val="1"/>
                <w:bCs w:val="1"/>
                <w:color w:val="FFFFFF"/>
              </w:rPr>
              <w:t>2Q23</w:t>
            </w:r>
          </w:p>
        </w:tc>
        <w:tc>
          <w:tcPr>
            <w:tcW w:w="740" w:type="dxa"/>
            <w:vAlign w:val="bottom"/>
            <w:tcBorders>
              <w:bottom w:val="single" w:sz="8" w:color="auto"/>
              <w:right w:val="single" w:sz="8" w:color="auto"/>
            </w:tcBorders>
            <w:shd w:val="clear" w:color="auto" w:fill="2AD2C9"/>
          </w:tcPr>
          <w:p>
            <w:pPr>
              <w:jc w:val="right"/>
              <w:ind w:right="118"/>
              <w:spacing w:after="0"/>
              <w:rPr>
                <w:sz w:val="20"/>
                <w:szCs w:val="20"/>
                <w:color w:val="auto"/>
              </w:rPr>
            </w:pPr>
            <w:r>
              <w:rPr>
                <w:rFonts w:ascii="Arial" w:cs="Arial" w:eastAsia="Arial" w:hAnsi="Arial"/>
                <w:sz w:val="16"/>
                <w:szCs w:val="16"/>
                <w:b w:val="1"/>
                <w:bCs w:val="1"/>
                <w:color w:val="FFFFFF"/>
              </w:rPr>
              <w:t>3Q23</w:t>
            </w:r>
          </w:p>
        </w:tc>
        <w:tc>
          <w:tcPr>
            <w:tcW w:w="520" w:type="dxa"/>
            <w:vAlign w:val="bottom"/>
            <w:tcBorders>
              <w:bottom w:val="single" w:sz="8" w:color="auto"/>
            </w:tcBorders>
            <w:shd w:val="clear" w:color="auto" w:fill="2AD2C9"/>
          </w:tcPr>
          <w:p>
            <w:pPr>
              <w:ind w:left="80"/>
              <w:spacing w:after="0"/>
              <w:rPr>
                <w:sz w:val="20"/>
                <w:szCs w:val="20"/>
                <w:color w:val="auto"/>
              </w:rPr>
            </w:pPr>
            <w:r>
              <w:rPr>
                <w:rFonts w:ascii="Arial" w:cs="Arial" w:eastAsia="Arial" w:hAnsi="Arial"/>
                <w:sz w:val="16"/>
                <w:szCs w:val="16"/>
                <w:b w:val="1"/>
                <w:bCs w:val="1"/>
                <w:color w:val="FFFFFF"/>
              </w:rPr>
              <w:t>QoQ</w:t>
            </w:r>
          </w:p>
        </w:tc>
        <w:tc>
          <w:tcPr>
            <w:tcW w:w="640" w:type="dxa"/>
            <w:vAlign w:val="bottom"/>
            <w:tcBorders>
              <w:bottom w:val="single" w:sz="8" w:color="auto"/>
              <w:right w:val="single" w:sz="8" w:color="auto"/>
            </w:tcBorders>
            <w:shd w:val="clear" w:color="auto" w:fill="2AD2C9"/>
          </w:tcPr>
          <w:p>
            <w:pPr>
              <w:ind w:left="140"/>
              <w:spacing w:after="0"/>
              <w:rPr>
                <w:sz w:val="20"/>
                <w:szCs w:val="20"/>
                <w:color w:val="auto"/>
              </w:rPr>
            </w:pPr>
            <w:r>
              <w:rPr>
                <w:rFonts w:ascii="Arial" w:cs="Arial" w:eastAsia="Arial" w:hAnsi="Arial"/>
                <w:sz w:val="16"/>
                <w:szCs w:val="16"/>
                <w:b w:val="1"/>
                <w:bCs w:val="1"/>
                <w:color w:val="FFFFFF"/>
              </w:rPr>
              <w:t>YoY</w:t>
            </w:r>
          </w:p>
        </w:tc>
        <w:tc>
          <w:tcPr>
            <w:tcW w:w="940" w:type="dxa"/>
            <w:vAlign w:val="bottom"/>
            <w:tcBorders>
              <w:bottom w:val="single" w:sz="8" w:color="auto"/>
            </w:tcBorders>
            <w:shd w:val="clear" w:color="auto" w:fill="2AD2C9"/>
          </w:tcPr>
          <w:p>
            <w:pPr>
              <w:jc w:val="right"/>
              <w:ind w:right="178"/>
              <w:spacing w:after="0"/>
              <w:rPr>
                <w:sz w:val="20"/>
                <w:szCs w:val="20"/>
                <w:color w:val="auto"/>
              </w:rPr>
            </w:pPr>
            <w:r>
              <w:rPr>
                <w:rFonts w:ascii="Arial" w:cs="Arial" w:eastAsia="Arial" w:hAnsi="Arial"/>
                <w:sz w:val="16"/>
                <w:szCs w:val="16"/>
                <w:b w:val="1"/>
                <w:bCs w:val="1"/>
                <w:color w:val="FFFFFF"/>
              </w:rPr>
              <w:t>Sep 22</w:t>
            </w:r>
          </w:p>
        </w:tc>
        <w:tc>
          <w:tcPr>
            <w:tcW w:w="800" w:type="dxa"/>
            <w:vAlign w:val="bottom"/>
            <w:tcBorders>
              <w:bottom w:val="single" w:sz="8" w:color="auto"/>
              <w:right w:val="single" w:sz="8" w:color="auto"/>
            </w:tcBorders>
            <w:shd w:val="clear" w:color="auto" w:fill="2AD2C9"/>
          </w:tcPr>
          <w:p>
            <w:pPr>
              <w:jc w:val="right"/>
              <w:ind w:right="118"/>
              <w:spacing w:after="0"/>
              <w:rPr>
                <w:sz w:val="20"/>
                <w:szCs w:val="20"/>
                <w:color w:val="auto"/>
              </w:rPr>
            </w:pPr>
            <w:r>
              <w:rPr>
                <w:rFonts w:ascii="Arial" w:cs="Arial" w:eastAsia="Arial" w:hAnsi="Arial"/>
                <w:sz w:val="16"/>
                <w:szCs w:val="16"/>
                <w:b w:val="1"/>
                <w:bCs w:val="1"/>
                <w:color w:val="FFFFFF"/>
              </w:rPr>
              <w:t>Sep 23</w:t>
            </w:r>
          </w:p>
        </w:tc>
        <w:tc>
          <w:tcPr>
            <w:tcW w:w="126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6"/>
                <w:szCs w:val="16"/>
                <w:b w:val="1"/>
                <w:bCs w:val="1"/>
                <w:color w:val="FFFFFF"/>
              </w:rPr>
              <w:t>Sep 23 / Sep 22</w:t>
            </w:r>
          </w:p>
        </w:tc>
      </w:tr>
      <w:tr>
        <w:trPr>
          <w:trHeight w:val="165"/>
        </w:trPr>
        <w:tc>
          <w:tcPr>
            <w:tcW w:w="4020" w:type="dxa"/>
            <w:vAlign w:val="bottom"/>
            <w:tcBorders>
              <w:left w:val="single" w:sz="8" w:color="auto"/>
            </w:tcBorders>
          </w:tcPr>
          <w:p>
            <w:pPr>
              <w:ind w:left="20"/>
              <w:spacing w:after="0" w:line="165" w:lineRule="exact"/>
              <w:rPr>
                <w:sz w:val="20"/>
                <w:szCs w:val="20"/>
                <w:color w:val="auto"/>
              </w:rPr>
            </w:pPr>
            <w:r>
              <w:rPr>
                <w:rFonts w:ascii="Arial" w:cs="Arial" w:eastAsia="Arial" w:hAnsi="Arial"/>
                <w:sz w:val="16"/>
                <w:szCs w:val="16"/>
                <w:color w:val="auto"/>
              </w:rPr>
              <w:t>Gross provision for credit losses on loan portfolio</w:t>
            </w:r>
          </w:p>
        </w:tc>
        <w:tc>
          <w:tcPr>
            <w:tcW w:w="900" w:type="dxa"/>
            <w:vAlign w:val="bottom"/>
            <w:tcBorders>
              <w:right w:val="single" w:sz="8" w:color="auto"/>
            </w:tcBorders>
          </w:tcPr>
          <w:p>
            <w:pPr>
              <w:spacing w:after="0"/>
              <w:rPr>
                <w:sz w:val="14"/>
                <w:szCs w:val="14"/>
                <w:color w:val="auto"/>
              </w:rPr>
            </w:pPr>
          </w:p>
        </w:tc>
        <w:tc>
          <w:tcPr>
            <w:tcW w:w="1440" w:type="dxa"/>
            <w:vAlign w:val="bottom"/>
            <w:gridSpan w:val="2"/>
          </w:tcPr>
          <w:p>
            <w:pPr>
              <w:jc w:val="right"/>
              <w:spacing w:after="0" w:line="165" w:lineRule="exact"/>
              <w:rPr>
                <w:sz w:val="20"/>
                <w:szCs w:val="20"/>
                <w:color w:val="auto"/>
              </w:rPr>
            </w:pPr>
            <w:r>
              <w:rPr>
                <w:rFonts w:ascii="Arial" w:cs="Arial" w:eastAsia="Arial" w:hAnsi="Arial"/>
                <w:sz w:val="16"/>
                <w:szCs w:val="16"/>
                <w:color w:val="auto"/>
              </w:rPr>
              <w:t>(505,657)(882,156)</w:t>
            </w:r>
          </w:p>
        </w:tc>
        <w:tc>
          <w:tcPr>
            <w:tcW w:w="740" w:type="dxa"/>
            <w:vAlign w:val="bottom"/>
            <w:tcBorders>
              <w:right w:val="single" w:sz="8" w:color="auto"/>
            </w:tcBorders>
          </w:tcPr>
          <w:p>
            <w:pPr>
              <w:jc w:val="right"/>
              <w:spacing w:after="0" w:line="165" w:lineRule="exact"/>
              <w:rPr>
                <w:sz w:val="20"/>
                <w:szCs w:val="20"/>
                <w:color w:val="auto"/>
              </w:rPr>
            </w:pPr>
            <w:r>
              <w:rPr>
                <w:rFonts w:ascii="Arial" w:cs="Arial" w:eastAsia="Arial" w:hAnsi="Arial"/>
                <w:sz w:val="16"/>
                <w:szCs w:val="16"/>
                <w:color w:val="auto"/>
              </w:rPr>
              <w:t>(990,266)</w:t>
            </w:r>
          </w:p>
        </w:tc>
        <w:tc>
          <w:tcPr>
            <w:tcW w:w="520" w:type="dxa"/>
            <w:vAlign w:val="bottom"/>
          </w:tcPr>
          <w:p>
            <w:pPr>
              <w:ind w:left="20"/>
              <w:spacing w:after="0" w:line="165" w:lineRule="exact"/>
              <w:rPr>
                <w:sz w:val="20"/>
                <w:szCs w:val="20"/>
                <w:color w:val="auto"/>
              </w:rPr>
            </w:pPr>
            <w:r>
              <w:rPr>
                <w:rFonts w:ascii="Arial" w:cs="Arial" w:eastAsia="Arial" w:hAnsi="Arial"/>
                <w:sz w:val="16"/>
                <w:szCs w:val="16"/>
                <w:color w:val="auto"/>
              </w:rPr>
              <w:t>12.3%</w:t>
            </w:r>
          </w:p>
        </w:tc>
        <w:tc>
          <w:tcPr>
            <w:tcW w:w="64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6"/>
                <w:szCs w:val="16"/>
                <w:color w:val="auto"/>
              </w:rPr>
              <w:t>95.8%</w:t>
            </w:r>
          </w:p>
        </w:tc>
        <w:tc>
          <w:tcPr>
            <w:tcW w:w="1740" w:type="dxa"/>
            <w:vAlign w:val="bottom"/>
            <w:tcBorders>
              <w:right w:val="single" w:sz="8" w:color="auto"/>
            </w:tcBorders>
            <w:gridSpan w:val="2"/>
          </w:tcPr>
          <w:p>
            <w:pPr>
              <w:jc w:val="right"/>
              <w:spacing w:after="0" w:line="165" w:lineRule="exact"/>
              <w:rPr>
                <w:sz w:val="20"/>
                <w:szCs w:val="20"/>
                <w:color w:val="auto"/>
              </w:rPr>
            </w:pPr>
            <w:r>
              <w:rPr>
                <w:rFonts w:ascii="Arial" w:cs="Arial" w:eastAsia="Arial" w:hAnsi="Arial"/>
                <w:sz w:val="16"/>
                <w:szCs w:val="16"/>
                <w:color w:val="auto"/>
              </w:rPr>
              <w:t>(1,300,677)(2,671,551)</w:t>
            </w:r>
          </w:p>
        </w:tc>
        <w:tc>
          <w:tcPr>
            <w:tcW w:w="126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6"/>
                <w:szCs w:val="16"/>
                <w:color w:val="auto"/>
              </w:rPr>
              <w:t>105.4%</w:t>
            </w:r>
          </w:p>
        </w:tc>
      </w:tr>
      <w:tr>
        <w:trPr>
          <w:trHeight w:val="177"/>
        </w:trPr>
        <w:tc>
          <w:tcPr>
            <w:tcW w:w="4020" w:type="dxa"/>
            <w:vAlign w:val="bottom"/>
            <w:tcBorders>
              <w:left w:val="single" w:sz="8" w:color="auto"/>
            </w:tcBorders>
          </w:tcPr>
          <w:p>
            <w:pPr>
              <w:ind w:left="20"/>
              <w:spacing w:after="0" w:line="178" w:lineRule="exact"/>
              <w:rPr>
                <w:sz w:val="20"/>
                <w:szCs w:val="20"/>
                <w:color w:val="auto"/>
              </w:rPr>
            </w:pPr>
            <w:r>
              <w:rPr>
                <w:rFonts w:ascii="Arial" w:cs="Arial" w:eastAsia="Arial" w:hAnsi="Arial"/>
                <w:sz w:val="16"/>
                <w:szCs w:val="16"/>
                <w:color w:val="auto"/>
              </w:rPr>
              <w:t>Recoveries of written-off loans</w:t>
            </w:r>
          </w:p>
        </w:tc>
        <w:tc>
          <w:tcPr>
            <w:tcW w:w="900" w:type="dxa"/>
            <w:vAlign w:val="bottom"/>
            <w:tcBorders>
              <w:right w:val="single" w:sz="8" w:color="auto"/>
            </w:tcBorders>
          </w:tcPr>
          <w:p>
            <w:pPr>
              <w:spacing w:after="0"/>
              <w:rPr>
                <w:sz w:val="15"/>
                <w:szCs w:val="15"/>
                <w:color w:val="auto"/>
              </w:rPr>
            </w:pPr>
          </w:p>
        </w:tc>
        <w:tc>
          <w:tcPr>
            <w:tcW w:w="740" w:type="dxa"/>
            <w:vAlign w:val="bottom"/>
          </w:tcPr>
          <w:p>
            <w:pPr>
              <w:jc w:val="right"/>
              <w:spacing w:after="0" w:line="178" w:lineRule="exact"/>
              <w:rPr>
                <w:sz w:val="20"/>
                <w:szCs w:val="20"/>
                <w:color w:val="auto"/>
              </w:rPr>
            </w:pPr>
            <w:r>
              <w:rPr>
                <w:rFonts w:ascii="Arial" w:cs="Arial" w:eastAsia="Arial" w:hAnsi="Arial"/>
                <w:sz w:val="16"/>
                <w:szCs w:val="16"/>
                <w:color w:val="auto"/>
              </w:rPr>
              <w:t>85,273</w:t>
            </w:r>
          </w:p>
        </w:tc>
        <w:tc>
          <w:tcPr>
            <w:tcW w:w="700" w:type="dxa"/>
            <w:vAlign w:val="bottom"/>
          </w:tcPr>
          <w:p>
            <w:pPr>
              <w:jc w:val="right"/>
              <w:spacing w:after="0" w:line="178" w:lineRule="exact"/>
              <w:rPr>
                <w:sz w:val="20"/>
                <w:szCs w:val="20"/>
                <w:color w:val="auto"/>
              </w:rPr>
            </w:pPr>
            <w:r>
              <w:rPr>
                <w:rFonts w:ascii="Arial" w:cs="Arial" w:eastAsia="Arial" w:hAnsi="Arial"/>
                <w:sz w:val="16"/>
                <w:szCs w:val="16"/>
                <w:color w:val="auto"/>
              </w:rPr>
              <w:t>81,872</w:t>
            </w:r>
          </w:p>
        </w:tc>
        <w:tc>
          <w:tcPr>
            <w:tcW w:w="740" w:type="dxa"/>
            <w:vAlign w:val="bottom"/>
            <w:tcBorders>
              <w:right w:val="single" w:sz="8" w:color="auto"/>
            </w:tcBorders>
          </w:tcPr>
          <w:p>
            <w:pPr>
              <w:jc w:val="right"/>
              <w:spacing w:after="0" w:line="178" w:lineRule="exact"/>
              <w:rPr>
                <w:sz w:val="20"/>
                <w:szCs w:val="20"/>
                <w:color w:val="auto"/>
              </w:rPr>
            </w:pPr>
            <w:r>
              <w:rPr>
                <w:rFonts w:ascii="Arial" w:cs="Arial" w:eastAsia="Arial" w:hAnsi="Arial"/>
                <w:sz w:val="16"/>
                <w:szCs w:val="16"/>
                <w:color w:val="auto"/>
              </w:rPr>
              <w:t>91,108</w:t>
            </w:r>
          </w:p>
        </w:tc>
        <w:tc>
          <w:tcPr>
            <w:tcW w:w="520" w:type="dxa"/>
            <w:vAlign w:val="bottom"/>
          </w:tcPr>
          <w:p>
            <w:pPr>
              <w:ind w:left="20"/>
              <w:spacing w:after="0" w:line="178" w:lineRule="exact"/>
              <w:rPr>
                <w:sz w:val="20"/>
                <w:szCs w:val="20"/>
                <w:color w:val="auto"/>
              </w:rPr>
            </w:pPr>
            <w:r>
              <w:rPr>
                <w:rFonts w:ascii="Arial" w:cs="Arial" w:eastAsia="Arial" w:hAnsi="Arial"/>
                <w:sz w:val="16"/>
                <w:szCs w:val="16"/>
                <w:color w:val="auto"/>
              </w:rPr>
              <w:t>11.3%</w:t>
            </w:r>
          </w:p>
        </w:tc>
        <w:tc>
          <w:tcPr>
            <w:tcW w:w="64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6"/>
                <w:szCs w:val="16"/>
                <w:color w:val="auto"/>
              </w:rPr>
              <w:t>6.8%</w:t>
            </w:r>
          </w:p>
        </w:tc>
        <w:tc>
          <w:tcPr>
            <w:tcW w:w="940" w:type="dxa"/>
            <w:vAlign w:val="bottom"/>
          </w:tcPr>
          <w:p>
            <w:pPr>
              <w:jc w:val="right"/>
              <w:spacing w:after="0" w:line="178" w:lineRule="exact"/>
              <w:rPr>
                <w:sz w:val="20"/>
                <w:szCs w:val="20"/>
                <w:color w:val="auto"/>
              </w:rPr>
            </w:pPr>
            <w:r>
              <w:rPr>
                <w:rFonts w:ascii="Arial" w:cs="Arial" w:eastAsia="Arial" w:hAnsi="Arial"/>
                <w:sz w:val="16"/>
                <w:szCs w:val="16"/>
                <w:color w:val="auto"/>
              </w:rPr>
              <w:t>262,109</w:t>
            </w:r>
          </w:p>
        </w:tc>
        <w:tc>
          <w:tcPr>
            <w:tcW w:w="800" w:type="dxa"/>
            <w:vAlign w:val="bottom"/>
            <w:tcBorders>
              <w:right w:val="single" w:sz="8" w:color="auto"/>
            </w:tcBorders>
          </w:tcPr>
          <w:p>
            <w:pPr>
              <w:jc w:val="right"/>
              <w:spacing w:after="0" w:line="178" w:lineRule="exact"/>
              <w:rPr>
                <w:sz w:val="20"/>
                <w:szCs w:val="20"/>
                <w:color w:val="auto"/>
              </w:rPr>
            </w:pPr>
            <w:r>
              <w:rPr>
                <w:rFonts w:ascii="Arial" w:cs="Arial" w:eastAsia="Arial" w:hAnsi="Arial"/>
                <w:sz w:val="16"/>
                <w:szCs w:val="16"/>
                <w:color w:val="auto"/>
              </w:rPr>
              <w:t>248,089</w:t>
            </w:r>
          </w:p>
        </w:tc>
        <w:tc>
          <w:tcPr>
            <w:tcW w:w="126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6"/>
                <w:szCs w:val="16"/>
                <w:color w:val="auto"/>
              </w:rPr>
              <w:t>-5.3%</w:t>
            </w:r>
          </w:p>
        </w:tc>
      </w:tr>
      <w:tr>
        <w:trPr>
          <w:trHeight w:val="206"/>
        </w:trPr>
        <w:tc>
          <w:tcPr>
            <w:tcW w:w="40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Provision for credit losses on loan portfolio, net of</w:t>
            </w:r>
          </w:p>
        </w:tc>
        <w:tc>
          <w:tcPr>
            <w:tcW w:w="9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recoveries</w:t>
            </w: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(420,384)(800,284)</w:t>
            </w:r>
          </w:p>
        </w:tc>
        <w:tc>
          <w:tcPr>
            <w:tcW w:w="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(899,158)</w:t>
            </w:r>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12.4%</w:t>
            </w:r>
          </w:p>
        </w:tc>
        <w:tc>
          <w:tcPr>
            <w:tcW w:w="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113.9%</w:t>
            </w:r>
          </w:p>
        </w:tc>
        <w:tc>
          <w:tcPr>
            <w:tcW w:w="174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(1,038,568)(2,423,462)</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133.3%</w:t>
            </w:r>
          </w:p>
        </w:tc>
      </w:tr>
      <w:tr>
        <w:trPr>
          <w:trHeight w:val="178"/>
        </w:trPr>
        <w:tc>
          <w:tcPr>
            <w:tcW w:w="4020" w:type="dxa"/>
            <w:vAlign w:val="bottom"/>
            <w:tcBorders>
              <w:left w:val="single" w:sz="8" w:color="auto"/>
              <w:bottom w:val="single" w:sz="8" w:color="auto"/>
            </w:tcBorders>
          </w:tcPr>
          <w:p>
            <w:pPr>
              <w:ind w:left="20"/>
              <w:spacing w:after="0" w:line="178" w:lineRule="exact"/>
              <w:rPr>
                <w:sz w:val="20"/>
                <w:szCs w:val="20"/>
                <w:color w:val="auto"/>
              </w:rPr>
            </w:pPr>
            <w:r>
              <w:rPr>
                <w:rFonts w:ascii="Arial" w:cs="Arial" w:eastAsia="Arial" w:hAnsi="Arial"/>
                <w:sz w:val="13"/>
                <w:szCs w:val="13"/>
                <w:color w:val="auto"/>
              </w:rPr>
              <w:t xml:space="preserve">Structural Cost of risk </w:t>
            </w:r>
            <w:r>
              <w:rPr>
                <w:rFonts w:ascii="Arial" w:cs="Arial" w:eastAsia="Arial" w:hAnsi="Arial"/>
                <w:sz w:val="20"/>
                <w:szCs w:val="20"/>
                <w:color w:val="auto"/>
                <w:vertAlign w:val="superscript"/>
              </w:rPr>
              <w:t>(1)</w:t>
            </w:r>
          </w:p>
        </w:tc>
        <w:tc>
          <w:tcPr>
            <w:tcW w:w="900" w:type="dxa"/>
            <w:vAlign w:val="bottom"/>
            <w:tcBorders>
              <w:bottom w:val="single" w:sz="8" w:color="auto"/>
              <w:right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1.2%</w:t>
            </w:r>
          </w:p>
        </w:tc>
        <w:tc>
          <w:tcPr>
            <w:tcW w:w="70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2.3%</w:t>
            </w:r>
          </w:p>
        </w:tc>
        <w:tc>
          <w:tcPr>
            <w:tcW w:w="740" w:type="dxa"/>
            <w:vAlign w:val="bottom"/>
            <w:tcBorders>
              <w:bottom w:val="single" w:sz="8" w:color="auto"/>
              <w:right w:val="single" w:sz="8" w:color="auto"/>
            </w:tcBorders>
          </w:tcPr>
          <w:p>
            <w:pPr>
              <w:jc w:val="right"/>
              <w:spacing w:after="0" w:line="178" w:lineRule="exact"/>
              <w:rPr>
                <w:sz w:val="20"/>
                <w:szCs w:val="20"/>
                <w:color w:val="auto"/>
              </w:rPr>
            </w:pPr>
            <w:r>
              <w:rPr>
                <w:rFonts w:ascii="Arial" w:cs="Arial" w:eastAsia="Arial" w:hAnsi="Arial"/>
                <w:sz w:val="16"/>
                <w:szCs w:val="16"/>
                <w:color w:val="auto"/>
              </w:rPr>
              <w:t>2.6%</w:t>
            </w:r>
          </w:p>
        </w:tc>
        <w:tc>
          <w:tcPr>
            <w:tcW w:w="1160" w:type="dxa"/>
            <w:vAlign w:val="bottom"/>
            <w:tcBorders>
              <w:bottom w:val="single" w:sz="8" w:color="auto"/>
              <w:right w:val="single" w:sz="8" w:color="auto"/>
            </w:tcBorders>
            <w:gridSpan w:val="2"/>
          </w:tcPr>
          <w:p>
            <w:pPr>
              <w:spacing w:after="0" w:line="178" w:lineRule="exact"/>
              <w:rPr>
                <w:sz w:val="20"/>
                <w:szCs w:val="20"/>
                <w:color w:val="auto"/>
              </w:rPr>
            </w:pPr>
            <w:r>
              <w:rPr>
                <w:rFonts w:ascii="Arial" w:cs="Arial" w:eastAsia="Arial" w:hAnsi="Arial"/>
                <w:sz w:val="16"/>
                <w:szCs w:val="16"/>
                <w:color w:val="auto"/>
              </w:rPr>
              <w:t>23 bps 134 bps</w:t>
            </w:r>
          </w:p>
        </w:tc>
        <w:tc>
          <w:tcPr>
            <w:tcW w:w="94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1.0%</w:t>
            </w:r>
          </w:p>
        </w:tc>
        <w:tc>
          <w:tcPr>
            <w:tcW w:w="800" w:type="dxa"/>
            <w:vAlign w:val="bottom"/>
            <w:tcBorders>
              <w:bottom w:val="single" w:sz="8" w:color="auto"/>
              <w:right w:val="single" w:sz="8" w:color="auto"/>
            </w:tcBorders>
          </w:tcPr>
          <w:p>
            <w:pPr>
              <w:jc w:val="right"/>
              <w:spacing w:after="0" w:line="178" w:lineRule="exact"/>
              <w:rPr>
                <w:sz w:val="20"/>
                <w:szCs w:val="20"/>
                <w:color w:val="auto"/>
              </w:rPr>
            </w:pPr>
            <w:r>
              <w:rPr>
                <w:rFonts w:ascii="Arial" w:cs="Arial" w:eastAsia="Arial" w:hAnsi="Arial"/>
                <w:sz w:val="16"/>
                <w:szCs w:val="16"/>
                <w:color w:val="auto"/>
              </w:rPr>
              <w:t>2.3%</w:t>
            </w:r>
          </w:p>
        </w:tc>
        <w:tc>
          <w:tcPr>
            <w:tcW w:w="1260" w:type="dxa"/>
            <w:vAlign w:val="bottom"/>
            <w:tcBorders>
              <w:bottom w:val="single" w:sz="8" w:color="auto"/>
              <w:right w:val="single" w:sz="8" w:color="auto"/>
            </w:tcBorders>
          </w:tcPr>
          <w:p>
            <w:pPr>
              <w:jc w:val="center"/>
              <w:spacing w:after="0" w:line="178" w:lineRule="exact"/>
              <w:rPr>
                <w:sz w:val="20"/>
                <w:szCs w:val="20"/>
                <w:color w:val="auto"/>
              </w:rPr>
            </w:pPr>
            <w:r>
              <w:rPr>
                <w:rFonts w:ascii="Arial" w:cs="Arial" w:eastAsia="Arial" w:hAnsi="Arial"/>
                <w:sz w:val="16"/>
                <w:szCs w:val="16"/>
                <w:color w:val="auto"/>
              </w:rPr>
              <w:t>130 bps</w:t>
            </w:r>
          </w:p>
        </w:tc>
      </w:tr>
    </w:tbl>
    <w:p>
      <w:pPr>
        <w:spacing w:after="0" w:line="6" w:lineRule="exact"/>
        <w:rPr>
          <w:sz w:val="20"/>
          <w:szCs w:val="20"/>
          <w:color w:val="auto"/>
        </w:rPr>
      </w:pPr>
    </w:p>
    <w:p>
      <w:pPr>
        <w:ind w:left="141" w:hanging="141"/>
        <w:spacing w:after="0"/>
        <w:tabs>
          <w:tab w:leader="none" w:pos="141" w:val="left"/>
        </w:tabs>
        <w:numPr>
          <w:ilvl w:val="0"/>
          <w:numId w:val="36"/>
        </w:numPr>
        <w:rPr>
          <w:rFonts w:ascii="Arial" w:cs="Arial" w:eastAsia="Arial" w:hAnsi="Arial"/>
          <w:sz w:val="11"/>
          <w:szCs w:val="11"/>
          <w:color w:val="auto"/>
        </w:rPr>
      </w:pPr>
      <w:r>
        <w:rPr>
          <w:rFonts w:ascii="Arial" w:cs="Arial" w:eastAsia="Arial" w:hAnsi="Arial"/>
          <w:sz w:val="11"/>
          <w:szCs w:val="11"/>
          <w:color w:val="auto"/>
        </w:rPr>
        <w:t>Provision for credit losses on loan portfolio, net of annualized recoveries / Total loans.</w:t>
      </w:r>
    </w:p>
    <w:p>
      <w:pPr>
        <w:spacing w:after="0" w:line="5" w:lineRule="exact"/>
        <w:rPr>
          <w:rFonts w:ascii="Arial" w:cs="Arial" w:eastAsia="Arial" w:hAnsi="Arial"/>
          <w:sz w:val="11"/>
          <w:szCs w:val="11"/>
          <w:color w:val="auto"/>
        </w:rPr>
      </w:pPr>
    </w:p>
    <w:p>
      <w:pPr>
        <w:ind w:left="141" w:hanging="141"/>
        <w:spacing w:after="0"/>
        <w:tabs>
          <w:tab w:leader="none" w:pos="141" w:val="left"/>
        </w:tabs>
        <w:numPr>
          <w:ilvl w:val="0"/>
          <w:numId w:val="36"/>
        </w:numPr>
        <w:rPr>
          <w:rFonts w:ascii="Arial" w:cs="Arial" w:eastAsia="Arial" w:hAnsi="Arial"/>
          <w:sz w:val="11"/>
          <w:szCs w:val="11"/>
          <w:color w:val="auto"/>
        </w:rPr>
      </w:pPr>
      <w:r>
        <w:rPr>
          <w:rFonts w:ascii="Arial" w:cs="Arial" w:eastAsia="Arial" w:hAnsi="Arial"/>
          <w:sz w:val="11"/>
          <w:szCs w:val="11"/>
          <w:color w:val="auto"/>
        </w:rPr>
        <w:t>The Cost of structural risk excludes Provisions for credit losses for the loan portfolio, net of recoveries and Placements of the government programs (PG) Reactiva Perú and FAE.</w:t>
      </w:r>
    </w:p>
    <w:p>
      <w:pPr>
        <w:spacing w:after="0" w:line="222" w:lineRule="exact"/>
        <w:rPr>
          <w:sz w:val="20"/>
          <w:szCs w:val="20"/>
          <w:color w:val="auto"/>
        </w:rPr>
      </w:pPr>
    </w:p>
    <w:p>
      <w:pPr>
        <w:jc w:val="both"/>
        <w:ind w:left="1"/>
        <w:spacing w:after="0" w:line="248" w:lineRule="auto"/>
        <w:rPr>
          <w:sz w:val="20"/>
          <w:szCs w:val="20"/>
          <w:color w:val="auto"/>
        </w:rPr>
      </w:pPr>
      <w:r>
        <w:rPr>
          <w:rFonts w:ascii="Arial" w:cs="Arial" w:eastAsia="Arial" w:hAnsi="Arial"/>
          <w:sz w:val="16"/>
          <w:szCs w:val="16"/>
          <w:color w:val="auto"/>
        </w:rPr>
        <w:t xml:space="preserve">Structural provisions remain at historically high levels (without considering provisions during the pandemic) in </w:t>
      </w:r>
      <w:r>
        <w:rPr>
          <w:rFonts w:ascii="Arial" w:cs="Arial" w:eastAsia="Arial" w:hAnsi="Arial"/>
          <w:sz w:val="16"/>
          <w:szCs w:val="16"/>
          <w:b w:val="1"/>
          <w:bCs w:val="1"/>
          <w:color w:val="auto"/>
        </w:rPr>
        <w:t>Retail Banking</w:t>
      </w:r>
      <w:r>
        <w:rPr>
          <w:rFonts w:ascii="Arial" w:cs="Arial" w:eastAsia="Arial" w:hAnsi="Arial"/>
          <w:sz w:val="16"/>
          <w:szCs w:val="16"/>
          <w:color w:val="auto"/>
        </w:rPr>
        <w:t xml:space="preserve"> and at </w:t>
      </w:r>
      <w:r>
        <w:rPr>
          <w:rFonts w:ascii="Arial" w:cs="Arial" w:eastAsia="Arial" w:hAnsi="Arial"/>
          <w:sz w:val="16"/>
          <w:szCs w:val="16"/>
          <w:b w:val="1"/>
          <w:bCs w:val="1"/>
          <w:color w:val="auto"/>
        </w:rPr>
        <w:t>Mibanco</w:t>
      </w:r>
      <w:r>
        <w:rPr>
          <w:rFonts w:ascii="Arial" w:cs="Arial" w:eastAsia="Arial" w:hAnsi="Arial"/>
          <w:sz w:val="16"/>
          <w:szCs w:val="16"/>
          <w:color w:val="auto"/>
        </w:rPr>
        <w:t xml:space="preserve"> given that clients have been hit hard by an adverse macroeconomic context marked by low internal demand, high inflation and interest rates that have hit a peak. At BCP, the most affected segments were </w:t>
      </w:r>
      <w:r>
        <w:rPr>
          <w:rFonts w:ascii="Arial" w:cs="Arial" w:eastAsia="Arial" w:hAnsi="Arial"/>
          <w:sz w:val="16"/>
          <w:szCs w:val="16"/>
          <w:b w:val="1"/>
          <w:bCs w:val="1"/>
          <w:color w:val="auto"/>
        </w:rPr>
        <w:t>Consumer Loans</w:t>
      </w:r>
      <w:r>
        <w:rPr>
          <w:rFonts w:ascii="Arial" w:cs="Arial" w:eastAsia="Arial" w:hAnsi="Arial"/>
          <w:sz w:val="16"/>
          <w:szCs w:val="16"/>
          <w:color w:val="auto"/>
        </w:rPr>
        <w:t xml:space="preserve"> and </w:t>
      </w:r>
      <w:r>
        <w:rPr>
          <w:rFonts w:ascii="Arial" w:cs="Arial" w:eastAsia="Arial" w:hAnsi="Arial"/>
          <w:sz w:val="16"/>
          <w:szCs w:val="16"/>
          <w:b w:val="1"/>
          <w:bCs w:val="1"/>
          <w:color w:val="auto"/>
        </w:rPr>
        <w:t>Credit Cards</w:t>
      </w:r>
      <w:r>
        <w:rPr>
          <w:rFonts w:ascii="Arial" w:cs="Arial" w:eastAsia="Arial" w:hAnsi="Arial"/>
          <w:sz w:val="16"/>
          <w:szCs w:val="16"/>
          <w:color w:val="auto"/>
        </w:rPr>
        <w:t xml:space="preserve">, driven by clients in vulnerable sub-segments that are overindebted at the system level and lack job stability, and </w:t>
      </w:r>
      <w:r>
        <w:rPr>
          <w:rFonts w:ascii="Arial" w:cs="Arial" w:eastAsia="Arial" w:hAnsi="Arial"/>
          <w:sz w:val="16"/>
          <w:szCs w:val="16"/>
          <w:b w:val="1"/>
          <w:bCs w:val="1"/>
          <w:color w:val="auto"/>
        </w:rPr>
        <w:t>SME-Pyme</w:t>
      </w:r>
      <w:r>
        <w:rPr>
          <w:rFonts w:ascii="Arial" w:cs="Arial" w:eastAsia="Arial" w:hAnsi="Arial"/>
          <w:sz w:val="16"/>
          <w:szCs w:val="16"/>
          <w:color w:val="auto"/>
        </w:rPr>
        <w:t xml:space="preserve">, which reported an uptick in provisions in the subsegment of clients with lower-tickets and higher risk. At </w:t>
      </w:r>
      <w:r>
        <w:rPr>
          <w:rFonts w:ascii="Arial" w:cs="Arial" w:eastAsia="Arial" w:hAnsi="Arial"/>
          <w:sz w:val="16"/>
          <w:szCs w:val="16"/>
          <w:b w:val="1"/>
          <w:bCs w:val="1"/>
          <w:color w:val="auto"/>
        </w:rPr>
        <w:t>Mibanco</w:t>
      </w:r>
      <w:r>
        <w:rPr>
          <w:rFonts w:ascii="Arial" w:cs="Arial" w:eastAsia="Arial" w:hAnsi="Arial"/>
          <w:sz w:val="16"/>
          <w:szCs w:val="16"/>
          <w:color w:val="auto"/>
        </w:rPr>
        <w:t xml:space="preserve">, clients who reported the highest level of deterioration were those who are most indebted and those affected by social conflicts or climate anomalies. Additionally, in 3Q23, more provisions were registered at BCP for </w:t>
      </w:r>
      <w:r>
        <w:rPr>
          <w:rFonts w:ascii="Arial" w:cs="Arial" w:eastAsia="Arial" w:hAnsi="Arial"/>
          <w:sz w:val="16"/>
          <w:szCs w:val="16"/>
          <w:b w:val="1"/>
          <w:bCs w:val="1"/>
          <w:color w:val="auto"/>
        </w:rPr>
        <w:t>Mortgage loans</w:t>
      </w:r>
      <w:r>
        <w:rPr>
          <w:rFonts w:ascii="Arial" w:cs="Arial" w:eastAsia="Arial" w:hAnsi="Arial"/>
          <w:sz w:val="16"/>
          <w:szCs w:val="16"/>
          <w:color w:val="auto"/>
        </w:rPr>
        <w:t xml:space="preserve"> given that: i) higher expected losses were recognized for certain clients that have registered higher delinquency in other products at the bank or with other financial institutions and ii) as a portfolio was reclassified as refinanced.</w:t>
      </w:r>
    </w:p>
    <w:p>
      <w:pPr>
        <w:spacing w:after="0" w:line="326" w:lineRule="exact"/>
        <w:rPr>
          <w:sz w:val="20"/>
          <w:szCs w:val="20"/>
          <w:color w:val="auto"/>
        </w:rPr>
      </w:pPr>
    </w:p>
    <w:p>
      <w:pPr>
        <w:jc w:val="both"/>
        <w:ind w:left="1"/>
        <w:spacing w:after="0" w:line="285" w:lineRule="auto"/>
        <w:rPr>
          <w:sz w:val="20"/>
          <w:szCs w:val="20"/>
          <w:color w:val="auto"/>
        </w:rPr>
      </w:pPr>
      <w:r>
        <w:rPr>
          <w:rFonts w:ascii="Arial" w:cs="Arial" w:eastAsia="Arial" w:hAnsi="Arial"/>
          <w:sz w:val="16"/>
          <w:szCs w:val="16"/>
          <w:color w:val="auto"/>
        </w:rPr>
        <w:t xml:space="preserve">The aforementioned was partially offset by a reduction in provisions for </w:t>
      </w:r>
      <w:r>
        <w:rPr>
          <w:rFonts w:ascii="Arial" w:cs="Arial" w:eastAsia="Arial" w:hAnsi="Arial"/>
          <w:sz w:val="16"/>
          <w:szCs w:val="16"/>
          <w:b w:val="1"/>
          <w:bCs w:val="1"/>
          <w:color w:val="auto"/>
        </w:rPr>
        <w:t>Wholesale Banking,</w:t>
      </w:r>
      <w:r>
        <w:rPr>
          <w:rFonts w:ascii="Arial" w:cs="Arial" w:eastAsia="Arial" w:hAnsi="Arial"/>
          <w:sz w:val="16"/>
          <w:szCs w:val="16"/>
          <w:color w:val="auto"/>
        </w:rPr>
        <w:t xml:space="preserve"> which was driven by a reversal of provisions after some corporate clients reported improvements in their credit ratings and made payments on loans.</w:t>
      </w:r>
    </w:p>
    <w:p>
      <w:pPr>
        <w:spacing w:after="0" w:line="107" w:lineRule="exact"/>
        <w:rPr>
          <w:sz w:val="20"/>
          <w:szCs w:val="20"/>
          <w:color w:val="auto"/>
        </w:rPr>
      </w:pPr>
    </w:p>
    <w:p>
      <w:pPr>
        <w:ind w:left="1"/>
        <w:spacing w:after="0"/>
        <w:rPr>
          <w:sz w:val="20"/>
          <w:szCs w:val="20"/>
          <w:color w:val="auto"/>
        </w:rPr>
      </w:pPr>
      <w:r>
        <w:rPr>
          <w:rFonts w:ascii="Arial" w:cs="Arial" w:eastAsia="Arial" w:hAnsi="Arial"/>
          <w:sz w:val="16"/>
          <w:szCs w:val="16"/>
          <w:color w:val="auto"/>
        </w:rPr>
        <w:t xml:space="preserve">As a result of the uptick in provisions and the reduction registered in total loans, the </w:t>
      </w:r>
      <w:r>
        <w:rPr>
          <w:rFonts w:ascii="Arial" w:cs="Arial" w:eastAsia="Arial" w:hAnsi="Arial"/>
          <w:sz w:val="16"/>
          <w:szCs w:val="16"/>
          <w:b w:val="1"/>
          <w:bCs w:val="1"/>
          <w:color w:val="auto"/>
        </w:rPr>
        <w:t>structural CofR</w:t>
      </w:r>
      <w:r>
        <w:rPr>
          <w:rFonts w:ascii="Arial" w:cs="Arial" w:eastAsia="Arial" w:hAnsi="Arial"/>
          <w:sz w:val="16"/>
          <w:szCs w:val="16"/>
          <w:color w:val="auto"/>
        </w:rPr>
        <w:t xml:space="preserve"> rose 23 bps to stand at 2.6%.</w:t>
      </w:r>
    </w:p>
    <w:p>
      <w:pPr>
        <w:spacing w:after="0" w:line="175" w:lineRule="exact"/>
        <w:rPr>
          <w:sz w:val="20"/>
          <w:szCs w:val="20"/>
          <w:color w:val="auto"/>
        </w:rPr>
      </w:pPr>
    </w:p>
    <w:tbl>
      <w:tblPr>
        <w:tblLayout w:type="fixed"/>
        <w:tblInd w:w="1" w:type="dxa"/>
        <w:tblCellMar>
          <w:top w:w="0" w:type="dxa"/>
          <w:left w:w="0" w:type="dxa"/>
          <w:bottom w:w="0" w:type="dxa"/>
          <w:right w:w="0" w:type="dxa"/>
        </w:tblCellMar>
      </w:tblPr>
      <w:tr>
        <w:trPr>
          <w:trHeight w:val="219"/>
        </w:trPr>
        <w:tc>
          <w:tcPr>
            <w:tcW w:w="4840" w:type="dxa"/>
            <w:vAlign w:val="bottom"/>
            <w:gridSpan w:val="4"/>
          </w:tcPr>
          <w:p>
            <w:pPr>
              <w:spacing w:after="0"/>
              <w:rPr>
                <w:sz w:val="20"/>
                <w:szCs w:val="20"/>
                <w:color w:val="auto"/>
              </w:rPr>
            </w:pPr>
            <w:r>
              <w:rPr>
                <w:rFonts w:ascii="Arial" w:cs="Arial" w:eastAsia="Arial" w:hAnsi="Arial"/>
                <w:sz w:val="16"/>
                <w:szCs w:val="16"/>
                <w:b w:val="1"/>
                <w:bCs w:val="1"/>
                <w:color w:val="auto"/>
              </w:rPr>
              <w:t>YoY and YTD</w:t>
            </w:r>
            <w:r>
              <w:rPr>
                <w:rFonts w:ascii="Arial" w:cs="Arial" w:eastAsia="Arial" w:hAnsi="Arial"/>
                <w:sz w:val="16"/>
                <w:szCs w:val="16"/>
                <w:color w:val="auto"/>
              </w:rPr>
              <w:t>, the uptick in provisions was attributable to:</w:t>
            </w:r>
          </w:p>
        </w:tc>
        <w:tc>
          <w:tcPr>
            <w:tcW w:w="5160" w:type="dxa"/>
            <w:vAlign w:val="bottom"/>
          </w:tcPr>
          <w:p>
            <w:pPr>
              <w:jc w:val="right"/>
              <w:spacing w:after="0"/>
              <w:rPr>
                <w:sz w:val="20"/>
                <w:szCs w:val="20"/>
                <w:color w:val="auto"/>
              </w:rPr>
            </w:pPr>
            <w:r>
              <w:rPr>
                <w:rFonts w:ascii="Arial" w:cs="Arial" w:eastAsia="Arial" w:hAnsi="Arial"/>
                <w:sz w:val="16"/>
                <w:szCs w:val="16"/>
                <w:b w:val="1"/>
                <w:bCs w:val="1"/>
                <w:color w:val="auto"/>
              </w:rPr>
              <w:t>Structural Cost of Risk by Subsidiary</w:t>
            </w:r>
          </w:p>
        </w:tc>
      </w:tr>
      <w:tr>
        <w:trPr>
          <w:trHeight w:val="160"/>
        </w:trPr>
        <w:tc>
          <w:tcPr>
            <w:tcW w:w="1400" w:type="dxa"/>
            <w:vAlign w:val="bottom"/>
          </w:tcPr>
          <w:p>
            <w:pPr>
              <w:ind w:left="140"/>
              <w:spacing w:after="0" w:line="161" w:lineRule="exact"/>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Consumer</w:t>
            </w:r>
          </w:p>
        </w:tc>
        <w:tc>
          <w:tcPr>
            <w:tcW w:w="1960" w:type="dxa"/>
            <w:vAlign w:val="bottom"/>
          </w:tcPr>
          <w:p>
            <w:pPr>
              <w:ind w:left="40"/>
              <w:spacing w:after="0" w:line="161" w:lineRule="exact"/>
              <w:rPr>
                <w:sz w:val="20"/>
                <w:szCs w:val="20"/>
                <w:color w:val="auto"/>
              </w:rPr>
            </w:pPr>
            <w:r>
              <w:rPr>
                <w:rFonts w:ascii="Arial" w:cs="Arial" w:eastAsia="Arial" w:hAnsi="Arial"/>
                <w:sz w:val="16"/>
                <w:szCs w:val="16"/>
                <w:b w:val="1"/>
                <w:bCs w:val="1"/>
                <w:color w:val="auto"/>
              </w:rPr>
              <w:t>loans,  Credit  Cards,</w:t>
            </w:r>
          </w:p>
        </w:tc>
        <w:tc>
          <w:tcPr>
            <w:tcW w:w="360" w:type="dxa"/>
            <w:vAlign w:val="bottom"/>
          </w:tcPr>
          <w:p>
            <w:pPr>
              <w:ind w:left="40"/>
              <w:spacing w:after="0" w:line="161" w:lineRule="exact"/>
              <w:rPr>
                <w:sz w:val="20"/>
                <w:szCs w:val="20"/>
                <w:color w:val="auto"/>
              </w:rPr>
            </w:pPr>
            <w:r>
              <w:rPr>
                <w:rFonts w:ascii="Arial" w:cs="Arial" w:eastAsia="Arial" w:hAnsi="Arial"/>
                <w:sz w:val="16"/>
                <w:szCs w:val="16"/>
                <w:b w:val="1"/>
                <w:bCs w:val="1"/>
                <w:color w:val="auto"/>
              </w:rPr>
              <w:t>and</w:t>
            </w:r>
          </w:p>
        </w:tc>
        <w:tc>
          <w:tcPr>
            <w:tcW w:w="1120" w:type="dxa"/>
            <w:vAlign w:val="bottom"/>
          </w:tcPr>
          <w:p>
            <w:pPr>
              <w:ind w:left="140"/>
              <w:spacing w:after="0" w:line="161" w:lineRule="exact"/>
              <w:rPr>
                <w:sz w:val="20"/>
                <w:szCs w:val="20"/>
                <w:color w:val="auto"/>
              </w:rPr>
            </w:pPr>
            <w:r>
              <w:rPr>
                <w:rFonts w:ascii="Arial" w:cs="Arial" w:eastAsia="Arial" w:hAnsi="Arial"/>
                <w:sz w:val="16"/>
                <w:szCs w:val="16"/>
                <w:b w:val="1"/>
                <w:bCs w:val="1"/>
                <w:color w:val="auto"/>
              </w:rPr>
              <w:t>SME-Pyme,</w:t>
            </w:r>
          </w:p>
        </w:tc>
        <w:tc>
          <w:tcPr>
            <w:tcW w:w="5160" w:type="dxa"/>
            <w:vAlign w:val="bottom"/>
          </w:tcPr>
          <w:p>
            <w:pPr>
              <w:jc w:val="right"/>
              <w:ind w:right="4538"/>
              <w:spacing w:after="0" w:line="161" w:lineRule="exact"/>
              <w:rPr>
                <w:sz w:val="20"/>
                <w:szCs w:val="20"/>
                <w:color w:val="auto"/>
              </w:rPr>
            </w:pPr>
            <w:r>
              <w:rPr>
                <w:rFonts w:ascii="Arial" w:cs="Arial" w:eastAsia="Arial" w:hAnsi="Arial"/>
                <w:sz w:val="16"/>
                <w:szCs w:val="16"/>
                <w:color w:val="auto"/>
              </w:rPr>
              <w:t>where</w:t>
            </w:r>
          </w:p>
        </w:tc>
      </w:tr>
      <w:tr>
        <w:trPr>
          <w:trHeight w:val="197"/>
        </w:trPr>
        <w:tc>
          <w:tcPr>
            <w:tcW w:w="1400" w:type="dxa"/>
            <w:vAlign w:val="bottom"/>
          </w:tcPr>
          <w:p>
            <w:pPr>
              <w:ind w:left="460"/>
              <w:spacing w:after="0"/>
              <w:rPr>
                <w:sz w:val="20"/>
                <w:szCs w:val="20"/>
                <w:color w:val="auto"/>
              </w:rPr>
            </w:pPr>
            <w:r>
              <w:rPr>
                <w:rFonts w:ascii="Arial" w:cs="Arial" w:eastAsia="Arial" w:hAnsi="Arial"/>
                <w:sz w:val="16"/>
                <w:szCs w:val="16"/>
                <w:color w:val="auto"/>
              </w:rPr>
              <w:t>deterioration</w:t>
            </w:r>
          </w:p>
        </w:tc>
        <w:tc>
          <w:tcPr>
            <w:tcW w:w="1960" w:type="dxa"/>
            <w:vAlign w:val="bottom"/>
          </w:tcPr>
          <w:p>
            <w:pPr>
              <w:ind w:left="80"/>
              <w:spacing w:after="0"/>
              <w:rPr>
                <w:sz w:val="20"/>
                <w:szCs w:val="20"/>
                <w:color w:val="auto"/>
              </w:rPr>
            </w:pPr>
            <w:r>
              <w:rPr>
                <w:rFonts w:ascii="Arial" w:cs="Arial" w:eastAsia="Arial" w:hAnsi="Arial"/>
                <w:sz w:val="16"/>
                <w:szCs w:val="16"/>
                <w:color w:val="auto"/>
              </w:rPr>
              <w:t>in payment behavior in</w:t>
            </w:r>
          </w:p>
        </w:tc>
        <w:tc>
          <w:tcPr>
            <w:tcW w:w="360" w:type="dxa"/>
            <w:vAlign w:val="bottom"/>
          </w:tcPr>
          <w:p>
            <w:pPr>
              <w:ind w:left="40"/>
              <w:spacing w:after="0"/>
              <w:rPr>
                <w:sz w:val="20"/>
                <w:szCs w:val="20"/>
                <w:color w:val="auto"/>
              </w:rPr>
            </w:pPr>
            <w:r>
              <w:rPr>
                <w:rFonts w:ascii="Arial" w:cs="Arial" w:eastAsia="Arial" w:hAnsi="Arial"/>
                <w:sz w:val="16"/>
                <w:szCs w:val="16"/>
                <w:color w:val="auto"/>
              </w:rPr>
              <w:t>the</w:t>
            </w:r>
          </w:p>
        </w:tc>
        <w:tc>
          <w:tcPr>
            <w:tcW w:w="6280" w:type="dxa"/>
            <w:vAlign w:val="bottom"/>
            <w:gridSpan w:val="2"/>
          </w:tcPr>
          <w:p>
            <w:pPr>
              <w:jc w:val="right"/>
              <w:ind w:right="4538"/>
              <w:spacing w:after="0"/>
              <w:rPr>
                <w:sz w:val="20"/>
                <w:szCs w:val="20"/>
                <w:color w:val="auto"/>
              </w:rPr>
            </w:pPr>
            <w:r>
              <w:rPr>
                <w:rFonts w:ascii="Arial" w:cs="Arial" w:eastAsia="Arial" w:hAnsi="Arial"/>
                <w:sz w:val="16"/>
                <w:szCs w:val="16"/>
                <w:color w:val="auto"/>
              </w:rPr>
              <w:t>most vulnerable sub-</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4043045</wp:posOffset>
            </wp:positionH>
            <wp:positionV relativeFrom="paragraph">
              <wp:posOffset>-171450</wp:posOffset>
            </wp:positionV>
            <wp:extent cx="2771140" cy="16719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771140" cy="1671955"/>
                    </a:xfrm>
                    <a:prstGeom prst="rect">
                      <a:avLst/>
                    </a:prstGeom>
                    <a:noFill/>
                  </pic:spPr>
                </pic:pic>
              </a:graphicData>
            </a:graphic>
          </wp:anchor>
        </w:drawing>
      </w:r>
    </w:p>
    <w:p>
      <w:pPr>
        <w:ind w:left="461"/>
        <w:spacing w:after="0"/>
        <w:rPr>
          <w:sz w:val="20"/>
          <w:szCs w:val="20"/>
          <w:color w:val="auto"/>
        </w:rPr>
      </w:pPr>
      <w:r>
        <w:rPr>
          <w:rFonts w:ascii="Arial" w:cs="Arial" w:eastAsia="Arial" w:hAnsi="Arial"/>
          <w:sz w:val="16"/>
          <w:szCs w:val="16"/>
          <w:color w:val="auto"/>
        </w:rPr>
        <w:t>segments is more evident YoY than QoQ.</w:t>
      </w:r>
    </w:p>
    <w:p>
      <w:pPr>
        <w:spacing w:after="0" w:line="1" w:lineRule="exact"/>
        <w:rPr>
          <w:sz w:val="20"/>
          <w:szCs w:val="20"/>
          <w:color w:val="auto"/>
        </w:rPr>
      </w:pPr>
    </w:p>
    <w:p>
      <w:pPr>
        <w:jc w:val="both"/>
        <w:ind w:left="461" w:right="5860" w:hanging="319"/>
        <w:spacing w:after="0" w:line="241" w:lineRule="auto"/>
        <w:tabs>
          <w:tab w:leader="none" w:pos="441"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b w:val="1"/>
          <w:bCs w:val="1"/>
          <w:color w:val="auto"/>
        </w:rPr>
        <w:t xml:space="preserve">Mortgage, </w:t>
      </w:r>
      <w:r>
        <w:rPr>
          <w:rFonts w:ascii="Arial" w:cs="Arial" w:eastAsia="Arial" w:hAnsi="Arial"/>
          <w:sz w:val="16"/>
          <w:szCs w:val="16"/>
          <w:color w:val="auto"/>
        </w:rPr>
        <w:t>due to an uptick in expected losses and to the</w:t>
      </w:r>
      <w:r>
        <w:rPr>
          <w:rFonts w:ascii="Arial" w:cs="Arial" w:eastAsia="Arial" w:hAnsi="Arial"/>
          <w:sz w:val="16"/>
          <w:szCs w:val="16"/>
          <w:b w:val="1"/>
          <w:bCs w:val="1"/>
          <w:color w:val="auto"/>
        </w:rPr>
        <w:t xml:space="preserve"> </w:t>
      </w:r>
      <w:r>
        <w:rPr>
          <w:rFonts w:ascii="Arial" w:cs="Arial" w:eastAsia="Arial" w:hAnsi="Arial"/>
          <w:sz w:val="16"/>
          <w:szCs w:val="16"/>
          <w:color w:val="auto"/>
        </w:rPr>
        <w:t>aforementioned reclassification of a portfolio.</w:t>
      </w:r>
    </w:p>
    <w:p>
      <w:pPr>
        <w:spacing w:after="0" w:line="1" w:lineRule="exact"/>
        <w:rPr>
          <w:sz w:val="20"/>
          <w:szCs w:val="20"/>
          <w:color w:val="auto"/>
        </w:rPr>
      </w:pPr>
    </w:p>
    <w:p>
      <w:pPr>
        <w:jc w:val="both"/>
        <w:ind w:left="461" w:right="5860" w:hanging="319"/>
        <w:spacing w:after="0" w:line="248" w:lineRule="auto"/>
        <w:tabs>
          <w:tab w:leader="none" w:pos="441"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b w:val="1"/>
          <w:bCs w:val="1"/>
          <w:color w:val="auto"/>
        </w:rPr>
        <w:t xml:space="preserve">Mibanco, </w:t>
      </w:r>
      <w:r>
        <w:rPr>
          <w:rFonts w:ascii="Arial" w:cs="Arial" w:eastAsia="Arial" w:hAnsi="Arial"/>
          <w:sz w:val="16"/>
          <w:szCs w:val="16"/>
          <w:color w:val="auto"/>
        </w:rPr>
        <w:t>where provisions remain high given the payment</w:t>
      </w:r>
      <w:r>
        <w:rPr>
          <w:rFonts w:ascii="Arial" w:cs="Arial" w:eastAsia="Arial" w:hAnsi="Arial"/>
          <w:sz w:val="16"/>
          <w:szCs w:val="16"/>
          <w:b w:val="1"/>
          <w:bCs w:val="1"/>
          <w:color w:val="auto"/>
        </w:rPr>
        <w:t xml:space="preserve"> </w:t>
      </w:r>
      <w:r>
        <w:rPr>
          <w:rFonts w:ascii="Arial" w:cs="Arial" w:eastAsia="Arial" w:hAnsi="Arial"/>
          <w:sz w:val="16"/>
          <w:szCs w:val="16"/>
          <w:color w:val="auto"/>
        </w:rPr>
        <w:t>capacity of those clients that are overindebted and those who were affected by social conflicts or climate anomalies continued to be poor.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43750" cy="158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337" w:right="339" w:bottom="1440" w:gutter="0" w:footer="0" w:header="0"/>
        </w:sectPr>
      </w:pPr>
    </w:p>
    <w:bookmarkStart w:id="32" w:name="page33"/>
    <w:bookmarkEnd w:id="32"/>
    <w:p>
      <w:pPr>
        <w:jc w:val="right"/>
        <w:ind w:right="20"/>
        <w:spacing w:after="0"/>
        <w:tabs>
          <w:tab w:leader="none" w:pos="8080" w:val="left"/>
          <w:tab w:leader="none" w:pos="3360" w:val="left"/>
        </w:tabs>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202565</wp:posOffset>
            </wp:positionH>
            <wp:positionV relativeFrom="page">
              <wp:posOffset>88900</wp:posOffset>
            </wp:positionV>
            <wp:extent cx="7143750" cy="41592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3750" cy="415925"/>
                    </a:xfrm>
                    <a:prstGeom prst="rect">
                      <a:avLst/>
                    </a:prstGeom>
                    <a:noFill/>
                  </pic:spPr>
                </pic:pic>
              </a:graphicData>
            </a:graphic>
          </wp:anchor>
        </w:drawing>
        <w:t>|</w:t>
      </w:r>
      <w:r>
        <w:rPr>
          <w:sz w:val="20"/>
          <w:szCs w:val="20"/>
          <w:color w:val="auto"/>
        </w:rPr>
        <w:tab/>
      </w:r>
      <w:r>
        <w:rPr>
          <w:rFonts w:ascii="Arial" w:cs="Arial" w:eastAsia="Arial" w:hAnsi="Arial"/>
          <w:sz w:val="16"/>
          <w:szCs w:val="16"/>
          <w:b w:val="1"/>
          <w:bCs w:val="1"/>
          <w:color w:val="FFFFFF"/>
        </w:rPr>
        <w:t>Earnings Release 3Q / 2023</w:t>
      </w:r>
      <w:r>
        <w:rPr>
          <w:sz w:val="20"/>
          <w:szCs w:val="20"/>
          <w:color w:val="auto"/>
        </w:rPr>
        <w:tab/>
      </w:r>
      <w:r>
        <w:rPr>
          <w:rFonts w:ascii="Arial" w:cs="Arial" w:eastAsia="Arial" w:hAnsi="Arial"/>
          <w:sz w:val="18"/>
          <w:szCs w:val="18"/>
          <w:b w:val="1"/>
          <w:bCs w:val="1"/>
          <w:color w:val="E93CAC"/>
        </w:rPr>
        <w:t>Analysis of 3Q23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159385</wp:posOffset>
            </wp:positionV>
            <wp:extent cx="7143750" cy="2038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3750" cy="203835"/>
                    </a:xfrm>
                    <a:prstGeom prst="rect">
                      <a:avLst/>
                    </a:prstGeom>
                    <a:noFill/>
                  </pic:spPr>
                </pic:pic>
              </a:graphicData>
            </a:graphic>
          </wp:anchor>
        </w:drawing>
      </w:r>
    </w:p>
    <w:p>
      <w:pPr>
        <w:spacing w:after="0" w:line="251"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FFFFFF"/>
        </w:rPr>
        <w:t>05. Provisions</w:t>
      </w:r>
    </w:p>
    <w:p>
      <w:pPr>
        <w:spacing w:after="0" w:line="224" w:lineRule="exact"/>
        <w:rPr>
          <w:sz w:val="20"/>
          <w:szCs w:val="20"/>
          <w:color w:val="auto"/>
        </w:rPr>
      </w:pPr>
    </w:p>
    <w:p>
      <w:pPr>
        <w:jc w:val="both"/>
        <w:ind w:right="20"/>
        <w:spacing w:after="0" w:line="285" w:lineRule="auto"/>
        <w:rPr>
          <w:sz w:val="20"/>
          <w:szCs w:val="20"/>
          <w:color w:val="auto"/>
        </w:rPr>
      </w:pPr>
      <w:r>
        <w:rPr>
          <w:rFonts w:ascii="Arial" w:cs="Arial" w:eastAsia="Arial" w:hAnsi="Arial"/>
          <w:sz w:val="16"/>
          <w:szCs w:val="16"/>
          <w:color w:val="auto"/>
        </w:rPr>
        <w:t xml:space="preserve">The aforementioned was offset by a drop in provisions for </w:t>
      </w:r>
      <w:r>
        <w:rPr>
          <w:rFonts w:ascii="Arial" w:cs="Arial" w:eastAsia="Arial" w:hAnsi="Arial"/>
          <w:sz w:val="16"/>
          <w:szCs w:val="16"/>
          <w:b w:val="1"/>
          <w:bCs w:val="1"/>
          <w:color w:val="auto"/>
        </w:rPr>
        <w:t>Wholesale Banking</w:t>
      </w:r>
      <w:r>
        <w:rPr>
          <w:rFonts w:ascii="Arial" w:cs="Arial" w:eastAsia="Arial" w:hAnsi="Arial"/>
          <w:sz w:val="16"/>
          <w:szCs w:val="16"/>
          <w:color w:val="auto"/>
        </w:rPr>
        <w:t>, which was positively impacted after some clients reported an improvement in their credit rating and resumed payments on delinquent loans.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As a result of the evolution of provisions, the structural CofR rose YoY and YTD by 134 bps and 130 bps,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Provisions and CofR in for Government Loans (GP)</w:t>
      </w:r>
    </w:p>
    <w:p>
      <w:pPr>
        <w:spacing w:after="0" w:line="45" w:lineRule="exact"/>
        <w:rPr>
          <w:sz w:val="20"/>
          <w:szCs w:val="20"/>
          <w:color w:val="auto"/>
        </w:rPr>
      </w:pPr>
    </w:p>
    <w:tbl>
      <w:tblPr>
        <w:tblLayout w:type="fixed"/>
        <w:tblInd w:w="10" w:type="dxa"/>
        <w:tblCellMar>
          <w:top w:w="0" w:type="dxa"/>
          <w:left w:w="0" w:type="dxa"/>
          <w:bottom w:w="0" w:type="dxa"/>
          <w:right w:w="0" w:type="dxa"/>
        </w:tblCellMar>
      </w:tblPr>
      <w:tr>
        <w:trPr>
          <w:trHeight w:val="171"/>
        </w:trPr>
        <w:tc>
          <w:tcPr>
            <w:tcW w:w="4500" w:type="dxa"/>
            <w:vAlign w:val="bottom"/>
            <w:tcBorders>
              <w:top w:val="single" w:sz="8" w:color="auto"/>
              <w:left w:val="single" w:sz="8" w:color="auto"/>
              <w:right w:val="single" w:sz="8" w:color="auto"/>
            </w:tcBorders>
            <w:shd w:val="clear" w:color="auto" w:fill="2AD2C9"/>
          </w:tcPr>
          <w:p>
            <w:pPr>
              <w:ind w:left="20"/>
              <w:spacing w:after="0" w:line="171" w:lineRule="exact"/>
              <w:rPr>
                <w:sz w:val="20"/>
                <w:szCs w:val="20"/>
                <w:color w:val="auto"/>
              </w:rPr>
            </w:pPr>
            <w:r>
              <w:rPr>
                <w:rFonts w:ascii="Arial" w:cs="Arial" w:eastAsia="Arial" w:hAnsi="Arial"/>
                <w:sz w:val="16"/>
                <w:szCs w:val="16"/>
                <w:b w:val="1"/>
                <w:bCs w:val="1"/>
                <w:color w:val="FFFFFF"/>
              </w:rPr>
              <w:t>GP Loan Portfolio Provisions</w:t>
            </w:r>
          </w:p>
        </w:tc>
        <w:tc>
          <w:tcPr>
            <w:tcW w:w="840" w:type="dxa"/>
            <w:vAlign w:val="bottom"/>
            <w:tcBorders>
              <w:top w:val="single" w:sz="8" w:color="auto"/>
            </w:tcBorders>
            <w:shd w:val="clear" w:color="auto" w:fill="2AD2C9"/>
          </w:tcPr>
          <w:p>
            <w:pPr>
              <w:spacing w:after="0"/>
              <w:rPr>
                <w:sz w:val="14"/>
                <w:szCs w:val="14"/>
                <w:color w:val="auto"/>
              </w:rPr>
            </w:pPr>
          </w:p>
        </w:tc>
        <w:tc>
          <w:tcPr>
            <w:tcW w:w="800" w:type="dxa"/>
            <w:vAlign w:val="bottom"/>
            <w:tcBorders>
              <w:top w:val="single" w:sz="8" w:color="auto"/>
            </w:tcBorders>
            <w:shd w:val="clear" w:color="auto" w:fill="2AD2C9"/>
          </w:tcPr>
          <w:p>
            <w:pPr>
              <w:jc w:val="right"/>
              <w:ind w:right="78"/>
              <w:spacing w:after="0" w:line="171" w:lineRule="exact"/>
              <w:rPr>
                <w:sz w:val="20"/>
                <w:szCs w:val="20"/>
                <w:color w:val="auto"/>
              </w:rPr>
            </w:pPr>
            <w:r>
              <w:rPr>
                <w:rFonts w:ascii="Arial" w:cs="Arial" w:eastAsia="Arial" w:hAnsi="Arial"/>
                <w:sz w:val="16"/>
                <w:szCs w:val="16"/>
                <w:b w:val="1"/>
                <w:bCs w:val="1"/>
                <w:color w:val="FFFFFF"/>
              </w:rPr>
              <w:t>Quarter</w:t>
            </w:r>
          </w:p>
        </w:tc>
        <w:tc>
          <w:tcPr>
            <w:tcW w:w="760" w:type="dxa"/>
            <w:vAlign w:val="bottom"/>
            <w:tcBorders>
              <w:top w:val="single" w:sz="8" w:color="auto"/>
              <w:right w:val="single" w:sz="8" w:color="auto"/>
            </w:tcBorders>
            <w:shd w:val="clear" w:color="auto" w:fill="2AD2C9"/>
          </w:tcPr>
          <w:p>
            <w:pPr>
              <w:spacing w:after="0"/>
              <w:rPr>
                <w:sz w:val="14"/>
                <w:szCs w:val="14"/>
                <w:color w:val="auto"/>
              </w:rPr>
            </w:pPr>
          </w:p>
        </w:tc>
        <w:tc>
          <w:tcPr>
            <w:tcW w:w="1500" w:type="dxa"/>
            <w:vAlign w:val="bottom"/>
            <w:tcBorders>
              <w:top w:val="single" w:sz="8" w:color="auto"/>
              <w:right w:val="single" w:sz="8" w:color="auto"/>
            </w:tcBorders>
            <w:gridSpan w:val="2"/>
            <w:shd w:val="clear" w:color="auto" w:fill="2AD2C9"/>
          </w:tcPr>
          <w:p>
            <w:pPr>
              <w:ind w:left="360"/>
              <w:spacing w:after="0" w:line="171" w:lineRule="exact"/>
              <w:rPr>
                <w:sz w:val="20"/>
                <w:szCs w:val="20"/>
                <w:color w:val="auto"/>
              </w:rPr>
            </w:pPr>
            <w:r>
              <w:rPr>
                <w:rFonts w:ascii="Arial" w:cs="Arial" w:eastAsia="Arial" w:hAnsi="Arial"/>
                <w:sz w:val="16"/>
                <w:szCs w:val="16"/>
                <w:b w:val="1"/>
                <w:bCs w:val="1"/>
                <w:color w:val="FFFFFF"/>
              </w:rPr>
              <w:t>% change</w:t>
            </w:r>
          </w:p>
        </w:tc>
        <w:tc>
          <w:tcPr>
            <w:tcW w:w="1560" w:type="dxa"/>
            <w:vAlign w:val="bottom"/>
            <w:tcBorders>
              <w:top w:val="single" w:sz="8" w:color="auto"/>
              <w:right w:val="single" w:sz="8" w:color="auto"/>
            </w:tcBorders>
            <w:gridSpan w:val="2"/>
            <w:shd w:val="clear" w:color="auto" w:fill="2AD2C9"/>
          </w:tcPr>
          <w:p>
            <w:pPr>
              <w:jc w:val="right"/>
              <w:ind w:right="498"/>
              <w:spacing w:after="0" w:line="171" w:lineRule="exact"/>
              <w:rPr>
                <w:sz w:val="20"/>
                <w:szCs w:val="20"/>
                <w:color w:val="auto"/>
              </w:rPr>
            </w:pPr>
            <w:r>
              <w:rPr>
                <w:rFonts w:ascii="Arial" w:cs="Arial" w:eastAsia="Arial" w:hAnsi="Arial"/>
                <w:sz w:val="16"/>
                <w:szCs w:val="16"/>
                <w:b w:val="1"/>
                <w:bCs w:val="1"/>
                <w:color w:val="FFFFFF"/>
              </w:rPr>
              <w:t>Up to</w:t>
            </w:r>
          </w:p>
        </w:tc>
        <w:tc>
          <w:tcPr>
            <w:tcW w:w="1300" w:type="dxa"/>
            <w:vAlign w:val="bottom"/>
            <w:tcBorders>
              <w:top w:val="single" w:sz="8" w:color="auto"/>
              <w:right w:val="single" w:sz="8" w:color="auto"/>
            </w:tcBorders>
            <w:shd w:val="clear" w:color="auto" w:fill="2AD2C9"/>
          </w:tcPr>
          <w:p>
            <w:pPr>
              <w:jc w:val="center"/>
              <w:spacing w:after="0" w:line="171" w:lineRule="exact"/>
              <w:rPr>
                <w:sz w:val="20"/>
                <w:szCs w:val="20"/>
                <w:color w:val="auto"/>
              </w:rPr>
            </w:pPr>
            <w:r>
              <w:rPr>
                <w:rFonts w:ascii="Arial" w:cs="Arial" w:eastAsia="Arial" w:hAnsi="Arial"/>
                <w:sz w:val="16"/>
                <w:szCs w:val="16"/>
                <w:b w:val="1"/>
                <w:bCs w:val="1"/>
                <w:color w:val="FFFFFF"/>
              </w:rPr>
              <w:t>% change</w:t>
            </w:r>
          </w:p>
        </w:tc>
      </w:tr>
      <w:tr>
        <w:trPr>
          <w:trHeight w:val="206"/>
        </w:trPr>
        <w:tc>
          <w:tcPr>
            <w:tcW w:w="4500" w:type="dxa"/>
            <w:vAlign w:val="bottom"/>
            <w:tcBorders>
              <w:left w:val="single" w:sz="8" w:color="auto"/>
              <w:bottom w:val="single" w:sz="8" w:color="auto"/>
              <w:right w:val="single" w:sz="8" w:color="auto"/>
            </w:tcBorders>
            <w:shd w:val="clear" w:color="auto" w:fill="2AD2C9"/>
          </w:tcPr>
          <w:p>
            <w:pPr>
              <w:ind w:left="20"/>
              <w:spacing w:after="0"/>
              <w:rPr>
                <w:sz w:val="20"/>
                <w:szCs w:val="20"/>
                <w:color w:val="auto"/>
              </w:rPr>
            </w:pPr>
            <w:r>
              <w:rPr>
                <w:rFonts w:ascii="Arial" w:cs="Arial" w:eastAsia="Arial" w:hAnsi="Arial"/>
                <w:sz w:val="16"/>
                <w:szCs w:val="16"/>
                <w:b w:val="1"/>
                <w:bCs w:val="1"/>
                <w:color w:val="FFFFFF"/>
              </w:rPr>
              <w:t>S/ 000</w:t>
            </w:r>
          </w:p>
        </w:tc>
        <w:tc>
          <w:tcPr>
            <w:tcW w:w="840" w:type="dxa"/>
            <w:vAlign w:val="bottom"/>
            <w:tcBorders>
              <w:bottom w:val="single" w:sz="8" w:color="auto"/>
            </w:tcBorders>
            <w:shd w:val="clear" w:color="auto" w:fill="2AD2C9"/>
          </w:tcPr>
          <w:p>
            <w:pPr>
              <w:jc w:val="right"/>
              <w:ind w:right="158"/>
              <w:spacing w:after="0"/>
              <w:rPr>
                <w:sz w:val="20"/>
                <w:szCs w:val="20"/>
                <w:color w:val="auto"/>
              </w:rPr>
            </w:pPr>
            <w:r>
              <w:rPr>
                <w:rFonts w:ascii="Arial" w:cs="Arial" w:eastAsia="Arial" w:hAnsi="Arial"/>
                <w:sz w:val="16"/>
                <w:szCs w:val="16"/>
                <w:b w:val="1"/>
                <w:bCs w:val="1"/>
                <w:color w:val="FFFFFF"/>
              </w:rPr>
              <w:t>3Q22</w:t>
            </w:r>
          </w:p>
        </w:tc>
        <w:tc>
          <w:tcPr>
            <w:tcW w:w="800" w:type="dxa"/>
            <w:vAlign w:val="bottom"/>
            <w:tcBorders>
              <w:bottom w:val="single" w:sz="8" w:color="auto"/>
            </w:tcBorders>
            <w:shd w:val="clear" w:color="auto" w:fill="2AD2C9"/>
          </w:tcPr>
          <w:p>
            <w:pPr>
              <w:jc w:val="right"/>
              <w:ind w:right="198"/>
              <w:spacing w:after="0"/>
              <w:rPr>
                <w:sz w:val="20"/>
                <w:szCs w:val="20"/>
                <w:color w:val="auto"/>
              </w:rPr>
            </w:pPr>
            <w:r>
              <w:rPr>
                <w:rFonts w:ascii="Arial" w:cs="Arial" w:eastAsia="Arial" w:hAnsi="Arial"/>
                <w:sz w:val="16"/>
                <w:szCs w:val="16"/>
                <w:b w:val="1"/>
                <w:bCs w:val="1"/>
                <w:color w:val="FFFFFF"/>
              </w:rPr>
              <w:t>2Q23</w:t>
            </w:r>
          </w:p>
        </w:tc>
        <w:tc>
          <w:tcPr>
            <w:tcW w:w="760" w:type="dxa"/>
            <w:vAlign w:val="bottom"/>
            <w:tcBorders>
              <w:bottom w:val="single" w:sz="8" w:color="auto"/>
              <w:right w:val="single" w:sz="8" w:color="auto"/>
            </w:tcBorders>
            <w:shd w:val="clear" w:color="auto" w:fill="2AD2C9"/>
          </w:tcPr>
          <w:p>
            <w:pPr>
              <w:jc w:val="right"/>
              <w:ind w:right="158"/>
              <w:spacing w:after="0"/>
              <w:rPr>
                <w:sz w:val="20"/>
                <w:szCs w:val="20"/>
                <w:color w:val="auto"/>
              </w:rPr>
            </w:pPr>
            <w:r>
              <w:rPr>
                <w:rFonts w:ascii="Arial" w:cs="Arial" w:eastAsia="Arial" w:hAnsi="Arial"/>
                <w:sz w:val="16"/>
                <w:szCs w:val="16"/>
                <w:b w:val="1"/>
                <w:bCs w:val="1"/>
                <w:color w:val="FFFFFF"/>
              </w:rPr>
              <w:t>3Q23</w:t>
            </w:r>
          </w:p>
        </w:tc>
        <w:tc>
          <w:tcPr>
            <w:tcW w:w="78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6"/>
                <w:szCs w:val="16"/>
                <w:b w:val="1"/>
                <w:bCs w:val="1"/>
                <w:color w:val="FFFFFF"/>
              </w:rPr>
              <w:t>QoQ</w:t>
            </w:r>
          </w:p>
        </w:tc>
        <w:tc>
          <w:tcPr>
            <w:tcW w:w="72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6"/>
                <w:szCs w:val="16"/>
                <w:b w:val="1"/>
                <w:bCs w:val="1"/>
                <w:color w:val="FFFFFF"/>
                <w:w w:val="96"/>
              </w:rPr>
              <w:t>YoY</w:t>
            </w:r>
          </w:p>
        </w:tc>
        <w:tc>
          <w:tcPr>
            <w:tcW w:w="820" w:type="dxa"/>
            <w:vAlign w:val="bottom"/>
            <w:tcBorders>
              <w:bottom w:val="single" w:sz="8" w:color="auto"/>
            </w:tcBorders>
            <w:shd w:val="clear" w:color="auto" w:fill="2AD2C9"/>
          </w:tcPr>
          <w:p>
            <w:pPr>
              <w:jc w:val="right"/>
              <w:ind w:right="98"/>
              <w:spacing w:after="0"/>
              <w:rPr>
                <w:sz w:val="20"/>
                <w:szCs w:val="20"/>
                <w:color w:val="auto"/>
              </w:rPr>
            </w:pPr>
            <w:r>
              <w:rPr>
                <w:rFonts w:ascii="Arial" w:cs="Arial" w:eastAsia="Arial" w:hAnsi="Arial"/>
                <w:sz w:val="16"/>
                <w:szCs w:val="16"/>
                <w:b w:val="1"/>
                <w:bCs w:val="1"/>
                <w:color w:val="FFFFFF"/>
              </w:rPr>
              <w:t>Sep 22</w:t>
            </w:r>
          </w:p>
        </w:tc>
        <w:tc>
          <w:tcPr>
            <w:tcW w:w="740" w:type="dxa"/>
            <w:vAlign w:val="bottom"/>
            <w:tcBorders>
              <w:bottom w:val="single" w:sz="8" w:color="auto"/>
              <w:right w:val="single" w:sz="8" w:color="auto"/>
            </w:tcBorders>
            <w:shd w:val="clear" w:color="auto" w:fill="2AD2C9"/>
          </w:tcPr>
          <w:p>
            <w:pPr>
              <w:jc w:val="right"/>
              <w:ind w:right="58"/>
              <w:spacing w:after="0"/>
              <w:rPr>
                <w:sz w:val="20"/>
                <w:szCs w:val="20"/>
                <w:color w:val="auto"/>
              </w:rPr>
            </w:pPr>
            <w:r>
              <w:rPr>
                <w:rFonts w:ascii="Arial" w:cs="Arial" w:eastAsia="Arial" w:hAnsi="Arial"/>
                <w:sz w:val="16"/>
                <w:szCs w:val="16"/>
                <w:b w:val="1"/>
                <w:bCs w:val="1"/>
                <w:color w:val="FFFFFF"/>
              </w:rPr>
              <w:t>Sep 23</w:t>
            </w:r>
          </w:p>
        </w:tc>
        <w:tc>
          <w:tcPr>
            <w:tcW w:w="130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6"/>
                <w:szCs w:val="16"/>
                <w:b w:val="1"/>
                <w:bCs w:val="1"/>
                <w:color w:val="FFFFFF"/>
              </w:rPr>
              <w:t>Sep 23 / Sep 22</w:t>
            </w:r>
          </w:p>
        </w:tc>
      </w:tr>
      <w:tr>
        <w:trPr>
          <w:trHeight w:val="165"/>
        </w:trPr>
        <w:tc>
          <w:tcPr>
            <w:tcW w:w="4500" w:type="dxa"/>
            <w:vAlign w:val="bottom"/>
            <w:tcBorders>
              <w:left w:val="single" w:sz="8" w:color="auto"/>
              <w:right w:val="single" w:sz="8" w:color="auto"/>
            </w:tcBorders>
          </w:tcPr>
          <w:p>
            <w:pPr>
              <w:ind w:left="20"/>
              <w:spacing w:after="0" w:line="165" w:lineRule="exact"/>
              <w:rPr>
                <w:sz w:val="20"/>
                <w:szCs w:val="20"/>
                <w:color w:val="auto"/>
              </w:rPr>
            </w:pPr>
            <w:r>
              <w:rPr>
                <w:rFonts w:ascii="Arial" w:cs="Arial" w:eastAsia="Arial" w:hAnsi="Arial"/>
                <w:sz w:val="16"/>
                <w:szCs w:val="16"/>
                <w:color w:val="auto"/>
              </w:rPr>
              <w:t>Gross provision for credit losses on loan portfolio</w:t>
            </w:r>
          </w:p>
        </w:tc>
        <w:tc>
          <w:tcPr>
            <w:tcW w:w="840" w:type="dxa"/>
            <w:vAlign w:val="bottom"/>
          </w:tcPr>
          <w:p>
            <w:pPr>
              <w:jc w:val="right"/>
              <w:spacing w:after="0" w:line="165" w:lineRule="exact"/>
              <w:rPr>
                <w:sz w:val="20"/>
                <w:szCs w:val="20"/>
                <w:color w:val="auto"/>
              </w:rPr>
            </w:pPr>
            <w:r>
              <w:rPr>
                <w:rFonts w:ascii="Arial" w:cs="Arial" w:eastAsia="Arial" w:hAnsi="Arial"/>
                <w:sz w:val="16"/>
                <w:szCs w:val="16"/>
                <w:color w:val="auto"/>
              </w:rPr>
              <w:t>(39,592)</w:t>
            </w:r>
          </w:p>
        </w:tc>
        <w:tc>
          <w:tcPr>
            <w:tcW w:w="800" w:type="dxa"/>
            <w:vAlign w:val="bottom"/>
          </w:tcPr>
          <w:p>
            <w:pPr>
              <w:jc w:val="right"/>
              <w:ind w:right="18"/>
              <w:spacing w:after="0" w:line="165" w:lineRule="exact"/>
              <w:rPr>
                <w:sz w:val="20"/>
                <w:szCs w:val="20"/>
                <w:color w:val="auto"/>
              </w:rPr>
            </w:pPr>
            <w:r>
              <w:rPr>
                <w:rFonts w:ascii="Arial" w:cs="Arial" w:eastAsia="Arial" w:hAnsi="Arial"/>
                <w:sz w:val="16"/>
                <w:szCs w:val="16"/>
                <w:color w:val="auto"/>
              </w:rPr>
              <w:t>(3,967)</w:t>
            </w:r>
          </w:p>
        </w:tc>
        <w:tc>
          <w:tcPr>
            <w:tcW w:w="760" w:type="dxa"/>
            <w:vAlign w:val="bottom"/>
            <w:tcBorders>
              <w:right w:val="single" w:sz="8" w:color="auto"/>
            </w:tcBorders>
          </w:tcPr>
          <w:p>
            <w:pPr>
              <w:jc w:val="right"/>
              <w:spacing w:after="0" w:line="165" w:lineRule="exact"/>
              <w:rPr>
                <w:sz w:val="20"/>
                <w:szCs w:val="20"/>
                <w:color w:val="auto"/>
              </w:rPr>
            </w:pPr>
            <w:r>
              <w:rPr>
                <w:rFonts w:ascii="Arial" w:cs="Arial" w:eastAsia="Arial" w:hAnsi="Arial"/>
                <w:sz w:val="16"/>
                <w:szCs w:val="16"/>
                <w:color w:val="auto"/>
              </w:rPr>
              <w:t>(18,484)</w:t>
            </w:r>
          </w:p>
        </w:tc>
        <w:tc>
          <w:tcPr>
            <w:tcW w:w="780" w:type="dxa"/>
            <w:vAlign w:val="bottom"/>
          </w:tcPr>
          <w:p>
            <w:pPr>
              <w:jc w:val="center"/>
              <w:spacing w:after="0" w:line="165" w:lineRule="exact"/>
              <w:rPr>
                <w:sz w:val="20"/>
                <w:szCs w:val="20"/>
                <w:color w:val="auto"/>
              </w:rPr>
            </w:pPr>
            <w:r>
              <w:rPr>
                <w:rFonts w:ascii="Arial" w:cs="Arial" w:eastAsia="Arial" w:hAnsi="Arial"/>
                <w:sz w:val="16"/>
                <w:szCs w:val="16"/>
                <w:color w:val="auto"/>
              </w:rPr>
              <w:t>366.0%</w:t>
            </w:r>
          </w:p>
        </w:tc>
        <w:tc>
          <w:tcPr>
            <w:tcW w:w="72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6"/>
                <w:szCs w:val="16"/>
                <w:color w:val="auto"/>
              </w:rPr>
              <w:t>-53.3%</w:t>
            </w:r>
          </w:p>
        </w:tc>
        <w:tc>
          <w:tcPr>
            <w:tcW w:w="820" w:type="dxa"/>
            <w:vAlign w:val="bottom"/>
          </w:tcPr>
          <w:p>
            <w:pPr>
              <w:jc w:val="right"/>
              <w:spacing w:after="0" w:line="165" w:lineRule="exact"/>
              <w:rPr>
                <w:sz w:val="20"/>
                <w:szCs w:val="20"/>
                <w:color w:val="auto"/>
              </w:rPr>
            </w:pPr>
            <w:r>
              <w:rPr>
                <w:rFonts w:ascii="Arial" w:cs="Arial" w:eastAsia="Arial" w:hAnsi="Arial"/>
                <w:sz w:val="16"/>
                <w:szCs w:val="16"/>
                <w:color w:val="auto"/>
              </w:rPr>
              <w:t>(42,289)</w:t>
            </w:r>
          </w:p>
        </w:tc>
        <w:tc>
          <w:tcPr>
            <w:tcW w:w="740" w:type="dxa"/>
            <w:vAlign w:val="bottom"/>
            <w:tcBorders>
              <w:right w:val="single" w:sz="8" w:color="auto"/>
            </w:tcBorders>
          </w:tcPr>
          <w:p>
            <w:pPr>
              <w:jc w:val="right"/>
              <w:spacing w:after="0" w:line="165" w:lineRule="exact"/>
              <w:rPr>
                <w:sz w:val="20"/>
                <w:szCs w:val="20"/>
                <w:color w:val="auto"/>
              </w:rPr>
            </w:pPr>
            <w:r>
              <w:rPr>
                <w:rFonts w:ascii="Arial" w:cs="Arial" w:eastAsia="Arial" w:hAnsi="Arial"/>
                <w:sz w:val="16"/>
                <w:szCs w:val="16"/>
                <w:color w:val="auto"/>
              </w:rPr>
              <w:t>(25,429)</w:t>
            </w:r>
          </w:p>
        </w:tc>
        <w:tc>
          <w:tcPr>
            <w:tcW w:w="130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6"/>
                <w:szCs w:val="16"/>
                <w:color w:val="auto"/>
              </w:rPr>
              <w:t>-39.9%</w:t>
            </w:r>
          </w:p>
        </w:tc>
      </w:tr>
      <w:tr>
        <w:trPr>
          <w:trHeight w:val="177"/>
        </w:trPr>
        <w:tc>
          <w:tcPr>
            <w:tcW w:w="4500" w:type="dxa"/>
            <w:vAlign w:val="bottom"/>
            <w:tcBorders>
              <w:left w:val="single" w:sz="8" w:color="auto"/>
              <w:right w:val="single" w:sz="8" w:color="auto"/>
            </w:tcBorders>
          </w:tcPr>
          <w:p>
            <w:pPr>
              <w:ind w:left="20"/>
              <w:spacing w:after="0" w:line="178" w:lineRule="exact"/>
              <w:rPr>
                <w:sz w:val="20"/>
                <w:szCs w:val="20"/>
                <w:color w:val="auto"/>
              </w:rPr>
            </w:pPr>
            <w:r>
              <w:rPr>
                <w:rFonts w:ascii="Arial" w:cs="Arial" w:eastAsia="Arial" w:hAnsi="Arial"/>
                <w:sz w:val="16"/>
                <w:szCs w:val="16"/>
                <w:color w:val="auto"/>
              </w:rPr>
              <w:t>Recoveries of written-off loans</w:t>
            </w:r>
          </w:p>
        </w:tc>
        <w:tc>
          <w:tcPr>
            <w:tcW w:w="840" w:type="dxa"/>
            <w:vAlign w:val="bottom"/>
          </w:tcPr>
          <w:p>
            <w:pPr>
              <w:jc w:val="right"/>
              <w:spacing w:after="0" w:line="178" w:lineRule="exact"/>
              <w:rPr>
                <w:sz w:val="20"/>
                <w:szCs w:val="20"/>
                <w:color w:val="auto"/>
              </w:rPr>
            </w:pPr>
            <w:r>
              <w:rPr>
                <w:rFonts w:ascii="Arial" w:cs="Arial" w:eastAsia="Arial" w:hAnsi="Arial"/>
                <w:sz w:val="16"/>
                <w:szCs w:val="16"/>
                <w:color w:val="auto"/>
              </w:rPr>
              <w:t>-</w:t>
            </w:r>
          </w:p>
        </w:tc>
        <w:tc>
          <w:tcPr>
            <w:tcW w:w="800" w:type="dxa"/>
            <w:vAlign w:val="bottom"/>
          </w:tcPr>
          <w:p>
            <w:pPr>
              <w:jc w:val="right"/>
              <w:ind w:right="18"/>
              <w:spacing w:after="0" w:line="178" w:lineRule="exact"/>
              <w:rPr>
                <w:sz w:val="20"/>
                <w:szCs w:val="20"/>
                <w:color w:val="auto"/>
              </w:rPr>
            </w:pPr>
            <w:r>
              <w:rPr>
                <w:rFonts w:ascii="Arial" w:cs="Arial" w:eastAsia="Arial" w:hAnsi="Arial"/>
                <w:sz w:val="16"/>
                <w:szCs w:val="16"/>
                <w:color w:val="auto"/>
              </w:rPr>
              <w:t>-</w:t>
            </w:r>
          </w:p>
        </w:tc>
        <w:tc>
          <w:tcPr>
            <w:tcW w:w="760" w:type="dxa"/>
            <w:vAlign w:val="bottom"/>
            <w:tcBorders>
              <w:right w:val="single" w:sz="8" w:color="auto"/>
            </w:tcBorders>
          </w:tcPr>
          <w:p>
            <w:pPr>
              <w:jc w:val="right"/>
              <w:spacing w:after="0" w:line="178" w:lineRule="exact"/>
              <w:rPr>
                <w:sz w:val="20"/>
                <w:szCs w:val="20"/>
                <w:color w:val="auto"/>
              </w:rPr>
            </w:pPr>
            <w:r>
              <w:rPr>
                <w:rFonts w:ascii="Arial" w:cs="Arial" w:eastAsia="Arial" w:hAnsi="Arial"/>
                <w:sz w:val="16"/>
                <w:szCs w:val="16"/>
                <w:color w:val="auto"/>
              </w:rPr>
              <w:t>-</w:t>
            </w:r>
          </w:p>
        </w:tc>
        <w:tc>
          <w:tcPr>
            <w:tcW w:w="780" w:type="dxa"/>
            <w:vAlign w:val="bottom"/>
          </w:tcPr>
          <w:p>
            <w:pPr>
              <w:jc w:val="center"/>
              <w:spacing w:after="0" w:line="178" w:lineRule="exact"/>
              <w:rPr>
                <w:sz w:val="20"/>
                <w:szCs w:val="20"/>
                <w:color w:val="auto"/>
              </w:rPr>
            </w:pPr>
            <w:r>
              <w:rPr>
                <w:rFonts w:ascii="Arial" w:cs="Arial" w:eastAsia="Arial" w:hAnsi="Arial"/>
                <w:sz w:val="16"/>
                <w:szCs w:val="16"/>
                <w:color w:val="auto"/>
              </w:rPr>
              <w:t>-</w:t>
            </w:r>
          </w:p>
        </w:tc>
        <w:tc>
          <w:tcPr>
            <w:tcW w:w="72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6"/>
                <w:szCs w:val="16"/>
                <w:color w:val="auto"/>
              </w:rPr>
              <w:t>-</w:t>
            </w:r>
          </w:p>
        </w:tc>
        <w:tc>
          <w:tcPr>
            <w:tcW w:w="820" w:type="dxa"/>
            <w:vAlign w:val="bottom"/>
          </w:tcPr>
          <w:p>
            <w:pPr>
              <w:jc w:val="right"/>
              <w:spacing w:after="0" w:line="178" w:lineRule="exact"/>
              <w:rPr>
                <w:sz w:val="20"/>
                <w:szCs w:val="20"/>
                <w:color w:val="auto"/>
              </w:rPr>
            </w:pPr>
            <w:r>
              <w:rPr>
                <w:rFonts w:ascii="Arial" w:cs="Arial" w:eastAsia="Arial" w:hAnsi="Arial"/>
                <w:sz w:val="16"/>
                <w:szCs w:val="16"/>
                <w:color w:val="auto"/>
              </w:rPr>
              <w:t>0</w:t>
            </w:r>
          </w:p>
        </w:tc>
        <w:tc>
          <w:tcPr>
            <w:tcW w:w="740" w:type="dxa"/>
            <w:vAlign w:val="bottom"/>
            <w:tcBorders>
              <w:right w:val="single" w:sz="8" w:color="auto"/>
            </w:tcBorders>
          </w:tcPr>
          <w:p>
            <w:pPr>
              <w:jc w:val="right"/>
              <w:spacing w:after="0" w:line="178" w:lineRule="exact"/>
              <w:rPr>
                <w:sz w:val="20"/>
                <w:szCs w:val="20"/>
                <w:color w:val="auto"/>
              </w:rPr>
            </w:pPr>
            <w:r>
              <w:rPr>
                <w:rFonts w:ascii="Arial" w:cs="Arial" w:eastAsia="Arial" w:hAnsi="Arial"/>
                <w:sz w:val="16"/>
                <w:szCs w:val="16"/>
                <w:color w:val="auto"/>
              </w:rPr>
              <w:t>0</w:t>
            </w:r>
          </w:p>
        </w:tc>
        <w:tc>
          <w:tcPr>
            <w:tcW w:w="130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6"/>
                <w:szCs w:val="16"/>
                <w:color w:val="auto"/>
              </w:rPr>
              <w:t>-</w:t>
            </w:r>
          </w:p>
        </w:tc>
      </w:tr>
      <w:tr>
        <w:trPr>
          <w:trHeight w:val="206"/>
        </w:trPr>
        <w:tc>
          <w:tcPr>
            <w:tcW w:w="45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Provision for credit losses on loan portfolio, net of recoveries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(39,592)</w:t>
            </w:r>
          </w:p>
        </w:tc>
        <w:tc>
          <w:tcPr>
            <w:tcW w:w="80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b w:val="1"/>
                <w:bCs w:val="1"/>
                <w:color w:val="auto"/>
              </w:rPr>
              <w:t>(3,967)</w:t>
            </w:r>
          </w:p>
        </w:tc>
        <w:tc>
          <w:tcPr>
            <w:tcW w:w="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(18,484)</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366.0%</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-53.3%</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(42,289)</w:t>
            </w:r>
          </w:p>
        </w:tc>
        <w:tc>
          <w:tcPr>
            <w:tcW w:w="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(25,429)</w:t>
            </w:r>
          </w:p>
        </w:tc>
        <w:tc>
          <w:tcPr>
            <w:tcW w:w="1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-39.9%</w:t>
            </w:r>
          </w:p>
        </w:tc>
      </w:tr>
      <w:tr>
        <w:trPr>
          <w:trHeight w:val="178"/>
        </w:trPr>
        <w:tc>
          <w:tcPr>
            <w:tcW w:w="4500" w:type="dxa"/>
            <w:vAlign w:val="bottom"/>
            <w:tcBorders>
              <w:left w:val="single" w:sz="8" w:color="auto"/>
              <w:bottom w:val="single" w:sz="8" w:color="auto"/>
              <w:right w:val="single" w:sz="8" w:color="auto"/>
            </w:tcBorders>
          </w:tcPr>
          <w:p>
            <w:pPr>
              <w:ind w:left="20"/>
              <w:spacing w:after="0" w:line="178" w:lineRule="exact"/>
              <w:rPr>
                <w:sz w:val="20"/>
                <w:szCs w:val="20"/>
                <w:color w:val="auto"/>
              </w:rPr>
            </w:pPr>
            <w:r>
              <w:rPr>
                <w:rFonts w:ascii="Arial" w:cs="Arial" w:eastAsia="Arial" w:hAnsi="Arial"/>
                <w:sz w:val="13"/>
                <w:szCs w:val="13"/>
                <w:color w:val="auto"/>
              </w:rPr>
              <w:t xml:space="preserve">GP Cost of risk </w:t>
            </w:r>
            <w:r>
              <w:rPr>
                <w:rFonts w:ascii="Arial" w:cs="Arial" w:eastAsia="Arial" w:hAnsi="Arial"/>
                <w:sz w:val="20"/>
                <w:szCs w:val="20"/>
                <w:color w:val="auto"/>
                <w:vertAlign w:val="superscript"/>
              </w:rPr>
              <w:t>(1)</w:t>
            </w:r>
          </w:p>
        </w:tc>
        <w:tc>
          <w:tcPr>
            <w:tcW w:w="84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1.3%</w:t>
            </w:r>
          </w:p>
        </w:tc>
        <w:tc>
          <w:tcPr>
            <w:tcW w:w="800" w:type="dxa"/>
            <w:vAlign w:val="bottom"/>
            <w:tcBorders>
              <w:bottom w:val="single" w:sz="8" w:color="auto"/>
            </w:tcBorders>
          </w:tcPr>
          <w:p>
            <w:pPr>
              <w:jc w:val="right"/>
              <w:ind w:right="18"/>
              <w:spacing w:after="0" w:line="178" w:lineRule="exact"/>
              <w:rPr>
                <w:sz w:val="20"/>
                <w:szCs w:val="20"/>
                <w:color w:val="auto"/>
              </w:rPr>
            </w:pPr>
            <w:r>
              <w:rPr>
                <w:rFonts w:ascii="Arial" w:cs="Arial" w:eastAsia="Arial" w:hAnsi="Arial"/>
                <w:sz w:val="16"/>
                <w:szCs w:val="16"/>
                <w:color w:val="auto"/>
              </w:rPr>
              <w:t>0.3%</w:t>
            </w:r>
          </w:p>
        </w:tc>
        <w:tc>
          <w:tcPr>
            <w:tcW w:w="760" w:type="dxa"/>
            <w:vAlign w:val="bottom"/>
            <w:tcBorders>
              <w:bottom w:val="single" w:sz="8" w:color="auto"/>
              <w:right w:val="single" w:sz="8" w:color="auto"/>
            </w:tcBorders>
          </w:tcPr>
          <w:p>
            <w:pPr>
              <w:jc w:val="right"/>
              <w:spacing w:after="0" w:line="178" w:lineRule="exact"/>
              <w:rPr>
                <w:sz w:val="20"/>
                <w:szCs w:val="20"/>
                <w:color w:val="auto"/>
              </w:rPr>
            </w:pPr>
            <w:r>
              <w:rPr>
                <w:rFonts w:ascii="Arial" w:cs="Arial" w:eastAsia="Arial" w:hAnsi="Arial"/>
                <w:sz w:val="16"/>
                <w:szCs w:val="16"/>
                <w:color w:val="auto"/>
              </w:rPr>
              <w:t>1.8%</w:t>
            </w:r>
          </w:p>
        </w:tc>
        <w:tc>
          <w:tcPr>
            <w:tcW w:w="780" w:type="dxa"/>
            <w:vAlign w:val="bottom"/>
            <w:tcBorders>
              <w:bottom w:val="single" w:sz="8" w:color="auto"/>
            </w:tcBorders>
          </w:tcPr>
          <w:p>
            <w:pPr>
              <w:jc w:val="center"/>
              <w:spacing w:after="0" w:line="178" w:lineRule="exact"/>
              <w:rPr>
                <w:sz w:val="20"/>
                <w:szCs w:val="20"/>
                <w:color w:val="auto"/>
              </w:rPr>
            </w:pPr>
            <w:r>
              <w:rPr>
                <w:rFonts w:ascii="Arial" w:cs="Arial" w:eastAsia="Arial" w:hAnsi="Arial"/>
                <w:sz w:val="16"/>
                <w:szCs w:val="16"/>
                <w:color w:val="auto"/>
              </w:rPr>
              <w:t>145 bps</w:t>
            </w:r>
          </w:p>
        </w:tc>
        <w:tc>
          <w:tcPr>
            <w:tcW w:w="720" w:type="dxa"/>
            <w:vAlign w:val="bottom"/>
            <w:tcBorders>
              <w:bottom w:val="single" w:sz="8" w:color="auto"/>
              <w:right w:val="single" w:sz="8" w:color="auto"/>
            </w:tcBorders>
          </w:tcPr>
          <w:p>
            <w:pPr>
              <w:jc w:val="center"/>
              <w:spacing w:after="0" w:line="178" w:lineRule="exact"/>
              <w:rPr>
                <w:sz w:val="20"/>
                <w:szCs w:val="20"/>
                <w:color w:val="auto"/>
              </w:rPr>
            </w:pPr>
            <w:r>
              <w:rPr>
                <w:rFonts w:ascii="Arial" w:cs="Arial" w:eastAsia="Arial" w:hAnsi="Arial"/>
                <w:sz w:val="16"/>
                <w:szCs w:val="16"/>
                <w:color w:val="auto"/>
              </w:rPr>
              <w:t>47 bps</w:t>
            </w:r>
          </w:p>
        </w:tc>
        <w:tc>
          <w:tcPr>
            <w:tcW w:w="82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0.5%</w:t>
            </w:r>
          </w:p>
        </w:tc>
        <w:tc>
          <w:tcPr>
            <w:tcW w:w="740" w:type="dxa"/>
            <w:vAlign w:val="bottom"/>
            <w:tcBorders>
              <w:bottom w:val="single" w:sz="8" w:color="auto"/>
              <w:right w:val="single" w:sz="8" w:color="auto"/>
            </w:tcBorders>
          </w:tcPr>
          <w:p>
            <w:pPr>
              <w:jc w:val="right"/>
              <w:spacing w:after="0" w:line="178" w:lineRule="exact"/>
              <w:rPr>
                <w:sz w:val="20"/>
                <w:szCs w:val="20"/>
                <w:color w:val="auto"/>
              </w:rPr>
            </w:pPr>
            <w:r>
              <w:rPr>
                <w:rFonts w:ascii="Arial" w:cs="Arial" w:eastAsia="Arial" w:hAnsi="Arial"/>
                <w:sz w:val="16"/>
                <w:szCs w:val="16"/>
                <w:color w:val="auto"/>
              </w:rPr>
              <w:t>0.7%</w:t>
            </w:r>
          </w:p>
        </w:tc>
        <w:tc>
          <w:tcPr>
            <w:tcW w:w="1300" w:type="dxa"/>
            <w:vAlign w:val="bottom"/>
            <w:tcBorders>
              <w:bottom w:val="single" w:sz="8" w:color="auto"/>
              <w:right w:val="single" w:sz="8" w:color="auto"/>
            </w:tcBorders>
          </w:tcPr>
          <w:p>
            <w:pPr>
              <w:jc w:val="center"/>
              <w:spacing w:after="0" w:line="178" w:lineRule="exact"/>
              <w:rPr>
                <w:sz w:val="20"/>
                <w:szCs w:val="20"/>
                <w:color w:val="auto"/>
              </w:rPr>
            </w:pPr>
            <w:r>
              <w:rPr>
                <w:rFonts w:ascii="Arial" w:cs="Arial" w:eastAsia="Arial" w:hAnsi="Arial"/>
                <w:sz w:val="16"/>
                <w:szCs w:val="16"/>
                <w:color w:val="auto"/>
              </w:rPr>
              <w:t>23 bps</w:t>
            </w:r>
          </w:p>
        </w:tc>
      </w:tr>
    </w:tbl>
    <w:p>
      <w:pPr>
        <w:spacing w:after="0" w:line="43" w:lineRule="exact"/>
        <w:rPr>
          <w:sz w:val="20"/>
          <w:szCs w:val="20"/>
          <w:color w:val="auto"/>
        </w:rPr>
      </w:pPr>
    </w:p>
    <w:p>
      <w:pPr>
        <w:spacing w:after="0"/>
        <w:rPr>
          <w:sz w:val="20"/>
          <w:szCs w:val="20"/>
          <w:color w:val="auto"/>
        </w:rPr>
      </w:pPr>
      <w:r>
        <w:rPr>
          <w:rFonts w:ascii="Arial" w:cs="Arial" w:eastAsia="Arial" w:hAnsi="Arial"/>
          <w:sz w:val="11"/>
          <w:szCs w:val="11"/>
          <w:color w:val="auto"/>
        </w:rPr>
        <w:t>(1). PG Cost of risk includes the Provisions for credit losses for the loan portfolio, net of recoveries and placements of the Reactiva Perú and FAE government programs.</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Provisions for GP loans rose only slightly QoQ, YoY, and YTD given that ongoing honoring processes are underway to execute State guarantees.</w:t>
      </w:r>
    </w:p>
    <w:p>
      <w:pPr>
        <w:spacing w:after="0" w:line="175"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The provisions balance for GP loans represents 1.4% of the total provisions balance at Credicorp. This relatively small balance reflects the extensive coverage offered by this type of loan, which ranges from 80% to 98%. For more information, see 1.2 Portfolio Quality – NPL Portfolio for Government Loans.</w:t>
      </w: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Provisions and CofR of Total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4568190</wp:posOffset>
            </wp:positionH>
            <wp:positionV relativeFrom="paragraph">
              <wp:posOffset>45720</wp:posOffset>
            </wp:positionV>
            <wp:extent cx="7620" cy="7378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20" cy="737870"/>
                    </a:xfrm>
                    <a:prstGeom prst="rect">
                      <a:avLst/>
                    </a:prstGeom>
                    <a:noFill/>
                  </pic:spPr>
                </pic:pic>
              </a:graphicData>
            </a:graphic>
          </wp:anchor>
        </w:drawing>
      </w:r>
    </w:p>
    <w:p>
      <w:pPr>
        <w:spacing w:after="0" w:line="32" w:lineRule="exact"/>
        <w:rPr>
          <w:sz w:val="20"/>
          <w:szCs w:val="20"/>
          <w:color w:val="auto"/>
        </w:rPr>
      </w:pPr>
    </w:p>
    <w:tbl>
      <w:tblPr>
        <w:tblLayout w:type="fixed"/>
        <w:tblInd w:w="10" w:type="dxa"/>
        <w:tblCellMar>
          <w:top w:w="0" w:type="dxa"/>
          <w:left w:w="0" w:type="dxa"/>
          <w:bottom w:w="0" w:type="dxa"/>
          <w:right w:w="0" w:type="dxa"/>
        </w:tblCellMar>
      </w:tblPr>
      <w:tr>
        <w:trPr>
          <w:trHeight w:val="177"/>
        </w:trPr>
        <w:tc>
          <w:tcPr>
            <w:tcW w:w="4020" w:type="dxa"/>
            <w:vAlign w:val="bottom"/>
            <w:tcBorders>
              <w:top w:val="single" w:sz="8" w:color="auto"/>
              <w:left w:val="single" w:sz="8" w:color="auto"/>
            </w:tcBorders>
            <w:shd w:val="clear" w:color="auto" w:fill="2AD2C9"/>
          </w:tcPr>
          <w:p>
            <w:pPr>
              <w:ind w:left="20"/>
              <w:spacing w:after="0" w:line="177" w:lineRule="exact"/>
              <w:rPr>
                <w:sz w:val="20"/>
                <w:szCs w:val="20"/>
                <w:color w:val="auto"/>
              </w:rPr>
            </w:pPr>
            <w:r>
              <w:rPr>
                <w:rFonts w:ascii="Arial" w:cs="Arial" w:eastAsia="Arial" w:hAnsi="Arial"/>
                <w:sz w:val="16"/>
                <w:szCs w:val="16"/>
                <w:b w:val="1"/>
                <w:bCs w:val="1"/>
                <w:color w:val="FFFFFF"/>
              </w:rPr>
              <w:t>Loan Portfolio Provisions</w:t>
            </w:r>
          </w:p>
        </w:tc>
        <w:tc>
          <w:tcPr>
            <w:tcW w:w="900" w:type="dxa"/>
            <w:vAlign w:val="bottom"/>
            <w:tcBorders>
              <w:top w:val="single" w:sz="8" w:color="auto"/>
              <w:right w:val="single" w:sz="8" w:color="auto"/>
            </w:tcBorders>
            <w:shd w:val="clear" w:color="auto" w:fill="2AD2C9"/>
          </w:tcPr>
          <w:p>
            <w:pPr>
              <w:spacing w:after="0"/>
              <w:rPr>
                <w:sz w:val="15"/>
                <w:szCs w:val="15"/>
                <w:color w:val="auto"/>
              </w:rPr>
            </w:pPr>
          </w:p>
        </w:tc>
        <w:tc>
          <w:tcPr>
            <w:tcW w:w="760" w:type="dxa"/>
            <w:vAlign w:val="bottom"/>
            <w:tcBorders>
              <w:top w:val="single" w:sz="8" w:color="auto"/>
            </w:tcBorders>
            <w:shd w:val="clear" w:color="auto" w:fill="2AD2C9"/>
          </w:tcPr>
          <w:p>
            <w:pPr>
              <w:spacing w:after="0"/>
              <w:rPr>
                <w:sz w:val="15"/>
                <w:szCs w:val="15"/>
                <w:color w:val="auto"/>
              </w:rPr>
            </w:pPr>
          </w:p>
        </w:tc>
        <w:tc>
          <w:tcPr>
            <w:tcW w:w="740" w:type="dxa"/>
            <w:vAlign w:val="bottom"/>
            <w:tcBorders>
              <w:top w:val="single" w:sz="8" w:color="auto"/>
            </w:tcBorders>
            <w:shd w:val="clear" w:color="auto" w:fill="2AD2C9"/>
          </w:tcPr>
          <w:p>
            <w:pPr>
              <w:jc w:val="right"/>
              <w:spacing w:after="0" w:line="177" w:lineRule="exact"/>
              <w:rPr>
                <w:sz w:val="20"/>
                <w:szCs w:val="20"/>
                <w:color w:val="auto"/>
              </w:rPr>
            </w:pPr>
            <w:r>
              <w:rPr>
                <w:rFonts w:ascii="Arial" w:cs="Arial" w:eastAsia="Arial" w:hAnsi="Arial"/>
                <w:sz w:val="16"/>
                <w:szCs w:val="16"/>
                <w:b w:val="1"/>
                <w:bCs w:val="1"/>
                <w:color w:val="FFFFFF"/>
              </w:rPr>
              <w:t>Quarter</w:t>
            </w:r>
          </w:p>
        </w:tc>
        <w:tc>
          <w:tcPr>
            <w:tcW w:w="780" w:type="dxa"/>
            <w:vAlign w:val="bottom"/>
            <w:tcBorders>
              <w:top w:val="single" w:sz="8" w:color="auto"/>
            </w:tcBorders>
            <w:shd w:val="clear" w:color="auto" w:fill="2AD2C9"/>
          </w:tcPr>
          <w:p>
            <w:pPr>
              <w:spacing w:after="0"/>
              <w:rPr>
                <w:sz w:val="15"/>
                <w:szCs w:val="15"/>
                <w:color w:val="auto"/>
              </w:rPr>
            </w:pPr>
          </w:p>
        </w:tc>
        <w:tc>
          <w:tcPr>
            <w:tcW w:w="1120" w:type="dxa"/>
            <w:vAlign w:val="bottom"/>
            <w:tcBorders>
              <w:top w:val="single" w:sz="8" w:color="auto"/>
              <w:right w:val="single" w:sz="8" w:color="auto"/>
            </w:tcBorders>
            <w:gridSpan w:val="2"/>
            <w:shd w:val="clear" w:color="auto" w:fill="2AD2C9"/>
          </w:tcPr>
          <w:p>
            <w:pPr>
              <w:ind w:left="180"/>
              <w:spacing w:after="0" w:line="177" w:lineRule="exact"/>
              <w:rPr>
                <w:sz w:val="20"/>
                <w:szCs w:val="20"/>
                <w:color w:val="auto"/>
              </w:rPr>
            </w:pPr>
            <w:r>
              <w:rPr>
                <w:rFonts w:ascii="Arial" w:cs="Arial" w:eastAsia="Arial" w:hAnsi="Arial"/>
                <w:sz w:val="16"/>
                <w:szCs w:val="16"/>
                <w:b w:val="1"/>
                <w:bCs w:val="1"/>
                <w:color w:val="FFFFFF"/>
              </w:rPr>
              <w:t>% change</w:t>
            </w:r>
          </w:p>
        </w:tc>
        <w:tc>
          <w:tcPr>
            <w:tcW w:w="1720" w:type="dxa"/>
            <w:vAlign w:val="bottom"/>
            <w:tcBorders>
              <w:top w:val="single" w:sz="8" w:color="auto"/>
              <w:right w:val="single" w:sz="8" w:color="auto"/>
            </w:tcBorders>
            <w:gridSpan w:val="2"/>
            <w:shd w:val="clear" w:color="auto" w:fill="2AD2C9"/>
          </w:tcPr>
          <w:p>
            <w:pPr>
              <w:jc w:val="right"/>
              <w:ind w:right="578"/>
              <w:spacing w:after="0" w:line="177" w:lineRule="exact"/>
              <w:rPr>
                <w:sz w:val="20"/>
                <w:szCs w:val="20"/>
                <w:color w:val="auto"/>
              </w:rPr>
            </w:pPr>
            <w:r>
              <w:rPr>
                <w:rFonts w:ascii="Arial" w:cs="Arial" w:eastAsia="Arial" w:hAnsi="Arial"/>
                <w:sz w:val="16"/>
                <w:szCs w:val="16"/>
                <w:b w:val="1"/>
                <w:bCs w:val="1"/>
                <w:color w:val="FFFFFF"/>
              </w:rPr>
              <w:t>Up to</w:t>
            </w:r>
          </w:p>
        </w:tc>
        <w:tc>
          <w:tcPr>
            <w:tcW w:w="1220" w:type="dxa"/>
            <w:vAlign w:val="bottom"/>
            <w:tcBorders>
              <w:top w:val="single" w:sz="8" w:color="auto"/>
              <w:right w:val="single" w:sz="8" w:color="auto"/>
            </w:tcBorders>
            <w:shd w:val="clear" w:color="auto" w:fill="2AD2C9"/>
          </w:tcPr>
          <w:p>
            <w:pPr>
              <w:jc w:val="center"/>
              <w:spacing w:after="0" w:line="177" w:lineRule="exact"/>
              <w:rPr>
                <w:sz w:val="20"/>
                <w:szCs w:val="20"/>
                <w:color w:val="auto"/>
              </w:rPr>
            </w:pPr>
            <w:r>
              <w:rPr>
                <w:rFonts w:ascii="Arial" w:cs="Arial" w:eastAsia="Arial" w:hAnsi="Arial"/>
                <w:sz w:val="16"/>
                <w:szCs w:val="16"/>
                <w:b w:val="1"/>
                <w:bCs w:val="1"/>
                <w:color w:val="FFFFFF"/>
              </w:rPr>
              <w:t>% change</w:t>
            </w:r>
          </w:p>
        </w:tc>
      </w:tr>
      <w:tr>
        <w:trPr>
          <w:trHeight w:val="206"/>
        </w:trPr>
        <w:tc>
          <w:tcPr>
            <w:tcW w:w="4020" w:type="dxa"/>
            <w:vAlign w:val="bottom"/>
            <w:tcBorders>
              <w:left w:val="single" w:sz="8" w:color="auto"/>
              <w:bottom w:val="single" w:sz="8" w:color="auto"/>
            </w:tcBorders>
            <w:shd w:val="clear" w:color="auto" w:fill="2AD2C9"/>
          </w:tcPr>
          <w:p>
            <w:pPr>
              <w:ind w:left="20"/>
              <w:spacing w:after="0"/>
              <w:rPr>
                <w:sz w:val="20"/>
                <w:szCs w:val="20"/>
                <w:color w:val="auto"/>
              </w:rPr>
            </w:pPr>
            <w:r>
              <w:rPr>
                <w:rFonts w:ascii="Arial" w:cs="Arial" w:eastAsia="Arial" w:hAnsi="Arial"/>
                <w:sz w:val="16"/>
                <w:szCs w:val="16"/>
                <w:b w:val="1"/>
                <w:bCs w:val="1"/>
                <w:color w:val="FFFFFF"/>
              </w:rPr>
              <w:t>S/ 000</w:t>
            </w:r>
          </w:p>
        </w:tc>
        <w:tc>
          <w:tcPr>
            <w:tcW w:w="900" w:type="dxa"/>
            <w:vAlign w:val="bottom"/>
            <w:tcBorders>
              <w:bottom w:val="single" w:sz="8" w:color="auto"/>
              <w:right w:val="single" w:sz="8" w:color="auto"/>
            </w:tcBorders>
            <w:shd w:val="clear" w:color="auto" w:fill="2AD2C9"/>
          </w:tcPr>
          <w:p>
            <w:pPr>
              <w:spacing w:after="0"/>
              <w:rPr>
                <w:sz w:val="17"/>
                <w:szCs w:val="17"/>
                <w:color w:val="auto"/>
              </w:rPr>
            </w:pPr>
          </w:p>
        </w:tc>
        <w:tc>
          <w:tcPr>
            <w:tcW w:w="760" w:type="dxa"/>
            <w:vAlign w:val="bottom"/>
            <w:tcBorders>
              <w:bottom w:val="single" w:sz="8" w:color="auto"/>
            </w:tcBorders>
            <w:shd w:val="clear" w:color="auto" w:fill="2AD2C9"/>
          </w:tcPr>
          <w:p>
            <w:pPr>
              <w:jc w:val="right"/>
              <w:ind w:right="138"/>
              <w:spacing w:after="0"/>
              <w:rPr>
                <w:sz w:val="20"/>
                <w:szCs w:val="20"/>
                <w:color w:val="auto"/>
              </w:rPr>
            </w:pPr>
            <w:r>
              <w:rPr>
                <w:rFonts w:ascii="Arial" w:cs="Arial" w:eastAsia="Arial" w:hAnsi="Arial"/>
                <w:sz w:val="16"/>
                <w:szCs w:val="16"/>
                <w:b w:val="1"/>
                <w:bCs w:val="1"/>
                <w:color w:val="FFFFFF"/>
              </w:rPr>
              <w:t>3Q22</w:t>
            </w:r>
          </w:p>
        </w:tc>
        <w:tc>
          <w:tcPr>
            <w:tcW w:w="740" w:type="dxa"/>
            <w:vAlign w:val="bottom"/>
            <w:tcBorders>
              <w:bottom w:val="single" w:sz="8" w:color="auto"/>
            </w:tcBorders>
            <w:shd w:val="clear" w:color="auto" w:fill="2AD2C9"/>
          </w:tcPr>
          <w:p>
            <w:pPr>
              <w:jc w:val="right"/>
              <w:ind w:right="158"/>
              <w:spacing w:after="0"/>
              <w:rPr>
                <w:sz w:val="20"/>
                <w:szCs w:val="20"/>
                <w:color w:val="auto"/>
              </w:rPr>
            </w:pPr>
            <w:r>
              <w:rPr>
                <w:rFonts w:ascii="Arial" w:cs="Arial" w:eastAsia="Arial" w:hAnsi="Arial"/>
                <w:sz w:val="16"/>
                <w:szCs w:val="16"/>
                <w:b w:val="1"/>
                <w:bCs w:val="1"/>
                <w:color w:val="FFFFFF"/>
              </w:rPr>
              <w:t>2Q23</w:t>
            </w:r>
          </w:p>
        </w:tc>
        <w:tc>
          <w:tcPr>
            <w:tcW w:w="780" w:type="dxa"/>
            <w:vAlign w:val="bottom"/>
            <w:tcBorders>
              <w:bottom w:val="single" w:sz="8" w:color="auto"/>
            </w:tcBorders>
            <w:shd w:val="clear" w:color="auto" w:fill="2AD2C9"/>
          </w:tcPr>
          <w:p>
            <w:pPr>
              <w:jc w:val="right"/>
              <w:ind w:right="158"/>
              <w:spacing w:after="0"/>
              <w:rPr>
                <w:sz w:val="20"/>
                <w:szCs w:val="20"/>
                <w:color w:val="auto"/>
              </w:rPr>
            </w:pPr>
            <w:r>
              <w:rPr>
                <w:rFonts w:ascii="Arial" w:cs="Arial" w:eastAsia="Arial" w:hAnsi="Arial"/>
                <w:sz w:val="16"/>
                <w:szCs w:val="16"/>
                <w:b w:val="1"/>
                <w:bCs w:val="1"/>
                <w:color w:val="FFFFFF"/>
              </w:rPr>
              <w:t>3Q23</w:t>
            </w:r>
          </w:p>
        </w:tc>
        <w:tc>
          <w:tcPr>
            <w:tcW w:w="540" w:type="dxa"/>
            <w:vAlign w:val="bottom"/>
            <w:tcBorders>
              <w:bottom w:val="single" w:sz="8" w:color="auto"/>
            </w:tcBorders>
            <w:shd w:val="clear" w:color="auto" w:fill="2AD2C9"/>
          </w:tcPr>
          <w:p>
            <w:pPr>
              <w:jc w:val="center"/>
              <w:spacing w:after="0"/>
              <w:rPr>
                <w:sz w:val="20"/>
                <w:szCs w:val="20"/>
                <w:color w:val="auto"/>
              </w:rPr>
            </w:pPr>
            <w:r>
              <w:rPr>
                <w:rFonts w:ascii="Arial" w:cs="Arial" w:eastAsia="Arial" w:hAnsi="Arial"/>
                <w:sz w:val="16"/>
                <w:szCs w:val="16"/>
                <w:b w:val="1"/>
                <w:bCs w:val="1"/>
                <w:color w:val="FFFFFF"/>
              </w:rPr>
              <w:t>QoQ</w:t>
            </w:r>
          </w:p>
        </w:tc>
        <w:tc>
          <w:tcPr>
            <w:tcW w:w="580" w:type="dxa"/>
            <w:vAlign w:val="bottom"/>
            <w:tcBorders>
              <w:bottom w:val="single" w:sz="8" w:color="auto"/>
              <w:right w:val="single" w:sz="8" w:color="auto"/>
            </w:tcBorders>
            <w:shd w:val="clear" w:color="auto" w:fill="2AD2C9"/>
          </w:tcPr>
          <w:p>
            <w:pPr>
              <w:ind w:left="120"/>
              <w:spacing w:after="0"/>
              <w:rPr>
                <w:sz w:val="20"/>
                <w:szCs w:val="20"/>
                <w:color w:val="auto"/>
              </w:rPr>
            </w:pPr>
            <w:r>
              <w:rPr>
                <w:rFonts w:ascii="Arial" w:cs="Arial" w:eastAsia="Arial" w:hAnsi="Arial"/>
                <w:sz w:val="16"/>
                <w:szCs w:val="16"/>
                <w:b w:val="1"/>
                <w:bCs w:val="1"/>
                <w:color w:val="FFFFFF"/>
              </w:rPr>
              <w:t>YoY</w:t>
            </w:r>
          </w:p>
        </w:tc>
        <w:tc>
          <w:tcPr>
            <w:tcW w:w="940" w:type="dxa"/>
            <w:vAlign w:val="bottom"/>
            <w:tcBorders>
              <w:bottom w:val="single" w:sz="8" w:color="auto"/>
            </w:tcBorders>
            <w:shd w:val="clear" w:color="auto" w:fill="2AD2C9"/>
          </w:tcPr>
          <w:p>
            <w:pPr>
              <w:jc w:val="right"/>
              <w:ind w:right="158"/>
              <w:spacing w:after="0"/>
              <w:rPr>
                <w:sz w:val="20"/>
                <w:szCs w:val="20"/>
                <w:color w:val="auto"/>
              </w:rPr>
            </w:pPr>
            <w:r>
              <w:rPr>
                <w:rFonts w:ascii="Arial" w:cs="Arial" w:eastAsia="Arial" w:hAnsi="Arial"/>
                <w:sz w:val="16"/>
                <w:szCs w:val="16"/>
                <w:b w:val="1"/>
                <w:bCs w:val="1"/>
                <w:color w:val="FFFFFF"/>
              </w:rPr>
              <w:t>Sep 22</w:t>
            </w:r>
          </w:p>
        </w:tc>
        <w:tc>
          <w:tcPr>
            <w:tcW w:w="780" w:type="dxa"/>
            <w:vAlign w:val="bottom"/>
            <w:tcBorders>
              <w:bottom w:val="single" w:sz="8" w:color="auto"/>
              <w:right w:val="single" w:sz="8" w:color="auto"/>
            </w:tcBorders>
            <w:shd w:val="clear" w:color="auto" w:fill="2AD2C9"/>
          </w:tcPr>
          <w:p>
            <w:pPr>
              <w:jc w:val="right"/>
              <w:ind w:right="98"/>
              <w:spacing w:after="0"/>
              <w:rPr>
                <w:sz w:val="20"/>
                <w:szCs w:val="20"/>
                <w:color w:val="auto"/>
              </w:rPr>
            </w:pPr>
            <w:r>
              <w:rPr>
                <w:rFonts w:ascii="Arial" w:cs="Arial" w:eastAsia="Arial" w:hAnsi="Arial"/>
                <w:sz w:val="16"/>
                <w:szCs w:val="16"/>
                <w:b w:val="1"/>
                <w:bCs w:val="1"/>
                <w:color w:val="FFFFFF"/>
              </w:rPr>
              <w:t>Sep 23</w:t>
            </w:r>
          </w:p>
        </w:tc>
        <w:tc>
          <w:tcPr>
            <w:tcW w:w="122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6"/>
                <w:szCs w:val="16"/>
                <w:b w:val="1"/>
                <w:bCs w:val="1"/>
                <w:color w:val="FFFFFF"/>
              </w:rPr>
              <w:t>Sep 23 / Sep 22</w:t>
            </w:r>
          </w:p>
        </w:tc>
      </w:tr>
      <w:tr>
        <w:trPr>
          <w:trHeight w:val="165"/>
        </w:trPr>
        <w:tc>
          <w:tcPr>
            <w:tcW w:w="4020" w:type="dxa"/>
            <w:vAlign w:val="bottom"/>
            <w:tcBorders>
              <w:left w:val="single" w:sz="8" w:color="auto"/>
            </w:tcBorders>
          </w:tcPr>
          <w:p>
            <w:pPr>
              <w:ind w:left="20"/>
              <w:spacing w:after="0" w:line="165" w:lineRule="exact"/>
              <w:rPr>
                <w:sz w:val="20"/>
                <w:szCs w:val="20"/>
                <w:color w:val="auto"/>
              </w:rPr>
            </w:pPr>
            <w:r>
              <w:rPr>
                <w:rFonts w:ascii="Arial" w:cs="Arial" w:eastAsia="Arial" w:hAnsi="Arial"/>
                <w:sz w:val="16"/>
                <w:szCs w:val="16"/>
                <w:color w:val="auto"/>
              </w:rPr>
              <w:t>Gross provision for credit losses on loan portfolio</w:t>
            </w:r>
          </w:p>
        </w:tc>
        <w:tc>
          <w:tcPr>
            <w:tcW w:w="900" w:type="dxa"/>
            <w:vAlign w:val="bottom"/>
            <w:tcBorders>
              <w:right w:val="single" w:sz="8" w:color="auto"/>
            </w:tcBorders>
          </w:tcPr>
          <w:p>
            <w:pPr>
              <w:spacing w:after="0"/>
              <w:rPr>
                <w:sz w:val="14"/>
                <w:szCs w:val="14"/>
                <w:color w:val="auto"/>
              </w:rPr>
            </w:pPr>
          </w:p>
        </w:tc>
        <w:tc>
          <w:tcPr>
            <w:tcW w:w="2280" w:type="dxa"/>
            <w:vAlign w:val="bottom"/>
            <w:gridSpan w:val="3"/>
          </w:tcPr>
          <w:p>
            <w:pPr>
              <w:jc w:val="right"/>
              <w:spacing w:after="0" w:line="165" w:lineRule="exact"/>
              <w:rPr>
                <w:sz w:val="20"/>
                <w:szCs w:val="20"/>
                <w:color w:val="auto"/>
              </w:rPr>
            </w:pPr>
            <w:r>
              <w:rPr>
                <w:rFonts w:ascii="Arial" w:cs="Arial" w:eastAsia="Arial" w:hAnsi="Arial"/>
                <w:sz w:val="16"/>
                <w:szCs w:val="16"/>
                <w:color w:val="auto"/>
              </w:rPr>
              <w:t>(545,249)(886,123)(1,008,750)</w:t>
            </w:r>
          </w:p>
        </w:tc>
        <w:tc>
          <w:tcPr>
            <w:tcW w:w="540" w:type="dxa"/>
            <w:vAlign w:val="bottom"/>
          </w:tcPr>
          <w:p>
            <w:pPr>
              <w:jc w:val="center"/>
              <w:spacing w:after="0" w:line="165" w:lineRule="exact"/>
              <w:rPr>
                <w:sz w:val="20"/>
                <w:szCs w:val="20"/>
                <w:color w:val="auto"/>
              </w:rPr>
            </w:pPr>
            <w:r>
              <w:rPr>
                <w:rFonts w:ascii="Arial" w:cs="Arial" w:eastAsia="Arial" w:hAnsi="Arial"/>
                <w:sz w:val="16"/>
                <w:szCs w:val="16"/>
                <w:color w:val="auto"/>
              </w:rPr>
              <w:t>13.8%</w:t>
            </w:r>
          </w:p>
        </w:tc>
        <w:tc>
          <w:tcPr>
            <w:tcW w:w="58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6"/>
                <w:szCs w:val="16"/>
                <w:color w:val="auto"/>
              </w:rPr>
              <w:t>85.0%</w:t>
            </w:r>
          </w:p>
        </w:tc>
        <w:tc>
          <w:tcPr>
            <w:tcW w:w="1720" w:type="dxa"/>
            <w:vAlign w:val="bottom"/>
            <w:tcBorders>
              <w:right w:val="single" w:sz="8" w:color="auto"/>
            </w:tcBorders>
            <w:gridSpan w:val="2"/>
          </w:tcPr>
          <w:p>
            <w:pPr>
              <w:jc w:val="right"/>
              <w:spacing w:after="0" w:line="165" w:lineRule="exact"/>
              <w:rPr>
                <w:sz w:val="20"/>
                <w:szCs w:val="20"/>
                <w:color w:val="auto"/>
              </w:rPr>
            </w:pPr>
            <w:r>
              <w:rPr>
                <w:rFonts w:ascii="Arial" w:cs="Arial" w:eastAsia="Arial" w:hAnsi="Arial"/>
                <w:sz w:val="16"/>
                <w:szCs w:val="16"/>
                <w:color w:val="auto"/>
              </w:rPr>
              <w:t>(1,342,966)(2,696,980)</w:t>
            </w:r>
          </w:p>
        </w:tc>
        <w:tc>
          <w:tcPr>
            <w:tcW w:w="122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6"/>
                <w:szCs w:val="16"/>
                <w:color w:val="auto"/>
              </w:rPr>
              <w:t>100.8%</w:t>
            </w:r>
          </w:p>
        </w:tc>
      </w:tr>
      <w:tr>
        <w:trPr>
          <w:trHeight w:val="177"/>
        </w:trPr>
        <w:tc>
          <w:tcPr>
            <w:tcW w:w="4020" w:type="dxa"/>
            <w:vAlign w:val="bottom"/>
            <w:tcBorders>
              <w:left w:val="single" w:sz="8" w:color="auto"/>
            </w:tcBorders>
          </w:tcPr>
          <w:p>
            <w:pPr>
              <w:ind w:left="20"/>
              <w:spacing w:after="0" w:line="178" w:lineRule="exact"/>
              <w:rPr>
                <w:sz w:val="20"/>
                <w:szCs w:val="20"/>
                <w:color w:val="auto"/>
              </w:rPr>
            </w:pPr>
            <w:r>
              <w:rPr>
                <w:rFonts w:ascii="Arial" w:cs="Arial" w:eastAsia="Arial" w:hAnsi="Arial"/>
                <w:sz w:val="16"/>
                <w:szCs w:val="16"/>
                <w:color w:val="auto"/>
              </w:rPr>
              <w:t>Recoveries of written-off loans</w:t>
            </w:r>
          </w:p>
        </w:tc>
        <w:tc>
          <w:tcPr>
            <w:tcW w:w="900" w:type="dxa"/>
            <w:vAlign w:val="bottom"/>
            <w:tcBorders>
              <w:right w:val="single" w:sz="8" w:color="auto"/>
            </w:tcBorders>
          </w:tcPr>
          <w:p>
            <w:pPr>
              <w:spacing w:after="0"/>
              <w:rPr>
                <w:sz w:val="15"/>
                <w:szCs w:val="15"/>
                <w:color w:val="auto"/>
              </w:rPr>
            </w:pPr>
          </w:p>
        </w:tc>
        <w:tc>
          <w:tcPr>
            <w:tcW w:w="760" w:type="dxa"/>
            <w:vAlign w:val="bottom"/>
          </w:tcPr>
          <w:p>
            <w:pPr>
              <w:jc w:val="right"/>
              <w:spacing w:after="0" w:line="178" w:lineRule="exact"/>
              <w:rPr>
                <w:sz w:val="20"/>
                <w:szCs w:val="20"/>
                <w:color w:val="auto"/>
              </w:rPr>
            </w:pPr>
            <w:r>
              <w:rPr>
                <w:rFonts w:ascii="Arial" w:cs="Arial" w:eastAsia="Arial" w:hAnsi="Arial"/>
                <w:sz w:val="16"/>
                <w:szCs w:val="16"/>
                <w:color w:val="auto"/>
              </w:rPr>
              <w:t>85,273</w:t>
            </w:r>
          </w:p>
        </w:tc>
        <w:tc>
          <w:tcPr>
            <w:tcW w:w="740" w:type="dxa"/>
            <w:vAlign w:val="bottom"/>
          </w:tcPr>
          <w:p>
            <w:pPr>
              <w:jc w:val="right"/>
              <w:spacing w:after="0" w:line="178" w:lineRule="exact"/>
              <w:rPr>
                <w:sz w:val="20"/>
                <w:szCs w:val="20"/>
                <w:color w:val="auto"/>
              </w:rPr>
            </w:pPr>
            <w:r>
              <w:rPr>
                <w:rFonts w:ascii="Arial" w:cs="Arial" w:eastAsia="Arial" w:hAnsi="Arial"/>
                <w:sz w:val="16"/>
                <w:szCs w:val="16"/>
                <w:color w:val="auto"/>
              </w:rPr>
              <w:t>81,872</w:t>
            </w:r>
          </w:p>
        </w:tc>
        <w:tc>
          <w:tcPr>
            <w:tcW w:w="780" w:type="dxa"/>
            <w:vAlign w:val="bottom"/>
          </w:tcPr>
          <w:p>
            <w:pPr>
              <w:jc w:val="right"/>
              <w:spacing w:after="0" w:line="178" w:lineRule="exact"/>
              <w:rPr>
                <w:sz w:val="20"/>
                <w:szCs w:val="20"/>
                <w:color w:val="auto"/>
              </w:rPr>
            </w:pPr>
            <w:r>
              <w:rPr>
                <w:rFonts w:ascii="Arial" w:cs="Arial" w:eastAsia="Arial" w:hAnsi="Arial"/>
                <w:sz w:val="16"/>
                <w:szCs w:val="16"/>
                <w:color w:val="auto"/>
              </w:rPr>
              <w:t>91,108</w:t>
            </w:r>
          </w:p>
        </w:tc>
        <w:tc>
          <w:tcPr>
            <w:tcW w:w="540" w:type="dxa"/>
            <w:vAlign w:val="bottom"/>
          </w:tcPr>
          <w:p>
            <w:pPr>
              <w:jc w:val="center"/>
              <w:spacing w:after="0" w:line="178" w:lineRule="exact"/>
              <w:rPr>
                <w:sz w:val="20"/>
                <w:szCs w:val="20"/>
                <w:color w:val="auto"/>
              </w:rPr>
            </w:pPr>
            <w:r>
              <w:rPr>
                <w:rFonts w:ascii="Arial" w:cs="Arial" w:eastAsia="Arial" w:hAnsi="Arial"/>
                <w:sz w:val="16"/>
                <w:szCs w:val="16"/>
                <w:color w:val="auto"/>
                <w:w w:val="96"/>
              </w:rPr>
              <w:t>11.3%</w:t>
            </w:r>
          </w:p>
        </w:tc>
        <w:tc>
          <w:tcPr>
            <w:tcW w:w="58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6"/>
                <w:szCs w:val="16"/>
                <w:color w:val="auto"/>
              </w:rPr>
              <w:t>6.8%</w:t>
            </w:r>
          </w:p>
        </w:tc>
        <w:tc>
          <w:tcPr>
            <w:tcW w:w="940" w:type="dxa"/>
            <w:vAlign w:val="bottom"/>
          </w:tcPr>
          <w:p>
            <w:pPr>
              <w:jc w:val="right"/>
              <w:spacing w:after="0" w:line="178" w:lineRule="exact"/>
              <w:rPr>
                <w:sz w:val="20"/>
                <w:szCs w:val="20"/>
                <w:color w:val="auto"/>
              </w:rPr>
            </w:pPr>
            <w:r>
              <w:rPr>
                <w:rFonts w:ascii="Arial" w:cs="Arial" w:eastAsia="Arial" w:hAnsi="Arial"/>
                <w:sz w:val="16"/>
                <w:szCs w:val="16"/>
                <w:color w:val="auto"/>
              </w:rPr>
              <w:t>262,109</w:t>
            </w:r>
          </w:p>
        </w:tc>
        <w:tc>
          <w:tcPr>
            <w:tcW w:w="780" w:type="dxa"/>
            <w:vAlign w:val="bottom"/>
            <w:tcBorders>
              <w:right w:val="single" w:sz="8" w:color="auto"/>
            </w:tcBorders>
          </w:tcPr>
          <w:p>
            <w:pPr>
              <w:jc w:val="right"/>
              <w:spacing w:after="0" w:line="178" w:lineRule="exact"/>
              <w:rPr>
                <w:sz w:val="20"/>
                <w:szCs w:val="20"/>
                <w:color w:val="auto"/>
              </w:rPr>
            </w:pPr>
            <w:r>
              <w:rPr>
                <w:rFonts w:ascii="Arial" w:cs="Arial" w:eastAsia="Arial" w:hAnsi="Arial"/>
                <w:sz w:val="16"/>
                <w:szCs w:val="16"/>
                <w:color w:val="auto"/>
              </w:rPr>
              <w:t>248,089</w:t>
            </w:r>
          </w:p>
        </w:tc>
        <w:tc>
          <w:tcPr>
            <w:tcW w:w="122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6"/>
                <w:szCs w:val="16"/>
                <w:color w:val="auto"/>
              </w:rPr>
              <w:t>-5.3%</w:t>
            </w:r>
          </w:p>
        </w:tc>
      </w:tr>
      <w:tr>
        <w:trPr>
          <w:trHeight w:val="206"/>
        </w:trPr>
        <w:tc>
          <w:tcPr>
            <w:tcW w:w="40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Provision for credit losses on loan portfolio, net of</w:t>
            </w:r>
          </w:p>
        </w:tc>
        <w:tc>
          <w:tcPr>
            <w:tcW w:w="9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recoveries</w:t>
            </w: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(459,976)(804,251)</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(917,642)</w:t>
            </w: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14.1%</w:t>
            </w:r>
          </w:p>
        </w:tc>
        <w:tc>
          <w:tcPr>
            <w:tcW w:w="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99.5%</w:t>
            </w:r>
          </w:p>
        </w:tc>
        <w:tc>
          <w:tcPr>
            <w:tcW w:w="1720" w:type="dxa"/>
            <w:vAlign w:val="bottom"/>
            <w:tcBorders>
              <w:bottom w:val="single" w:sz="8" w:color="auto"/>
              <w:right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(1,080,857)(2,448,891)</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126.6%</w:t>
            </w:r>
          </w:p>
        </w:tc>
      </w:tr>
      <w:tr>
        <w:trPr>
          <w:trHeight w:val="178"/>
        </w:trPr>
        <w:tc>
          <w:tcPr>
            <w:tcW w:w="4020" w:type="dxa"/>
            <w:vAlign w:val="bottom"/>
            <w:tcBorders>
              <w:left w:val="single" w:sz="8" w:color="auto"/>
              <w:bottom w:val="single" w:sz="8" w:color="auto"/>
            </w:tcBorders>
          </w:tcPr>
          <w:p>
            <w:pPr>
              <w:ind w:left="20"/>
              <w:spacing w:after="0" w:line="178" w:lineRule="exact"/>
              <w:rPr>
                <w:sz w:val="20"/>
                <w:szCs w:val="20"/>
                <w:color w:val="auto"/>
              </w:rPr>
            </w:pPr>
            <w:r>
              <w:rPr>
                <w:rFonts w:ascii="Arial" w:cs="Arial" w:eastAsia="Arial" w:hAnsi="Arial"/>
                <w:sz w:val="13"/>
                <w:szCs w:val="13"/>
                <w:color w:val="auto"/>
              </w:rPr>
              <w:t xml:space="preserve">Cost of risk </w:t>
            </w:r>
            <w:r>
              <w:rPr>
                <w:rFonts w:ascii="Arial" w:cs="Arial" w:eastAsia="Arial" w:hAnsi="Arial"/>
                <w:sz w:val="20"/>
                <w:szCs w:val="20"/>
                <w:color w:val="auto"/>
                <w:vertAlign w:val="superscript"/>
              </w:rPr>
              <w:t>(1)</w:t>
            </w:r>
          </w:p>
        </w:tc>
        <w:tc>
          <w:tcPr>
            <w:tcW w:w="900" w:type="dxa"/>
            <w:vAlign w:val="bottom"/>
            <w:tcBorders>
              <w:bottom w:val="single" w:sz="8" w:color="auto"/>
              <w:right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1.2%</w:t>
            </w:r>
          </w:p>
        </w:tc>
        <w:tc>
          <w:tcPr>
            <w:tcW w:w="74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2.3%</w:t>
            </w:r>
          </w:p>
        </w:tc>
        <w:tc>
          <w:tcPr>
            <w:tcW w:w="1900" w:type="dxa"/>
            <w:vAlign w:val="bottom"/>
            <w:tcBorders>
              <w:bottom w:val="single" w:sz="8" w:color="auto"/>
              <w:right w:val="single" w:sz="8" w:color="auto"/>
            </w:tcBorders>
            <w:gridSpan w:val="3"/>
          </w:tcPr>
          <w:p>
            <w:pPr>
              <w:ind w:left="400"/>
              <w:spacing w:after="0" w:line="178" w:lineRule="exact"/>
              <w:rPr>
                <w:sz w:val="20"/>
                <w:szCs w:val="20"/>
                <w:color w:val="auto"/>
              </w:rPr>
            </w:pPr>
            <w:r>
              <w:rPr>
                <w:rFonts w:ascii="Arial" w:cs="Arial" w:eastAsia="Arial" w:hAnsi="Arial"/>
                <w:sz w:val="16"/>
                <w:szCs w:val="16"/>
                <w:color w:val="auto"/>
              </w:rPr>
              <w:t>2.5%28 bps131 bps</w:t>
            </w:r>
          </w:p>
        </w:tc>
        <w:tc>
          <w:tcPr>
            <w:tcW w:w="94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1.0%</w:t>
            </w:r>
          </w:p>
        </w:tc>
        <w:tc>
          <w:tcPr>
            <w:tcW w:w="780" w:type="dxa"/>
            <w:vAlign w:val="bottom"/>
            <w:tcBorders>
              <w:bottom w:val="single" w:sz="8" w:color="auto"/>
              <w:right w:val="single" w:sz="8" w:color="auto"/>
            </w:tcBorders>
          </w:tcPr>
          <w:p>
            <w:pPr>
              <w:jc w:val="right"/>
              <w:spacing w:after="0" w:line="178" w:lineRule="exact"/>
              <w:rPr>
                <w:sz w:val="20"/>
                <w:szCs w:val="20"/>
                <w:color w:val="auto"/>
              </w:rPr>
            </w:pPr>
            <w:r>
              <w:rPr>
                <w:rFonts w:ascii="Arial" w:cs="Arial" w:eastAsia="Arial" w:hAnsi="Arial"/>
                <w:sz w:val="16"/>
                <w:szCs w:val="16"/>
                <w:color w:val="auto"/>
              </w:rPr>
              <w:t>2.2%</w:t>
            </w:r>
          </w:p>
        </w:tc>
        <w:tc>
          <w:tcPr>
            <w:tcW w:w="1220" w:type="dxa"/>
            <w:vAlign w:val="bottom"/>
            <w:tcBorders>
              <w:bottom w:val="single" w:sz="8" w:color="auto"/>
              <w:right w:val="single" w:sz="8" w:color="auto"/>
            </w:tcBorders>
          </w:tcPr>
          <w:p>
            <w:pPr>
              <w:jc w:val="center"/>
              <w:spacing w:after="0" w:line="178" w:lineRule="exact"/>
              <w:rPr>
                <w:sz w:val="20"/>
                <w:szCs w:val="20"/>
                <w:color w:val="auto"/>
              </w:rPr>
            </w:pPr>
            <w:r>
              <w:rPr>
                <w:rFonts w:ascii="Arial" w:cs="Arial" w:eastAsia="Arial" w:hAnsi="Arial"/>
                <w:sz w:val="16"/>
                <w:szCs w:val="16"/>
                <w:color w:val="auto"/>
              </w:rPr>
              <w:t>130 bps</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1"/>
          <w:szCs w:val="11"/>
          <w:color w:val="auto"/>
        </w:rPr>
        <w:t>(1). Provision for credit losses on loan portfolio, net of annualized recoveries / Total loans.</w:t>
      </w:r>
    </w:p>
    <w:p>
      <w:pPr>
        <w:spacing w:after="0" w:line="238" w:lineRule="exact"/>
        <w:rPr>
          <w:sz w:val="20"/>
          <w:szCs w:val="20"/>
          <w:color w:val="auto"/>
        </w:rPr>
      </w:pPr>
    </w:p>
    <w:p>
      <w:pPr>
        <w:jc w:val="both"/>
        <w:ind w:right="20"/>
        <w:spacing w:after="0" w:line="274" w:lineRule="auto"/>
        <w:rPr>
          <w:sz w:val="20"/>
          <w:szCs w:val="20"/>
          <w:color w:val="auto"/>
        </w:rPr>
      </w:pPr>
      <w:r>
        <w:rPr>
          <w:rFonts w:ascii="Arial" w:cs="Arial" w:eastAsia="Arial" w:hAnsi="Arial"/>
          <w:sz w:val="16"/>
          <w:szCs w:val="16"/>
          <w:color w:val="auto"/>
        </w:rPr>
        <w:t>The CofR for the total portfolio, which is composed of structural and GP loans, reported growth of 28 bps QoQ, 131 bps YoY, and 171 bps YTD. Growth over these periods was driven by an uptick in provisions for structural loans.</w:t>
      </w:r>
    </w:p>
    <w:p>
      <w:pPr>
        <w:spacing w:after="0" w:line="128" w:lineRule="exact"/>
        <w:rPr>
          <w:sz w:val="20"/>
          <w:szCs w:val="20"/>
          <w:color w:val="auto"/>
        </w:rPr>
      </w:pPr>
    </w:p>
    <w:p>
      <w:pPr>
        <w:ind w:left="1680"/>
        <w:spacing w:after="0"/>
        <w:tabs>
          <w:tab w:leader="none" w:pos="7420" w:val="left"/>
        </w:tabs>
        <w:rPr>
          <w:sz w:val="20"/>
          <w:szCs w:val="20"/>
          <w:color w:val="auto"/>
        </w:rPr>
      </w:pPr>
      <w:r>
        <w:rPr>
          <w:rFonts w:ascii="Arial" w:cs="Arial" w:eastAsia="Arial" w:hAnsi="Arial"/>
          <w:sz w:val="16"/>
          <w:szCs w:val="16"/>
          <w:b w:val="1"/>
          <w:bCs w:val="1"/>
          <w:color w:val="auto"/>
        </w:rPr>
        <w:t>QoQ Cost of Risk Evolution</w:t>
      </w:r>
      <w:r>
        <w:rPr>
          <w:sz w:val="20"/>
          <w:szCs w:val="20"/>
          <w:color w:val="auto"/>
        </w:rPr>
        <w:tab/>
      </w:r>
      <w:r>
        <w:rPr>
          <w:rFonts w:ascii="Arial" w:cs="Arial" w:eastAsia="Arial" w:hAnsi="Arial"/>
          <w:sz w:val="16"/>
          <w:szCs w:val="16"/>
          <w:b w:val="1"/>
          <w:bCs w:val="1"/>
          <w:color w:val="auto"/>
        </w:rPr>
        <w:t>YoY Cost of Risk Evolution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132080</wp:posOffset>
            </wp:positionV>
            <wp:extent cx="6202045" cy="11150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202045" cy="1115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tabs>
          <w:tab w:leader="none" w:pos="5720" w:val="left"/>
        </w:tabs>
        <w:rPr>
          <w:sz w:val="20"/>
          <w:szCs w:val="20"/>
          <w:color w:val="auto"/>
        </w:rPr>
      </w:pPr>
      <w:r>
        <w:rPr>
          <w:rFonts w:ascii="Arial" w:cs="Arial" w:eastAsia="Arial" w:hAnsi="Arial"/>
          <w:sz w:val="11"/>
          <w:szCs w:val="11"/>
          <w:b w:val="1"/>
          <w:bCs w:val="1"/>
          <w:color w:val="auto"/>
        </w:rPr>
        <w:t>(1) Others include BCP Bolivia, Mibanco Colombia, ASB y eliminations.</w:t>
      </w:r>
      <w:r>
        <w:rPr>
          <w:sz w:val="20"/>
          <w:szCs w:val="20"/>
          <w:color w:val="auto"/>
        </w:rPr>
        <w:tab/>
      </w:r>
      <w:r>
        <w:rPr>
          <w:rFonts w:ascii="Arial" w:cs="Arial" w:eastAsia="Arial" w:hAnsi="Arial"/>
          <w:sz w:val="10"/>
          <w:szCs w:val="10"/>
          <w:b w:val="1"/>
          <w:bCs w:val="1"/>
          <w:color w:val="auto"/>
        </w:rPr>
        <w:t>(1) Others include BCP Bolivia, Mibanco Colombia, ASB y eliminations</w:t>
      </w: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YTD Cost of Risk Evolution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2221230</wp:posOffset>
            </wp:positionH>
            <wp:positionV relativeFrom="paragraph">
              <wp:posOffset>13970</wp:posOffset>
            </wp:positionV>
            <wp:extent cx="2708275" cy="129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708275" cy="129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11"/>
          <w:szCs w:val="11"/>
          <w:color w:val="auto"/>
        </w:rPr>
        <w:t>(1) Others include BCP Bolivia, Mibanco Colombia, ASB y eliminations</w:t>
      </w:r>
    </w:p>
    <w:p>
      <w:pPr>
        <w:spacing w:after="0" w:line="321" w:lineRule="exact"/>
        <w:rPr>
          <w:sz w:val="20"/>
          <w:szCs w:val="20"/>
          <w:color w:val="auto"/>
        </w:rPr>
      </w:pPr>
    </w:p>
    <w:p>
      <w:pPr>
        <w:jc w:val="right"/>
        <w:ind w:right="2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43750" cy="158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33" w:name="page34"/>
    <w:bookmarkEnd w:id="33"/>
    <w:p>
      <w:pPr>
        <w:ind w:left="2961"/>
        <w:spacing w:after="0"/>
        <w:tabs>
          <w:tab w:leader="none" w:pos="3141" w:val="left"/>
          <w:tab w:leader="none" w:pos="7701" w:val="left"/>
        </w:tabs>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202565</wp:posOffset>
            </wp:positionH>
            <wp:positionV relativeFrom="page">
              <wp:posOffset>88900</wp:posOffset>
            </wp:positionV>
            <wp:extent cx="7143750" cy="41592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3750" cy="415925"/>
                    </a:xfrm>
                    <a:prstGeom prst="rect">
                      <a:avLst/>
                    </a:prstGeom>
                    <a:noFill/>
                  </pic:spPr>
                </pic:pic>
              </a:graphicData>
            </a:graphic>
          </wp:anchor>
        </w:drawing>
        <w:t>|</w:t>
      </w:r>
      <w:r>
        <w:rPr>
          <w:sz w:val="20"/>
          <w:szCs w:val="20"/>
          <w:color w:val="auto"/>
        </w:rPr>
        <w:tab/>
      </w:r>
      <w:r>
        <w:rPr>
          <w:rFonts w:ascii="Arial" w:cs="Arial" w:eastAsia="Arial" w:hAnsi="Arial"/>
          <w:sz w:val="16"/>
          <w:szCs w:val="16"/>
          <w:b w:val="1"/>
          <w:bCs w:val="1"/>
          <w:color w:val="FFFFFF"/>
        </w:rPr>
        <w:t>Earnings Release 3Q / 2023</w:t>
      </w:r>
      <w:r>
        <w:rPr>
          <w:sz w:val="20"/>
          <w:szCs w:val="20"/>
          <w:color w:val="auto"/>
        </w:rPr>
        <w:tab/>
      </w:r>
      <w:r>
        <w:rPr>
          <w:rFonts w:ascii="Arial" w:cs="Arial" w:eastAsia="Arial" w:hAnsi="Arial"/>
          <w:sz w:val="18"/>
          <w:szCs w:val="18"/>
          <w:b w:val="1"/>
          <w:bCs w:val="1"/>
          <w:color w:val="E93CAC"/>
        </w:rPr>
        <w:t>Analysis of 3Q23 Consolidated Results</w:t>
      </w:r>
    </w:p>
    <w:p>
      <w:pPr>
        <w:spacing w:after="0" w:line="364" w:lineRule="exact"/>
        <w:rPr>
          <w:sz w:val="20"/>
          <w:szCs w:val="20"/>
          <w:color w:val="auto"/>
        </w:rPr>
      </w:pPr>
    </w:p>
    <w:p>
      <w:pPr>
        <w:ind w:left="1"/>
        <w:spacing w:after="0"/>
        <w:rPr>
          <w:sz w:val="20"/>
          <w:szCs w:val="20"/>
          <w:color w:val="auto"/>
        </w:rPr>
      </w:pPr>
      <w:r>
        <w:rPr>
          <w:rFonts w:ascii="Arial" w:cs="Arial" w:eastAsia="Arial" w:hAnsi="Arial"/>
          <w:sz w:val="48"/>
          <w:szCs w:val="48"/>
          <w:b w:val="1"/>
          <w:bCs w:val="1"/>
          <w:color w:val="E93CAC"/>
        </w:rPr>
        <w:t xml:space="preserve">06  </w:t>
      </w:r>
      <w:r>
        <w:rPr>
          <w:rFonts w:ascii="Arial" w:cs="Arial" w:eastAsia="Arial" w:hAnsi="Arial"/>
          <w:sz w:val="29"/>
          <w:szCs w:val="29"/>
          <w:color w:val="E93CAC"/>
        </w:rPr>
        <w:t>Other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7143750" cy="7772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3750" cy="777240"/>
                    </a:xfrm>
                    <a:prstGeom prst="rect">
                      <a:avLst/>
                    </a:prstGeom>
                    <a:noFill/>
                  </pic:spPr>
                </pic:pic>
              </a:graphicData>
            </a:graphic>
          </wp:anchor>
        </w:drawing>
      </w:r>
    </w:p>
    <w:p>
      <w:pPr>
        <w:spacing w:after="0" w:line="180" w:lineRule="exact"/>
        <w:rPr>
          <w:sz w:val="20"/>
          <w:szCs w:val="20"/>
          <w:color w:val="auto"/>
        </w:rPr>
      </w:pPr>
    </w:p>
    <w:p>
      <w:pPr>
        <w:jc w:val="both"/>
        <w:ind w:left="241" w:right="220"/>
        <w:spacing w:after="0" w:line="248" w:lineRule="auto"/>
        <w:rPr>
          <w:sz w:val="20"/>
          <w:szCs w:val="20"/>
          <w:color w:val="auto"/>
        </w:rPr>
      </w:pPr>
      <w:r>
        <w:rPr>
          <w:rFonts w:ascii="Arial" w:cs="Arial" w:eastAsia="Arial" w:hAnsi="Arial"/>
          <w:sz w:val="16"/>
          <w:szCs w:val="16"/>
          <w:color w:val="FFFFFF"/>
        </w:rPr>
        <w:t>Other Core Income rose 1.1% QoQ and decreased -1.1% YoY. On accumulated basis, Other Core Income decreased 1.3%. If we excluded BCP Bolivia from the QoQ analysis, this line rose 1.7% driven by growth in banking fees via positive dynamics in fee income from credit cards, collection services and billing payments at BCP. These dynamics were partially offset by a reduction in the Gain on FX transactions, in context of lower client transactions. YoY, if we isolate the impact of BCP Bolivia, Other Core Income fell -1.2%, driven primarily by a decrease in fee income from Prima AFP, Credicorp Capital and BCP. This was partially offset by a 1.4% increase in the Gain on FX Transactions, which was fueled by Credicorp Capital. For the first nine months, excluding BCP Bolivia, Other Core Income fell 1.9%, driven by the same dynamics that drove the YoY evolution.</w:t>
      </w:r>
    </w:p>
    <w:p>
      <w:pPr>
        <w:spacing w:after="0" w:line="186"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6.1. Other Core Income</w:t>
      </w:r>
    </w:p>
    <w:p>
      <w:pPr>
        <w:spacing w:after="0" w:line="175" w:lineRule="exact"/>
        <w:rPr>
          <w:sz w:val="20"/>
          <w:szCs w:val="20"/>
          <w:color w:val="auto"/>
        </w:rPr>
      </w:pPr>
    </w:p>
    <w:tbl>
      <w:tblPr>
        <w:tblLayout w:type="fixed"/>
        <w:tblInd w:w="11" w:type="dxa"/>
        <w:tblCellMar>
          <w:top w:w="0" w:type="dxa"/>
          <w:left w:w="0" w:type="dxa"/>
          <w:bottom w:w="0" w:type="dxa"/>
          <w:right w:w="0" w:type="dxa"/>
        </w:tblCellMar>
      </w:tblPr>
      <w:tr>
        <w:trPr>
          <w:trHeight w:val="177"/>
        </w:trPr>
        <w:tc>
          <w:tcPr>
            <w:tcW w:w="3120" w:type="dxa"/>
            <w:vAlign w:val="bottom"/>
            <w:tcBorders>
              <w:top w:val="single" w:sz="8" w:color="auto"/>
              <w:left w:val="single" w:sz="8" w:color="auto"/>
              <w:right w:val="single" w:sz="8" w:color="auto"/>
            </w:tcBorders>
            <w:shd w:val="clear" w:color="auto" w:fill="2AD2C9"/>
          </w:tcPr>
          <w:p>
            <w:pPr>
              <w:ind w:left="20"/>
              <w:spacing w:after="0" w:line="177" w:lineRule="exact"/>
              <w:rPr>
                <w:sz w:val="20"/>
                <w:szCs w:val="20"/>
                <w:color w:val="auto"/>
              </w:rPr>
            </w:pPr>
            <w:r>
              <w:rPr>
                <w:rFonts w:ascii="Arial" w:cs="Arial" w:eastAsia="Arial" w:hAnsi="Arial"/>
                <w:sz w:val="16"/>
                <w:szCs w:val="16"/>
                <w:b w:val="1"/>
                <w:bCs w:val="1"/>
                <w:color w:val="FFFFFF"/>
              </w:rPr>
              <w:t>Other Core Income</w:t>
            </w:r>
          </w:p>
        </w:tc>
        <w:tc>
          <w:tcPr>
            <w:tcW w:w="1080" w:type="dxa"/>
            <w:vAlign w:val="bottom"/>
            <w:tcBorders>
              <w:top w:val="single" w:sz="8" w:color="auto"/>
            </w:tcBorders>
            <w:shd w:val="clear" w:color="auto" w:fill="2AD2C9"/>
          </w:tcPr>
          <w:p>
            <w:pPr>
              <w:spacing w:after="0"/>
              <w:rPr>
                <w:sz w:val="15"/>
                <w:szCs w:val="15"/>
                <w:color w:val="auto"/>
              </w:rPr>
            </w:pPr>
          </w:p>
        </w:tc>
        <w:tc>
          <w:tcPr>
            <w:tcW w:w="1020" w:type="dxa"/>
            <w:vAlign w:val="bottom"/>
            <w:tcBorders>
              <w:top w:val="single" w:sz="8" w:color="auto"/>
            </w:tcBorders>
            <w:shd w:val="clear" w:color="auto" w:fill="2AD2C9"/>
          </w:tcPr>
          <w:p>
            <w:pPr>
              <w:jc w:val="right"/>
              <w:ind w:right="238"/>
              <w:spacing w:after="0" w:line="177" w:lineRule="exact"/>
              <w:rPr>
                <w:sz w:val="20"/>
                <w:szCs w:val="20"/>
                <w:color w:val="auto"/>
              </w:rPr>
            </w:pPr>
            <w:r>
              <w:rPr>
                <w:rFonts w:ascii="Arial" w:cs="Arial" w:eastAsia="Arial" w:hAnsi="Arial"/>
                <w:sz w:val="16"/>
                <w:szCs w:val="16"/>
                <w:b w:val="1"/>
                <w:bCs w:val="1"/>
                <w:color w:val="FFFFFF"/>
              </w:rPr>
              <w:t>Quarter</w:t>
            </w:r>
          </w:p>
        </w:tc>
        <w:tc>
          <w:tcPr>
            <w:tcW w:w="880" w:type="dxa"/>
            <w:vAlign w:val="bottom"/>
            <w:tcBorders>
              <w:top w:val="single" w:sz="8" w:color="auto"/>
              <w:right w:val="single" w:sz="8" w:color="auto"/>
            </w:tcBorders>
            <w:shd w:val="clear" w:color="auto" w:fill="2AD2C9"/>
          </w:tcPr>
          <w:p>
            <w:pPr>
              <w:spacing w:after="0"/>
              <w:rPr>
                <w:sz w:val="15"/>
                <w:szCs w:val="15"/>
                <w:color w:val="auto"/>
              </w:rPr>
            </w:pPr>
          </w:p>
        </w:tc>
        <w:tc>
          <w:tcPr>
            <w:tcW w:w="1960" w:type="dxa"/>
            <w:vAlign w:val="bottom"/>
            <w:tcBorders>
              <w:top w:val="single" w:sz="8" w:color="auto"/>
              <w:right w:val="single" w:sz="8" w:color="auto"/>
            </w:tcBorders>
            <w:gridSpan w:val="2"/>
            <w:shd w:val="clear" w:color="auto" w:fill="2AD2C9"/>
          </w:tcPr>
          <w:p>
            <w:pPr>
              <w:ind w:left="580"/>
              <w:spacing w:after="0" w:line="177" w:lineRule="exact"/>
              <w:rPr>
                <w:sz w:val="20"/>
                <w:szCs w:val="20"/>
                <w:color w:val="auto"/>
              </w:rPr>
            </w:pPr>
            <w:r>
              <w:rPr>
                <w:rFonts w:ascii="Arial" w:cs="Arial" w:eastAsia="Arial" w:hAnsi="Arial"/>
                <w:sz w:val="16"/>
                <w:szCs w:val="16"/>
                <w:b w:val="1"/>
                <w:bCs w:val="1"/>
                <w:color w:val="FFFFFF"/>
              </w:rPr>
              <w:t>% Change</w:t>
            </w:r>
          </w:p>
        </w:tc>
        <w:tc>
          <w:tcPr>
            <w:tcW w:w="1200" w:type="dxa"/>
            <w:vAlign w:val="bottom"/>
            <w:tcBorders>
              <w:top w:val="single" w:sz="8" w:color="auto"/>
            </w:tcBorders>
            <w:shd w:val="clear" w:color="auto" w:fill="2AD2C9"/>
          </w:tcPr>
          <w:p>
            <w:pPr>
              <w:jc w:val="right"/>
              <w:spacing w:after="0" w:line="177" w:lineRule="exact"/>
              <w:rPr>
                <w:sz w:val="20"/>
                <w:szCs w:val="20"/>
                <w:color w:val="auto"/>
              </w:rPr>
            </w:pPr>
            <w:r>
              <w:rPr>
                <w:rFonts w:ascii="Arial" w:cs="Arial" w:eastAsia="Arial" w:hAnsi="Arial"/>
                <w:sz w:val="16"/>
                <w:szCs w:val="16"/>
                <w:b w:val="1"/>
                <w:bCs w:val="1"/>
                <w:color w:val="FFFFFF"/>
              </w:rPr>
              <w:t>As of</w:t>
            </w:r>
          </w:p>
        </w:tc>
        <w:tc>
          <w:tcPr>
            <w:tcW w:w="800" w:type="dxa"/>
            <w:vAlign w:val="bottom"/>
            <w:tcBorders>
              <w:top w:val="single" w:sz="8" w:color="auto"/>
              <w:right w:val="single" w:sz="8" w:color="auto"/>
            </w:tcBorders>
            <w:shd w:val="clear" w:color="auto" w:fill="2AD2C9"/>
          </w:tcPr>
          <w:p>
            <w:pPr>
              <w:spacing w:after="0"/>
              <w:rPr>
                <w:sz w:val="15"/>
                <w:szCs w:val="15"/>
                <w:color w:val="auto"/>
              </w:rPr>
            </w:pPr>
          </w:p>
        </w:tc>
        <w:tc>
          <w:tcPr>
            <w:tcW w:w="1200" w:type="dxa"/>
            <w:vAlign w:val="bottom"/>
            <w:tcBorders>
              <w:top w:val="single" w:sz="8" w:color="auto"/>
              <w:right w:val="single" w:sz="8" w:color="auto"/>
            </w:tcBorders>
            <w:shd w:val="clear" w:color="auto" w:fill="2AD2C9"/>
          </w:tcPr>
          <w:p>
            <w:pPr>
              <w:jc w:val="center"/>
              <w:spacing w:after="0" w:line="177" w:lineRule="exact"/>
              <w:rPr>
                <w:sz w:val="20"/>
                <w:szCs w:val="20"/>
                <w:color w:val="auto"/>
              </w:rPr>
            </w:pPr>
            <w:r>
              <w:rPr>
                <w:rFonts w:ascii="Arial" w:cs="Arial" w:eastAsia="Arial" w:hAnsi="Arial"/>
                <w:sz w:val="16"/>
                <w:szCs w:val="16"/>
                <w:b w:val="1"/>
                <w:bCs w:val="1"/>
                <w:color w:val="FFFFFF"/>
              </w:rPr>
              <w:t>% Change</w:t>
            </w:r>
          </w:p>
        </w:tc>
      </w:tr>
      <w:tr>
        <w:trPr>
          <w:trHeight w:val="206"/>
        </w:trPr>
        <w:tc>
          <w:tcPr>
            <w:tcW w:w="3120" w:type="dxa"/>
            <w:vAlign w:val="bottom"/>
            <w:tcBorders>
              <w:left w:val="single" w:sz="8" w:color="auto"/>
              <w:right w:val="single" w:sz="8" w:color="auto"/>
            </w:tcBorders>
            <w:shd w:val="clear" w:color="auto" w:fill="2AD2C9"/>
          </w:tcPr>
          <w:p>
            <w:pPr>
              <w:ind w:left="20"/>
              <w:spacing w:after="0"/>
              <w:rPr>
                <w:sz w:val="20"/>
                <w:szCs w:val="20"/>
                <w:color w:val="auto"/>
              </w:rPr>
            </w:pPr>
            <w:r>
              <w:rPr>
                <w:rFonts w:ascii="Arial" w:cs="Arial" w:eastAsia="Arial" w:hAnsi="Arial"/>
                <w:sz w:val="16"/>
                <w:szCs w:val="16"/>
                <w:b w:val="1"/>
                <w:bCs w:val="1"/>
                <w:color w:val="FFFFFF"/>
              </w:rPr>
              <w:t>(S/ 000)</w:t>
            </w:r>
          </w:p>
        </w:tc>
        <w:tc>
          <w:tcPr>
            <w:tcW w:w="1080" w:type="dxa"/>
            <w:vAlign w:val="bottom"/>
            <w:shd w:val="clear" w:color="auto" w:fill="2AD2C9"/>
          </w:tcPr>
          <w:p>
            <w:pPr>
              <w:jc w:val="right"/>
              <w:ind w:right="298"/>
              <w:spacing w:after="0"/>
              <w:rPr>
                <w:sz w:val="20"/>
                <w:szCs w:val="20"/>
                <w:color w:val="auto"/>
              </w:rPr>
            </w:pPr>
            <w:r>
              <w:rPr>
                <w:rFonts w:ascii="Arial" w:cs="Arial" w:eastAsia="Arial" w:hAnsi="Arial"/>
                <w:sz w:val="16"/>
                <w:szCs w:val="16"/>
                <w:b w:val="1"/>
                <w:bCs w:val="1"/>
                <w:color w:val="FFFFFF"/>
              </w:rPr>
              <w:t>3Q22</w:t>
            </w:r>
          </w:p>
        </w:tc>
        <w:tc>
          <w:tcPr>
            <w:tcW w:w="1020" w:type="dxa"/>
            <w:vAlign w:val="bottom"/>
            <w:shd w:val="clear" w:color="auto" w:fill="2AD2C9"/>
          </w:tcPr>
          <w:p>
            <w:pPr>
              <w:jc w:val="right"/>
              <w:ind w:right="338"/>
              <w:spacing w:after="0"/>
              <w:rPr>
                <w:sz w:val="20"/>
                <w:szCs w:val="20"/>
                <w:color w:val="auto"/>
              </w:rPr>
            </w:pPr>
            <w:r>
              <w:rPr>
                <w:rFonts w:ascii="Arial" w:cs="Arial" w:eastAsia="Arial" w:hAnsi="Arial"/>
                <w:sz w:val="16"/>
                <w:szCs w:val="16"/>
                <w:b w:val="1"/>
                <w:bCs w:val="1"/>
                <w:color w:val="FFFFFF"/>
              </w:rPr>
              <w:t>2Q23</w:t>
            </w:r>
          </w:p>
        </w:tc>
        <w:tc>
          <w:tcPr>
            <w:tcW w:w="880" w:type="dxa"/>
            <w:vAlign w:val="bottom"/>
            <w:tcBorders>
              <w:right w:val="single" w:sz="8" w:color="auto"/>
            </w:tcBorders>
            <w:shd w:val="clear" w:color="auto" w:fill="2AD2C9"/>
          </w:tcPr>
          <w:p>
            <w:pPr>
              <w:jc w:val="right"/>
              <w:ind w:right="238"/>
              <w:spacing w:after="0"/>
              <w:rPr>
                <w:sz w:val="20"/>
                <w:szCs w:val="20"/>
                <w:color w:val="auto"/>
              </w:rPr>
            </w:pPr>
            <w:r>
              <w:rPr>
                <w:rFonts w:ascii="Arial" w:cs="Arial" w:eastAsia="Arial" w:hAnsi="Arial"/>
                <w:sz w:val="16"/>
                <w:szCs w:val="16"/>
                <w:b w:val="1"/>
                <w:bCs w:val="1"/>
                <w:color w:val="FFFFFF"/>
              </w:rPr>
              <w:t>3Q23</w:t>
            </w:r>
          </w:p>
        </w:tc>
        <w:tc>
          <w:tcPr>
            <w:tcW w:w="900" w:type="dxa"/>
            <w:vAlign w:val="bottom"/>
            <w:shd w:val="clear" w:color="auto" w:fill="2AD2C9"/>
          </w:tcPr>
          <w:p>
            <w:pPr>
              <w:ind w:left="260"/>
              <w:spacing w:after="0"/>
              <w:rPr>
                <w:sz w:val="20"/>
                <w:szCs w:val="20"/>
                <w:color w:val="auto"/>
              </w:rPr>
            </w:pPr>
            <w:r>
              <w:rPr>
                <w:rFonts w:ascii="Arial" w:cs="Arial" w:eastAsia="Arial" w:hAnsi="Arial"/>
                <w:sz w:val="16"/>
                <w:szCs w:val="16"/>
                <w:b w:val="1"/>
                <w:bCs w:val="1"/>
                <w:color w:val="FFFFFF"/>
              </w:rPr>
              <w:t>QoQ</w:t>
            </w:r>
          </w:p>
        </w:tc>
        <w:tc>
          <w:tcPr>
            <w:tcW w:w="1060" w:type="dxa"/>
            <w:vAlign w:val="bottom"/>
            <w:tcBorders>
              <w:right w:val="single" w:sz="8" w:color="auto"/>
            </w:tcBorders>
            <w:shd w:val="clear" w:color="auto" w:fill="2AD2C9"/>
          </w:tcPr>
          <w:p>
            <w:pPr>
              <w:ind w:left="360"/>
              <w:spacing w:after="0"/>
              <w:rPr>
                <w:sz w:val="20"/>
                <w:szCs w:val="20"/>
                <w:color w:val="auto"/>
              </w:rPr>
            </w:pPr>
            <w:r>
              <w:rPr>
                <w:rFonts w:ascii="Arial" w:cs="Arial" w:eastAsia="Arial" w:hAnsi="Arial"/>
                <w:sz w:val="16"/>
                <w:szCs w:val="16"/>
                <w:b w:val="1"/>
                <w:bCs w:val="1"/>
                <w:color w:val="FFFFFF"/>
              </w:rPr>
              <w:t>YoY</w:t>
            </w:r>
          </w:p>
        </w:tc>
        <w:tc>
          <w:tcPr>
            <w:tcW w:w="1200" w:type="dxa"/>
            <w:vAlign w:val="bottom"/>
            <w:shd w:val="clear" w:color="auto" w:fill="2AD2C9"/>
          </w:tcPr>
          <w:p>
            <w:pPr>
              <w:jc w:val="right"/>
              <w:ind w:right="358"/>
              <w:spacing w:after="0"/>
              <w:rPr>
                <w:sz w:val="20"/>
                <w:szCs w:val="20"/>
                <w:color w:val="auto"/>
              </w:rPr>
            </w:pPr>
            <w:r>
              <w:rPr>
                <w:rFonts w:ascii="Arial" w:cs="Arial" w:eastAsia="Arial" w:hAnsi="Arial"/>
                <w:sz w:val="16"/>
                <w:szCs w:val="16"/>
                <w:b w:val="1"/>
                <w:bCs w:val="1"/>
                <w:color w:val="FFFFFF"/>
              </w:rPr>
              <w:t>Sep 22</w:t>
            </w:r>
          </w:p>
        </w:tc>
        <w:tc>
          <w:tcPr>
            <w:tcW w:w="800" w:type="dxa"/>
            <w:vAlign w:val="bottom"/>
            <w:tcBorders>
              <w:right w:val="single" w:sz="8" w:color="auto"/>
            </w:tcBorders>
            <w:shd w:val="clear" w:color="auto" w:fill="2AD2C9"/>
          </w:tcPr>
          <w:p>
            <w:pPr>
              <w:jc w:val="right"/>
              <w:ind w:right="178"/>
              <w:spacing w:after="0"/>
              <w:rPr>
                <w:sz w:val="20"/>
                <w:szCs w:val="20"/>
                <w:color w:val="auto"/>
              </w:rPr>
            </w:pPr>
            <w:r>
              <w:rPr>
                <w:rFonts w:ascii="Arial" w:cs="Arial" w:eastAsia="Arial" w:hAnsi="Arial"/>
                <w:sz w:val="16"/>
                <w:szCs w:val="16"/>
                <w:b w:val="1"/>
                <w:bCs w:val="1"/>
                <w:color w:val="FFFFFF"/>
              </w:rPr>
              <w:t>Sep 23</w:t>
            </w:r>
          </w:p>
        </w:tc>
        <w:tc>
          <w:tcPr>
            <w:tcW w:w="1200" w:type="dxa"/>
            <w:vAlign w:val="bottom"/>
            <w:tcBorders>
              <w:right w:val="single" w:sz="8" w:color="auto"/>
            </w:tcBorders>
            <w:shd w:val="clear" w:color="auto" w:fill="2AD2C9"/>
          </w:tcPr>
          <w:p>
            <w:pPr>
              <w:jc w:val="center"/>
              <w:spacing w:after="0"/>
              <w:rPr>
                <w:sz w:val="20"/>
                <w:szCs w:val="20"/>
                <w:color w:val="auto"/>
              </w:rPr>
            </w:pPr>
            <w:r>
              <w:rPr>
                <w:rFonts w:ascii="Arial" w:cs="Arial" w:eastAsia="Arial" w:hAnsi="Arial"/>
                <w:sz w:val="16"/>
                <w:szCs w:val="16"/>
                <w:b w:val="1"/>
                <w:bCs w:val="1"/>
                <w:color w:val="FFFFFF"/>
              </w:rPr>
              <w:t>Sep 23/ Sep 22</w:t>
            </w:r>
          </w:p>
        </w:tc>
      </w:tr>
      <w:tr>
        <w:trPr>
          <w:trHeight w:val="173"/>
        </w:trPr>
        <w:tc>
          <w:tcPr>
            <w:tcW w:w="3120" w:type="dxa"/>
            <w:vAlign w:val="bottom"/>
            <w:tcBorders>
              <w:left w:val="single" w:sz="8" w:color="auto"/>
              <w:right w:val="single" w:sz="8" w:color="auto"/>
            </w:tcBorders>
          </w:tcPr>
          <w:p>
            <w:pPr>
              <w:ind w:left="20"/>
              <w:spacing w:after="0" w:line="173" w:lineRule="exact"/>
              <w:rPr>
                <w:sz w:val="20"/>
                <w:szCs w:val="20"/>
                <w:color w:val="auto"/>
              </w:rPr>
            </w:pPr>
            <w:r>
              <w:rPr>
                <w:rFonts w:ascii="Arial" w:cs="Arial" w:eastAsia="Arial" w:hAnsi="Arial"/>
                <w:sz w:val="16"/>
                <w:szCs w:val="16"/>
                <w:color w:val="auto"/>
              </w:rPr>
              <w:t>Fee income</w:t>
            </w:r>
          </w:p>
        </w:tc>
        <w:tc>
          <w:tcPr>
            <w:tcW w:w="1080" w:type="dxa"/>
            <w:vAlign w:val="bottom"/>
          </w:tcPr>
          <w:p>
            <w:pPr>
              <w:jc w:val="right"/>
              <w:ind w:right="18"/>
              <w:spacing w:after="0" w:line="173" w:lineRule="exact"/>
              <w:rPr>
                <w:sz w:val="20"/>
                <w:szCs w:val="20"/>
                <w:color w:val="auto"/>
              </w:rPr>
            </w:pPr>
            <w:r>
              <w:rPr>
                <w:rFonts w:ascii="Arial" w:cs="Arial" w:eastAsia="Arial" w:hAnsi="Arial"/>
                <w:sz w:val="16"/>
                <w:szCs w:val="16"/>
                <w:color w:val="auto"/>
              </w:rPr>
              <w:t>934,984</w:t>
            </w:r>
          </w:p>
        </w:tc>
        <w:tc>
          <w:tcPr>
            <w:tcW w:w="1020" w:type="dxa"/>
            <w:vAlign w:val="bottom"/>
          </w:tcPr>
          <w:p>
            <w:pPr>
              <w:jc w:val="right"/>
              <w:ind w:right="38"/>
              <w:spacing w:after="0" w:line="173" w:lineRule="exact"/>
              <w:rPr>
                <w:sz w:val="20"/>
                <w:szCs w:val="20"/>
                <w:color w:val="auto"/>
              </w:rPr>
            </w:pPr>
            <w:r>
              <w:rPr>
                <w:rFonts w:ascii="Arial" w:cs="Arial" w:eastAsia="Arial" w:hAnsi="Arial"/>
                <w:sz w:val="16"/>
                <w:szCs w:val="16"/>
                <w:color w:val="auto"/>
              </w:rPr>
              <w:t>960,550</w:t>
            </w:r>
          </w:p>
        </w:tc>
        <w:tc>
          <w:tcPr>
            <w:tcW w:w="880" w:type="dxa"/>
            <w:vAlign w:val="bottom"/>
            <w:tcBorders>
              <w:right w:val="single" w:sz="8" w:color="auto"/>
            </w:tcBorders>
          </w:tcPr>
          <w:p>
            <w:pPr>
              <w:jc w:val="right"/>
              <w:spacing w:after="0" w:line="173" w:lineRule="exact"/>
              <w:rPr>
                <w:sz w:val="20"/>
                <w:szCs w:val="20"/>
                <w:color w:val="auto"/>
              </w:rPr>
            </w:pPr>
            <w:r>
              <w:rPr>
                <w:rFonts w:ascii="Arial" w:cs="Arial" w:eastAsia="Arial" w:hAnsi="Arial"/>
                <w:sz w:val="16"/>
                <w:szCs w:val="16"/>
                <w:color w:val="auto"/>
              </w:rPr>
              <w:t>975,955</w:t>
            </w:r>
          </w:p>
        </w:tc>
        <w:tc>
          <w:tcPr>
            <w:tcW w:w="900" w:type="dxa"/>
            <w:vAlign w:val="bottom"/>
          </w:tcPr>
          <w:p>
            <w:pPr>
              <w:jc w:val="center"/>
              <w:spacing w:after="0" w:line="173" w:lineRule="exact"/>
              <w:rPr>
                <w:sz w:val="20"/>
                <w:szCs w:val="20"/>
                <w:color w:val="auto"/>
              </w:rPr>
            </w:pPr>
            <w:r>
              <w:rPr>
                <w:rFonts w:ascii="Arial" w:cs="Arial" w:eastAsia="Arial" w:hAnsi="Arial"/>
                <w:sz w:val="16"/>
                <w:szCs w:val="16"/>
                <w:color w:val="auto"/>
              </w:rPr>
              <w:t>1.6%</w:t>
            </w:r>
          </w:p>
        </w:tc>
        <w:tc>
          <w:tcPr>
            <w:tcW w:w="1060" w:type="dxa"/>
            <w:vAlign w:val="bottom"/>
            <w:tcBorders>
              <w:right w:val="single" w:sz="8" w:color="auto"/>
            </w:tcBorders>
          </w:tcPr>
          <w:p>
            <w:pPr>
              <w:jc w:val="center"/>
              <w:spacing w:after="0" w:line="173" w:lineRule="exact"/>
              <w:rPr>
                <w:sz w:val="20"/>
                <w:szCs w:val="20"/>
                <w:color w:val="auto"/>
              </w:rPr>
            </w:pPr>
            <w:r>
              <w:rPr>
                <w:rFonts w:ascii="Arial" w:cs="Arial" w:eastAsia="Arial" w:hAnsi="Arial"/>
                <w:sz w:val="16"/>
                <w:szCs w:val="16"/>
                <w:color w:val="auto"/>
              </w:rPr>
              <w:t>4.4%</w:t>
            </w:r>
          </w:p>
        </w:tc>
        <w:tc>
          <w:tcPr>
            <w:tcW w:w="1200" w:type="dxa"/>
            <w:vAlign w:val="bottom"/>
          </w:tcPr>
          <w:p>
            <w:pPr>
              <w:jc w:val="right"/>
              <w:ind w:right="138"/>
              <w:spacing w:after="0" w:line="173" w:lineRule="exact"/>
              <w:rPr>
                <w:sz w:val="20"/>
                <w:szCs w:val="20"/>
                <w:color w:val="auto"/>
              </w:rPr>
            </w:pPr>
            <w:r>
              <w:rPr>
                <w:rFonts w:ascii="Arial" w:cs="Arial" w:eastAsia="Arial" w:hAnsi="Arial"/>
                <w:sz w:val="16"/>
                <w:szCs w:val="16"/>
                <w:color w:val="auto"/>
              </w:rPr>
              <w:t>2,747,562</w:t>
            </w:r>
          </w:p>
        </w:tc>
        <w:tc>
          <w:tcPr>
            <w:tcW w:w="800" w:type="dxa"/>
            <w:vAlign w:val="bottom"/>
            <w:tcBorders>
              <w:right w:val="single" w:sz="8" w:color="auto"/>
            </w:tcBorders>
          </w:tcPr>
          <w:p>
            <w:pPr>
              <w:jc w:val="right"/>
              <w:spacing w:after="0" w:line="173" w:lineRule="exact"/>
              <w:rPr>
                <w:sz w:val="20"/>
                <w:szCs w:val="20"/>
                <w:color w:val="auto"/>
              </w:rPr>
            </w:pPr>
            <w:r>
              <w:rPr>
                <w:rFonts w:ascii="Arial" w:cs="Arial" w:eastAsia="Arial" w:hAnsi="Arial"/>
                <w:sz w:val="16"/>
                <w:szCs w:val="16"/>
                <w:color w:val="auto"/>
              </w:rPr>
              <w:t>2,818,286</w:t>
            </w:r>
          </w:p>
        </w:tc>
        <w:tc>
          <w:tcPr>
            <w:tcW w:w="1200" w:type="dxa"/>
            <w:vAlign w:val="bottom"/>
            <w:tcBorders>
              <w:right w:val="single" w:sz="8" w:color="auto"/>
            </w:tcBorders>
          </w:tcPr>
          <w:p>
            <w:pPr>
              <w:jc w:val="center"/>
              <w:spacing w:after="0" w:line="173" w:lineRule="exact"/>
              <w:rPr>
                <w:sz w:val="20"/>
                <w:szCs w:val="20"/>
                <w:color w:val="auto"/>
              </w:rPr>
            </w:pPr>
            <w:r>
              <w:rPr>
                <w:rFonts w:ascii="Arial" w:cs="Arial" w:eastAsia="Arial" w:hAnsi="Arial"/>
                <w:sz w:val="16"/>
                <w:szCs w:val="16"/>
                <w:color w:val="auto"/>
              </w:rPr>
              <w:t>2.6%</w:t>
            </w:r>
          </w:p>
        </w:tc>
      </w:tr>
      <w:tr>
        <w:trPr>
          <w:trHeight w:val="198"/>
        </w:trPr>
        <w:tc>
          <w:tcPr>
            <w:tcW w:w="31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Net gain on foreign exchange transactions</w:t>
            </w:r>
          </w:p>
        </w:tc>
        <w:tc>
          <w:tcPr>
            <w:tcW w:w="108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262,167</w:t>
            </w:r>
          </w:p>
        </w:tc>
        <w:tc>
          <w:tcPr>
            <w:tcW w:w="102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210,944</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208,620</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-1.1%</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-20.4%</w:t>
            </w:r>
          </w:p>
        </w:tc>
        <w:tc>
          <w:tcPr>
            <w:tcW w:w="120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color w:val="auto"/>
              </w:rPr>
              <w:t>790,936</w:t>
            </w:r>
          </w:p>
        </w:tc>
        <w:tc>
          <w:tcPr>
            <w:tcW w:w="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668,079</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-15.5%</w:t>
            </w:r>
          </w:p>
        </w:tc>
      </w:tr>
      <w:tr>
        <w:trPr>
          <w:trHeight w:val="178"/>
        </w:trPr>
        <w:tc>
          <w:tcPr>
            <w:tcW w:w="3120" w:type="dxa"/>
            <w:vAlign w:val="bottom"/>
            <w:tcBorders>
              <w:left w:val="single" w:sz="8" w:color="auto"/>
              <w:bottom w:val="single" w:sz="8" w:color="auto"/>
              <w:right w:val="single" w:sz="8" w:color="auto"/>
            </w:tcBorders>
          </w:tcPr>
          <w:p>
            <w:pPr>
              <w:ind w:left="20"/>
              <w:spacing w:after="0" w:line="178" w:lineRule="exact"/>
              <w:rPr>
                <w:sz w:val="20"/>
                <w:szCs w:val="20"/>
                <w:color w:val="auto"/>
              </w:rPr>
            </w:pPr>
            <w:r>
              <w:rPr>
                <w:rFonts w:ascii="Arial" w:cs="Arial" w:eastAsia="Arial" w:hAnsi="Arial"/>
                <w:sz w:val="16"/>
                <w:szCs w:val="16"/>
                <w:b w:val="1"/>
                <w:bCs w:val="1"/>
                <w:color w:val="auto"/>
              </w:rPr>
              <w:t>Total other income Core</w:t>
            </w:r>
          </w:p>
        </w:tc>
        <w:tc>
          <w:tcPr>
            <w:tcW w:w="1080" w:type="dxa"/>
            <w:vAlign w:val="bottom"/>
            <w:tcBorders>
              <w:bottom w:val="single" w:sz="8" w:color="auto"/>
            </w:tcBorders>
          </w:tcPr>
          <w:p>
            <w:pPr>
              <w:jc w:val="right"/>
              <w:ind w:right="18"/>
              <w:spacing w:after="0" w:line="178" w:lineRule="exact"/>
              <w:rPr>
                <w:sz w:val="20"/>
                <w:szCs w:val="20"/>
                <w:color w:val="auto"/>
              </w:rPr>
            </w:pPr>
            <w:r>
              <w:rPr>
                <w:rFonts w:ascii="Arial" w:cs="Arial" w:eastAsia="Arial" w:hAnsi="Arial"/>
                <w:sz w:val="16"/>
                <w:szCs w:val="16"/>
                <w:b w:val="1"/>
                <w:bCs w:val="1"/>
                <w:color w:val="auto"/>
              </w:rPr>
              <w:t>1,197,151</w:t>
            </w:r>
          </w:p>
        </w:tc>
        <w:tc>
          <w:tcPr>
            <w:tcW w:w="1020" w:type="dxa"/>
            <w:vAlign w:val="bottom"/>
            <w:tcBorders>
              <w:bottom w:val="single" w:sz="8" w:color="auto"/>
            </w:tcBorders>
          </w:tcPr>
          <w:p>
            <w:pPr>
              <w:jc w:val="right"/>
              <w:ind w:right="38"/>
              <w:spacing w:after="0" w:line="178" w:lineRule="exact"/>
              <w:rPr>
                <w:sz w:val="20"/>
                <w:szCs w:val="20"/>
                <w:color w:val="auto"/>
              </w:rPr>
            </w:pPr>
            <w:r>
              <w:rPr>
                <w:rFonts w:ascii="Arial" w:cs="Arial" w:eastAsia="Arial" w:hAnsi="Arial"/>
                <w:sz w:val="16"/>
                <w:szCs w:val="16"/>
                <w:b w:val="1"/>
                <w:bCs w:val="1"/>
                <w:color w:val="auto"/>
              </w:rPr>
              <w:t>1,171,494</w:t>
            </w:r>
          </w:p>
        </w:tc>
        <w:tc>
          <w:tcPr>
            <w:tcW w:w="880" w:type="dxa"/>
            <w:vAlign w:val="bottom"/>
            <w:tcBorders>
              <w:bottom w:val="single" w:sz="8" w:color="auto"/>
              <w:right w:val="single" w:sz="8" w:color="auto"/>
            </w:tcBorders>
          </w:tcPr>
          <w:p>
            <w:pPr>
              <w:jc w:val="right"/>
              <w:spacing w:after="0" w:line="178" w:lineRule="exact"/>
              <w:rPr>
                <w:sz w:val="20"/>
                <w:szCs w:val="20"/>
                <w:color w:val="auto"/>
              </w:rPr>
            </w:pPr>
            <w:r>
              <w:rPr>
                <w:rFonts w:ascii="Arial" w:cs="Arial" w:eastAsia="Arial" w:hAnsi="Arial"/>
                <w:sz w:val="16"/>
                <w:szCs w:val="16"/>
                <w:b w:val="1"/>
                <w:bCs w:val="1"/>
                <w:color w:val="auto"/>
              </w:rPr>
              <w:t>1,184,575</w:t>
            </w:r>
          </w:p>
        </w:tc>
        <w:tc>
          <w:tcPr>
            <w:tcW w:w="900" w:type="dxa"/>
            <w:vAlign w:val="bottom"/>
            <w:tcBorders>
              <w:bottom w:val="single" w:sz="8" w:color="auto"/>
            </w:tcBorders>
          </w:tcPr>
          <w:p>
            <w:pPr>
              <w:jc w:val="center"/>
              <w:spacing w:after="0" w:line="178" w:lineRule="exact"/>
              <w:rPr>
                <w:sz w:val="20"/>
                <w:szCs w:val="20"/>
                <w:color w:val="auto"/>
              </w:rPr>
            </w:pPr>
            <w:r>
              <w:rPr>
                <w:rFonts w:ascii="Arial" w:cs="Arial" w:eastAsia="Arial" w:hAnsi="Arial"/>
                <w:sz w:val="16"/>
                <w:szCs w:val="16"/>
                <w:b w:val="1"/>
                <w:bCs w:val="1"/>
                <w:color w:val="auto"/>
              </w:rPr>
              <w:t>1.1%</w:t>
            </w:r>
          </w:p>
        </w:tc>
        <w:tc>
          <w:tcPr>
            <w:tcW w:w="1060" w:type="dxa"/>
            <w:vAlign w:val="bottom"/>
            <w:tcBorders>
              <w:bottom w:val="single" w:sz="8" w:color="auto"/>
              <w:right w:val="single" w:sz="8" w:color="auto"/>
            </w:tcBorders>
          </w:tcPr>
          <w:p>
            <w:pPr>
              <w:jc w:val="center"/>
              <w:spacing w:after="0" w:line="178" w:lineRule="exact"/>
              <w:rPr>
                <w:sz w:val="20"/>
                <w:szCs w:val="20"/>
                <w:color w:val="auto"/>
              </w:rPr>
            </w:pPr>
            <w:r>
              <w:rPr>
                <w:rFonts w:ascii="Arial" w:cs="Arial" w:eastAsia="Arial" w:hAnsi="Arial"/>
                <w:sz w:val="16"/>
                <w:szCs w:val="16"/>
                <w:b w:val="1"/>
                <w:bCs w:val="1"/>
                <w:color w:val="auto"/>
              </w:rPr>
              <w:t>-1.1%</w:t>
            </w:r>
          </w:p>
        </w:tc>
        <w:tc>
          <w:tcPr>
            <w:tcW w:w="1200" w:type="dxa"/>
            <w:vAlign w:val="bottom"/>
            <w:tcBorders>
              <w:bottom w:val="single" w:sz="8" w:color="auto"/>
            </w:tcBorders>
          </w:tcPr>
          <w:p>
            <w:pPr>
              <w:jc w:val="right"/>
              <w:ind w:right="138"/>
              <w:spacing w:after="0" w:line="178" w:lineRule="exact"/>
              <w:rPr>
                <w:sz w:val="20"/>
                <w:szCs w:val="20"/>
                <w:color w:val="auto"/>
              </w:rPr>
            </w:pPr>
            <w:r>
              <w:rPr>
                <w:rFonts w:ascii="Arial" w:cs="Arial" w:eastAsia="Arial" w:hAnsi="Arial"/>
                <w:sz w:val="16"/>
                <w:szCs w:val="16"/>
                <w:b w:val="1"/>
                <w:bCs w:val="1"/>
                <w:color w:val="auto"/>
              </w:rPr>
              <w:t>3,538,498</w:t>
            </w:r>
          </w:p>
        </w:tc>
        <w:tc>
          <w:tcPr>
            <w:tcW w:w="800" w:type="dxa"/>
            <w:vAlign w:val="bottom"/>
            <w:tcBorders>
              <w:bottom w:val="single" w:sz="8" w:color="auto"/>
              <w:right w:val="single" w:sz="8" w:color="auto"/>
            </w:tcBorders>
          </w:tcPr>
          <w:p>
            <w:pPr>
              <w:jc w:val="right"/>
              <w:spacing w:after="0" w:line="178" w:lineRule="exact"/>
              <w:rPr>
                <w:sz w:val="20"/>
                <w:szCs w:val="20"/>
                <w:color w:val="auto"/>
              </w:rPr>
            </w:pPr>
            <w:r>
              <w:rPr>
                <w:rFonts w:ascii="Arial" w:cs="Arial" w:eastAsia="Arial" w:hAnsi="Arial"/>
                <w:sz w:val="16"/>
                <w:szCs w:val="16"/>
                <w:b w:val="1"/>
                <w:bCs w:val="1"/>
                <w:color w:val="auto"/>
              </w:rPr>
              <w:t>3,486,365</w:t>
            </w:r>
          </w:p>
        </w:tc>
        <w:tc>
          <w:tcPr>
            <w:tcW w:w="1200" w:type="dxa"/>
            <w:vAlign w:val="bottom"/>
            <w:tcBorders>
              <w:bottom w:val="single" w:sz="8" w:color="auto"/>
              <w:right w:val="single" w:sz="8" w:color="auto"/>
            </w:tcBorders>
          </w:tcPr>
          <w:p>
            <w:pPr>
              <w:jc w:val="center"/>
              <w:spacing w:after="0" w:line="178" w:lineRule="exact"/>
              <w:rPr>
                <w:sz w:val="20"/>
                <w:szCs w:val="20"/>
                <w:color w:val="auto"/>
              </w:rPr>
            </w:pPr>
            <w:r>
              <w:rPr>
                <w:rFonts w:ascii="Arial" w:cs="Arial" w:eastAsia="Arial" w:hAnsi="Arial"/>
                <w:sz w:val="16"/>
                <w:szCs w:val="16"/>
                <w:b w:val="1"/>
                <w:bCs w:val="1"/>
                <w:color w:val="auto"/>
              </w:rPr>
              <w:t>-1.5%</w:t>
            </w:r>
          </w:p>
        </w:tc>
      </w:tr>
    </w:tbl>
    <w:p>
      <w:pPr>
        <w:spacing w:after="0" w:line="234" w:lineRule="exact"/>
        <w:rPr>
          <w:sz w:val="20"/>
          <w:szCs w:val="20"/>
          <w:color w:val="auto"/>
        </w:rPr>
      </w:pPr>
    </w:p>
    <w:p>
      <w:pPr>
        <w:ind w:left="1" w:right="140"/>
        <w:spacing w:after="0" w:line="274" w:lineRule="auto"/>
        <w:rPr>
          <w:sz w:val="20"/>
          <w:szCs w:val="20"/>
          <w:color w:val="auto"/>
        </w:rPr>
      </w:pPr>
      <w:r>
        <w:rPr>
          <w:rFonts w:ascii="Arial" w:cs="Arial" w:eastAsia="Arial" w:hAnsi="Arial"/>
          <w:sz w:val="16"/>
          <w:szCs w:val="16"/>
          <w:color w:val="auto"/>
        </w:rPr>
        <w:t>If we analyze the dynamic of Other Core Income, it is important to note that the Fee income and Net gain on FX transactions lines have been affected by our operation in BCP Bolivia, where we charge fees to FX clients to offset losses on buy-sell FX transactions.</w:t>
      </w:r>
    </w:p>
    <w:p>
      <w:pPr>
        <w:spacing w:after="0" w:line="42"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QoQ</w:t>
      </w:r>
      <w:r>
        <w:rPr>
          <w:rFonts w:ascii="Arial" w:cs="Arial" w:eastAsia="Arial" w:hAnsi="Arial"/>
          <w:sz w:val="16"/>
          <w:szCs w:val="16"/>
          <w:color w:val="auto"/>
        </w:rPr>
        <w:t>, Total Other Income Core rose 1.1%, driven by an increase of 1.6% in fees and a drop of 1.1% in Net gain on FX transactions.</w:t>
      </w:r>
    </w:p>
    <w:p>
      <w:pPr>
        <w:spacing w:after="0" w:line="121" w:lineRule="exact"/>
        <w:rPr>
          <w:sz w:val="20"/>
          <w:szCs w:val="20"/>
          <w:color w:val="auto"/>
        </w:rPr>
      </w:pPr>
    </w:p>
    <w:p>
      <w:pPr>
        <w:ind w:left="1"/>
        <w:spacing w:after="0"/>
        <w:rPr>
          <w:sz w:val="20"/>
          <w:szCs w:val="20"/>
          <w:color w:val="auto"/>
        </w:rPr>
      </w:pPr>
      <w:r>
        <w:rPr>
          <w:rFonts w:ascii="Arial" w:cs="Arial" w:eastAsia="Arial" w:hAnsi="Arial"/>
          <w:sz w:val="16"/>
          <w:szCs w:val="16"/>
          <w:color w:val="auto"/>
        </w:rPr>
        <w:t>Excluding BCP Bolivia, Total Core Income rose 1.7%, which was driven by:</w:t>
      </w:r>
    </w:p>
    <w:p>
      <w:pPr>
        <w:spacing w:after="0" w:line="286" w:lineRule="exact"/>
        <w:rPr>
          <w:sz w:val="20"/>
          <w:szCs w:val="20"/>
          <w:color w:val="auto"/>
        </w:rPr>
      </w:pPr>
    </w:p>
    <w:p>
      <w:pPr>
        <w:ind w:left="601" w:hanging="304"/>
        <w:spacing w:after="0"/>
        <w:tabs>
          <w:tab w:leader="none" w:pos="601"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increase in Fee income (+2.9%), was driven primarily by BCP Peru. This dynamic will be discussed in the banking fees section.</w:t>
      </w:r>
    </w:p>
    <w:p>
      <w:pPr>
        <w:spacing w:after="0" w:line="13" w:lineRule="exact"/>
        <w:rPr>
          <w:rFonts w:ascii="Arial" w:cs="Arial" w:eastAsia="Arial" w:hAnsi="Arial"/>
          <w:sz w:val="16"/>
          <w:szCs w:val="16"/>
          <w:color w:val="auto"/>
        </w:rPr>
      </w:pPr>
    </w:p>
    <w:p>
      <w:pPr>
        <w:ind w:left="601" w:hanging="304"/>
        <w:spacing w:after="0"/>
        <w:tabs>
          <w:tab w:leader="none" w:pos="601"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aforementioned was partially offset by the Net gain on FX transactions, which decreased -2.6%</w:t>
      </w:r>
    </w:p>
    <w:p>
      <w:pPr>
        <w:spacing w:after="0" w:line="138" w:lineRule="exact"/>
        <w:rPr>
          <w:sz w:val="20"/>
          <w:szCs w:val="20"/>
          <w:color w:val="auto"/>
        </w:rPr>
      </w:pPr>
    </w:p>
    <w:p>
      <w:pPr>
        <w:ind w:left="1"/>
        <w:spacing w:after="0"/>
        <w:rPr>
          <w:sz w:val="20"/>
          <w:szCs w:val="20"/>
          <w:color w:val="auto"/>
        </w:rPr>
      </w:pPr>
      <w:r>
        <w:rPr>
          <w:rFonts w:ascii="Arial" w:cs="Arial" w:eastAsia="Arial" w:hAnsi="Arial"/>
          <w:sz w:val="16"/>
          <w:szCs w:val="16"/>
          <w:color w:val="auto"/>
        </w:rPr>
        <w:t>YoY, Total Other Income fell -1.1% due to a -20.4% reduction in the FX transactions volume, which was offset by an increase of 4.4% in Fee Income.</w:t>
      </w:r>
    </w:p>
    <w:p>
      <w:pPr>
        <w:spacing w:after="0" w:line="125" w:lineRule="exact"/>
        <w:rPr>
          <w:sz w:val="20"/>
          <w:szCs w:val="20"/>
          <w:color w:val="auto"/>
        </w:rPr>
      </w:pPr>
    </w:p>
    <w:p>
      <w:pPr>
        <w:ind w:left="1"/>
        <w:spacing w:after="0"/>
        <w:rPr>
          <w:sz w:val="20"/>
          <w:szCs w:val="20"/>
          <w:color w:val="auto"/>
        </w:rPr>
      </w:pPr>
      <w:r>
        <w:rPr>
          <w:rFonts w:ascii="Arial" w:cs="Arial" w:eastAsia="Arial" w:hAnsi="Arial"/>
          <w:sz w:val="16"/>
          <w:szCs w:val="16"/>
          <w:color w:val="auto"/>
        </w:rPr>
        <w:t>Excluding BCP Bolivia, Other Core Income fell -1.2%, driven by:</w:t>
      </w:r>
    </w:p>
    <w:p>
      <w:pPr>
        <w:spacing w:after="0" w:line="187" w:lineRule="exact"/>
        <w:rPr>
          <w:sz w:val="20"/>
          <w:szCs w:val="20"/>
          <w:color w:val="auto"/>
        </w:rPr>
      </w:pPr>
    </w:p>
    <w:p>
      <w:pPr>
        <w:ind w:left="601" w:right="740" w:hanging="304"/>
        <w:spacing w:after="0" w:line="247" w:lineRule="auto"/>
        <w:tabs>
          <w:tab w:leader="none" w:pos="601" w:val="left"/>
        </w:tabs>
        <w:numPr>
          <w:ilvl w:val="0"/>
          <w:numId w:val="38"/>
        </w:numPr>
        <w:rPr>
          <w:rFonts w:ascii="Arial" w:cs="Arial" w:eastAsia="Arial" w:hAnsi="Arial"/>
          <w:sz w:val="16"/>
          <w:szCs w:val="16"/>
          <w:color w:val="auto"/>
        </w:rPr>
      </w:pPr>
      <w:r>
        <w:rPr>
          <w:rFonts w:ascii="Arial" w:cs="Arial" w:eastAsia="Arial" w:hAnsi="Arial"/>
          <w:sz w:val="16"/>
          <w:szCs w:val="16"/>
          <w:color w:val="auto"/>
        </w:rPr>
        <w:t>A drop in Fee Income (-1.9%), associated with the dynamics in: (i) Prima AFP, due to an adjustment in the fee framework applicable to a significant share of affiliates (ii) Credicorp Capital primarily due to lower AUMs in the third-party fund distribution business. (within Asset Management); and (3) BCP, where the inter-city fee was eliminated in 1Q23.</w:t>
      </w:r>
    </w:p>
    <w:p>
      <w:pPr>
        <w:ind w:left="601" w:hanging="304"/>
        <w:spacing w:after="0"/>
        <w:tabs>
          <w:tab w:leader="none" w:pos="601"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above was partially offset by Net Gain on FX Transactions, which increased 1.4%, driven by Credicorp Capital.</w:t>
      </w:r>
    </w:p>
    <w:p>
      <w:pPr>
        <w:spacing w:after="0" w:line="130"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YTD</w:t>
      </w:r>
      <w:r>
        <w:rPr>
          <w:rFonts w:ascii="Arial" w:cs="Arial" w:eastAsia="Arial" w:hAnsi="Arial"/>
          <w:sz w:val="16"/>
          <w:szCs w:val="16"/>
          <w:color w:val="auto"/>
        </w:rPr>
        <w:t>, excluding BCP Bolivia, Other Core income fell 1.9%, driven by the same dynamics that drove the YoY evolution.</w:t>
      </w:r>
    </w:p>
    <w:p>
      <w:pPr>
        <w:spacing w:after="0" w:line="88"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Income for Banking Fees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Composition of fee income in the banking business</w:t>
      </w:r>
    </w:p>
    <w:p>
      <w:pPr>
        <w:spacing w:after="0" w:line="155" w:lineRule="exact"/>
        <w:rPr>
          <w:sz w:val="20"/>
          <w:szCs w:val="20"/>
          <w:color w:val="auto"/>
        </w:rPr>
      </w:pPr>
    </w:p>
    <w:tbl>
      <w:tblPr>
        <w:tblLayout w:type="fixed"/>
        <w:tblInd w:w="11" w:type="dxa"/>
        <w:tblCellMar>
          <w:top w:w="0" w:type="dxa"/>
          <w:left w:w="0" w:type="dxa"/>
          <w:bottom w:w="0" w:type="dxa"/>
          <w:right w:w="0" w:type="dxa"/>
        </w:tblCellMar>
      </w:tblPr>
      <w:tr>
        <w:trPr>
          <w:trHeight w:val="177"/>
        </w:trPr>
        <w:tc>
          <w:tcPr>
            <w:tcW w:w="3280" w:type="dxa"/>
            <w:vAlign w:val="bottom"/>
            <w:tcBorders>
              <w:top w:val="single" w:sz="8" w:color="auto"/>
              <w:left w:val="single" w:sz="8" w:color="auto"/>
              <w:right w:val="single" w:sz="8" w:color="auto"/>
            </w:tcBorders>
            <w:shd w:val="clear" w:color="auto" w:fill="2AD2C9"/>
          </w:tcPr>
          <w:p>
            <w:pPr>
              <w:ind w:left="20"/>
              <w:spacing w:after="0" w:line="177" w:lineRule="exact"/>
              <w:rPr>
                <w:sz w:val="20"/>
                <w:szCs w:val="20"/>
                <w:color w:val="auto"/>
              </w:rPr>
            </w:pPr>
            <w:r>
              <w:rPr>
                <w:rFonts w:ascii="Arial" w:cs="Arial" w:eastAsia="Arial" w:hAnsi="Arial"/>
                <w:sz w:val="16"/>
                <w:szCs w:val="16"/>
                <w:b w:val="1"/>
                <w:bCs w:val="1"/>
                <w:color w:val="FFFFFF"/>
              </w:rPr>
              <w:t>Banking Business Fees</w:t>
            </w:r>
          </w:p>
        </w:tc>
        <w:tc>
          <w:tcPr>
            <w:tcW w:w="1040" w:type="dxa"/>
            <w:vAlign w:val="bottom"/>
            <w:tcBorders>
              <w:top w:val="single" w:sz="8" w:color="auto"/>
            </w:tcBorders>
            <w:shd w:val="clear" w:color="auto" w:fill="2AD2C9"/>
          </w:tcPr>
          <w:p>
            <w:pPr>
              <w:spacing w:after="0"/>
              <w:rPr>
                <w:sz w:val="15"/>
                <w:szCs w:val="15"/>
                <w:color w:val="auto"/>
              </w:rPr>
            </w:pPr>
          </w:p>
        </w:tc>
        <w:tc>
          <w:tcPr>
            <w:tcW w:w="1000" w:type="dxa"/>
            <w:vAlign w:val="bottom"/>
            <w:tcBorders>
              <w:top w:val="single" w:sz="8" w:color="auto"/>
            </w:tcBorders>
            <w:shd w:val="clear" w:color="auto" w:fill="2AD2C9"/>
          </w:tcPr>
          <w:p>
            <w:pPr>
              <w:jc w:val="right"/>
              <w:ind w:right="238"/>
              <w:spacing w:after="0" w:line="177" w:lineRule="exact"/>
              <w:rPr>
                <w:sz w:val="20"/>
                <w:szCs w:val="20"/>
                <w:color w:val="auto"/>
              </w:rPr>
            </w:pPr>
            <w:r>
              <w:rPr>
                <w:rFonts w:ascii="Arial" w:cs="Arial" w:eastAsia="Arial" w:hAnsi="Arial"/>
                <w:sz w:val="16"/>
                <w:szCs w:val="16"/>
                <w:b w:val="1"/>
                <w:bCs w:val="1"/>
                <w:color w:val="FFFFFF"/>
              </w:rPr>
              <w:t>Quarter</w:t>
            </w:r>
          </w:p>
        </w:tc>
        <w:tc>
          <w:tcPr>
            <w:tcW w:w="840" w:type="dxa"/>
            <w:vAlign w:val="bottom"/>
            <w:tcBorders>
              <w:top w:val="single" w:sz="8" w:color="auto"/>
              <w:right w:val="single" w:sz="8" w:color="auto"/>
            </w:tcBorders>
            <w:shd w:val="clear" w:color="auto" w:fill="2AD2C9"/>
          </w:tcPr>
          <w:p>
            <w:pPr>
              <w:spacing w:after="0"/>
              <w:rPr>
                <w:sz w:val="15"/>
                <w:szCs w:val="15"/>
                <w:color w:val="auto"/>
              </w:rPr>
            </w:pPr>
          </w:p>
        </w:tc>
        <w:tc>
          <w:tcPr>
            <w:tcW w:w="1960" w:type="dxa"/>
            <w:vAlign w:val="bottom"/>
            <w:tcBorders>
              <w:top w:val="single" w:sz="8" w:color="auto"/>
              <w:right w:val="single" w:sz="8" w:color="auto"/>
            </w:tcBorders>
            <w:gridSpan w:val="2"/>
            <w:shd w:val="clear" w:color="auto" w:fill="2AD2C9"/>
          </w:tcPr>
          <w:p>
            <w:pPr>
              <w:jc w:val="right"/>
              <w:ind w:right="518"/>
              <w:spacing w:after="0" w:line="177" w:lineRule="exact"/>
              <w:rPr>
                <w:sz w:val="20"/>
                <w:szCs w:val="20"/>
                <w:color w:val="auto"/>
              </w:rPr>
            </w:pPr>
            <w:r>
              <w:rPr>
                <w:rFonts w:ascii="Arial" w:cs="Arial" w:eastAsia="Arial" w:hAnsi="Arial"/>
                <w:sz w:val="16"/>
                <w:szCs w:val="16"/>
                <w:b w:val="1"/>
                <w:bCs w:val="1"/>
                <w:color w:val="FFFFFF"/>
              </w:rPr>
              <w:t>% Change</w:t>
            </w:r>
          </w:p>
        </w:tc>
        <w:tc>
          <w:tcPr>
            <w:tcW w:w="1180" w:type="dxa"/>
            <w:vAlign w:val="bottom"/>
            <w:tcBorders>
              <w:top w:val="single" w:sz="8" w:color="auto"/>
            </w:tcBorders>
            <w:shd w:val="clear" w:color="auto" w:fill="2AD2C9"/>
          </w:tcPr>
          <w:p>
            <w:pPr>
              <w:jc w:val="right"/>
              <w:spacing w:after="0" w:line="177" w:lineRule="exact"/>
              <w:rPr>
                <w:sz w:val="20"/>
                <w:szCs w:val="20"/>
                <w:color w:val="auto"/>
              </w:rPr>
            </w:pPr>
            <w:r>
              <w:rPr>
                <w:rFonts w:ascii="Arial" w:cs="Arial" w:eastAsia="Arial" w:hAnsi="Arial"/>
                <w:sz w:val="16"/>
                <w:szCs w:val="16"/>
                <w:b w:val="1"/>
                <w:bCs w:val="1"/>
                <w:color w:val="FFFFFF"/>
              </w:rPr>
              <w:t>As of</w:t>
            </w:r>
          </w:p>
        </w:tc>
        <w:tc>
          <w:tcPr>
            <w:tcW w:w="780" w:type="dxa"/>
            <w:vAlign w:val="bottom"/>
            <w:tcBorders>
              <w:top w:val="single" w:sz="8" w:color="auto"/>
              <w:right w:val="single" w:sz="8" w:color="auto"/>
            </w:tcBorders>
            <w:shd w:val="clear" w:color="auto" w:fill="2AD2C9"/>
          </w:tcPr>
          <w:p>
            <w:pPr>
              <w:spacing w:after="0"/>
              <w:rPr>
                <w:sz w:val="15"/>
                <w:szCs w:val="15"/>
                <w:color w:val="auto"/>
              </w:rPr>
            </w:pPr>
          </w:p>
        </w:tc>
        <w:tc>
          <w:tcPr>
            <w:tcW w:w="1180" w:type="dxa"/>
            <w:vAlign w:val="bottom"/>
            <w:tcBorders>
              <w:top w:val="single" w:sz="8" w:color="auto"/>
              <w:right w:val="single" w:sz="8" w:color="auto"/>
            </w:tcBorders>
            <w:shd w:val="clear" w:color="auto" w:fill="2AD2C9"/>
          </w:tcPr>
          <w:p>
            <w:pPr>
              <w:jc w:val="right"/>
              <w:ind w:right="118"/>
              <w:spacing w:after="0" w:line="177" w:lineRule="exact"/>
              <w:rPr>
                <w:sz w:val="20"/>
                <w:szCs w:val="20"/>
                <w:color w:val="auto"/>
              </w:rPr>
            </w:pPr>
            <w:r>
              <w:rPr>
                <w:rFonts w:ascii="Arial" w:cs="Arial" w:eastAsia="Arial" w:hAnsi="Arial"/>
                <w:sz w:val="16"/>
                <w:szCs w:val="16"/>
                <w:b w:val="1"/>
                <w:bCs w:val="1"/>
                <w:color w:val="FFFFFF"/>
              </w:rPr>
              <w:t>% Change</w:t>
            </w:r>
          </w:p>
        </w:tc>
      </w:tr>
      <w:tr>
        <w:trPr>
          <w:trHeight w:val="206"/>
        </w:trPr>
        <w:tc>
          <w:tcPr>
            <w:tcW w:w="3280" w:type="dxa"/>
            <w:vAlign w:val="bottom"/>
            <w:tcBorders>
              <w:left w:val="single" w:sz="8" w:color="auto"/>
              <w:bottom w:val="single" w:sz="8" w:color="auto"/>
              <w:right w:val="single" w:sz="8" w:color="auto"/>
            </w:tcBorders>
            <w:shd w:val="clear" w:color="auto" w:fill="2AD2C9"/>
          </w:tcPr>
          <w:p>
            <w:pPr>
              <w:ind w:left="20"/>
              <w:spacing w:after="0"/>
              <w:rPr>
                <w:sz w:val="20"/>
                <w:szCs w:val="20"/>
                <w:color w:val="auto"/>
              </w:rPr>
            </w:pPr>
            <w:r>
              <w:rPr>
                <w:rFonts w:ascii="Arial" w:cs="Arial" w:eastAsia="Arial" w:hAnsi="Arial"/>
                <w:sz w:val="16"/>
                <w:szCs w:val="16"/>
                <w:b w:val="1"/>
                <w:bCs w:val="1"/>
                <w:color w:val="FFFFFF"/>
              </w:rPr>
              <w:t>S/ 000</w:t>
            </w:r>
          </w:p>
        </w:tc>
        <w:tc>
          <w:tcPr>
            <w:tcW w:w="1040" w:type="dxa"/>
            <w:vAlign w:val="bottom"/>
            <w:tcBorders>
              <w:bottom w:val="single" w:sz="8" w:color="auto"/>
            </w:tcBorders>
            <w:shd w:val="clear" w:color="auto" w:fill="2AD2C9"/>
          </w:tcPr>
          <w:p>
            <w:pPr>
              <w:jc w:val="right"/>
              <w:ind w:right="278"/>
              <w:spacing w:after="0"/>
              <w:rPr>
                <w:sz w:val="20"/>
                <w:szCs w:val="20"/>
                <w:color w:val="auto"/>
              </w:rPr>
            </w:pPr>
            <w:r>
              <w:rPr>
                <w:rFonts w:ascii="Arial" w:cs="Arial" w:eastAsia="Arial" w:hAnsi="Arial"/>
                <w:sz w:val="16"/>
                <w:szCs w:val="16"/>
                <w:b w:val="1"/>
                <w:bCs w:val="1"/>
                <w:color w:val="FFFFFF"/>
              </w:rPr>
              <w:t>3Q22</w:t>
            </w:r>
          </w:p>
        </w:tc>
        <w:tc>
          <w:tcPr>
            <w:tcW w:w="1000" w:type="dxa"/>
            <w:vAlign w:val="bottom"/>
            <w:tcBorders>
              <w:bottom w:val="single" w:sz="8" w:color="auto"/>
            </w:tcBorders>
            <w:shd w:val="clear" w:color="auto" w:fill="2AD2C9"/>
          </w:tcPr>
          <w:p>
            <w:pPr>
              <w:jc w:val="right"/>
              <w:ind w:right="338"/>
              <w:spacing w:after="0"/>
              <w:rPr>
                <w:sz w:val="20"/>
                <w:szCs w:val="20"/>
                <w:color w:val="auto"/>
              </w:rPr>
            </w:pPr>
            <w:r>
              <w:rPr>
                <w:rFonts w:ascii="Arial" w:cs="Arial" w:eastAsia="Arial" w:hAnsi="Arial"/>
                <w:sz w:val="16"/>
                <w:szCs w:val="16"/>
                <w:b w:val="1"/>
                <w:bCs w:val="1"/>
                <w:color w:val="FFFFFF"/>
              </w:rPr>
              <w:t>2Q23</w:t>
            </w:r>
          </w:p>
        </w:tc>
        <w:tc>
          <w:tcPr>
            <w:tcW w:w="840" w:type="dxa"/>
            <w:vAlign w:val="bottom"/>
            <w:tcBorders>
              <w:bottom w:val="single" w:sz="8" w:color="auto"/>
              <w:right w:val="single" w:sz="8" w:color="auto"/>
            </w:tcBorders>
            <w:shd w:val="clear" w:color="auto" w:fill="2AD2C9"/>
          </w:tcPr>
          <w:p>
            <w:pPr>
              <w:jc w:val="right"/>
              <w:ind w:right="218"/>
              <w:spacing w:after="0"/>
              <w:rPr>
                <w:sz w:val="20"/>
                <w:szCs w:val="20"/>
                <w:color w:val="auto"/>
              </w:rPr>
            </w:pPr>
            <w:r>
              <w:rPr>
                <w:rFonts w:ascii="Arial" w:cs="Arial" w:eastAsia="Arial" w:hAnsi="Arial"/>
                <w:sz w:val="16"/>
                <w:szCs w:val="16"/>
                <w:b w:val="1"/>
                <w:bCs w:val="1"/>
                <w:color w:val="FFFFFF"/>
              </w:rPr>
              <w:t>3Q23</w:t>
            </w:r>
          </w:p>
        </w:tc>
        <w:tc>
          <w:tcPr>
            <w:tcW w:w="1120" w:type="dxa"/>
            <w:vAlign w:val="bottom"/>
            <w:tcBorders>
              <w:bottom w:val="single" w:sz="8" w:color="auto"/>
            </w:tcBorders>
            <w:shd w:val="clear" w:color="auto" w:fill="2AD2C9"/>
          </w:tcPr>
          <w:p>
            <w:pPr>
              <w:jc w:val="right"/>
              <w:ind w:right="378"/>
              <w:spacing w:after="0"/>
              <w:rPr>
                <w:sz w:val="20"/>
                <w:szCs w:val="20"/>
                <w:color w:val="auto"/>
              </w:rPr>
            </w:pPr>
            <w:r>
              <w:rPr>
                <w:rFonts w:ascii="Arial" w:cs="Arial" w:eastAsia="Arial" w:hAnsi="Arial"/>
                <w:sz w:val="16"/>
                <w:szCs w:val="16"/>
                <w:b w:val="1"/>
                <w:bCs w:val="1"/>
                <w:color w:val="FFFFFF"/>
              </w:rPr>
              <w:t>QoQ</w:t>
            </w:r>
          </w:p>
        </w:tc>
        <w:tc>
          <w:tcPr>
            <w:tcW w:w="840" w:type="dxa"/>
            <w:vAlign w:val="bottom"/>
            <w:tcBorders>
              <w:bottom w:val="single" w:sz="8" w:color="auto"/>
              <w:right w:val="single" w:sz="8" w:color="auto"/>
            </w:tcBorders>
            <w:shd w:val="clear" w:color="auto" w:fill="2AD2C9"/>
          </w:tcPr>
          <w:p>
            <w:pPr>
              <w:jc w:val="right"/>
              <w:ind w:right="278"/>
              <w:spacing w:after="0"/>
              <w:rPr>
                <w:sz w:val="20"/>
                <w:szCs w:val="20"/>
                <w:color w:val="auto"/>
              </w:rPr>
            </w:pPr>
            <w:r>
              <w:rPr>
                <w:rFonts w:ascii="Arial" w:cs="Arial" w:eastAsia="Arial" w:hAnsi="Arial"/>
                <w:sz w:val="16"/>
                <w:szCs w:val="16"/>
                <w:b w:val="1"/>
                <w:bCs w:val="1"/>
                <w:color w:val="FFFFFF"/>
              </w:rPr>
              <w:t>YoY</w:t>
            </w:r>
          </w:p>
        </w:tc>
        <w:tc>
          <w:tcPr>
            <w:tcW w:w="1180" w:type="dxa"/>
            <w:vAlign w:val="bottom"/>
            <w:tcBorders>
              <w:bottom w:val="single" w:sz="8" w:color="auto"/>
            </w:tcBorders>
            <w:shd w:val="clear" w:color="auto" w:fill="2AD2C9"/>
          </w:tcPr>
          <w:p>
            <w:pPr>
              <w:jc w:val="right"/>
              <w:ind w:right="358"/>
              <w:spacing w:after="0"/>
              <w:rPr>
                <w:sz w:val="20"/>
                <w:szCs w:val="20"/>
                <w:color w:val="auto"/>
              </w:rPr>
            </w:pPr>
            <w:r>
              <w:rPr>
                <w:rFonts w:ascii="Arial" w:cs="Arial" w:eastAsia="Arial" w:hAnsi="Arial"/>
                <w:sz w:val="16"/>
                <w:szCs w:val="16"/>
                <w:b w:val="1"/>
                <w:bCs w:val="1"/>
                <w:color w:val="FFFFFF"/>
              </w:rPr>
              <w:t>Sep 22</w:t>
            </w:r>
          </w:p>
        </w:tc>
        <w:tc>
          <w:tcPr>
            <w:tcW w:w="780" w:type="dxa"/>
            <w:vAlign w:val="bottom"/>
            <w:tcBorders>
              <w:bottom w:val="single" w:sz="8" w:color="auto"/>
              <w:right w:val="single" w:sz="8" w:color="auto"/>
            </w:tcBorders>
            <w:shd w:val="clear" w:color="auto" w:fill="2AD2C9"/>
          </w:tcPr>
          <w:p>
            <w:pPr>
              <w:jc w:val="right"/>
              <w:ind w:right="158"/>
              <w:spacing w:after="0"/>
              <w:rPr>
                <w:sz w:val="20"/>
                <w:szCs w:val="20"/>
                <w:color w:val="auto"/>
              </w:rPr>
            </w:pPr>
            <w:r>
              <w:rPr>
                <w:rFonts w:ascii="Arial" w:cs="Arial" w:eastAsia="Arial" w:hAnsi="Arial"/>
                <w:sz w:val="16"/>
                <w:szCs w:val="16"/>
                <w:b w:val="1"/>
                <w:bCs w:val="1"/>
                <w:color w:val="FFFFFF"/>
              </w:rPr>
              <w:t>Sep 23</w:t>
            </w:r>
          </w:p>
        </w:tc>
        <w:tc>
          <w:tcPr>
            <w:tcW w:w="1180" w:type="dxa"/>
            <w:vAlign w:val="bottom"/>
            <w:tcBorders>
              <w:bottom w:val="single" w:sz="8" w:color="auto"/>
              <w:right w:val="single" w:sz="8" w:color="auto"/>
            </w:tcBorders>
            <w:shd w:val="clear" w:color="auto" w:fill="2AD2C9"/>
          </w:tcPr>
          <w:p>
            <w:pPr>
              <w:jc w:val="right"/>
              <w:spacing w:after="0"/>
              <w:rPr>
                <w:sz w:val="20"/>
                <w:szCs w:val="20"/>
                <w:color w:val="auto"/>
              </w:rPr>
            </w:pPr>
            <w:r>
              <w:rPr>
                <w:rFonts w:ascii="Arial" w:cs="Arial" w:eastAsia="Arial" w:hAnsi="Arial"/>
                <w:sz w:val="16"/>
                <w:szCs w:val="16"/>
                <w:b w:val="1"/>
                <w:bCs w:val="1"/>
                <w:color w:val="FFFFFF"/>
              </w:rPr>
              <w:t>Sep 23/ Sep 23</w:t>
            </w:r>
          </w:p>
        </w:tc>
      </w:tr>
      <w:tr>
        <w:trPr>
          <w:trHeight w:val="155"/>
        </w:trPr>
        <w:tc>
          <w:tcPr>
            <w:tcW w:w="3280" w:type="dxa"/>
            <w:vAlign w:val="bottom"/>
            <w:tcBorders>
              <w:left w:val="single" w:sz="8" w:color="auto"/>
              <w:right w:val="single" w:sz="8" w:color="auto"/>
            </w:tcBorders>
          </w:tcPr>
          <w:p>
            <w:pPr>
              <w:ind w:left="20"/>
              <w:spacing w:after="0" w:line="155" w:lineRule="exact"/>
              <w:rPr>
                <w:sz w:val="20"/>
                <w:szCs w:val="20"/>
                <w:color w:val="auto"/>
              </w:rPr>
            </w:pPr>
            <w:r>
              <w:rPr>
                <w:rFonts w:ascii="Arial" w:cs="Arial" w:eastAsia="Arial" w:hAnsi="Arial"/>
                <w:sz w:val="11"/>
                <w:szCs w:val="11"/>
                <w:color w:val="auto"/>
              </w:rPr>
              <w:t xml:space="preserve">Payments and transactionals </w:t>
            </w:r>
            <w:r>
              <w:rPr>
                <w:rFonts w:ascii="Arial" w:cs="Arial" w:eastAsia="Arial" w:hAnsi="Arial"/>
                <w:sz w:val="17"/>
                <w:szCs w:val="17"/>
                <w:color w:val="auto"/>
                <w:vertAlign w:val="superscript"/>
              </w:rPr>
              <w:t>(1)</w:t>
            </w:r>
          </w:p>
        </w:tc>
        <w:tc>
          <w:tcPr>
            <w:tcW w:w="1040" w:type="dxa"/>
            <w:vAlign w:val="bottom"/>
          </w:tcPr>
          <w:p>
            <w:pPr>
              <w:jc w:val="right"/>
              <w:ind w:right="18"/>
              <w:spacing w:after="0" w:line="155" w:lineRule="exact"/>
              <w:rPr>
                <w:sz w:val="20"/>
                <w:szCs w:val="20"/>
                <w:color w:val="auto"/>
              </w:rPr>
            </w:pPr>
            <w:r>
              <w:rPr>
                <w:rFonts w:ascii="Arial" w:cs="Arial" w:eastAsia="Arial" w:hAnsi="Arial"/>
                <w:sz w:val="16"/>
                <w:szCs w:val="16"/>
                <w:color w:val="auto"/>
              </w:rPr>
              <w:t>328,202</w:t>
            </w:r>
          </w:p>
        </w:tc>
        <w:tc>
          <w:tcPr>
            <w:tcW w:w="1000" w:type="dxa"/>
            <w:vAlign w:val="bottom"/>
          </w:tcPr>
          <w:p>
            <w:pPr>
              <w:jc w:val="right"/>
              <w:ind w:right="58"/>
              <w:spacing w:after="0" w:line="155" w:lineRule="exact"/>
              <w:rPr>
                <w:sz w:val="20"/>
                <w:szCs w:val="20"/>
                <w:color w:val="auto"/>
              </w:rPr>
            </w:pPr>
            <w:r>
              <w:rPr>
                <w:rFonts w:ascii="Arial" w:cs="Arial" w:eastAsia="Arial" w:hAnsi="Arial"/>
                <w:sz w:val="16"/>
                <w:szCs w:val="16"/>
                <w:color w:val="auto"/>
              </w:rPr>
              <w:t>344,632</w:t>
            </w:r>
          </w:p>
        </w:tc>
        <w:tc>
          <w:tcPr>
            <w:tcW w:w="840" w:type="dxa"/>
            <w:vAlign w:val="bottom"/>
            <w:tcBorders>
              <w:right w:val="single" w:sz="8" w:color="auto"/>
            </w:tcBorders>
          </w:tcPr>
          <w:p>
            <w:pPr>
              <w:jc w:val="right"/>
              <w:spacing w:after="0" w:line="155" w:lineRule="exact"/>
              <w:rPr>
                <w:sz w:val="20"/>
                <w:szCs w:val="20"/>
                <w:color w:val="auto"/>
              </w:rPr>
            </w:pPr>
            <w:r>
              <w:rPr>
                <w:rFonts w:ascii="Arial" w:cs="Arial" w:eastAsia="Arial" w:hAnsi="Arial"/>
                <w:sz w:val="16"/>
                <w:szCs w:val="16"/>
                <w:color w:val="auto"/>
              </w:rPr>
              <w:t>366,111</w:t>
            </w:r>
          </w:p>
        </w:tc>
        <w:tc>
          <w:tcPr>
            <w:tcW w:w="1120" w:type="dxa"/>
            <w:vAlign w:val="bottom"/>
          </w:tcPr>
          <w:p>
            <w:pPr>
              <w:jc w:val="right"/>
              <w:ind w:right="98"/>
              <w:spacing w:after="0" w:line="155" w:lineRule="exact"/>
              <w:rPr>
                <w:sz w:val="20"/>
                <w:szCs w:val="20"/>
                <w:color w:val="auto"/>
              </w:rPr>
            </w:pPr>
            <w:r>
              <w:rPr>
                <w:rFonts w:ascii="Arial" w:cs="Arial" w:eastAsia="Arial" w:hAnsi="Arial"/>
                <w:sz w:val="16"/>
                <w:szCs w:val="16"/>
                <w:color w:val="auto"/>
              </w:rPr>
              <w:t>6.2%</w:t>
            </w:r>
          </w:p>
        </w:tc>
        <w:tc>
          <w:tcPr>
            <w:tcW w:w="840" w:type="dxa"/>
            <w:vAlign w:val="bottom"/>
            <w:tcBorders>
              <w:right w:val="single" w:sz="8" w:color="auto"/>
            </w:tcBorders>
          </w:tcPr>
          <w:p>
            <w:pPr>
              <w:jc w:val="right"/>
              <w:spacing w:after="0" w:line="155" w:lineRule="exact"/>
              <w:rPr>
                <w:sz w:val="20"/>
                <w:szCs w:val="20"/>
                <w:color w:val="auto"/>
              </w:rPr>
            </w:pPr>
            <w:r>
              <w:rPr>
                <w:rFonts w:ascii="Arial" w:cs="Arial" w:eastAsia="Arial" w:hAnsi="Arial"/>
                <w:sz w:val="16"/>
                <w:szCs w:val="16"/>
                <w:color w:val="auto"/>
              </w:rPr>
              <w:t>11.6%</w:t>
            </w:r>
          </w:p>
        </w:tc>
        <w:tc>
          <w:tcPr>
            <w:tcW w:w="1180" w:type="dxa"/>
            <w:vAlign w:val="bottom"/>
          </w:tcPr>
          <w:p>
            <w:pPr>
              <w:jc w:val="right"/>
              <w:ind w:right="138"/>
              <w:spacing w:after="0" w:line="155" w:lineRule="exact"/>
              <w:rPr>
                <w:sz w:val="20"/>
                <w:szCs w:val="20"/>
                <w:color w:val="auto"/>
              </w:rPr>
            </w:pPr>
            <w:r>
              <w:rPr>
                <w:rFonts w:ascii="Arial" w:cs="Arial" w:eastAsia="Arial" w:hAnsi="Arial"/>
                <w:sz w:val="16"/>
                <w:szCs w:val="16"/>
                <w:color w:val="auto"/>
              </w:rPr>
              <w:t>923,349</w:t>
            </w:r>
          </w:p>
        </w:tc>
        <w:tc>
          <w:tcPr>
            <w:tcW w:w="780" w:type="dxa"/>
            <w:vAlign w:val="bottom"/>
            <w:tcBorders>
              <w:right w:val="single" w:sz="8" w:color="auto"/>
            </w:tcBorders>
          </w:tcPr>
          <w:p>
            <w:pPr>
              <w:jc w:val="right"/>
              <w:spacing w:after="0" w:line="155" w:lineRule="exact"/>
              <w:rPr>
                <w:sz w:val="20"/>
                <w:szCs w:val="20"/>
                <w:color w:val="auto"/>
              </w:rPr>
            </w:pPr>
            <w:r>
              <w:rPr>
                <w:rFonts w:ascii="Arial" w:cs="Arial" w:eastAsia="Arial" w:hAnsi="Arial"/>
                <w:sz w:val="16"/>
                <w:szCs w:val="16"/>
                <w:color w:val="auto"/>
              </w:rPr>
              <w:t>1,085,140</w:t>
            </w:r>
          </w:p>
        </w:tc>
        <w:tc>
          <w:tcPr>
            <w:tcW w:w="1180" w:type="dxa"/>
            <w:vAlign w:val="bottom"/>
            <w:tcBorders>
              <w:right w:val="single" w:sz="8" w:color="auto"/>
            </w:tcBorders>
          </w:tcPr>
          <w:p>
            <w:pPr>
              <w:jc w:val="right"/>
              <w:spacing w:after="0" w:line="155" w:lineRule="exact"/>
              <w:rPr>
                <w:sz w:val="20"/>
                <w:szCs w:val="20"/>
                <w:color w:val="auto"/>
              </w:rPr>
            </w:pPr>
            <w:r>
              <w:rPr>
                <w:rFonts w:ascii="Arial" w:cs="Arial" w:eastAsia="Arial" w:hAnsi="Arial"/>
                <w:sz w:val="16"/>
                <w:szCs w:val="16"/>
                <w:color w:val="auto"/>
              </w:rPr>
              <w:t>17.5%</w:t>
            </w:r>
          </w:p>
        </w:tc>
      </w:tr>
      <w:tr>
        <w:trPr>
          <w:trHeight w:val="185"/>
        </w:trPr>
        <w:tc>
          <w:tcPr>
            <w:tcW w:w="3280" w:type="dxa"/>
            <w:vAlign w:val="bottom"/>
            <w:tcBorders>
              <w:left w:val="single" w:sz="8" w:color="auto"/>
              <w:right w:val="single" w:sz="8" w:color="auto"/>
            </w:tcBorders>
          </w:tcPr>
          <w:p>
            <w:pPr>
              <w:ind w:left="20"/>
              <w:spacing w:after="0" w:line="186" w:lineRule="exact"/>
              <w:rPr>
                <w:sz w:val="20"/>
                <w:szCs w:val="20"/>
                <w:color w:val="auto"/>
              </w:rPr>
            </w:pPr>
            <w:r>
              <w:rPr>
                <w:rFonts w:ascii="Arial" w:cs="Arial" w:eastAsia="Arial" w:hAnsi="Arial"/>
                <w:sz w:val="13"/>
                <w:szCs w:val="13"/>
                <w:color w:val="auto"/>
              </w:rPr>
              <w:t xml:space="preserve">Liability accounts </w:t>
            </w:r>
            <w:r>
              <w:rPr>
                <w:rFonts w:ascii="Arial" w:cs="Arial" w:eastAsia="Arial" w:hAnsi="Arial"/>
                <w:sz w:val="21"/>
                <w:szCs w:val="21"/>
                <w:color w:val="auto"/>
                <w:vertAlign w:val="superscript"/>
              </w:rPr>
              <w:t>(2)</w:t>
            </w:r>
          </w:p>
        </w:tc>
        <w:tc>
          <w:tcPr>
            <w:tcW w:w="1040" w:type="dxa"/>
            <w:vAlign w:val="bottom"/>
          </w:tcPr>
          <w:p>
            <w:pPr>
              <w:jc w:val="right"/>
              <w:ind w:right="18"/>
              <w:spacing w:after="0"/>
              <w:rPr>
                <w:sz w:val="20"/>
                <w:szCs w:val="20"/>
                <w:color w:val="auto"/>
              </w:rPr>
            </w:pPr>
            <w:r>
              <w:rPr>
                <w:rFonts w:ascii="Arial" w:cs="Arial" w:eastAsia="Arial" w:hAnsi="Arial"/>
                <w:sz w:val="16"/>
                <w:szCs w:val="16"/>
                <w:color w:val="auto"/>
              </w:rPr>
              <w:t>237,873</w:t>
            </w:r>
          </w:p>
        </w:tc>
        <w:tc>
          <w:tcPr>
            <w:tcW w:w="1000" w:type="dxa"/>
            <w:vAlign w:val="bottom"/>
          </w:tcPr>
          <w:p>
            <w:pPr>
              <w:jc w:val="right"/>
              <w:ind w:right="58"/>
              <w:spacing w:after="0"/>
              <w:rPr>
                <w:sz w:val="20"/>
                <w:szCs w:val="20"/>
                <w:color w:val="auto"/>
              </w:rPr>
            </w:pPr>
            <w:r>
              <w:rPr>
                <w:rFonts w:ascii="Arial" w:cs="Arial" w:eastAsia="Arial" w:hAnsi="Arial"/>
                <w:sz w:val="16"/>
                <w:szCs w:val="16"/>
                <w:color w:val="auto"/>
              </w:rPr>
              <w:t>182,018</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178,224</w:t>
            </w:r>
          </w:p>
        </w:tc>
        <w:tc>
          <w:tcPr>
            <w:tcW w:w="1120" w:type="dxa"/>
            <w:vAlign w:val="bottom"/>
          </w:tcPr>
          <w:p>
            <w:pPr>
              <w:jc w:val="right"/>
              <w:ind w:right="98"/>
              <w:spacing w:after="0"/>
              <w:rPr>
                <w:sz w:val="20"/>
                <w:szCs w:val="20"/>
                <w:color w:val="auto"/>
              </w:rPr>
            </w:pPr>
            <w:r>
              <w:rPr>
                <w:rFonts w:ascii="Arial" w:cs="Arial" w:eastAsia="Arial" w:hAnsi="Arial"/>
                <w:sz w:val="16"/>
                <w:szCs w:val="16"/>
                <w:color w:val="auto"/>
              </w:rPr>
              <w:t>-2.1%</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-25.1%</w:t>
            </w:r>
          </w:p>
        </w:tc>
        <w:tc>
          <w:tcPr>
            <w:tcW w:w="1180" w:type="dxa"/>
            <w:vAlign w:val="bottom"/>
          </w:tcPr>
          <w:p>
            <w:pPr>
              <w:jc w:val="right"/>
              <w:ind w:right="138"/>
              <w:spacing w:after="0"/>
              <w:rPr>
                <w:sz w:val="20"/>
                <w:szCs w:val="20"/>
                <w:color w:val="auto"/>
              </w:rPr>
            </w:pPr>
            <w:r>
              <w:rPr>
                <w:rFonts w:ascii="Arial" w:cs="Arial" w:eastAsia="Arial" w:hAnsi="Arial"/>
                <w:sz w:val="16"/>
                <w:szCs w:val="16"/>
                <w:color w:val="auto"/>
              </w:rPr>
              <w:t>689,866</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538,214</w:t>
            </w: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-22.0%</w:t>
            </w:r>
          </w:p>
        </w:tc>
      </w:tr>
      <w:tr>
        <w:trPr>
          <w:trHeight w:val="196"/>
        </w:trPr>
        <w:tc>
          <w:tcPr>
            <w:tcW w:w="328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4"/>
                <w:szCs w:val="14"/>
                <w:color w:val="auto"/>
              </w:rPr>
              <w:t xml:space="preserve">Loan Disbursement </w:t>
            </w:r>
            <w:r>
              <w:rPr>
                <w:rFonts w:ascii="Arial" w:cs="Arial" w:eastAsia="Arial" w:hAnsi="Arial"/>
                <w:sz w:val="22"/>
                <w:szCs w:val="22"/>
                <w:color w:val="auto"/>
                <w:vertAlign w:val="superscript"/>
              </w:rPr>
              <w:t>(3)</w:t>
            </w:r>
          </w:p>
        </w:tc>
        <w:tc>
          <w:tcPr>
            <w:tcW w:w="1040" w:type="dxa"/>
            <w:vAlign w:val="bottom"/>
          </w:tcPr>
          <w:p>
            <w:pPr>
              <w:jc w:val="right"/>
              <w:ind w:right="18"/>
              <w:spacing w:after="0"/>
              <w:rPr>
                <w:sz w:val="20"/>
                <w:szCs w:val="20"/>
                <w:color w:val="auto"/>
              </w:rPr>
            </w:pPr>
            <w:r>
              <w:rPr>
                <w:rFonts w:ascii="Arial" w:cs="Arial" w:eastAsia="Arial" w:hAnsi="Arial"/>
                <w:sz w:val="16"/>
                <w:szCs w:val="16"/>
                <w:color w:val="auto"/>
              </w:rPr>
              <w:t>100,721</w:t>
            </w:r>
          </w:p>
        </w:tc>
        <w:tc>
          <w:tcPr>
            <w:tcW w:w="1000" w:type="dxa"/>
            <w:vAlign w:val="bottom"/>
          </w:tcPr>
          <w:p>
            <w:pPr>
              <w:jc w:val="right"/>
              <w:ind w:right="58"/>
              <w:spacing w:after="0"/>
              <w:rPr>
                <w:sz w:val="20"/>
                <w:szCs w:val="20"/>
                <w:color w:val="auto"/>
              </w:rPr>
            </w:pPr>
            <w:r>
              <w:rPr>
                <w:rFonts w:ascii="Arial" w:cs="Arial" w:eastAsia="Arial" w:hAnsi="Arial"/>
                <w:sz w:val="16"/>
                <w:szCs w:val="16"/>
                <w:color w:val="auto"/>
              </w:rPr>
              <w:t>91,599</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89,916</w:t>
            </w:r>
          </w:p>
        </w:tc>
        <w:tc>
          <w:tcPr>
            <w:tcW w:w="1120" w:type="dxa"/>
            <w:vAlign w:val="bottom"/>
          </w:tcPr>
          <w:p>
            <w:pPr>
              <w:jc w:val="right"/>
              <w:ind w:right="98"/>
              <w:spacing w:after="0"/>
              <w:rPr>
                <w:sz w:val="20"/>
                <w:szCs w:val="20"/>
                <w:color w:val="auto"/>
              </w:rPr>
            </w:pPr>
            <w:r>
              <w:rPr>
                <w:rFonts w:ascii="Arial" w:cs="Arial" w:eastAsia="Arial" w:hAnsi="Arial"/>
                <w:sz w:val="16"/>
                <w:szCs w:val="16"/>
                <w:color w:val="auto"/>
              </w:rPr>
              <w:t>-1.8%</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-10.7%</w:t>
            </w:r>
          </w:p>
        </w:tc>
        <w:tc>
          <w:tcPr>
            <w:tcW w:w="1180" w:type="dxa"/>
            <w:vAlign w:val="bottom"/>
          </w:tcPr>
          <w:p>
            <w:pPr>
              <w:jc w:val="right"/>
              <w:ind w:right="138"/>
              <w:spacing w:after="0"/>
              <w:rPr>
                <w:sz w:val="20"/>
                <w:szCs w:val="20"/>
                <w:color w:val="auto"/>
              </w:rPr>
            </w:pPr>
            <w:r>
              <w:rPr>
                <w:rFonts w:ascii="Arial" w:cs="Arial" w:eastAsia="Arial" w:hAnsi="Arial"/>
                <w:sz w:val="16"/>
                <w:szCs w:val="16"/>
                <w:color w:val="auto"/>
              </w:rPr>
              <w:t>283,255</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276,716</w:t>
            </w: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-2.3%</w:t>
            </w:r>
          </w:p>
        </w:tc>
      </w:tr>
      <w:tr>
        <w:trPr>
          <w:trHeight w:val="185"/>
        </w:trPr>
        <w:tc>
          <w:tcPr>
            <w:tcW w:w="32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Off-balance sheet</w:t>
            </w:r>
          </w:p>
        </w:tc>
        <w:tc>
          <w:tcPr>
            <w:tcW w:w="1040" w:type="dxa"/>
            <w:vAlign w:val="bottom"/>
          </w:tcPr>
          <w:p>
            <w:pPr>
              <w:jc w:val="right"/>
              <w:ind w:right="18"/>
              <w:spacing w:after="0"/>
              <w:rPr>
                <w:sz w:val="20"/>
                <w:szCs w:val="20"/>
                <w:color w:val="auto"/>
              </w:rPr>
            </w:pPr>
            <w:r>
              <w:rPr>
                <w:rFonts w:ascii="Arial" w:cs="Arial" w:eastAsia="Arial" w:hAnsi="Arial"/>
                <w:sz w:val="16"/>
                <w:szCs w:val="16"/>
                <w:color w:val="auto"/>
              </w:rPr>
              <w:t>60,283</w:t>
            </w:r>
          </w:p>
        </w:tc>
        <w:tc>
          <w:tcPr>
            <w:tcW w:w="1000" w:type="dxa"/>
            <w:vAlign w:val="bottom"/>
          </w:tcPr>
          <w:p>
            <w:pPr>
              <w:jc w:val="right"/>
              <w:ind w:right="58"/>
              <w:spacing w:after="0"/>
              <w:rPr>
                <w:sz w:val="20"/>
                <w:szCs w:val="20"/>
                <w:color w:val="auto"/>
              </w:rPr>
            </w:pPr>
            <w:r>
              <w:rPr>
                <w:rFonts w:ascii="Arial" w:cs="Arial" w:eastAsia="Arial" w:hAnsi="Arial"/>
                <w:sz w:val="16"/>
                <w:szCs w:val="16"/>
                <w:color w:val="auto"/>
              </w:rPr>
              <w:t>57,154</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55,659</w:t>
            </w:r>
          </w:p>
        </w:tc>
        <w:tc>
          <w:tcPr>
            <w:tcW w:w="1120" w:type="dxa"/>
            <w:vAlign w:val="bottom"/>
          </w:tcPr>
          <w:p>
            <w:pPr>
              <w:jc w:val="right"/>
              <w:ind w:right="98"/>
              <w:spacing w:after="0"/>
              <w:rPr>
                <w:sz w:val="20"/>
                <w:szCs w:val="20"/>
                <w:color w:val="auto"/>
              </w:rPr>
            </w:pPr>
            <w:r>
              <w:rPr>
                <w:rFonts w:ascii="Arial" w:cs="Arial" w:eastAsia="Arial" w:hAnsi="Arial"/>
                <w:sz w:val="16"/>
                <w:szCs w:val="16"/>
                <w:color w:val="auto"/>
              </w:rPr>
              <w:t>-2.6%</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1180" w:type="dxa"/>
            <w:vAlign w:val="bottom"/>
          </w:tcPr>
          <w:p>
            <w:pPr>
              <w:jc w:val="right"/>
              <w:ind w:right="138"/>
              <w:spacing w:after="0"/>
              <w:rPr>
                <w:sz w:val="20"/>
                <w:szCs w:val="20"/>
                <w:color w:val="auto"/>
              </w:rPr>
            </w:pPr>
            <w:r>
              <w:rPr>
                <w:rFonts w:ascii="Arial" w:cs="Arial" w:eastAsia="Arial" w:hAnsi="Arial"/>
                <w:sz w:val="16"/>
                <w:szCs w:val="16"/>
                <w:color w:val="auto"/>
              </w:rPr>
              <w:t>179,956</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174,468</w:t>
            </w: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-3.0%</w:t>
            </w:r>
          </w:p>
        </w:tc>
      </w:tr>
      <w:tr>
        <w:trPr>
          <w:trHeight w:val="185"/>
        </w:trPr>
        <w:tc>
          <w:tcPr>
            <w:tcW w:w="32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Mibanco (Peru and Colombia)</w:t>
            </w:r>
          </w:p>
        </w:tc>
        <w:tc>
          <w:tcPr>
            <w:tcW w:w="1040" w:type="dxa"/>
            <w:vAlign w:val="bottom"/>
          </w:tcPr>
          <w:p>
            <w:pPr>
              <w:jc w:val="right"/>
              <w:ind w:right="18"/>
              <w:spacing w:after="0"/>
              <w:rPr>
                <w:sz w:val="20"/>
                <w:szCs w:val="20"/>
                <w:color w:val="auto"/>
              </w:rPr>
            </w:pPr>
            <w:r>
              <w:rPr>
                <w:rFonts w:ascii="Arial" w:cs="Arial" w:eastAsia="Arial" w:hAnsi="Arial"/>
                <w:sz w:val="16"/>
                <w:szCs w:val="16"/>
                <w:color w:val="auto"/>
              </w:rPr>
              <w:t>32,258</w:t>
            </w:r>
          </w:p>
        </w:tc>
        <w:tc>
          <w:tcPr>
            <w:tcW w:w="1000" w:type="dxa"/>
            <w:vAlign w:val="bottom"/>
          </w:tcPr>
          <w:p>
            <w:pPr>
              <w:jc w:val="right"/>
              <w:ind w:right="58"/>
              <w:spacing w:after="0"/>
              <w:rPr>
                <w:sz w:val="20"/>
                <w:szCs w:val="20"/>
                <w:color w:val="auto"/>
              </w:rPr>
            </w:pPr>
            <w:r>
              <w:rPr>
                <w:rFonts w:ascii="Arial" w:cs="Arial" w:eastAsia="Arial" w:hAnsi="Arial"/>
                <w:sz w:val="16"/>
                <w:szCs w:val="16"/>
                <w:color w:val="auto"/>
              </w:rPr>
              <w:t>41,708</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39,220</w:t>
            </w:r>
          </w:p>
        </w:tc>
        <w:tc>
          <w:tcPr>
            <w:tcW w:w="1120" w:type="dxa"/>
            <w:vAlign w:val="bottom"/>
          </w:tcPr>
          <w:p>
            <w:pPr>
              <w:jc w:val="right"/>
              <w:ind w:right="98"/>
              <w:spacing w:after="0"/>
              <w:rPr>
                <w:sz w:val="20"/>
                <w:szCs w:val="20"/>
                <w:color w:val="auto"/>
              </w:rPr>
            </w:pPr>
            <w:r>
              <w:rPr>
                <w:rFonts w:ascii="Arial" w:cs="Arial" w:eastAsia="Arial" w:hAnsi="Arial"/>
                <w:sz w:val="16"/>
                <w:szCs w:val="16"/>
                <w:color w:val="auto"/>
              </w:rPr>
              <w:t>-6.0%</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21.6%</w:t>
            </w:r>
          </w:p>
        </w:tc>
        <w:tc>
          <w:tcPr>
            <w:tcW w:w="1180" w:type="dxa"/>
            <w:vAlign w:val="bottom"/>
          </w:tcPr>
          <w:p>
            <w:pPr>
              <w:jc w:val="right"/>
              <w:ind w:right="138"/>
              <w:spacing w:after="0"/>
              <w:rPr>
                <w:sz w:val="20"/>
                <w:szCs w:val="20"/>
                <w:color w:val="auto"/>
              </w:rPr>
            </w:pPr>
            <w:r>
              <w:rPr>
                <w:rFonts w:ascii="Arial" w:cs="Arial" w:eastAsia="Arial" w:hAnsi="Arial"/>
                <w:sz w:val="16"/>
                <w:szCs w:val="16"/>
                <w:color w:val="auto"/>
              </w:rPr>
              <w:t>110,534</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127,767</w:t>
            </w: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15.6%</w:t>
            </w:r>
          </w:p>
        </w:tc>
      </w:tr>
      <w:tr>
        <w:trPr>
          <w:trHeight w:val="185"/>
        </w:trPr>
        <w:tc>
          <w:tcPr>
            <w:tcW w:w="32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Insurances</w:t>
            </w:r>
          </w:p>
        </w:tc>
        <w:tc>
          <w:tcPr>
            <w:tcW w:w="1040" w:type="dxa"/>
            <w:vAlign w:val="bottom"/>
          </w:tcPr>
          <w:p>
            <w:pPr>
              <w:jc w:val="right"/>
              <w:ind w:right="18"/>
              <w:spacing w:after="0"/>
              <w:rPr>
                <w:sz w:val="20"/>
                <w:szCs w:val="20"/>
                <w:color w:val="auto"/>
              </w:rPr>
            </w:pPr>
            <w:r>
              <w:rPr>
                <w:rFonts w:ascii="Arial" w:cs="Arial" w:eastAsia="Arial" w:hAnsi="Arial"/>
                <w:sz w:val="16"/>
                <w:szCs w:val="16"/>
                <w:color w:val="auto"/>
              </w:rPr>
              <w:t>31,382</w:t>
            </w:r>
          </w:p>
        </w:tc>
        <w:tc>
          <w:tcPr>
            <w:tcW w:w="1000" w:type="dxa"/>
            <w:vAlign w:val="bottom"/>
          </w:tcPr>
          <w:p>
            <w:pPr>
              <w:jc w:val="right"/>
              <w:ind w:right="58"/>
              <w:spacing w:after="0"/>
              <w:rPr>
                <w:sz w:val="20"/>
                <w:szCs w:val="20"/>
                <w:color w:val="auto"/>
              </w:rPr>
            </w:pPr>
            <w:r>
              <w:rPr>
                <w:rFonts w:ascii="Arial" w:cs="Arial" w:eastAsia="Arial" w:hAnsi="Arial"/>
                <w:sz w:val="16"/>
                <w:szCs w:val="16"/>
                <w:color w:val="auto"/>
              </w:rPr>
              <w:t>30,540</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32,960</w:t>
            </w:r>
          </w:p>
        </w:tc>
        <w:tc>
          <w:tcPr>
            <w:tcW w:w="1120" w:type="dxa"/>
            <w:vAlign w:val="bottom"/>
          </w:tcPr>
          <w:p>
            <w:pPr>
              <w:jc w:val="right"/>
              <w:ind w:right="98"/>
              <w:spacing w:after="0"/>
              <w:rPr>
                <w:sz w:val="20"/>
                <w:szCs w:val="20"/>
                <w:color w:val="auto"/>
              </w:rPr>
            </w:pPr>
            <w:r>
              <w:rPr>
                <w:rFonts w:ascii="Arial" w:cs="Arial" w:eastAsia="Arial" w:hAnsi="Arial"/>
                <w:sz w:val="16"/>
                <w:szCs w:val="16"/>
                <w:color w:val="auto"/>
              </w:rPr>
              <w:t>7.9%</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180" w:type="dxa"/>
            <w:vAlign w:val="bottom"/>
          </w:tcPr>
          <w:p>
            <w:pPr>
              <w:jc w:val="right"/>
              <w:ind w:right="138"/>
              <w:spacing w:after="0"/>
              <w:rPr>
                <w:sz w:val="20"/>
                <w:szCs w:val="20"/>
                <w:color w:val="auto"/>
              </w:rPr>
            </w:pPr>
            <w:r>
              <w:rPr>
                <w:rFonts w:ascii="Arial" w:cs="Arial" w:eastAsia="Arial" w:hAnsi="Arial"/>
                <w:sz w:val="16"/>
                <w:szCs w:val="16"/>
                <w:color w:val="auto"/>
              </w:rPr>
              <w:t>90,508</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94,602</w:t>
            </w: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4.5%</w:t>
            </w:r>
          </w:p>
        </w:tc>
      </w:tr>
      <w:tr>
        <w:trPr>
          <w:trHeight w:val="185"/>
        </w:trPr>
        <w:tc>
          <w:tcPr>
            <w:tcW w:w="32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BCP Bolivia</w:t>
            </w:r>
          </w:p>
        </w:tc>
        <w:tc>
          <w:tcPr>
            <w:tcW w:w="1040" w:type="dxa"/>
            <w:vAlign w:val="bottom"/>
          </w:tcPr>
          <w:p>
            <w:pPr>
              <w:jc w:val="right"/>
              <w:ind w:right="18"/>
              <w:spacing w:after="0"/>
              <w:rPr>
                <w:sz w:val="20"/>
                <w:szCs w:val="20"/>
                <w:color w:val="auto"/>
              </w:rPr>
            </w:pPr>
            <w:r>
              <w:rPr>
                <w:rFonts w:ascii="Arial" w:cs="Arial" w:eastAsia="Arial" w:hAnsi="Arial"/>
                <w:sz w:val="16"/>
                <w:szCs w:val="16"/>
                <w:color w:val="auto"/>
              </w:rPr>
              <w:t>26,296</w:t>
            </w:r>
          </w:p>
        </w:tc>
        <w:tc>
          <w:tcPr>
            <w:tcW w:w="1000" w:type="dxa"/>
            <w:vAlign w:val="bottom"/>
          </w:tcPr>
          <w:p>
            <w:pPr>
              <w:jc w:val="right"/>
              <w:ind w:right="58"/>
              <w:spacing w:after="0"/>
              <w:rPr>
                <w:sz w:val="20"/>
                <w:szCs w:val="20"/>
                <w:color w:val="auto"/>
              </w:rPr>
            </w:pPr>
            <w:r>
              <w:rPr>
                <w:rFonts w:ascii="Arial" w:cs="Arial" w:eastAsia="Arial" w:hAnsi="Arial"/>
                <w:sz w:val="16"/>
                <w:szCs w:val="16"/>
                <w:color w:val="auto"/>
              </w:rPr>
              <w:t>95,027</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84,941</w:t>
            </w:r>
          </w:p>
        </w:tc>
        <w:tc>
          <w:tcPr>
            <w:tcW w:w="1120" w:type="dxa"/>
            <w:vAlign w:val="bottom"/>
          </w:tcPr>
          <w:p>
            <w:pPr>
              <w:jc w:val="right"/>
              <w:ind w:right="98"/>
              <w:spacing w:after="0"/>
              <w:rPr>
                <w:sz w:val="20"/>
                <w:szCs w:val="20"/>
                <w:color w:val="auto"/>
              </w:rPr>
            </w:pPr>
            <w:r>
              <w:rPr>
                <w:rFonts w:ascii="Arial" w:cs="Arial" w:eastAsia="Arial" w:hAnsi="Arial"/>
                <w:sz w:val="16"/>
                <w:szCs w:val="16"/>
                <w:color w:val="auto"/>
              </w:rPr>
              <w:t>-10.6%</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223.0%</w:t>
            </w:r>
          </w:p>
        </w:tc>
        <w:tc>
          <w:tcPr>
            <w:tcW w:w="1180" w:type="dxa"/>
            <w:vAlign w:val="bottom"/>
          </w:tcPr>
          <w:p>
            <w:pPr>
              <w:jc w:val="right"/>
              <w:ind w:right="138"/>
              <w:spacing w:after="0"/>
              <w:rPr>
                <w:sz w:val="20"/>
                <w:szCs w:val="20"/>
                <w:color w:val="auto"/>
              </w:rPr>
            </w:pPr>
            <w:r>
              <w:rPr>
                <w:rFonts w:ascii="Arial" w:cs="Arial" w:eastAsia="Arial" w:hAnsi="Arial"/>
                <w:sz w:val="16"/>
                <w:szCs w:val="16"/>
                <w:color w:val="auto"/>
              </w:rPr>
              <w:t>79,164</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230,102</w:t>
            </w: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190.7%</w:t>
            </w:r>
          </w:p>
        </w:tc>
      </w:tr>
      <w:tr>
        <w:trPr>
          <w:trHeight w:val="185"/>
        </w:trPr>
        <w:tc>
          <w:tcPr>
            <w:tcW w:w="32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Wealth Management and Corporate Finance</w:t>
            </w:r>
          </w:p>
        </w:tc>
        <w:tc>
          <w:tcPr>
            <w:tcW w:w="1040" w:type="dxa"/>
            <w:vAlign w:val="bottom"/>
          </w:tcPr>
          <w:p>
            <w:pPr>
              <w:jc w:val="right"/>
              <w:ind w:right="18"/>
              <w:spacing w:after="0"/>
              <w:rPr>
                <w:sz w:val="20"/>
                <w:szCs w:val="20"/>
                <w:color w:val="auto"/>
              </w:rPr>
            </w:pPr>
            <w:r>
              <w:rPr>
                <w:rFonts w:ascii="Arial" w:cs="Arial" w:eastAsia="Arial" w:hAnsi="Arial"/>
                <w:sz w:val="16"/>
                <w:szCs w:val="16"/>
                <w:color w:val="auto"/>
              </w:rPr>
              <w:t>15,593</w:t>
            </w:r>
          </w:p>
        </w:tc>
        <w:tc>
          <w:tcPr>
            <w:tcW w:w="1000" w:type="dxa"/>
            <w:vAlign w:val="bottom"/>
          </w:tcPr>
          <w:p>
            <w:pPr>
              <w:jc w:val="right"/>
              <w:ind w:right="58"/>
              <w:spacing w:after="0"/>
              <w:rPr>
                <w:sz w:val="20"/>
                <w:szCs w:val="20"/>
                <w:color w:val="auto"/>
              </w:rPr>
            </w:pPr>
            <w:r>
              <w:rPr>
                <w:rFonts w:ascii="Arial" w:cs="Arial" w:eastAsia="Arial" w:hAnsi="Arial"/>
                <w:sz w:val="16"/>
                <w:szCs w:val="16"/>
                <w:color w:val="auto"/>
              </w:rPr>
              <w:t>16,878</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16,428</w:t>
            </w:r>
          </w:p>
        </w:tc>
        <w:tc>
          <w:tcPr>
            <w:tcW w:w="1120" w:type="dxa"/>
            <w:vAlign w:val="bottom"/>
          </w:tcPr>
          <w:p>
            <w:pPr>
              <w:jc w:val="right"/>
              <w:ind w:right="98"/>
              <w:spacing w:after="0"/>
              <w:rPr>
                <w:sz w:val="20"/>
                <w:szCs w:val="20"/>
                <w:color w:val="auto"/>
              </w:rPr>
            </w:pPr>
            <w:r>
              <w:rPr>
                <w:rFonts w:ascii="Arial" w:cs="Arial" w:eastAsia="Arial" w:hAnsi="Arial"/>
                <w:sz w:val="16"/>
                <w:szCs w:val="16"/>
                <w:color w:val="auto"/>
              </w:rPr>
              <w:t>-2.7%</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1180" w:type="dxa"/>
            <w:vAlign w:val="bottom"/>
          </w:tcPr>
          <w:p>
            <w:pPr>
              <w:jc w:val="right"/>
              <w:ind w:right="138"/>
              <w:spacing w:after="0"/>
              <w:rPr>
                <w:sz w:val="20"/>
                <w:szCs w:val="20"/>
                <w:color w:val="auto"/>
              </w:rPr>
            </w:pPr>
            <w:r>
              <w:rPr>
                <w:rFonts w:ascii="Arial" w:cs="Arial" w:eastAsia="Arial" w:hAnsi="Arial"/>
                <w:sz w:val="16"/>
                <w:szCs w:val="16"/>
                <w:color w:val="auto"/>
              </w:rPr>
              <w:t>52,504</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48,560</w:t>
            </w:r>
          </w:p>
        </w:tc>
        <w:tc>
          <w:tcPr>
            <w:tcW w:w="11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-7.5%</w:t>
            </w:r>
          </w:p>
        </w:tc>
      </w:tr>
      <w:tr>
        <w:trPr>
          <w:trHeight w:val="175"/>
        </w:trPr>
        <w:tc>
          <w:tcPr>
            <w:tcW w:w="3280" w:type="dxa"/>
            <w:vAlign w:val="bottom"/>
            <w:tcBorders>
              <w:left w:val="single" w:sz="8" w:color="auto"/>
              <w:right w:val="single" w:sz="8" w:color="auto"/>
            </w:tcBorders>
          </w:tcPr>
          <w:p>
            <w:pPr>
              <w:ind w:left="20"/>
              <w:spacing w:after="0" w:line="175" w:lineRule="exact"/>
              <w:rPr>
                <w:sz w:val="20"/>
                <w:szCs w:val="20"/>
                <w:color w:val="auto"/>
              </w:rPr>
            </w:pPr>
            <w:r>
              <w:rPr>
                <w:rFonts w:ascii="Arial" w:cs="Arial" w:eastAsia="Arial" w:hAnsi="Arial"/>
                <w:sz w:val="16"/>
                <w:szCs w:val="16"/>
                <w:color w:val="auto"/>
              </w:rPr>
              <w:t>ASB</w:t>
            </w:r>
          </w:p>
        </w:tc>
        <w:tc>
          <w:tcPr>
            <w:tcW w:w="1040" w:type="dxa"/>
            <w:vAlign w:val="bottom"/>
          </w:tcPr>
          <w:p>
            <w:pPr>
              <w:jc w:val="right"/>
              <w:ind w:right="18"/>
              <w:spacing w:after="0" w:line="175" w:lineRule="exact"/>
              <w:rPr>
                <w:sz w:val="20"/>
                <w:szCs w:val="20"/>
                <w:color w:val="auto"/>
              </w:rPr>
            </w:pPr>
            <w:r>
              <w:rPr>
                <w:rFonts w:ascii="Arial" w:cs="Arial" w:eastAsia="Arial" w:hAnsi="Arial"/>
                <w:sz w:val="16"/>
                <w:szCs w:val="16"/>
                <w:color w:val="auto"/>
              </w:rPr>
              <w:t>10,422</w:t>
            </w:r>
          </w:p>
        </w:tc>
        <w:tc>
          <w:tcPr>
            <w:tcW w:w="1000" w:type="dxa"/>
            <w:vAlign w:val="bottom"/>
          </w:tcPr>
          <w:p>
            <w:pPr>
              <w:jc w:val="right"/>
              <w:ind w:right="58"/>
              <w:spacing w:after="0" w:line="175" w:lineRule="exact"/>
              <w:rPr>
                <w:sz w:val="20"/>
                <w:szCs w:val="20"/>
                <w:color w:val="auto"/>
              </w:rPr>
            </w:pPr>
            <w:r>
              <w:rPr>
                <w:rFonts w:ascii="Arial" w:cs="Arial" w:eastAsia="Arial" w:hAnsi="Arial"/>
                <w:sz w:val="16"/>
                <w:szCs w:val="16"/>
                <w:color w:val="auto"/>
              </w:rPr>
              <w:t>10,560</w:t>
            </w:r>
          </w:p>
        </w:tc>
        <w:tc>
          <w:tcPr>
            <w:tcW w:w="840" w:type="dxa"/>
            <w:vAlign w:val="bottom"/>
            <w:tcBorders>
              <w:right w:val="single" w:sz="8" w:color="auto"/>
            </w:tcBorders>
          </w:tcPr>
          <w:p>
            <w:pPr>
              <w:jc w:val="right"/>
              <w:spacing w:after="0" w:line="175" w:lineRule="exact"/>
              <w:rPr>
                <w:sz w:val="20"/>
                <w:szCs w:val="20"/>
                <w:color w:val="auto"/>
              </w:rPr>
            </w:pPr>
            <w:r>
              <w:rPr>
                <w:rFonts w:ascii="Arial" w:cs="Arial" w:eastAsia="Arial" w:hAnsi="Arial"/>
                <w:sz w:val="16"/>
                <w:szCs w:val="16"/>
                <w:color w:val="auto"/>
              </w:rPr>
              <w:t>10,153</w:t>
            </w:r>
          </w:p>
        </w:tc>
        <w:tc>
          <w:tcPr>
            <w:tcW w:w="1120" w:type="dxa"/>
            <w:vAlign w:val="bottom"/>
          </w:tcPr>
          <w:p>
            <w:pPr>
              <w:jc w:val="right"/>
              <w:ind w:right="98"/>
              <w:spacing w:after="0" w:line="175" w:lineRule="exact"/>
              <w:rPr>
                <w:sz w:val="20"/>
                <w:szCs w:val="20"/>
                <w:color w:val="auto"/>
              </w:rPr>
            </w:pPr>
            <w:r>
              <w:rPr>
                <w:rFonts w:ascii="Arial" w:cs="Arial" w:eastAsia="Arial" w:hAnsi="Arial"/>
                <w:sz w:val="16"/>
                <w:szCs w:val="16"/>
                <w:color w:val="auto"/>
              </w:rPr>
              <w:t>-3.9%</w:t>
            </w:r>
          </w:p>
        </w:tc>
        <w:tc>
          <w:tcPr>
            <w:tcW w:w="840" w:type="dxa"/>
            <w:vAlign w:val="bottom"/>
            <w:tcBorders>
              <w:right w:val="single" w:sz="8" w:color="auto"/>
            </w:tcBorders>
          </w:tcPr>
          <w:p>
            <w:pPr>
              <w:jc w:val="right"/>
              <w:spacing w:after="0" w:line="175" w:lineRule="exact"/>
              <w:rPr>
                <w:sz w:val="20"/>
                <w:szCs w:val="20"/>
                <w:color w:val="auto"/>
              </w:rPr>
            </w:pPr>
            <w:r>
              <w:rPr>
                <w:rFonts w:ascii="Arial" w:cs="Arial" w:eastAsia="Arial" w:hAnsi="Arial"/>
                <w:sz w:val="16"/>
                <w:szCs w:val="16"/>
                <w:color w:val="auto"/>
              </w:rPr>
              <w:t>-2.6%</w:t>
            </w:r>
          </w:p>
        </w:tc>
        <w:tc>
          <w:tcPr>
            <w:tcW w:w="1180" w:type="dxa"/>
            <w:vAlign w:val="bottom"/>
          </w:tcPr>
          <w:p>
            <w:pPr>
              <w:jc w:val="right"/>
              <w:ind w:right="138"/>
              <w:spacing w:after="0" w:line="175" w:lineRule="exact"/>
              <w:rPr>
                <w:sz w:val="20"/>
                <w:szCs w:val="20"/>
                <w:color w:val="auto"/>
              </w:rPr>
            </w:pPr>
            <w:r>
              <w:rPr>
                <w:rFonts w:ascii="Arial" w:cs="Arial" w:eastAsia="Arial" w:hAnsi="Arial"/>
                <w:sz w:val="16"/>
                <w:szCs w:val="16"/>
                <w:color w:val="auto"/>
              </w:rPr>
              <w:t>30,248</w:t>
            </w:r>
          </w:p>
        </w:tc>
        <w:tc>
          <w:tcPr>
            <w:tcW w:w="780" w:type="dxa"/>
            <w:vAlign w:val="bottom"/>
            <w:tcBorders>
              <w:right w:val="single" w:sz="8" w:color="auto"/>
            </w:tcBorders>
          </w:tcPr>
          <w:p>
            <w:pPr>
              <w:jc w:val="right"/>
              <w:spacing w:after="0" w:line="175" w:lineRule="exact"/>
              <w:rPr>
                <w:sz w:val="20"/>
                <w:szCs w:val="20"/>
                <w:color w:val="auto"/>
              </w:rPr>
            </w:pPr>
            <w:r>
              <w:rPr>
                <w:rFonts w:ascii="Arial" w:cs="Arial" w:eastAsia="Arial" w:hAnsi="Arial"/>
                <w:sz w:val="16"/>
                <w:szCs w:val="16"/>
                <w:color w:val="auto"/>
              </w:rPr>
              <w:t>30,500</w:t>
            </w:r>
          </w:p>
        </w:tc>
        <w:tc>
          <w:tcPr>
            <w:tcW w:w="1180" w:type="dxa"/>
            <w:vAlign w:val="bottom"/>
            <w:tcBorders>
              <w:right w:val="single" w:sz="8" w:color="auto"/>
            </w:tcBorders>
          </w:tcPr>
          <w:p>
            <w:pPr>
              <w:jc w:val="right"/>
              <w:spacing w:after="0" w:line="175" w:lineRule="exact"/>
              <w:rPr>
                <w:sz w:val="20"/>
                <w:szCs w:val="20"/>
                <w:color w:val="auto"/>
              </w:rPr>
            </w:pPr>
            <w:r>
              <w:rPr>
                <w:rFonts w:ascii="Arial" w:cs="Arial" w:eastAsia="Arial" w:hAnsi="Arial"/>
                <w:sz w:val="16"/>
                <w:szCs w:val="16"/>
                <w:color w:val="auto"/>
              </w:rPr>
              <w:t>0.8%</w:t>
            </w:r>
          </w:p>
        </w:tc>
      </w:tr>
      <w:tr>
        <w:trPr>
          <w:trHeight w:val="208"/>
        </w:trPr>
        <w:tc>
          <w:tcPr>
            <w:tcW w:w="3280" w:type="dxa"/>
            <w:vAlign w:val="bottom"/>
            <w:tcBorders>
              <w:left w:val="single" w:sz="8" w:color="auto"/>
              <w:bottom w:val="single" w:sz="8" w:color="auto"/>
              <w:right w:val="single" w:sz="8" w:color="auto"/>
            </w:tcBorders>
          </w:tcPr>
          <w:p>
            <w:pPr>
              <w:ind w:left="20"/>
              <w:spacing w:after="0" w:line="209" w:lineRule="exact"/>
              <w:rPr>
                <w:sz w:val="20"/>
                <w:szCs w:val="20"/>
                <w:color w:val="auto"/>
              </w:rPr>
            </w:pPr>
            <w:r>
              <w:rPr>
                <w:rFonts w:ascii="Arial" w:cs="Arial" w:eastAsia="Arial" w:hAnsi="Arial"/>
                <w:sz w:val="15"/>
                <w:szCs w:val="15"/>
                <w:color w:val="auto"/>
              </w:rPr>
              <w:t xml:space="preserve">Others </w:t>
            </w:r>
            <w:r>
              <w:rPr>
                <w:rFonts w:ascii="Arial" w:cs="Arial" w:eastAsia="Arial" w:hAnsi="Arial"/>
                <w:sz w:val="24"/>
                <w:szCs w:val="24"/>
                <w:color w:val="auto"/>
                <w:vertAlign w:val="superscript"/>
              </w:rPr>
              <w:t>(4)</w:t>
            </w:r>
          </w:p>
        </w:tc>
        <w:tc>
          <w:tcPr>
            <w:tcW w:w="10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13,850</w:t>
            </w:r>
          </w:p>
        </w:tc>
        <w:tc>
          <w:tcPr>
            <w:tcW w:w="100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15,318</w:t>
            </w: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16,803</w:t>
            </w:r>
          </w:p>
        </w:tc>
        <w:tc>
          <w:tcPr>
            <w:tcW w:w="112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rPr>
              <w:t>n.a</w:t>
            </w: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n.a</w:t>
            </w:r>
          </w:p>
        </w:tc>
        <w:tc>
          <w:tcPr>
            <w:tcW w:w="118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color w:val="auto"/>
              </w:rPr>
              <w:t>31,104</w:t>
            </w:r>
          </w:p>
        </w:tc>
        <w:tc>
          <w:tcPr>
            <w:tcW w:w="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45,020</w:t>
            </w:r>
          </w:p>
        </w:tc>
        <w:tc>
          <w:tcPr>
            <w:tcW w:w="11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44.7%</w:t>
            </w:r>
          </w:p>
        </w:tc>
      </w:tr>
      <w:tr>
        <w:trPr>
          <w:trHeight w:val="178"/>
        </w:trPr>
        <w:tc>
          <w:tcPr>
            <w:tcW w:w="3280" w:type="dxa"/>
            <w:vAlign w:val="bottom"/>
            <w:tcBorders>
              <w:left w:val="single" w:sz="8" w:color="auto"/>
              <w:bottom w:val="single" w:sz="8" w:color="auto"/>
              <w:right w:val="single" w:sz="8" w:color="auto"/>
            </w:tcBorders>
          </w:tcPr>
          <w:p>
            <w:pPr>
              <w:ind w:left="20"/>
              <w:spacing w:after="0" w:line="178" w:lineRule="exact"/>
              <w:rPr>
                <w:sz w:val="20"/>
                <w:szCs w:val="20"/>
                <w:color w:val="auto"/>
              </w:rPr>
            </w:pPr>
            <w:r>
              <w:rPr>
                <w:rFonts w:ascii="Arial" w:cs="Arial" w:eastAsia="Arial" w:hAnsi="Arial"/>
                <w:sz w:val="16"/>
                <w:szCs w:val="16"/>
                <w:b w:val="1"/>
                <w:bCs w:val="1"/>
                <w:color w:val="auto"/>
              </w:rPr>
              <w:t>Total</w:t>
            </w:r>
          </w:p>
        </w:tc>
        <w:tc>
          <w:tcPr>
            <w:tcW w:w="1040" w:type="dxa"/>
            <w:vAlign w:val="bottom"/>
            <w:tcBorders>
              <w:bottom w:val="single" w:sz="8" w:color="auto"/>
            </w:tcBorders>
          </w:tcPr>
          <w:p>
            <w:pPr>
              <w:jc w:val="right"/>
              <w:ind w:right="18"/>
              <w:spacing w:after="0" w:line="178" w:lineRule="exact"/>
              <w:rPr>
                <w:sz w:val="20"/>
                <w:szCs w:val="20"/>
                <w:color w:val="auto"/>
              </w:rPr>
            </w:pPr>
            <w:r>
              <w:rPr>
                <w:rFonts w:ascii="Arial" w:cs="Arial" w:eastAsia="Arial" w:hAnsi="Arial"/>
                <w:sz w:val="16"/>
                <w:szCs w:val="16"/>
                <w:b w:val="1"/>
                <w:bCs w:val="1"/>
                <w:color w:val="auto"/>
              </w:rPr>
              <w:t>840,189</w:t>
            </w:r>
          </w:p>
        </w:tc>
        <w:tc>
          <w:tcPr>
            <w:tcW w:w="1000" w:type="dxa"/>
            <w:vAlign w:val="bottom"/>
            <w:tcBorders>
              <w:bottom w:val="single" w:sz="8" w:color="auto"/>
            </w:tcBorders>
          </w:tcPr>
          <w:p>
            <w:pPr>
              <w:jc w:val="right"/>
              <w:ind w:right="58"/>
              <w:spacing w:after="0" w:line="178" w:lineRule="exact"/>
              <w:rPr>
                <w:sz w:val="20"/>
                <w:szCs w:val="20"/>
                <w:color w:val="auto"/>
              </w:rPr>
            </w:pPr>
            <w:r>
              <w:rPr>
                <w:rFonts w:ascii="Arial" w:cs="Arial" w:eastAsia="Arial" w:hAnsi="Arial"/>
                <w:sz w:val="16"/>
                <w:szCs w:val="16"/>
                <w:b w:val="1"/>
                <w:bCs w:val="1"/>
                <w:color w:val="auto"/>
              </w:rPr>
              <w:t>878,592</w:t>
            </w:r>
          </w:p>
        </w:tc>
        <w:tc>
          <w:tcPr>
            <w:tcW w:w="840" w:type="dxa"/>
            <w:vAlign w:val="bottom"/>
            <w:tcBorders>
              <w:bottom w:val="single" w:sz="8" w:color="auto"/>
              <w:right w:val="single" w:sz="8" w:color="auto"/>
            </w:tcBorders>
          </w:tcPr>
          <w:p>
            <w:pPr>
              <w:jc w:val="right"/>
              <w:spacing w:after="0" w:line="178" w:lineRule="exact"/>
              <w:rPr>
                <w:sz w:val="20"/>
                <w:szCs w:val="20"/>
                <w:color w:val="auto"/>
              </w:rPr>
            </w:pPr>
            <w:r>
              <w:rPr>
                <w:rFonts w:ascii="Arial" w:cs="Arial" w:eastAsia="Arial" w:hAnsi="Arial"/>
                <w:sz w:val="16"/>
                <w:szCs w:val="16"/>
                <w:b w:val="1"/>
                <w:bCs w:val="1"/>
                <w:color w:val="auto"/>
              </w:rPr>
              <w:t>898,278</w:t>
            </w:r>
          </w:p>
        </w:tc>
        <w:tc>
          <w:tcPr>
            <w:tcW w:w="1120" w:type="dxa"/>
            <w:vAlign w:val="bottom"/>
            <w:tcBorders>
              <w:bottom w:val="single" w:sz="8" w:color="auto"/>
            </w:tcBorders>
          </w:tcPr>
          <w:p>
            <w:pPr>
              <w:jc w:val="right"/>
              <w:ind w:right="98"/>
              <w:spacing w:after="0" w:line="178" w:lineRule="exact"/>
              <w:rPr>
                <w:sz w:val="20"/>
                <w:szCs w:val="20"/>
                <w:color w:val="auto"/>
              </w:rPr>
            </w:pPr>
            <w:r>
              <w:rPr>
                <w:rFonts w:ascii="Arial" w:cs="Arial" w:eastAsia="Arial" w:hAnsi="Arial"/>
                <w:sz w:val="16"/>
                <w:szCs w:val="16"/>
                <w:b w:val="1"/>
                <w:bCs w:val="1"/>
                <w:color w:val="auto"/>
              </w:rPr>
              <w:t>2.2%</w:t>
            </w:r>
          </w:p>
        </w:tc>
        <w:tc>
          <w:tcPr>
            <w:tcW w:w="840" w:type="dxa"/>
            <w:vAlign w:val="bottom"/>
            <w:tcBorders>
              <w:bottom w:val="single" w:sz="8" w:color="auto"/>
              <w:right w:val="single" w:sz="8" w:color="auto"/>
            </w:tcBorders>
          </w:tcPr>
          <w:p>
            <w:pPr>
              <w:jc w:val="right"/>
              <w:spacing w:after="0" w:line="178" w:lineRule="exact"/>
              <w:rPr>
                <w:sz w:val="20"/>
                <w:szCs w:val="20"/>
                <w:color w:val="auto"/>
              </w:rPr>
            </w:pPr>
            <w:r>
              <w:rPr>
                <w:rFonts w:ascii="Arial" w:cs="Arial" w:eastAsia="Arial" w:hAnsi="Arial"/>
                <w:sz w:val="16"/>
                <w:szCs w:val="16"/>
                <w:b w:val="1"/>
                <w:bCs w:val="1"/>
                <w:color w:val="auto"/>
              </w:rPr>
              <w:t>6.9%</w:t>
            </w:r>
          </w:p>
        </w:tc>
        <w:tc>
          <w:tcPr>
            <w:tcW w:w="1180" w:type="dxa"/>
            <w:vAlign w:val="bottom"/>
            <w:tcBorders>
              <w:bottom w:val="single" w:sz="8" w:color="auto"/>
            </w:tcBorders>
          </w:tcPr>
          <w:p>
            <w:pPr>
              <w:jc w:val="right"/>
              <w:ind w:right="138"/>
              <w:spacing w:after="0" w:line="178" w:lineRule="exact"/>
              <w:rPr>
                <w:sz w:val="20"/>
                <w:szCs w:val="20"/>
                <w:color w:val="auto"/>
              </w:rPr>
            </w:pPr>
            <w:r>
              <w:rPr>
                <w:rFonts w:ascii="Arial" w:cs="Arial" w:eastAsia="Arial" w:hAnsi="Arial"/>
                <w:sz w:val="16"/>
                <w:szCs w:val="16"/>
                <w:b w:val="1"/>
                <w:bCs w:val="1"/>
                <w:color w:val="auto"/>
              </w:rPr>
              <w:t>2,434,488</w:t>
            </w:r>
          </w:p>
        </w:tc>
        <w:tc>
          <w:tcPr>
            <w:tcW w:w="780" w:type="dxa"/>
            <w:vAlign w:val="bottom"/>
            <w:tcBorders>
              <w:bottom w:val="single" w:sz="8" w:color="auto"/>
              <w:right w:val="single" w:sz="8" w:color="auto"/>
            </w:tcBorders>
          </w:tcPr>
          <w:p>
            <w:pPr>
              <w:jc w:val="right"/>
              <w:spacing w:after="0" w:line="178" w:lineRule="exact"/>
              <w:rPr>
                <w:sz w:val="20"/>
                <w:szCs w:val="20"/>
                <w:color w:val="auto"/>
              </w:rPr>
            </w:pPr>
            <w:r>
              <w:rPr>
                <w:rFonts w:ascii="Arial" w:cs="Arial" w:eastAsia="Arial" w:hAnsi="Arial"/>
                <w:sz w:val="16"/>
                <w:szCs w:val="16"/>
                <w:b w:val="1"/>
                <w:bCs w:val="1"/>
                <w:color w:val="auto"/>
              </w:rPr>
              <w:t>2,635,689</w:t>
            </w:r>
          </w:p>
        </w:tc>
        <w:tc>
          <w:tcPr>
            <w:tcW w:w="1180" w:type="dxa"/>
            <w:vAlign w:val="bottom"/>
            <w:tcBorders>
              <w:bottom w:val="single" w:sz="8" w:color="auto"/>
              <w:right w:val="single" w:sz="8" w:color="auto"/>
            </w:tcBorders>
          </w:tcPr>
          <w:p>
            <w:pPr>
              <w:jc w:val="right"/>
              <w:spacing w:after="0" w:line="178" w:lineRule="exact"/>
              <w:rPr>
                <w:sz w:val="20"/>
                <w:szCs w:val="20"/>
                <w:color w:val="auto"/>
              </w:rPr>
            </w:pPr>
            <w:r>
              <w:rPr>
                <w:rFonts w:ascii="Arial" w:cs="Arial" w:eastAsia="Arial" w:hAnsi="Arial"/>
                <w:sz w:val="16"/>
                <w:szCs w:val="16"/>
                <w:b w:val="1"/>
                <w:bCs w:val="1"/>
                <w:color w:val="auto"/>
              </w:rPr>
              <w:t>8.3%</w:t>
            </w:r>
          </w:p>
        </w:tc>
      </w:tr>
    </w:tbl>
    <w:p>
      <w:pPr>
        <w:ind w:left="141" w:hanging="141"/>
        <w:spacing w:after="0"/>
        <w:tabs>
          <w:tab w:leader="none" w:pos="141" w:val="left"/>
        </w:tabs>
        <w:numPr>
          <w:ilvl w:val="0"/>
          <w:numId w:val="39"/>
        </w:numPr>
        <w:rPr>
          <w:rFonts w:ascii="Arial" w:cs="Arial" w:eastAsia="Arial" w:hAnsi="Arial"/>
          <w:sz w:val="11"/>
          <w:szCs w:val="11"/>
          <w:color w:val="auto"/>
        </w:rPr>
      </w:pPr>
      <w:r>
        <w:rPr>
          <w:rFonts w:ascii="Arial" w:cs="Arial" w:eastAsia="Arial" w:hAnsi="Arial"/>
          <w:sz w:val="11"/>
          <w:szCs w:val="11"/>
          <w:color w:val="auto"/>
        </w:rPr>
        <w:t>Corresponds to fees from: credit and debit cards; payments and collections.</w:t>
      </w:r>
    </w:p>
    <w:p>
      <w:pPr>
        <w:ind w:left="141" w:hanging="141"/>
        <w:spacing w:after="0" w:line="234" w:lineRule="auto"/>
        <w:tabs>
          <w:tab w:leader="none" w:pos="141" w:val="left"/>
        </w:tabs>
        <w:numPr>
          <w:ilvl w:val="0"/>
          <w:numId w:val="39"/>
        </w:numPr>
        <w:rPr>
          <w:rFonts w:ascii="Arial" w:cs="Arial" w:eastAsia="Arial" w:hAnsi="Arial"/>
          <w:sz w:val="11"/>
          <w:szCs w:val="11"/>
          <w:color w:val="auto"/>
        </w:rPr>
      </w:pPr>
      <w:r>
        <w:rPr>
          <w:rFonts w:ascii="Arial" w:cs="Arial" w:eastAsia="Arial" w:hAnsi="Arial"/>
          <w:sz w:val="11"/>
          <w:szCs w:val="11"/>
          <w:color w:val="auto"/>
        </w:rPr>
        <w:t>Corresponds to fees from: Account maintenance, interbank transfers, national money orders y international transfers.</w:t>
      </w:r>
    </w:p>
    <w:p>
      <w:pPr>
        <w:ind w:left="141" w:hanging="141"/>
        <w:spacing w:after="0" w:line="234" w:lineRule="auto"/>
        <w:tabs>
          <w:tab w:leader="none" w:pos="141" w:val="left"/>
        </w:tabs>
        <w:numPr>
          <w:ilvl w:val="0"/>
          <w:numId w:val="39"/>
        </w:numPr>
        <w:rPr>
          <w:rFonts w:ascii="Arial" w:cs="Arial" w:eastAsia="Arial" w:hAnsi="Arial"/>
          <w:sz w:val="11"/>
          <w:szCs w:val="11"/>
          <w:color w:val="auto"/>
        </w:rPr>
      </w:pPr>
      <w:r>
        <w:rPr>
          <w:rFonts w:ascii="Arial" w:cs="Arial" w:eastAsia="Arial" w:hAnsi="Arial"/>
          <w:sz w:val="11"/>
          <w:szCs w:val="11"/>
          <w:color w:val="auto"/>
        </w:rPr>
        <w:t>Corresponds to fees from retail and wholesale loan disbursements.</w:t>
      </w:r>
    </w:p>
    <w:p>
      <w:pPr>
        <w:ind w:left="141" w:hanging="141"/>
        <w:spacing w:after="0"/>
        <w:tabs>
          <w:tab w:leader="none" w:pos="141" w:val="left"/>
        </w:tabs>
        <w:numPr>
          <w:ilvl w:val="0"/>
          <w:numId w:val="39"/>
        </w:numPr>
        <w:rPr>
          <w:rFonts w:ascii="Arial" w:cs="Arial" w:eastAsia="Arial" w:hAnsi="Arial"/>
          <w:sz w:val="11"/>
          <w:szCs w:val="11"/>
          <w:color w:val="auto"/>
        </w:rPr>
      </w:pPr>
      <w:r>
        <w:rPr>
          <w:rFonts w:ascii="Arial" w:cs="Arial" w:eastAsia="Arial" w:hAnsi="Arial"/>
          <w:sz w:val="11"/>
          <w:szCs w:val="11"/>
          <w:color w:val="auto"/>
        </w:rPr>
        <w:t>Use of third-party network, other services to third parties and Commissions in foreign branches.</w:t>
      </w:r>
    </w:p>
    <w:p>
      <w:pPr>
        <w:spacing w:after="0" w:line="31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43750" cy="158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337" w:right="339" w:bottom="1440" w:gutter="0" w:footer="0" w:header="0"/>
        </w:sectPr>
      </w:pPr>
    </w:p>
    <w:bookmarkStart w:id="34" w:name="page35"/>
    <w:bookmarkEnd w:id="34"/>
    <w:p>
      <w:pPr>
        <w:ind w:left="2960"/>
        <w:spacing w:after="0"/>
        <w:tabs>
          <w:tab w:leader="none" w:pos="3140" w:val="left"/>
          <w:tab w:leader="none" w:pos="7700" w:val="left"/>
        </w:tabs>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202565</wp:posOffset>
            </wp:positionH>
            <wp:positionV relativeFrom="page">
              <wp:posOffset>88900</wp:posOffset>
            </wp:positionV>
            <wp:extent cx="7143750" cy="41592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3750" cy="415925"/>
                    </a:xfrm>
                    <a:prstGeom prst="rect">
                      <a:avLst/>
                    </a:prstGeom>
                    <a:noFill/>
                  </pic:spPr>
                </pic:pic>
              </a:graphicData>
            </a:graphic>
          </wp:anchor>
        </w:drawing>
        <w:t>|</w:t>
      </w:r>
      <w:r>
        <w:rPr>
          <w:sz w:val="20"/>
          <w:szCs w:val="20"/>
          <w:color w:val="auto"/>
        </w:rPr>
        <w:tab/>
      </w:r>
      <w:r>
        <w:rPr>
          <w:rFonts w:ascii="Arial" w:cs="Arial" w:eastAsia="Arial" w:hAnsi="Arial"/>
          <w:sz w:val="16"/>
          <w:szCs w:val="16"/>
          <w:b w:val="1"/>
          <w:bCs w:val="1"/>
          <w:color w:val="FFFFFF"/>
        </w:rPr>
        <w:t>Earnings Release 3Q / 2023</w:t>
      </w:r>
      <w:r>
        <w:rPr>
          <w:sz w:val="20"/>
          <w:szCs w:val="20"/>
          <w:color w:val="auto"/>
        </w:rPr>
        <w:tab/>
      </w:r>
      <w:r>
        <w:rPr>
          <w:rFonts w:ascii="Arial" w:cs="Arial" w:eastAsia="Arial" w:hAnsi="Arial"/>
          <w:sz w:val="18"/>
          <w:szCs w:val="18"/>
          <w:b w:val="1"/>
          <w:bCs w:val="1"/>
          <w:color w:val="E93CAC"/>
        </w:rPr>
        <w:t>Analysis of 3Q23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159385</wp:posOffset>
            </wp:positionV>
            <wp:extent cx="7143750" cy="2038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3750" cy="203835"/>
                    </a:xfrm>
                    <a:prstGeom prst="rect">
                      <a:avLst/>
                    </a:prstGeom>
                    <a:noFill/>
                  </pic:spPr>
                </pic:pic>
              </a:graphicData>
            </a:graphic>
          </wp:anchor>
        </w:drawing>
      </w:r>
    </w:p>
    <w:p>
      <w:pPr>
        <w:spacing w:after="0" w:line="251"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FFFFFF"/>
        </w:rPr>
        <w:t>06. Other Income</w:t>
      </w: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Banking fees rose 2.2% </w:t>
      </w:r>
      <w:r>
        <w:rPr>
          <w:rFonts w:ascii="Arial" w:cs="Arial" w:eastAsia="Arial" w:hAnsi="Arial"/>
          <w:sz w:val="16"/>
          <w:szCs w:val="16"/>
          <w:b w:val="1"/>
          <w:bCs w:val="1"/>
          <w:color w:val="auto"/>
        </w:rPr>
        <w:t>QoQ</w:t>
      </w:r>
      <w:r>
        <w:rPr>
          <w:rFonts w:ascii="Arial" w:cs="Arial" w:eastAsia="Arial" w:hAnsi="Arial"/>
          <w:sz w:val="16"/>
          <w:szCs w:val="16"/>
          <w:color w:val="auto"/>
        </w:rPr>
        <w:t xml:space="preserve"> and 6.9% </w:t>
      </w:r>
      <w:r>
        <w:rPr>
          <w:rFonts w:ascii="Arial" w:cs="Arial" w:eastAsia="Arial" w:hAnsi="Arial"/>
          <w:sz w:val="16"/>
          <w:szCs w:val="16"/>
          <w:b w:val="1"/>
          <w:bCs w:val="1"/>
          <w:color w:val="auto"/>
        </w:rPr>
        <w:t>YoY. YTD</w:t>
      </w:r>
      <w:r>
        <w:rPr>
          <w:rFonts w:ascii="Arial" w:cs="Arial" w:eastAsia="Arial" w:hAnsi="Arial"/>
          <w:sz w:val="16"/>
          <w:szCs w:val="16"/>
          <w:color w:val="auto"/>
        </w:rPr>
        <w:t xml:space="preserve"> at the end of September, total fees rose 8.3%.</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Excluding BCP Bolivia from the variation analysis:</w:t>
      </w:r>
    </w:p>
    <w:p>
      <w:pPr>
        <w:spacing w:after="0" w:line="228" w:lineRule="exact"/>
        <w:rPr>
          <w:sz w:val="20"/>
          <w:szCs w:val="20"/>
          <w:color w:val="auto"/>
        </w:rPr>
      </w:pPr>
    </w:p>
    <w:p>
      <w:pPr>
        <w:ind w:right="440"/>
        <w:spacing w:after="0" w:line="285" w:lineRule="auto"/>
        <w:rPr>
          <w:sz w:val="20"/>
          <w:szCs w:val="20"/>
          <w:color w:val="auto"/>
        </w:rPr>
      </w:pPr>
      <w:r>
        <w:rPr>
          <w:rFonts w:ascii="Arial" w:cs="Arial" w:eastAsia="Arial" w:hAnsi="Arial"/>
          <w:sz w:val="16"/>
          <w:szCs w:val="16"/>
          <w:color w:val="auto"/>
        </w:rPr>
        <w:t xml:space="preserve">Total banking fees increased 3.8% </w:t>
      </w:r>
      <w:r>
        <w:rPr>
          <w:rFonts w:ascii="Arial" w:cs="Arial" w:eastAsia="Arial" w:hAnsi="Arial"/>
          <w:sz w:val="16"/>
          <w:szCs w:val="16"/>
          <w:b w:val="1"/>
          <w:bCs w:val="1"/>
          <w:color w:val="auto"/>
        </w:rPr>
        <w:t>QoQ</w:t>
      </w:r>
      <w:r>
        <w:rPr>
          <w:rFonts w:ascii="Arial" w:cs="Arial" w:eastAsia="Arial" w:hAnsi="Arial"/>
          <w:sz w:val="16"/>
          <w:szCs w:val="16"/>
          <w:color w:val="auto"/>
        </w:rPr>
        <w:t>, driven primarily by growth in Payment and Transactional at BCP, where growth in income from credit cards, collections services and bill payments stood out.</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In the YoY analysis, total banking fees fell -0.1%, driven by the following dynamics:</w:t>
      </w:r>
    </w:p>
    <w:p>
      <w:pPr>
        <w:spacing w:after="0" w:line="13" w:lineRule="exact"/>
        <w:rPr>
          <w:sz w:val="20"/>
          <w:szCs w:val="20"/>
          <w:color w:val="auto"/>
        </w:rPr>
      </w:pPr>
    </w:p>
    <w:p>
      <w:pPr>
        <w:ind w:left="600" w:right="40" w:hanging="304"/>
        <w:spacing w:after="0" w:line="241" w:lineRule="auto"/>
        <w:tabs>
          <w:tab w:leader="none" w:pos="6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positive evolution of Payments and Transactional at BCP, which experienced an uptick in income through credit cards, collection services and service payments.</w:t>
      </w:r>
    </w:p>
    <w:p>
      <w:pPr>
        <w:spacing w:after="0" w:line="1" w:lineRule="exact"/>
        <w:rPr>
          <w:rFonts w:ascii="Arial" w:cs="Arial" w:eastAsia="Arial" w:hAnsi="Arial"/>
          <w:sz w:val="16"/>
          <w:szCs w:val="16"/>
          <w:color w:val="auto"/>
        </w:rPr>
      </w:pPr>
    </w:p>
    <w:p>
      <w:pPr>
        <w:ind w:left="600" w:hanging="304"/>
        <w:spacing w:after="0"/>
        <w:tabs>
          <w:tab w:leader="none" w:pos="6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reduction in the Liability Accounts and Transactional after inter-city fees were eliminated.</w:t>
      </w:r>
    </w:p>
    <w:p>
      <w:pPr>
        <w:spacing w:after="0" w:line="1" w:lineRule="exact"/>
        <w:rPr>
          <w:rFonts w:ascii="Arial" w:cs="Arial" w:eastAsia="Arial" w:hAnsi="Arial"/>
          <w:sz w:val="16"/>
          <w:szCs w:val="16"/>
          <w:color w:val="auto"/>
        </w:rPr>
      </w:pPr>
    </w:p>
    <w:p>
      <w:pPr>
        <w:ind w:left="600" w:hanging="304"/>
        <w:spacing w:after="0"/>
        <w:tabs>
          <w:tab w:leader="none" w:pos="6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contraction in Loan Disbursement fees driven by lower income from foreign trade products.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w:t>
      </w:r>
      <w:r>
        <w:rPr>
          <w:rFonts w:ascii="Arial" w:cs="Arial" w:eastAsia="Arial" w:hAnsi="Arial"/>
          <w:sz w:val="16"/>
          <w:szCs w:val="16"/>
          <w:b w:val="1"/>
          <w:bCs w:val="1"/>
          <w:color w:val="auto"/>
        </w:rPr>
        <w:t>YTD</w:t>
      </w:r>
      <w:r>
        <w:rPr>
          <w:rFonts w:ascii="Arial" w:cs="Arial" w:eastAsia="Arial" w:hAnsi="Arial"/>
          <w:sz w:val="16"/>
          <w:szCs w:val="16"/>
          <w:color w:val="auto"/>
        </w:rPr>
        <w:t xml:space="preserve"> analysis, banking fees rose 8.6%. This evolution was driven by the same factors as those seen in the YoY analysis.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6.2 Other Non-core income</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77"/>
        </w:trPr>
        <w:tc>
          <w:tcPr>
            <w:tcW w:w="2880" w:type="dxa"/>
            <w:vAlign w:val="bottom"/>
            <w:tcBorders>
              <w:top w:val="single" w:sz="8" w:color="auto"/>
              <w:left w:val="single" w:sz="8" w:color="auto"/>
              <w:right w:val="single" w:sz="8" w:color="auto"/>
            </w:tcBorders>
            <w:shd w:val="clear" w:color="auto" w:fill="2AD2C9"/>
          </w:tcPr>
          <w:p>
            <w:pPr>
              <w:ind w:left="20"/>
              <w:spacing w:after="0" w:line="177" w:lineRule="exact"/>
              <w:rPr>
                <w:sz w:val="20"/>
                <w:szCs w:val="20"/>
                <w:color w:val="auto"/>
              </w:rPr>
            </w:pPr>
            <w:r>
              <w:rPr>
                <w:rFonts w:ascii="Arial" w:cs="Arial" w:eastAsia="Arial" w:hAnsi="Arial"/>
                <w:sz w:val="16"/>
                <w:szCs w:val="16"/>
                <w:b w:val="1"/>
                <w:bCs w:val="1"/>
                <w:color w:val="FFFFFF"/>
              </w:rPr>
              <w:t>Other Non-Core Income</w:t>
            </w:r>
          </w:p>
        </w:tc>
        <w:tc>
          <w:tcPr>
            <w:tcW w:w="1080" w:type="dxa"/>
            <w:vAlign w:val="bottom"/>
            <w:tcBorders>
              <w:top w:val="single" w:sz="8" w:color="auto"/>
            </w:tcBorders>
            <w:shd w:val="clear" w:color="auto" w:fill="2AD2C9"/>
          </w:tcPr>
          <w:p>
            <w:pPr>
              <w:spacing w:after="0"/>
              <w:rPr>
                <w:sz w:val="15"/>
                <w:szCs w:val="15"/>
                <w:color w:val="auto"/>
              </w:rPr>
            </w:pPr>
          </w:p>
        </w:tc>
        <w:tc>
          <w:tcPr>
            <w:tcW w:w="1040" w:type="dxa"/>
            <w:vAlign w:val="bottom"/>
            <w:tcBorders>
              <w:top w:val="single" w:sz="8" w:color="auto"/>
            </w:tcBorders>
            <w:shd w:val="clear" w:color="auto" w:fill="2AD2C9"/>
          </w:tcPr>
          <w:p>
            <w:pPr>
              <w:jc w:val="right"/>
              <w:ind w:right="258"/>
              <w:spacing w:after="0" w:line="177" w:lineRule="exact"/>
              <w:rPr>
                <w:sz w:val="20"/>
                <w:szCs w:val="20"/>
                <w:color w:val="auto"/>
              </w:rPr>
            </w:pPr>
            <w:r>
              <w:rPr>
                <w:rFonts w:ascii="Arial" w:cs="Arial" w:eastAsia="Arial" w:hAnsi="Arial"/>
                <w:sz w:val="16"/>
                <w:szCs w:val="16"/>
                <w:b w:val="1"/>
                <w:bCs w:val="1"/>
                <w:color w:val="FFFFFF"/>
              </w:rPr>
              <w:t>Quarter</w:t>
            </w:r>
          </w:p>
        </w:tc>
        <w:tc>
          <w:tcPr>
            <w:tcW w:w="880" w:type="dxa"/>
            <w:vAlign w:val="bottom"/>
            <w:tcBorders>
              <w:top w:val="single" w:sz="8" w:color="auto"/>
              <w:right w:val="single" w:sz="8" w:color="auto"/>
            </w:tcBorders>
            <w:shd w:val="clear" w:color="auto" w:fill="2AD2C9"/>
          </w:tcPr>
          <w:p>
            <w:pPr>
              <w:spacing w:after="0"/>
              <w:rPr>
                <w:sz w:val="15"/>
                <w:szCs w:val="15"/>
                <w:color w:val="auto"/>
              </w:rPr>
            </w:pPr>
          </w:p>
        </w:tc>
        <w:tc>
          <w:tcPr>
            <w:tcW w:w="1840" w:type="dxa"/>
            <w:vAlign w:val="bottom"/>
            <w:tcBorders>
              <w:top w:val="single" w:sz="8" w:color="auto"/>
            </w:tcBorders>
            <w:gridSpan w:val="2"/>
            <w:shd w:val="clear" w:color="auto" w:fill="2AD2C9"/>
          </w:tcPr>
          <w:p>
            <w:pPr>
              <w:ind w:left="640"/>
              <w:spacing w:after="0" w:line="177" w:lineRule="exact"/>
              <w:rPr>
                <w:sz w:val="20"/>
                <w:szCs w:val="20"/>
                <w:color w:val="auto"/>
              </w:rPr>
            </w:pPr>
            <w:r>
              <w:rPr>
                <w:rFonts w:ascii="Arial" w:cs="Arial" w:eastAsia="Arial" w:hAnsi="Arial"/>
                <w:sz w:val="16"/>
                <w:szCs w:val="16"/>
                <w:b w:val="1"/>
                <w:bCs w:val="1"/>
                <w:color w:val="FFFFFF"/>
              </w:rPr>
              <w:t>% change</w:t>
            </w:r>
          </w:p>
        </w:tc>
        <w:tc>
          <w:tcPr>
            <w:tcW w:w="220" w:type="dxa"/>
            <w:vAlign w:val="bottom"/>
            <w:tcBorders>
              <w:top w:val="single" w:sz="8" w:color="auto"/>
              <w:right w:val="single" w:sz="8" w:color="auto"/>
            </w:tcBorders>
            <w:shd w:val="clear" w:color="auto" w:fill="2AD2C9"/>
          </w:tcPr>
          <w:p>
            <w:pPr>
              <w:spacing w:after="0"/>
              <w:rPr>
                <w:sz w:val="15"/>
                <w:szCs w:val="15"/>
                <w:color w:val="auto"/>
              </w:rPr>
            </w:pPr>
          </w:p>
        </w:tc>
        <w:tc>
          <w:tcPr>
            <w:tcW w:w="1280" w:type="dxa"/>
            <w:vAlign w:val="bottom"/>
            <w:tcBorders>
              <w:top w:val="single" w:sz="8" w:color="auto"/>
            </w:tcBorders>
            <w:shd w:val="clear" w:color="auto" w:fill="2AD2C9"/>
          </w:tcPr>
          <w:p>
            <w:pPr>
              <w:jc w:val="right"/>
              <w:spacing w:after="0" w:line="177" w:lineRule="exact"/>
              <w:rPr>
                <w:sz w:val="20"/>
                <w:szCs w:val="20"/>
                <w:color w:val="auto"/>
              </w:rPr>
            </w:pPr>
            <w:r>
              <w:rPr>
                <w:rFonts w:ascii="Arial" w:cs="Arial" w:eastAsia="Arial" w:hAnsi="Arial"/>
                <w:sz w:val="16"/>
                <w:szCs w:val="16"/>
                <w:b w:val="1"/>
                <w:bCs w:val="1"/>
                <w:color w:val="FFFFFF"/>
              </w:rPr>
              <w:t>As of</w:t>
            </w:r>
          </w:p>
        </w:tc>
        <w:tc>
          <w:tcPr>
            <w:tcW w:w="780" w:type="dxa"/>
            <w:vAlign w:val="bottom"/>
            <w:tcBorders>
              <w:top w:val="single" w:sz="8" w:color="auto"/>
              <w:right w:val="single" w:sz="8" w:color="auto"/>
            </w:tcBorders>
            <w:shd w:val="clear" w:color="auto" w:fill="2AD2C9"/>
          </w:tcPr>
          <w:p>
            <w:pPr>
              <w:spacing w:after="0"/>
              <w:rPr>
                <w:sz w:val="15"/>
                <w:szCs w:val="15"/>
                <w:color w:val="auto"/>
              </w:rPr>
            </w:pPr>
          </w:p>
        </w:tc>
        <w:tc>
          <w:tcPr>
            <w:tcW w:w="20" w:type="dxa"/>
            <w:vAlign w:val="bottom"/>
            <w:tcBorders>
              <w:top w:val="single" w:sz="8" w:color="auto"/>
            </w:tcBorders>
            <w:shd w:val="clear" w:color="auto" w:fill="2AD2C9"/>
          </w:tcPr>
          <w:p>
            <w:pPr>
              <w:spacing w:after="0"/>
              <w:rPr>
                <w:sz w:val="15"/>
                <w:szCs w:val="15"/>
                <w:color w:val="auto"/>
              </w:rPr>
            </w:pPr>
          </w:p>
        </w:tc>
        <w:tc>
          <w:tcPr>
            <w:tcW w:w="1240" w:type="dxa"/>
            <w:vAlign w:val="bottom"/>
            <w:tcBorders>
              <w:top w:val="single" w:sz="8" w:color="auto"/>
              <w:right w:val="single" w:sz="8" w:color="auto"/>
            </w:tcBorders>
            <w:shd w:val="clear" w:color="auto" w:fill="2AD2C9"/>
          </w:tcPr>
          <w:p>
            <w:pPr>
              <w:jc w:val="center"/>
              <w:spacing w:after="0" w:line="177" w:lineRule="exact"/>
              <w:rPr>
                <w:sz w:val="20"/>
                <w:szCs w:val="20"/>
                <w:color w:val="auto"/>
              </w:rPr>
            </w:pPr>
            <w:r>
              <w:rPr>
                <w:rFonts w:ascii="Arial" w:cs="Arial" w:eastAsia="Arial" w:hAnsi="Arial"/>
                <w:sz w:val="16"/>
                <w:szCs w:val="16"/>
                <w:b w:val="1"/>
                <w:bCs w:val="1"/>
                <w:color w:val="FFFFFF"/>
              </w:rPr>
              <w:t>% change</w:t>
            </w:r>
          </w:p>
        </w:tc>
      </w:tr>
      <w:tr>
        <w:trPr>
          <w:trHeight w:val="206"/>
        </w:trPr>
        <w:tc>
          <w:tcPr>
            <w:tcW w:w="2880" w:type="dxa"/>
            <w:vAlign w:val="bottom"/>
            <w:tcBorders>
              <w:left w:val="single" w:sz="8" w:color="auto"/>
              <w:bottom w:val="single" w:sz="8" w:color="auto"/>
              <w:right w:val="single" w:sz="8" w:color="auto"/>
            </w:tcBorders>
            <w:shd w:val="clear" w:color="auto" w:fill="2AD2C9"/>
          </w:tcPr>
          <w:p>
            <w:pPr>
              <w:ind w:left="20"/>
              <w:spacing w:after="0"/>
              <w:rPr>
                <w:sz w:val="20"/>
                <w:szCs w:val="20"/>
                <w:color w:val="auto"/>
              </w:rPr>
            </w:pPr>
            <w:r>
              <w:rPr>
                <w:rFonts w:ascii="Arial" w:cs="Arial" w:eastAsia="Arial" w:hAnsi="Arial"/>
                <w:sz w:val="16"/>
                <w:szCs w:val="16"/>
                <w:b w:val="1"/>
                <w:bCs w:val="1"/>
                <w:color w:val="FFFFFF"/>
              </w:rPr>
              <w:t>(S/ 000)</w:t>
            </w:r>
          </w:p>
        </w:tc>
        <w:tc>
          <w:tcPr>
            <w:tcW w:w="1080" w:type="dxa"/>
            <w:vAlign w:val="bottom"/>
            <w:tcBorders>
              <w:bottom w:val="single" w:sz="8" w:color="auto"/>
            </w:tcBorders>
            <w:shd w:val="clear" w:color="auto" w:fill="2AD2C9"/>
          </w:tcPr>
          <w:p>
            <w:pPr>
              <w:jc w:val="right"/>
              <w:ind w:right="318"/>
              <w:spacing w:after="0"/>
              <w:rPr>
                <w:sz w:val="20"/>
                <w:szCs w:val="20"/>
                <w:color w:val="auto"/>
              </w:rPr>
            </w:pPr>
            <w:r>
              <w:rPr>
                <w:rFonts w:ascii="Arial" w:cs="Arial" w:eastAsia="Arial" w:hAnsi="Arial"/>
                <w:sz w:val="16"/>
                <w:szCs w:val="16"/>
                <w:b w:val="1"/>
                <w:bCs w:val="1"/>
                <w:color w:val="FFFFFF"/>
              </w:rPr>
              <w:t>3Q22</w:t>
            </w:r>
          </w:p>
        </w:tc>
        <w:tc>
          <w:tcPr>
            <w:tcW w:w="1040" w:type="dxa"/>
            <w:vAlign w:val="bottom"/>
            <w:tcBorders>
              <w:bottom w:val="single" w:sz="8" w:color="auto"/>
            </w:tcBorders>
            <w:shd w:val="clear" w:color="auto" w:fill="2AD2C9"/>
          </w:tcPr>
          <w:p>
            <w:pPr>
              <w:jc w:val="right"/>
              <w:ind w:right="358"/>
              <w:spacing w:after="0"/>
              <w:rPr>
                <w:sz w:val="20"/>
                <w:szCs w:val="20"/>
                <w:color w:val="auto"/>
              </w:rPr>
            </w:pPr>
            <w:r>
              <w:rPr>
                <w:rFonts w:ascii="Arial" w:cs="Arial" w:eastAsia="Arial" w:hAnsi="Arial"/>
                <w:sz w:val="16"/>
                <w:szCs w:val="16"/>
                <w:b w:val="1"/>
                <w:bCs w:val="1"/>
                <w:color w:val="FFFFFF"/>
              </w:rPr>
              <w:t>2Q23</w:t>
            </w:r>
          </w:p>
        </w:tc>
        <w:tc>
          <w:tcPr>
            <w:tcW w:w="880" w:type="dxa"/>
            <w:vAlign w:val="bottom"/>
            <w:tcBorders>
              <w:bottom w:val="single" w:sz="8" w:color="auto"/>
              <w:right w:val="single" w:sz="8" w:color="auto"/>
            </w:tcBorders>
            <w:shd w:val="clear" w:color="auto" w:fill="2AD2C9"/>
          </w:tcPr>
          <w:p>
            <w:pPr>
              <w:jc w:val="right"/>
              <w:ind w:right="238"/>
              <w:spacing w:after="0"/>
              <w:rPr>
                <w:sz w:val="20"/>
                <w:szCs w:val="20"/>
                <w:color w:val="auto"/>
              </w:rPr>
            </w:pPr>
            <w:r>
              <w:rPr>
                <w:rFonts w:ascii="Arial" w:cs="Arial" w:eastAsia="Arial" w:hAnsi="Arial"/>
                <w:sz w:val="16"/>
                <w:szCs w:val="16"/>
                <w:b w:val="1"/>
                <w:bCs w:val="1"/>
                <w:color w:val="FFFFFF"/>
              </w:rPr>
              <w:t>3Q23</w:t>
            </w:r>
          </w:p>
        </w:tc>
        <w:tc>
          <w:tcPr>
            <w:tcW w:w="940" w:type="dxa"/>
            <w:vAlign w:val="bottom"/>
            <w:tcBorders>
              <w:bottom w:val="single" w:sz="8" w:color="auto"/>
            </w:tcBorders>
            <w:shd w:val="clear" w:color="auto" w:fill="2AD2C9"/>
          </w:tcPr>
          <w:p>
            <w:pPr>
              <w:ind w:left="300"/>
              <w:spacing w:after="0"/>
              <w:rPr>
                <w:sz w:val="20"/>
                <w:szCs w:val="20"/>
                <w:color w:val="auto"/>
              </w:rPr>
            </w:pPr>
            <w:r>
              <w:rPr>
                <w:rFonts w:ascii="Arial" w:cs="Arial" w:eastAsia="Arial" w:hAnsi="Arial"/>
                <w:sz w:val="16"/>
                <w:szCs w:val="16"/>
                <w:b w:val="1"/>
                <w:bCs w:val="1"/>
                <w:color w:val="FFFFFF"/>
              </w:rPr>
              <w:t>QoQ</w:t>
            </w:r>
          </w:p>
        </w:tc>
        <w:tc>
          <w:tcPr>
            <w:tcW w:w="900" w:type="dxa"/>
            <w:vAlign w:val="bottom"/>
            <w:tcBorders>
              <w:bottom w:val="single" w:sz="8" w:color="auto"/>
            </w:tcBorders>
            <w:shd w:val="clear" w:color="auto" w:fill="2AD2C9"/>
          </w:tcPr>
          <w:p>
            <w:pPr>
              <w:ind w:left="420"/>
              <w:spacing w:after="0"/>
              <w:rPr>
                <w:sz w:val="20"/>
                <w:szCs w:val="20"/>
                <w:color w:val="auto"/>
              </w:rPr>
            </w:pPr>
            <w:r>
              <w:rPr>
                <w:rFonts w:ascii="Arial" w:cs="Arial" w:eastAsia="Arial" w:hAnsi="Arial"/>
                <w:sz w:val="16"/>
                <w:szCs w:val="16"/>
                <w:b w:val="1"/>
                <w:bCs w:val="1"/>
                <w:color w:val="FFFFFF"/>
              </w:rPr>
              <w:t>YoY</w:t>
            </w:r>
          </w:p>
        </w:tc>
        <w:tc>
          <w:tcPr>
            <w:tcW w:w="220" w:type="dxa"/>
            <w:vAlign w:val="bottom"/>
            <w:tcBorders>
              <w:bottom w:val="single" w:sz="8" w:color="auto"/>
              <w:right w:val="single" w:sz="8" w:color="auto"/>
            </w:tcBorders>
            <w:shd w:val="clear" w:color="auto" w:fill="2AD2C9"/>
          </w:tcPr>
          <w:p>
            <w:pPr>
              <w:spacing w:after="0"/>
              <w:rPr>
                <w:sz w:val="17"/>
                <w:szCs w:val="17"/>
                <w:color w:val="auto"/>
              </w:rPr>
            </w:pPr>
          </w:p>
        </w:tc>
        <w:tc>
          <w:tcPr>
            <w:tcW w:w="1280" w:type="dxa"/>
            <w:vAlign w:val="bottom"/>
            <w:tcBorders>
              <w:bottom w:val="single" w:sz="8" w:color="auto"/>
            </w:tcBorders>
            <w:shd w:val="clear" w:color="auto" w:fill="2AD2C9"/>
          </w:tcPr>
          <w:p>
            <w:pPr>
              <w:jc w:val="center"/>
              <w:ind w:right="98"/>
              <w:spacing w:after="0"/>
              <w:rPr>
                <w:sz w:val="20"/>
                <w:szCs w:val="20"/>
                <w:color w:val="auto"/>
              </w:rPr>
            </w:pPr>
            <w:r>
              <w:rPr>
                <w:rFonts w:ascii="Arial" w:cs="Arial" w:eastAsia="Arial" w:hAnsi="Arial"/>
                <w:sz w:val="16"/>
                <w:szCs w:val="16"/>
                <w:b w:val="1"/>
                <w:bCs w:val="1"/>
                <w:color w:val="FFFFFF"/>
              </w:rPr>
              <w:t>Sep 22</w:t>
            </w:r>
          </w:p>
        </w:tc>
        <w:tc>
          <w:tcPr>
            <w:tcW w:w="780" w:type="dxa"/>
            <w:vAlign w:val="bottom"/>
            <w:tcBorders>
              <w:bottom w:val="single" w:sz="8" w:color="auto"/>
              <w:right w:val="single" w:sz="8" w:color="auto"/>
            </w:tcBorders>
            <w:shd w:val="clear" w:color="auto" w:fill="2AD2C9"/>
          </w:tcPr>
          <w:p>
            <w:pPr>
              <w:jc w:val="right"/>
              <w:ind w:right="138"/>
              <w:spacing w:after="0"/>
              <w:rPr>
                <w:sz w:val="20"/>
                <w:szCs w:val="20"/>
                <w:color w:val="auto"/>
              </w:rPr>
            </w:pPr>
            <w:r>
              <w:rPr>
                <w:rFonts w:ascii="Arial" w:cs="Arial" w:eastAsia="Arial" w:hAnsi="Arial"/>
                <w:sz w:val="16"/>
                <w:szCs w:val="16"/>
                <w:b w:val="1"/>
                <w:bCs w:val="1"/>
                <w:color w:val="FFFFFF"/>
              </w:rPr>
              <w:t>Sep 23</w:t>
            </w:r>
          </w:p>
        </w:tc>
        <w:tc>
          <w:tcPr>
            <w:tcW w:w="20" w:type="dxa"/>
            <w:vAlign w:val="bottom"/>
            <w:tcBorders>
              <w:bottom w:val="single" w:sz="8" w:color="auto"/>
            </w:tcBorders>
            <w:shd w:val="clear" w:color="auto" w:fill="2AD2C9"/>
          </w:tcPr>
          <w:p>
            <w:pPr>
              <w:spacing w:after="0"/>
              <w:rPr>
                <w:sz w:val="17"/>
                <w:szCs w:val="17"/>
                <w:color w:val="auto"/>
              </w:rPr>
            </w:pPr>
          </w:p>
        </w:tc>
        <w:tc>
          <w:tcPr>
            <w:tcW w:w="124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6"/>
                <w:szCs w:val="16"/>
                <w:b w:val="1"/>
                <w:bCs w:val="1"/>
                <w:color w:val="FFFFFF"/>
              </w:rPr>
              <w:t>Sep 23 / Sep 22</w:t>
            </w:r>
          </w:p>
        </w:tc>
      </w:tr>
      <w:tr>
        <w:trPr>
          <w:trHeight w:val="155"/>
        </w:trPr>
        <w:tc>
          <w:tcPr>
            <w:tcW w:w="2880" w:type="dxa"/>
            <w:vAlign w:val="bottom"/>
            <w:tcBorders>
              <w:left w:val="single" w:sz="8" w:color="auto"/>
              <w:right w:val="single" w:sz="8" w:color="auto"/>
            </w:tcBorders>
          </w:tcPr>
          <w:p>
            <w:pPr>
              <w:ind w:left="20"/>
              <w:spacing w:after="0" w:line="155" w:lineRule="exact"/>
              <w:rPr>
                <w:sz w:val="20"/>
                <w:szCs w:val="20"/>
                <w:color w:val="auto"/>
              </w:rPr>
            </w:pPr>
            <w:r>
              <w:rPr>
                <w:rFonts w:ascii="Arial" w:cs="Arial" w:eastAsia="Arial" w:hAnsi="Arial"/>
                <w:sz w:val="16"/>
                <w:szCs w:val="16"/>
                <w:color w:val="auto"/>
              </w:rPr>
              <w:t>Net gain on securities</w:t>
            </w:r>
          </w:p>
        </w:tc>
        <w:tc>
          <w:tcPr>
            <w:tcW w:w="1080" w:type="dxa"/>
            <w:vAlign w:val="bottom"/>
          </w:tcPr>
          <w:p>
            <w:pPr>
              <w:jc w:val="right"/>
              <w:ind w:right="18"/>
              <w:spacing w:after="0" w:line="155" w:lineRule="exact"/>
              <w:rPr>
                <w:sz w:val="20"/>
                <w:szCs w:val="20"/>
                <w:color w:val="auto"/>
              </w:rPr>
            </w:pPr>
            <w:r>
              <w:rPr>
                <w:rFonts w:ascii="Arial" w:cs="Arial" w:eastAsia="Arial" w:hAnsi="Arial"/>
                <w:sz w:val="16"/>
                <w:szCs w:val="16"/>
                <w:color w:val="auto"/>
              </w:rPr>
              <w:t>(25,460)</w:t>
            </w:r>
          </w:p>
        </w:tc>
        <w:tc>
          <w:tcPr>
            <w:tcW w:w="1040" w:type="dxa"/>
            <w:vAlign w:val="bottom"/>
          </w:tcPr>
          <w:p>
            <w:pPr>
              <w:jc w:val="right"/>
              <w:ind w:right="58"/>
              <w:spacing w:after="0" w:line="155" w:lineRule="exact"/>
              <w:rPr>
                <w:sz w:val="20"/>
                <w:szCs w:val="20"/>
                <w:color w:val="auto"/>
              </w:rPr>
            </w:pPr>
            <w:r>
              <w:rPr>
                <w:rFonts w:ascii="Arial" w:cs="Arial" w:eastAsia="Arial" w:hAnsi="Arial"/>
                <w:sz w:val="16"/>
                <w:szCs w:val="16"/>
                <w:color w:val="auto"/>
              </w:rPr>
              <w:t>68,603</w:t>
            </w:r>
          </w:p>
        </w:tc>
        <w:tc>
          <w:tcPr>
            <w:tcW w:w="880" w:type="dxa"/>
            <w:vAlign w:val="bottom"/>
            <w:tcBorders>
              <w:right w:val="single" w:sz="8" w:color="auto"/>
            </w:tcBorders>
          </w:tcPr>
          <w:p>
            <w:pPr>
              <w:jc w:val="right"/>
              <w:spacing w:after="0" w:line="155" w:lineRule="exact"/>
              <w:rPr>
                <w:sz w:val="20"/>
                <w:szCs w:val="20"/>
                <w:color w:val="auto"/>
              </w:rPr>
            </w:pPr>
            <w:r>
              <w:rPr>
                <w:rFonts w:ascii="Arial" w:cs="Arial" w:eastAsia="Arial" w:hAnsi="Arial"/>
                <w:sz w:val="16"/>
                <w:szCs w:val="16"/>
                <w:color w:val="auto"/>
              </w:rPr>
              <w:t>53,591</w:t>
            </w:r>
          </w:p>
        </w:tc>
        <w:tc>
          <w:tcPr>
            <w:tcW w:w="940" w:type="dxa"/>
            <w:vAlign w:val="bottom"/>
          </w:tcPr>
          <w:p>
            <w:pPr>
              <w:jc w:val="center"/>
              <w:spacing w:after="0" w:line="155" w:lineRule="exact"/>
              <w:rPr>
                <w:sz w:val="20"/>
                <w:szCs w:val="20"/>
                <w:color w:val="auto"/>
              </w:rPr>
            </w:pPr>
            <w:r>
              <w:rPr>
                <w:rFonts w:ascii="Arial" w:cs="Arial" w:eastAsia="Arial" w:hAnsi="Arial"/>
                <w:sz w:val="16"/>
                <w:szCs w:val="16"/>
                <w:color w:val="auto"/>
              </w:rPr>
              <w:t>-21.9%</w:t>
            </w:r>
          </w:p>
        </w:tc>
        <w:tc>
          <w:tcPr>
            <w:tcW w:w="900" w:type="dxa"/>
            <w:vAlign w:val="bottom"/>
          </w:tcPr>
          <w:p>
            <w:pPr>
              <w:jc w:val="center"/>
              <w:ind w:left="158"/>
              <w:spacing w:after="0" w:line="155" w:lineRule="exact"/>
              <w:rPr>
                <w:sz w:val="20"/>
                <w:szCs w:val="20"/>
                <w:color w:val="auto"/>
              </w:rPr>
            </w:pPr>
            <w:r>
              <w:rPr>
                <w:rFonts w:ascii="Arial" w:cs="Arial" w:eastAsia="Arial" w:hAnsi="Arial"/>
                <w:sz w:val="16"/>
                <w:szCs w:val="16"/>
                <w:color w:val="auto"/>
              </w:rPr>
              <w:t>-310.5%</w:t>
            </w:r>
          </w:p>
        </w:tc>
        <w:tc>
          <w:tcPr>
            <w:tcW w:w="220" w:type="dxa"/>
            <w:vAlign w:val="bottom"/>
            <w:tcBorders>
              <w:right w:val="single" w:sz="8" w:color="auto"/>
            </w:tcBorders>
          </w:tcPr>
          <w:p>
            <w:pPr>
              <w:spacing w:after="0"/>
              <w:rPr>
                <w:sz w:val="13"/>
                <w:szCs w:val="13"/>
                <w:color w:val="auto"/>
              </w:rPr>
            </w:pPr>
          </w:p>
        </w:tc>
        <w:tc>
          <w:tcPr>
            <w:tcW w:w="1280" w:type="dxa"/>
            <w:vAlign w:val="bottom"/>
          </w:tcPr>
          <w:p>
            <w:pPr>
              <w:jc w:val="right"/>
              <w:ind w:right="98"/>
              <w:spacing w:after="0" w:line="155" w:lineRule="exact"/>
              <w:rPr>
                <w:sz w:val="20"/>
                <w:szCs w:val="20"/>
                <w:color w:val="auto"/>
              </w:rPr>
            </w:pPr>
            <w:r>
              <w:rPr>
                <w:rFonts w:ascii="Arial" w:cs="Arial" w:eastAsia="Arial" w:hAnsi="Arial"/>
                <w:sz w:val="16"/>
                <w:szCs w:val="16"/>
                <w:color w:val="auto"/>
              </w:rPr>
              <w:t>(176,507)</w:t>
            </w:r>
          </w:p>
        </w:tc>
        <w:tc>
          <w:tcPr>
            <w:tcW w:w="780" w:type="dxa"/>
            <w:vAlign w:val="bottom"/>
            <w:tcBorders>
              <w:right w:val="single" w:sz="8" w:color="auto"/>
            </w:tcBorders>
          </w:tcPr>
          <w:p>
            <w:pPr>
              <w:jc w:val="right"/>
              <w:spacing w:after="0" w:line="155" w:lineRule="exact"/>
              <w:rPr>
                <w:sz w:val="20"/>
                <w:szCs w:val="20"/>
                <w:color w:val="auto"/>
              </w:rPr>
            </w:pPr>
            <w:r>
              <w:rPr>
                <w:rFonts w:ascii="Arial" w:cs="Arial" w:eastAsia="Arial" w:hAnsi="Arial"/>
                <w:sz w:val="16"/>
                <w:szCs w:val="16"/>
                <w:color w:val="auto"/>
              </w:rPr>
              <w:t>192,230</w:t>
            </w:r>
          </w:p>
        </w:tc>
        <w:tc>
          <w:tcPr>
            <w:tcW w:w="20" w:type="dxa"/>
            <w:vAlign w:val="bottom"/>
          </w:tcPr>
          <w:p>
            <w:pPr>
              <w:spacing w:after="0"/>
              <w:rPr>
                <w:sz w:val="13"/>
                <w:szCs w:val="13"/>
                <w:color w:val="auto"/>
              </w:rPr>
            </w:pPr>
          </w:p>
        </w:tc>
        <w:tc>
          <w:tcPr>
            <w:tcW w:w="124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6"/>
                <w:szCs w:val="16"/>
                <w:color w:val="auto"/>
              </w:rPr>
              <w:t>-208.9%</w:t>
            </w:r>
          </w:p>
        </w:tc>
      </w:tr>
      <w:tr>
        <w:trPr>
          <w:trHeight w:val="196"/>
        </w:trPr>
        <w:tc>
          <w:tcPr>
            <w:tcW w:w="288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4"/>
                <w:szCs w:val="14"/>
                <w:color w:val="auto"/>
              </w:rPr>
              <w:t xml:space="preserve">Net gain from associates </w:t>
            </w:r>
            <w:r>
              <w:rPr>
                <w:rFonts w:ascii="Arial" w:cs="Arial" w:eastAsia="Arial" w:hAnsi="Arial"/>
                <w:sz w:val="22"/>
                <w:szCs w:val="22"/>
                <w:color w:val="auto"/>
                <w:vertAlign w:val="superscript"/>
              </w:rPr>
              <w:t>(1)</w:t>
            </w:r>
          </w:p>
        </w:tc>
        <w:tc>
          <w:tcPr>
            <w:tcW w:w="1080" w:type="dxa"/>
            <w:vAlign w:val="bottom"/>
          </w:tcPr>
          <w:p>
            <w:pPr>
              <w:jc w:val="right"/>
              <w:ind w:right="18"/>
              <w:spacing w:after="0"/>
              <w:rPr>
                <w:sz w:val="20"/>
                <w:szCs w:val="20"/>
                <w:color w:val="auto"/>
              </w:rPr>
            </w:pPr>
            <w:r>
              <w:rPr>
                <w:rFonts w:ascii="Arial" w:cs="Arial" w:eastAsia="Arial" w:hAnsi="Arial"/>
                <w:sz w:val="16"/>
                <w:szCs w:val="16"/>
                <w:color w:val="auto"/>
              </w:rPr>
              <w:t>25,806</w:t>
            </w:r>
          </w:p>
        </w:tc>
        <w:tc>
          <w:tcPr>
            <w:tcW w:w="1040" w:type="dxa"/>
            <w:vAlign w:val="bottom"/>
          </w:tcPr>
          <w:p>
            <w:pPr>
              <w:jc w:val="right"/>
              <w:ind w:right="58"/>
              <w:spacing w:after="0"/>
              <w:rPr>
                <w:sz w:val="20"/>
                <w:szCs w:val="20"/>
                <w:color w:val="auto"/>
              </w:rPr>
            </w:pPr>
            <w:r>
              <w:rPr>
                <w:rFonts w:ascii="Arial" w:cs="Arial" w:eastAsia="Arial" w:hAnsi="Arial"/>
                <w:sz w:val="16"/>
                <w:szCs w:val="16"/>
                <w:color w:val="auto"/>
              </w:rPr>
              <w:t>23,689</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32,056</w:t>
            </w:r>
          </w:p>
        </w:tc>
        <w:tc>
          <w:tcPr>
            <w:tcW w:w="940" w:type="dxa"/>
            <w:vAlign w:val="bottom"/>
          </w:tcPr>
          <w:p>
            <w:pPr>
              <w:jc w:val="center"/>
              <w:spacing w:after="0"/>
              <w:rPr>
                <w:sz w:val="20"/>
                <w:szCs w:val="20"/>
                <w:color w:val="auto"/>
              </w:rPr>
            </w:pPr>
            <w:r>
              <w:rPr>
                <w:rFonts w:ascii="Arial" w:cs="Arial" w:eastAsia="Arial" w:hAnsi="Arial"/>
                <w:sz w:val="16"/>
                <w:szCs w:val="16"/>
                <w:color w:val="auto"/>
              </w:rPr>
              <w:t>35.3%</w:t>
            </w:r>
          </w:p>
        </w:tc>
        <w:tc>
          <w:tcPr>
            <w:tcW w:w="900" w:type="dxa"/>
            <w:vAlign w:val="bottom"/>
          </w:tcPr>
          <w:p>
            <w:pPr>
              <w:jc w:val="center"/>
              <w:ind w:left="158"/>
              <w:spacing w:after="0"/>
              <w:rPr>
                <w:sz w:val="20"/>
                <w:szCs w:val="20"/>
                <w:color w:val="auto"/>
              </w:rPr>
            </w:pPr>
            <w:r>
              <w:rPr>
                <w:rFonts w:ascii="Arial" w:cs="Arial" w:eastAsia="Arial" w:hAnsi="Arial"/>
                <w:sz w:val="16"/>
                <w:szCs w:val="16"/>
                <w:color w:val="auto"/>
              </w:rPr>
              <w:t>24.2%</w:t>
            </w:r>
          </w:p>
        </w:tc>
        <w:tc>
          <w:tcPr>
            <w:tcW w:w="220" w:type="dxa"/>
            <w:vAlign w:val="bottom"/>
            <w:tcBorders>
              <w:right w:val="single" w:sz="8" w:color="auto"/>
            </w:tcBorders>
          </w:tcPr>
          <w:p>
            <w:pPr>
              <w:spacing w:after="0"/>
              <w:rPr>
                <w:sz w:val="17"/>
                <w:szCs w:val="17"/>
                <w:color w:val="auto"/>
              </w:rPr>
            </w:pPr>
          </w:p>
        </w:tc>
        <w:tc>
          <w:tcPr>
            <w:tcW w:w="1280" w:type="dxa"/>
            <w:vAlign w:val="bottom"/>
          </w:tcPr>
          <w:p>
            <w:pPr>
              <w:jc w:val="right"/>
              <w:ind w:right="98"/>
              <w:spacing w:after="0"/>
              <w:rPr>
                <w:sz w:val="20"/>
                <w:szCs w:val="20"/>
                <w:color w:val="auto"/>
              </w:rPr>
            </w:pPr>
            <w:r>
              <w:rPr>
                <w:rFonts w:ascii="Arial" w:cs="Arial" w:eastAsia="Arial" w:hAnsi="Arial"/>
                <w:sz w:val="16"/>
                <w:szCs w:val="16"/>
                <w:color w:val="auto"/>
              </w:rPr>
              <w:t>79,039</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82,957</w:t>
            </w:r>
          </w:p>
        </w:tc>
        <w:tc>
          <w:tcPr>
            <w:tcW w:w="20" w:type="dxa"/>
            <w:vAlign w:val="bottom"/>
          </w:tcPr>
          <w:p>
            <w:pPr>
              <w:spacing w:after="0"/>
              <w:rPr>
                <w:sz w:val="17"/>
                <w:szCs w:val="17"/>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8"/>
              </w:rPr>
              <w:t>5.0%</w:t>
            </w:r>
          </w:p>
        </w:tc>
      </w:tr>
      <w:tr>
        <w:trPr>
          <w:trHeight w:val="185"/>
        </w:trPr>
        <w:tc>
          <w:tcPr>
            <w:tcW w:w="28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Net gain on derivatives held for trading</w:t>
            </w:r>
          </w:p>
        </w:tc>
        <w:tc>
          <w:tcPr>
            <w:tcW w:w="1080" w:type="dxa"/>
            <w:vAlign w:val="bottom"/>
          </w:tcPr>
          <w:p>
            <w:pPr>
              <w:jc w:val="right"/>
              <w:ind w:right="18"/>
              <w:spacing w:after="0"/>
              <w:rPr>
                <w:sz w:val="20"/>
                <w:szCs w:val="20"/>
                <w:color w:val="auto"/>
              </w:rPr>
            </w:pPr>
            <w:r>
              <w:rPr>
                <w:rFonts w:ascii="Arial" w:cs="Arial" w:eastAsia="Arial" w:hAnsi="Arial"/>
                <w:sz w:val="16"/>
                <w:szCs w:val="16"/>
                <w:color w:val="auto"/>
              </w:rPr>
              <w:t>53,008</w:t>
            </w:r>
          </w:p>
        </w:tc>
        <w:tc>
          <w:tcPr>
            <w:tcW w:w="1040" w:type="dxa"/>
            <w:vAlign w:val="bottom"/>
          </w:tcPr>
          <w:p>
            <w:pPr>
              <w:jc w:val="right"/>
              <w:ind w:right="58"/>
              <w:spacing w:after="0"/>
              <w:rPr>
                <w:sz w:val="20"/>
                <w:szCs w:val="20"/>
                <w:color w:val="auto"/>
              </w:rPr>
            </w:pPr>
            <w:r>
              <w:rPr>
                <w:rFonts w:ascii="Arial" w:cs="Arial" w:eastAsia="Arial" w:hAnsi="Arial"/>
                <w:sz w:val="16"/>
                <w:szCs w:val="16"/>
                <w:color w:val="auto"/>
              </w:rPr>
              <w:t>16,671</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38,545</w:t>
            </w:r>
          </w:p>
        </w:tc>
        <w:tc>
          <w:tcPr>
            <w:tcW w:w="940" w:type="dxa"/>
            <w:vAlign w:val="bottom"/>
          </w:tcPr>
          <w:p>
            <w:pPr>
              <w:jc w:val="center"/>
              <w:spacing w:after="0"/>
              <w:rPr>
                <w:sz w:val="20"/>
                <w:szCs w:val="20"/>
                <w:color w:val="auto"/>
              </w:rPr>
            </w:pPr>
            <w:r>
              <w:rPr>
                <w:rFonts w:ascii="Arial" w:cs="Arial" w:eastAsia="Arial" w:hAnsi="Arial"/>
                <w:sz w:val="16"/>
                <w:szCs w:val="16"/>
                <w:color w:val="auto"/>
              </w:rPr>
              <w:t>131.2%</w:t>
            </w:r>
          </w:p>
        </w:tc>
        <w:tc>
          <w:tcPr>
            <w:tcW w:w="900" w:type="dxa"/>
            <w:vAlign w:val="bottom"/>
          </w:tcPr>
          <w:p>
            <w:pPr>
              <w:jc w:val="center"/>
              <w:ind w:left="178"/>
              <w:spacing w:after="0"/>
              <w:rPr>
                <w:sz w:val="20"/>
                <w:szCs w:val="20"/>
                <w:color w:val="auto"/>
              </w:rPr>
            </w:pPr>
            <w:r>
              <w:rPr>
                <w:rFonts w:ascii="Arial" w:cs="Arial" w:eastAsia="Arial" w:hAnsi="Arial"/>
                <w:sz w:val="16"/>
                <w:szCs w:val="16"/>
                <w:color w:val="auto"/>
              </w:rPr>
              <w:t>-27.3%</w:t>
            </w:r>
          </w:p>
        </w:tc>
        <w:tc>
          <w:tcPr>
            <w:tcW w:w="220" w:type="dxa"/>
            <w:vAlign w:val="bottom"/>
            <w:tcBorders>
              <w:right w:val="single" w:sz="8" w:color="auto"/>
            </w:tcBorders>
          </w:tcPr>
          <w:p>
            <w:pPr>
              <w:spacing w:after="0"/>
              <w:rPr>
                <w:sz w:val="16"/>
                <w:szCs w:val="16"/>
                <w:color w:val="auto"/>
              </w:rPr>
            </w:pPr>
          </w:p>
        </w:tc>
        <w:tc>
          <w:tcPr>
            <w:tcW w:w="1280" w:type="dxa"/>
            <w:vAlign w:val="bottom"/>
          </w:tcPr>
          <w:p>
            <w:pPr>
              <w:jc w:val="right"/>
              <w:ind w:right="98"/>
              <w:spacing w:after="0"/>
              <w:rPr>
                <w:sz w:val="20"/>
                <w:szCs w:val="20"/>
                <w:color w:val="auto"/>
              </w:rPr>
            </w:pPr>
            <w:r>
              <w:rPr>
                <w:rFonts w:ascii="Arial" w:cs="Arial" w:eastAsia="Arial" w:hAnsi="Arial"/>
                <w:sz w:val="16"/>
                <w:szCs w:val="16"/>
                <w:color w:val="auto"/>
              </w:rPr>
              <w:t>59,330</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48,646</w:t>
            </w:r>
          </w:p>
        </w:tc>
        <w:tc>
          <w:tcPr>
            <w:tcW w:w="20" w:type="dxa"/>
            <w:vAlign w:val="bottom"/>
          </w:tcPr>
          <w:p>
            <w:pPr>
              <w:spacing w:after="0"/>
              <w:rPr>
                <w:sz w:val="16"/>
                <w:szCs w:val="16"/>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-18.0%</w:t>
            </w:r>
          </w:p>
        </w:tc>
      </w:tr>
      <w:tr>
        <w:trPr>
          <w:trHeight w:val="185"/>
        </w:trPr>
        <w:tc>
          <w:tcPr>
            <w:tcW w:w="28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Net gain from exchange differences</w:t>
            </w:r>
          </w:p>
        </w:tc>
        <w:tc>
          <w:tcPr>
            <w:tcW w:w="1080" w:type="dxa"/>
            <w:vAlign w:val="bottom"/>
          </w:tcPr>
          <w:p>
            <w:pPr>
              <w:jc w:val="right"/>
              <w:ind w:right="18"/>
              <w:spacing w:after="0"/>
              <w:rPr>
                <w:sz w:val="20"/>
                <w:szCs w:val="20"/>
                <w:color w:val="auto"/>
              </w:rPr>
            </w:pPr>
            <w:r>
              <w:rPr>
                <w:rFonts w:ascii="Arial" w:cs="Arial" w:eastAsia="Arial" w:hAnsi="Arial"/>
                <w:sz w:val="16"/>
                <w:szCs w:val="16"/>
                <w:color w:val="auto"/>
              </w:rPr>
              <w:t>(5,917)</w:t>
            </w:r>
          </w:p>
        </w:tc>
        <w:tc>
          <w:tcPr>
            <w:tcW w:w="1040" w:type="dxa"/>
            <w:vAlign w:val="bottom"/>
          </w:tcPr>
          <w:p>
            <w:pPr>
              <w:jc w:val="right"/>
              <w:ind w:right="58"/>
              <w:spacing w:after="0"/>
              <w:rPr>
                <w:sz w:val="20"/>
                <w:szCs w:val="20"/>
                <w:color w:val="auto"/>
              </w:rPr>
            </w:pPr>
            <w:r>
              <w:rPr>
                <w:rFonts w:ascii="Arial" w:cs="Arial" w:eastAsia="Arial" w:hAnsi="Arial"/>
                <w:sz w:val="16"/>
                <w:szCs w:val="16"/>
                <w:color w:val="auto"/>
              </w:rPr>
              <w:t>2,996</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4,564</w:t>
            </w:r>
          </w:p>
        </w:tc>
        <w:tc>
          <w:tcPr>
            <w:tcW w:w="940" w:type="dxa"/>
            <w:vAlign w:val="bottom"/>
          </w:tcPr>
          <w:p>
            <w:pPr>
              <w:jc w:val="center"/>
              <w:spacing w:after="0"/>
              <w:rPr>
                <w:sz w:val="20"/>
                <w:szCs w:val="20"/>
                <w:color w:val="auto"/>
              </w:rPr>
            </w:pPr>
            <w:r>
              <w:rPr>
                <w:rFonts w:ascii="Arial" w:cs="Arial" w:eastAsia="Arial" w:hAnsi="Arial"/>
                <w:sz w:val="16"/>
                <w:szCs w:val="16"/>
                <w:color w:val="auto"/>
              </w:rPr>
              <w:t>52.3%</w:t>
            </w:r>
          </w:p>
        </w:tc>
        <w:tc>
          <w:tcPr>
            <w:tcW w:w="900" w:type="dxa"/>
            <w:vAlign w:val="bottom"/>
          </w:tcPr>
          <w:p>
            <w:pPr>
              <w:jc w:val="center"/>
              <w:ind w:left="158"/>
              <w:spacing w:after="0"/>
              <w:rPr>
                <w:sz w:val="20"/>
                <w:szCs w:val="20"/>
                <w:color w:val="auto"/>
              </w:rPr>
            </w:pPr>
            <w:r>
              <w:rPr>
                <w:rFonts w:ascii="Arial" w:cs="Arial" w:eastAsia="Arial" w:hAnsi="Arial"/>
                <w:sz w:val="16"/>
                <w:szCs w:val="16"/>
                <w:color w:val="auto"/>
              </w:rPr>
              <w:t>-177.1%</w:t>
            </w:r>
          </w:p>
        </w:tc>
        <w:tc>
          <w:tcPr>
            <w:tcW w:w="220" w:type="dxa"/>
            <w:vAlign w:val="bottom"/>
            <w:tcBorders>
              <w:right w:val="single" w:sz="8" w:color="auto"/>
            </w:tcBorders>
          </w:tcPr>
          <w:p>
            <w:pPr>
              <w:spacing w:after="0"/>
              <w:rPr>
                <w:sz w:val="16"/>
                <w:szCs w:val="16"/>
                <w:color w:val="auto"/>
              </w:rPr>
            </w:pPr>
          </w:p>
        </w:tc>
        <w:tc>
          <w:tcPr>
            <w:tcW w:w="1280" w:type="dxa"/>
            <w:vAlign w:val="bottom"/>
          </w:tcPr>
          <w:p>
            <w:pPr>
              <w:jc w:val="right"/>
              <w:ind w:right="98"/>
              <w:spacing w:after="0"/>
              <w:rPr>
                <w:sz w:val="20"/>
                <w:szCs w:val="20"/>
                <w:color w:val="auto"/>
              </w:rPr>
            </w:pPr>
            <w:r>
              <w:rPr>
                <w:rFonts w:ascii="Arial" w:cs="Arial" w:eastAsia="Arial" w:hAnsi="Arial"/>
                <w:sz w:val="16"/>
                <w:szCs w:val="16"/>
                <w:color w:val="auto"/>
              </w:rPr>
              <w:t>(32,721)</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30,523</w:t>
            </w:r>
          </w:p>
        </w:tc>
        <w:tc>
          <w:tcPr>
            <w:tcW w:w="20" w:type="dxa"/>
            <w:vAlign w:val="bottom"/>
          </w:tcPr>
          <w:p>
            <w:pPr>
              <w:spacing w:after="0"/>
              <w:rPr>
                <w:sz w:val="16"/>
                <w:szCs w:val="16"/>
                <w:color w:val="auto"/>
              </w:rPr>
            </w:pPr>
          </w:p>
        </w:tc>
        <w:tc>
          <w:tcPr>
            <w:tcW w:w="12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-193.3%</w:t>
            </w:r>
          </w:p>
        </w:tc>
      </w:tr>
      <w:tr>
        <w:trPr>
          <w:trHeight w:val="198"/>
        </w:trPr>
        <w:tc>
          <w:tcPr>
            <w:tcW w:w="28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Other non-financial income</w:t>
            </w:r>
          </w:p>
        </w:tc>
        <w:tc>
          <w:tcPr>
            <w:tcW w:w="108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56,664</w:t>
            </w:r>
          </w:p>
        </w:tc>
        <w:tc>
          <w:tcPr>
            <w:tcW w:w="104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149,671</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89,272</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-40.4%</w:t>
            </w:r>
          </w:p>
        </w:tc>
        <w:tc>
          <w:tcPr>
            <w:tcW w:w="900" w:type="dxa"/>
            <w:vAlign w:val="bottom"/>
            <w:tcBorders>
              <w:bottom w:val="single" w:sz="8" w:color="auto"/>
            </w:tcBorders>
          </w:tcPr>
          <w:p>
            <w:pPr>
              <w:jc w:val="center"/>
              <w:ind w:left="158"/>
              <w:spacing w:after="0"/>
              <w:rPr>
                <w:sz w:val="20"/>
                <w:szCs w:val="20"/>
                <w:color w:val="auto"/>
              </w:rPr>
            </w:pPr>
            <w:r>
              <w:rPr>
                <w:rFonts w:ascii="Arial" w:cs="Arial" w:eastAsia="Arial" w:hAnsi="Arial"/>
                <w:sz w:val="16"/>
                <w:szCs w:val="16"/>
                <w:color w:val="auto"/>
              </w:rPr>
              <w:t>57.5%</w:t>
            </w:r>
          </w:p>
        </w:tc>
        <w:tc>
          <w:tcPr>
            <w:tcW w:w="220" w:type="dxa"/>
            <w:vAlign w:val="bottom"/>
            <w:tcBorders>
              <w:bottom w:val="single" w:sz="8" w:color="auto"/>
              <w:right w:val="single" w:sz="8" w:color="auto"/>
            </w:tcBorders>
          </w:tcPr>
          <w:p>
            <w:pPr>
              <w:spacing w:after="0"/>
              <w:rPr>
                <w:sz w:val="17"/>
                <w:szCs w:val="17"/>
                <w:color w:val="auto"/>
              </w:rPr>
            </w:pPr>
          </w:p>
        </w:tc>
        <w:tc>
          <w:tcPr>
            <w:tcW w:w="128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rPr>
              <w:t>270,594</w:t>
            </w:r>
          </w:p>
        </w:tc>
        <w:tc>
          <w:tcPr>
            <w:tcW w:w="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328,281</w:t>
            </w:r>
          </w:p>
        </w:tc>
        <w:tc>
          <w:tcPr>
            <w:tcW w:w="20" w:type="dxa"/>
            <w:vAlign w:val="bottom"/>
            <w:tcBorders>
              <w:bottom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21.3%</w:t>
            </w:r>
          </w:p>
        </w:tc>
      </w:tr>
      <w:tr>
        <w:trPr>
          <w:trHeight w:val="178"/>
        </w:trPr>
        <w:tc>
          <w:tcPr>
            <w:tcW w:w="2880" w:type="dxa"/>
            <w:vAlign w:val="bottom"/>
            <w:tcBorders>
              <w:left w:val="single" w:sz="8" w:color="auto"/>
              <w:bottom w:val="single" w:sz="8" w:color="auto"/>
              <w:right w:val="single" w:sz="8" w:color="auto"/>
            </w:tcBorders>
          </w:tcPr>
          <w:p>
            <w:pPr>
              <w:ind w:left="20"/>
              <w:spacing w:after="0" w:line="178" w:lineRule="exact"/>
              <w:rPr>
                <w:sz w:val="20"/>
                <w:szCs w:val="20"/>
                <w:color w:val="auto"/>
              </w:rPr>
            </w:pPr>
            <w:r>
              <w:rPr>
                <w:rFonts w:ascii="Arial" w:cs="Arial" w:eastAsia="Arial" w:hAnsi="Arial"/>
                <w:sz w:val="16"/>
                <w:szCs w:val="16"/>
                <w:b w:val="1"/>
                <w:bCs w:val="1"/>
                <w:color w:val="auto"/>
              </w:rPr>
              <w:t>Total other Non-Core Income</w:t>
            </w:r>
          </w:p>
        </w:tc>
        <w:tc>
          <w:tcPr>
            <w:tcW w:w="1080" w:type="dxa"/>
            <w:vAlign w:val="bottom"/>
            <w:tcBorders>
              <w:bottom w:val="single" w:sz="8" w:color="auto"/>
            </w:tcBorders>
          </w:tcPr>
          <w:p>
            <w:pPr>
              <w:jc w:val="right"/>
              <w:ind w:right="18"/>
              <w:spacing w:after="0" w:line="178" w:lineRule="exact"/>
              <w:rPr>
                <w:sz w:val="20"/>
                <w:szCs w:val="20"/>
                <w:color w:val="auto"/>
              </w:rPr>
            </w:pPr>
            <w:r>
              <w:rPr>
                <w:rFonts w:ascii="Arial" w:cs="Arial" w:eastAsia="Arial" w:hAnsi="Arial"/>
                <w:sz w:val="16"/>
                <w:szCs w:val="16"/>
                <w:b w:val="1"/>
                <w:bCs w:val="1"/>
                <w:color w:val="auto"/>
              </w:rPr>
              <w:t>104,101</w:t>
            </w:r>
          </w:p>
        </w:tc>
        <w:tc>
          <w:tcPr>
            <w:tcW w:w="1040" w:type="dxa"/>
            <w:vAlign w:val="bottom"/>
            <w:tcBorders>
              <w:bottom w:val="single" w:sz="8" w:color="auto"/>
            </w:tcBorders>
          </w:tcPr>
          <w:p>
            <w:pPr>
              <w:jc w:val="right"/>
              <w:ind w:right="58"/>
              <w:spacing w:after="0" w:line="178" w:lineRule="exact"/>
              <w:rPr>
                <w:sz w:val="20"/>
                <w:szCs w:val="20"/>
                <w:color w:val="auto"/>
              </w:rPr>
            </w:pPr>
            <w:r>
              <w:rPr>
                <w:rFonts w:ascii="Arial" w:cs="Arial" w:eastAsia="Arial" w:hAnsi="Arial"/>
                <w:sz w:val="16"/>
                <w:szCs w:val="16"/>
                <w:b w:val="1"/>
                <w:bCs w:val="1"/>
                <w:color w:val="auto"/>
              </w:rPr>
              <w:t>261,630</w:t>
            </w:r>
          </w:p>
        </w:tc>
        <w:tc>
          <w:tcPr>
            <w:tcW w:w="880" w:type="dxa"/>
            <w:vAlign w:val="bottom"/>
            <w:tcBorders>
              <w:bottom w:val="single" w:sz="8" w:color="auto"/>
              <w:right w:val="single" w:sz="8" w:color="auto"/>
            </w:tcBorders>
          </w:tcPr>
          <w:p>
            <w:pPr>
              <w:jc w:val="right"/>
              <w:spacing w:after="0" w:line="178" w:lineRule="exact"/>
              <w:rPr>
                <w:sz w:val="20"/>
                <w:szCs w:val="20"/>
                <w:color w:val="auto"/>
              </w:rPr>
            </w:pPr>
            <w:r>
              <w:rPr>
                <w:rFonts w:ascii="Arial" w:cs="Arial" w:eastAsia="Arial" w:hAnsi="Arial"/>
                <w:sz w:val="16"/>
                <w:szCs w:val="16"/>
                <w:b w:val="1"/>
                <w:bCs w:val="1"/>
                <w:color w:val="auto"/>
              </w:rPr>
              <w:t>218,028</w:t>
            </w:r>
          </w:p>
        </w:tc>
        <w:tc>
          <w:tcPr>
            <w:tcW w:w="940" w:type="dxa"/>
            <w:vAlign w:val="bottom"/>
            <w:tcBorders>
              <w:bottom w:val="single" w:sz="8" w:color="auto"/>
            </w:tcBorders>
          </w:tcPr>
          <w:p>
            <w:pPr>
              <w:jc w:val="center"/>
              <w:spacing w:after="0" w:line="178" w:lineRule="exact"/>
              <w:rPr>
                <w:sz w:val="20"/>
                <w:szCs w:val="20"/>
                <w:color w:val="auto"/>
              </w:rPr>
            </w:pPr>
            <w:r>
              <w:rPr>
                <w:rFonts w:ascii="Arial" w:cs="Arial" w:eastAsia="Arial" w:hAnsi="Arial"/>
                <w:sz w:val="16"/>
                <w:szCs w:val="16"/>
                <w:b w:val="1"/>
                <w:bCs w:val="1"/>
                <w:color w:val="auto"/>
              </w:rPr>
              <w:t>-16.7%</w:t>
            </w:r>
          </w:p>
        </w:tc>
        <w:tc>
          <w:tcPr>
            <w:tcW w:w="900" w:type="dxa"/>
            <w:vAlign w:val="bottom"/>
            <w:tcBorders>
              <w:bottom w:val="single" w:sz="8" w:color="auto"/>
            </w:tcBorders>
          </w:tcPr>
          <w:p>
            <w:pPr>
              <w:jc w:val="center"/>
              <w:ind w:left="178"/>
              <w:spacing w:after="0" w:line="178" w:lineRule="exact"/>
              <w:rPr>
                <w:sz w:val="20"/>
                <w:szCs w:val="20"/>
                <w:color w:val="auto"/>
              </w:rPr>
            </w:pPr>
            <w:r>
              <w:rPr>
                <w:rFonts w:ascii="Arial" w:cs="Arial" w:eastAsia="Arial" w:hAnsi="Arial"/>
                <w:sz w:val="16"/>
                <w:szCs w:val="16"/>
                <w:b w:val="1"/>
                <w:bCs w:val="1"/>
                <w:color w:val="auto"/>
              </w:rPr>
              <w:t>109.4%</w:t>
            </w:r>
          </w:p>
        </w:tc>
        <w:tc>
          <w:tcPr>
            <w:tcW w:w="220" w:type="dxa"/>
            <w:vAlign w:val="bottom"/>
            <w:tcBorders>
              <w:bottom w:val="single" w:sz="8" w:color="auto"/>
              <w:right w:val="single" w:sz="8" w:color="auto"/>
            </w:tcBorders>
          </w:tcPr>
          <w:p>
            <w:pPr>
              <w:spacing w:after="0"/>
              <w:rPr>
                <w:sz w:val="15"/>
                <w:szCs w:val="15"/>
                <w:color w:val="auto"/>
              </w:rPr>
            </w:pPr>
          </w:p>
        </w:tc>
        <w:tc>
          <w:tcPr>
            <w:tcW w:w="1280" w:type="dxa"/>
            <w:vAlign w:val="bottom"/>
            <w:tcBorders>
              <w:bottom w:val="single" w:sz="8" w:color="auto"/>
            </w:tcBorders>
          </w:tcPr>
          <w:p>
            <w:pPr>
              <w:jc w:val="right"/>
              <w:ind w:right="98"/>
              <w:spacing w:after="0" w:line="178" w:lineRule="exact"/>
              <w:rPr>
                <w:sz w:val="20"/>
                <w:szCs w:val="20"/>
                <w:color w:val="auto"/>
              </w:rPr>
            </w:pPr>
            <w:r>
              <w:rPr>
                <w:rFonts w:ascii="Arial" w:cs="Arial" w:eastAsia="Arial" w:hAnsi="Arial"/>
                <w:sz w:val="16"/>
                <w:szCs w:val="16"/>
                <w:b w:val="1"/>
                <w:bCs w:val="1"/>
                <w:color w:val="auto"/>
              </w:rPr>
              <w:t>199,735</w:t>
            </w:r>
          </w:p>
        </w:tc>
        <w:tc>
          <w:tcPr>
            <w:tcW w:w="780" w:type="dxa"/>
            <w:vAlign w:val="bottom"/>
            <w:tcBorders>
              <w:bottom w:val="single" w:sz="8" w:color="auto"/>
              <w:right w:val="single" w:sz="8" w:color="auto"/>
            </w:tcBorders>
          </w:tcPr>
          <w:p>
            <w:pPr>
              <w:jc w:val="right"/>
              <w:spacing w:after="0" w:line="178" w:lineRule="exact"/>
              <w:rPr>
                <w:sz w:val="20"/>
                <w:szCs w:val="20"/>
                <w:color w:val="auto"/>
              </w:rPr>
            </w:pPr>
            <w:r>
              <w:rPr>
                <w:rFonts w:ascii="Arial" w:cs="Arial" w:eastAsia="Arial" w:hAnsi="Arial"/>
                <w:sz w:val="16"/>
                <w:szCs w:val="16"/>
                <w:b w:val="1"/>
                <w:bCs w:val="1"/>
                <w:color w:val="auto"/>
              </w:rPr>
              <w:t>682,637</w:t>
            </w:r>
          </w:p>
        </w:tc>
        <w:tc>
          <w:tcPr>
            <w:tcW w:w="20" w:type="dxa"/>
            <w:vAlign w:val="bottom"/>
            <w:tcBorders>
              <w:bottom w:val="single" w:sz="8" w:color="auto"/>
            </w:tcBorders>
          </w:tcPr>
          <w:p>
            <w:pPr>
              <w:spacing w:after="0"/>
              <w:rPr>
                <w:sz w:val="15"/>
                <w:szCs w:val="15"/>
                <w:color w:val="auto"/>
              </w:rPr>
            </w:pPr>
          </w:p>
        </w:tc>
        <w:tc>
          <w:tcPr>
            <w:tcW w:w="1240" w:type="dxa"/>
            <w:vAlign w:val="bottom"/>
            <w:tcBorders>
              <w:bottom w:val="single" w:sz="8" w:color="auto"/>
              <w:right w:val="single" w:sz="8" w:color="auto"/>
            </w:tcBorders>
          </w:tcPr>
          <w:p>
            <w:pPr>
              <w:jc w:val="center"/>
              <w:spacing w:after="0" w:line="178" w:lineRule="exact"/>
              <w:rPr>
                <w:sz w:val="20"/>
                <w:szCs w:val="20"/>
                <w:color w:val="auto"/>
              </w:rPr>
            </w:pPr>
            <w:r>
              <w:rPr>
                <w:rFonts w:ascii="Arial" w:cs="Arial" w:eastAsia="Arial" w:hAnsi="Arial"/>
                <w:sz w:val="16"/>
                <w:szCs w:val="16"/>
                <w:b w:val="1"/>
                <w:bCs w:val="1"/>
                <w:color w:val="auto"/>
              </w:rPr>
              <w:t>241.8%</w:t>
            </w:r>
          </w:p>
        </w:tc>
      </w:tr>
      <w:tr>
        <w:trPr>
          <w:trHeight w:val="136"/>
        </w:trPr>
        <w:tc>
          <w:tcPr>
            <w:tcW w:w="5000" w:type="dxa"/>
            <w:vAlign w:val="bottom"/>
            <w:gridSpan w:val="3"/>
          </w:tcPr>
          <w:p>
            <w:pPr>
              <w:spacing w:after="0"/>
              <w:rPr>
                <w:sz w:val="20"/>
                <w:szCs w:val="20"/>
                <w:color w:val="auto"/>
              </w:rPr>
            </w:pPr>
            <w:r>
              <w:rPr>
                <w:rFonts w:ascii="Arial" w:cs="Arial" w:eastAsia="Arial" w:hAnsi="Arial"/>
                <w:sz w:val="11"/>
                <w:szCs w:val="11"/>
                <w:color w:val="auto"/>
              </w:rPr>
              <w:t>(1) Includes gains on other investments, which are mainly attributable to the Banmedica result.</w:t>
            </w:r>
          </w:p>
        </w:tc>
        <w:tc>
          <w:tcPr>
            <w:tcW w:w="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tcPr>
          <w:p>
            <w:pPr>
              <w:spacing w:after="0"/>
              <w:rPr>
                <w:sz w:val="11"/>
                <w:szCs w:val="11"/>
                <w:color w:val="auto"/>
              </w:rPr>
            </w:pPr>
          </w:p>
        </w:tc>
      </w:tr>
      <w:tr>
        <w:trPr>
          <w:trHeight w:val="388"/>
        </w:trPr>
        <w:tc>
          <w:tcPr>
            <w:tcW w:w="5000" w:type="dxa"/>
            <w:vAlign w:val="bottom"/>
            <w:gridSpan w:val="3"/>
          </w:tcPr>
          <w:p>
            <w:pPr>
              <w:jc w:val="center"/>
              <w:ind w:left="421"/>
              <w:spacing w:after="0"/>
              <w:rPr>
                <w:sz w:val="20"/>
                <w:szCs w:val="20"/>
                <w:color w:val="auto"/>
              </w:rPr>
            </w:pPr>
            <w:r>
              <w:rPr>
                <w:rFonts w:ascii="Arial" w:cs="Arial" w:eastAsia="Arial" w:hAnsi="Arial"/>
                <w:sz w:val="16"/>
                <w:szCs w:val="16"/>
                <w:b w:val="1"/>
                <w:bCs w:val="1"/>
                <w:color w:val="auto"/>
              </w:rPr>
              <w:t>QoQ Other Non-Core Income Evolution</w:t>
            </w: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0" w:type="dxa"/>
            <w:vAlign w:val="bottom"/>
            <w:gridSpan w:val="5"/>
          </w:tcPr>
          <w:p>
            <w:pPr>
              <w:jc w:val="center"/>
              <w:ind w:left="78"/>
              <w:spacing w:after="0"/>
              <w:rPr>
                <w:sz w:val="20"/>
                <w:szCs w:val="20"/>
                <w:color w:val="auto"/>
              </w:rPr>
            </w:pPr>
            <w:r>
              <w:rPr>
                <w:rFonts w:ascii="Arial" w:cs="Arial" w:eastAsia="Arial" w:hAnsi="Arial"/>
                <w:sz w:val="16"/>
                <w:szCs w:val="16"/>
                <w:b w:val="1"/>
                <w:bCs w:val="1"/>
                <w:color w:val="auto"/>
              </w:rPr>
              <w:t>YoY Other Non-Core Income Evolution</w:t>
            </w:r>
          </w:p>
        </w:tc>
        <w:tc>
          <w:tcPr>
            <w:tcW w:w="1240" w:type="dxa"/>
            <w:vAlign w:val="bottom"/>
          </w:tcPr>
          <w:p>
            <w:pPr>
              <w:spacing w:after="0"/>
              <w:rPr>
                <w:sz w:val="24"/>
                <w:szCs w:val="24"/>
                <w:color w:val="auto"/>
              </w:rPr>
            </w:pPr>
          </w:p>
        </w:tc>
      </w:tr>
      <w:tr>
        <w:trPr>
          <w:trHeight w:val="209"/>
        </w:trPr>
        <w:tc>
          <w:tcPr>
            <w:tcW w:w="3960" w:type="dxa"/>
            <w:vAlign w:val="bottom"/>
            <w:gridSpan w:val="2"/>
          </w:tcPr>
          <w:p>
            <w:pPr>
              <w:jc w:val="center"/>
              <w:ind w:left="1461"/>
              <w:spacing w:after="0"/>
              <w:rPr>
                <w:sz w:val="20"/>
                <w:szCs w:val="20"/>
                <w:color w:val="auto"/>
              </w:rPr>
            </w:pPr>
            <w:r>
              <w:rPr>
                <w:rFonts w:ascii="Arial" w:cs="Arial" w:eastAsia="Arial" w:hAnsi="Arial"/>
                <w:sz w:val="16"/>
                <w:szCs w:val="16"/>
                <w:color w:val="auto"/>
              </w:rPr>
              <w:t>(Thousands of soles)</w:t>
            </w:r>
          </w:p>
        </w:tc>
        <w:tc>
          <w:tcPr>
            <w:tcW w:w="10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300" w:type="dxa"/>
            <w:vAlign w:val="bottom"/>
            <w:gridSpan w:val="4"/>
          </w:tcPr>
          <w:p>
            <w:pPr>
              <w:jc w:val="center"/>
              <w:ind w:right="760"/>
              <w:spacing w:after="0"/>
              <w:rPr>
                <w:sz w:val="20"/>
                <w:szCs w:val="20"/>
                <w:color w:val="auto"/>
              </w:rPr>
            </w:pPr>
            <w:r>
              <w:rPr>
                <w:rFonts w:ascii="Arial" w:cs="Arial" w:eastAsia="Arial" w:hAnsi="Arial"/>
                <w:sz w:val="16"/>
                <w:szCs w:val="16"/>
                <w:color w:val="auto"/>
              </w:rPr>
              <w:t>(Thousands of soles)</w:t>
            </w:r>
          </w:p>
        </w:tc>
        <w:tc>
          <w:tcPr>
            <w:tcW w:w="12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595630</wp:posOffset>
            </wp:positionH>
            <wp:positionV relativeFrom="paragraph">
              <wp:posOffset>-6350</wp:posOffset>
            </wp:positionV>
            <wp:extent cx="6036945" cy="18605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36945" cy="1860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1"/>
          <w:szCs w:val="11"/>
          <w:color w:val="auto"/>
        </w:rPr>
        <w:t>(1) Others includes: Grupo Crédito, Credicorp Individual, eliminations and others.</w:t>
      </w:r>
    </w:p>
    <w:p>
      <w:pPr>
        <w:spacing w:after="0" w:line="20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color w:val="auto"/>
        </w:rPr>
        <w:t xml:space="preserve">QoQ, Other Non-Core Income dropped. </w:t>
      </w:r>
      <w:r>
        <w:rPr>
          <w:rFonts w:ascii="Arial" w:cs="Arial" w:eastAsia="Arial" w:hAnsi="Arial"/>
          <w:sz w:val="16"/>
          <w:szCs w:val="16"/>
          <w:color w:val="auto"/>
        </w:rPr>
        <w:t>This evolution was driven mainly by the decrease in Other Non-Operating Income given that last quarter, gains</w:t>
      </w:r>
      <w:r>
        <w:rPr>
          <w:rFonts w:ascii="Arial" w:cs="Arial" w:eastAsia="Arial" w:hAnsi="Arial"/>
          <w:sz w:val="16"/>
          <w:szCs w:val="16"/>
          <w:b w:val="1"/>
          <w:bCs w:val="1"/>
          <w:color w:val="auto"/>
        </w:rPr>
        <w:t xml:space="preserve"> </w:t>
      </w:r>
      <w:r>
        <w:rPr>
          <w:rFonts w:ascii="Arial" w:cs="Arial" w:eastAsia="Arial" w:hAnsi="Arial"/>
          <w:sz w:val="16"/>
          <w:szCs w:val="16"/>
          <w:color w:val="auto"/>
        </w:rPr>
        <w:t>were reported for a portfolio sale.</w:t>
      </w:r>
    </w:p>
    <w:p>
      <w:pPr>
        <w:spacing w:after="0" w:line="164"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b w:val="1"/>
          <w:bCs w:val="1"/>
          <w:color w:val="auto"/>
        </w:rPr>
        <w:t>YoY, Other Non-Core Income rose</w:t>
      </w:r>
      <w:r>
        <w:rPr>
          <w:rFonts w:ascii="Arial" w:cs="Arial" w:eastAsia="Arial" w:hAnsi="Arial"/>
          <w:sz w:val="18"/>
          <w:szCs w:val="18"/>
          <w:color w:val="auto"/>
        </w:rPr>
        <w:t>. This result was primarily fueled by growth in the Net gain on securities in the Insurance and Pension</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and was also impacted by an uptick in Other Non-Operating Income, which was associated with recognition of fees from previous periods.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YTD</w:t>
      </w:r>
      <w:r>
        <w:rPr>
          <w:rFonts w:ascii="Arial" w:cs="Arial" w:eastAsia="Arial" w:hAnsi="Arial"/>
          <w:sz w:val="16"/>
          <w:szCs w:val="16"/>
          <w:color w:val="auto"/>
        </w:rPr>
        <w:t>, the dynamic was similar to the YoY.</w:t>
      </w:r>
    </w:p>
    <w:p>
      <w:pPr>
        <w:spacing w:after="0" w:line="34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43750" cy="1587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p>
      <w:pPr>
        <w:ind w:left="2960"/>
        <w:spacing w:after="0"/>
        <w:tabs>
          <w:tab w:leader="none" w:pos="3140" w:val="left"/>
          <w:tab w:leader="none" w:pos="7700" w:val="left"/>
        </w:tabs>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202565</wp:posOffset>
            </wp:positionH>
            <wp:positionV relativeFrom="page">
              <wp:posOffset>88900</wp:posOffset>
            </wp:positionV>
            <wp:extent cx="7143750" cy="41592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3750" cy="415925"/>
                    </a:xfrm>
                    <a:prstGeom prst="rect">
                      <a:avLst/>
                    </a:prstGeom>
                    <a:noFill/>
                  </pic:spPr>
                </pic:pic>
              </a:graphicData>
            </a:graphic>
          </wp:anchor>
        </w:drawing>
        <w:t>|</w:t>
      </w:r>
      <w:r>
        <w:rPr>
          <w:sz w:val="20"/>
          <w:szCs w:val="20"/>
          <w:color w:val="auto"/>
        </w:rPr>
        <w:tab/>
      </w:r>
      <w:r>
        <w:rPr>
          <w:rFonts w:ascii="Arial" w:cs="Arial" w:eastAsia="Arial" w:hAnsi="Arial"/>
          <w:sz w:val="16"/>
          <w:szCs w:val="16"/>
          <w:b w:val="1"/>
          <w:bCs w:val="1"/>
          <w:color w:val="FFFFFF"/>
        </w:rPr>
        <w:t>Earnings Release 3Q / 2023</w:t>
      </w:r>
      <w:r>
        <w:rPr>
          <w:sz w:val="20"/>
          <w:szCs w:val="20"/>
          <w:color w:val="auto"/>
        </w:rPr>
        <w:tab/>
      </w:r>
      <w:r>
        <w:rPr>
          <w:rFonts w:ascii="Arial" w:cs="Arial" w:eastAsia="Arial" w:hAnsi="Arial"/>
          <w:sz w:val="18"/>
          <w:szCs w:val="18"/>
          <w:b w:val="1"/>
          <w:bCs w:val="1"/>
          <w:color w:val="E93CAC"/>
        </w:rPr>
        <w:t>Analysis of 3Q23 Consolidated Results</w:t>
      </w:r>
    </w:p>
    <w:p>
      <w:pPr>
        <w:spacing w:after="0" w:line="364" w:lineRule="exact"/>
        <w:rPr>
          <w:sz w:val="20"/>
          <w:szCs w:val="20"/>
          <w:color w:val="auto"/>
        </w:rPr>
      </w:pPr>
    </w:p>
    <w:p>
      <w:pPr>
        <w:spacing w:after="0"/>
        <w:rPr>
          <w:sz w:val="20"/>
          <w:szCs w:val="20"/>
          <w:color w:val="auto"/>
        </w:rPr>
      </w:pPr>
      <w:r>
        <w:rPr>
          <w:rFonts w:ascii="Arial" w:cs="Arial" w:eastAsia="Arial" w:hAnsi="Arial"/>
          <w:sz w:val="48"/>
          <w:szCs w:val="48"/>
          <w:b w:val="1"/>
          <w:bCs w:val="1"/>
          <w:color w:val="E93CAC"/>
        </w:rPr>
        <w:t xml:space="preserve">07  </w:t>
      </w:r>
      <w:r>
        <w:rPr>
          <w:rFonts w:ascii="Arial" w:cs="Arial" w:eastAsia="Arial" w:hAnsi="Arial"/>
          <w:sz w:val="29"/>
          <w:szCs w:val="29"/>
          <w:color w:val="E93CAC"/>
        </w:rPr>
        <w:t>Insurance Underwriting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95885</wp:posOffset>
            </wp:positionV>
            <wp:extent cx="7143750" cy="6515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3750" cy="651510"/>
                    </a:xfrm>
                    <a:prstGeom prst="rect">
                      <a:avLst/>
                    </a:prstGeom>
                    <a:noFill/>
                  </pic:spPr>
                </pic:pic>
              </a:graphicData>
            </a:graphic>
          </wp:anchor>
        </w:drawing>
      </w:r>
    </w:p>
    <w:p>
      <w:pPr>
        <w:spacing w:after="0" w:line="167" w:lineRule="exact"/>
        <w:rPr>
          <w:sz w:val="20"/>
          <w:szCs w:val="20"/>
          <w:color w:val="auto"/>
        </w:rPr>
      </w:pPr>
    </w:p>
    <w:p>
      <w:pPr>
        <w:ind w:left="180" w:right="280"/>
        <w:spacing w:after="0" w:line="274" w:lineRule="auto"/>
        <w:rPr>
          <w:sz w:val="20"/>
          <w:szCs w:val="20"/>
          <w:color w:val="auto"/>
        </w:rPr>
      </w:pPr>
      <w:r>
        <w:rPr>
          <w:rFonts w:ascii="Arial" w:cs="Arial" w:eastAsia="Arial" w:hAnsi="Arial"/>
          <w:sz w:val="16"/>
          <w:szCs w:val="16"/>
          <w:color w:val="FFFFFF"/>
        </w:rPr>
        <w:t>The insurance underwriting result increased 11.6% QoQ due to uptick in the underwriting results in Life and Crediseguros. This evolution was driven primarily by a drop in total expenses for the Credit Life and Individual Life insurance products after IBNR-COVIDE reserves were released.</w:t>
      </w:r>
    </w:p>
    <w:p>
      <w:pPr>
        <w:spacing w:after="0" w:line="136" w:lineRule="exact"/>
        <w:rPr>
          <w:sz w:val="20"/>
          <w:szCs w:val="20"/>
          <w:color w:val="auto"/>
        </w:rPr>
      </w:pPr>
    </w:p>
    <w:p>
      <w:pPr>
        <w:ind w:left="180" w:right="580"/>
        <w:spacing w:after="0" w:line="274" w:lineRule="auto"/>
        <w:rPr>
          <w:sz w:val="20"/>
          <w:szCs w:val="20"/>
          <w:color w:val="auto"/>
        </w:rPr>
      </w:pPr>
      <w:r>
        <w:rPr>
          <w:rFonts w:ascii="Arial" w:cs="Arial" w:eastAsia="Arial" w:hAnsi="Arial"/>
          <w:sz w:val="16"/>
          <w:szCs w:val="16"/>
          <w:color w:val="FFFFFF"/>
        </w:rPr>
        <w:t>The insurance underwriting result rose 0.1% QoQ due to an improvement in the results for P&amp;C. This evolution was mitigated by lower results in Life. P&amp;C’s result rose due to the favorable evolution of P&amp;C Risks and Medical</w:t>
      </w:r>
    </w:p>
    <w:p>
      <w:pPr>
        <w:spacing w:after="0" w:line="339" w:lineRule="exact"/>
        <w:rPr>
          <w:sz w:val="20"/>
          <w:szCs w:val="20"/>
          <w:color w:val="auto"/>
        </w:rPr>
      </w:pPr>
    </w:p>
    <w:tbl>
      <w:tblPr>
        <w:tblLayout w:type="fixed"/>
        <w:tblInd w:w="10" w:type="dxa"/>
        <w:tblCellMar>
          <w:top w:w="0" w:type="dxa"/>
          <w:left w:w="0" w:type="dxa"/>
          <w:bottom w:w="0" w:type="dxa"/>
          <w:right w:w="0" w:type="dxa"/>
        </w:tblCellMar>
      </w:tblPr>
      <w:tr>
        <w:trPr>
          <w:trHeight w:val="177"/>
        </w:trPr>
        <w:tc>
          <w:tcPr>
            <w:tcW w:w="3740" w:type="dxa"/>
            <w:vAlign w:val="bottom"/>
            <w:tcBorders>
              <w:top w:val="single" w:sz="8" w:color="auto"/>
              <w:left w:val="single" w:sz="8" w:color="auto"/>
              <w:right w:val="single" w:sz="8" w:color="auto"/>
            </w:tcBorders>
            <w:gridSpan w:val="2"/>
            <w:shd w:val="clear" w:color="auto" w:fill="2AD2C9"/>
          </w:tcPr>
          <w:p>
            <w:pPr>
              <w:ind w:left="20"/>
              <w:spacing w:after="0" w:line="177" w:lineRule="exact"/>
              <w:rPr>
                <w:sz w:val="20"/>
                <w:szCs w:val="20"/>
                <w:color w:val="auto"/>
              </w:rPr>
            </w:pPr>
            <w:r>
              <w:rPr>
                <w:rFonts w:ascii="Arial" w:cs="Arial" w:eastAsia="Arial" w:hAnsi="Arial"/>
                <w:sz w:val="16"/>
                <w:szCs w:val="16"/>
                <w:b w:val="1"/>
                <w:bCs w:val="1"/>
                <w:color w:val="FFFFFF"/>
              </w:rPr>
              <w:t>Insurance Underwriting Result</w:t>
            </w:r>
          </w:p>
        </w:tc>
        <w:tc>
          <w:tcPr>
            <w:tcW w:w="980" w:type="dxa"/>
            <w:vAlign w:val="bottom"/>
            <w:tcBorders>
              <w:top w:val="single" w:sz="8" w:color="auto"/>
            </w:tcBorders>
            <w:shd w:val="clear" w:color="auto" w:fill="2AD2C9"/>
          </w:tcPr>
          <w:p>
            <w:pPr>
              <w:spacing w:after="0"/>
              <w:rPr>
                <w:sz w:val="15"/>
                <w:szCs w:val="15"/>
                <w:color w:val="auto"/>
              </w:rPr>
            </w:pPr>
          </w:p>
        </w:tc>
        <w:tc>
          <w:tcPr>
            <w:tcW w:w="960" w:type="dxa"/>
            <w:vAlign w:val="bottom"/>
            <w:tcBorders>
              <w:top w:val="single" w:sz="8" w:color="auto"/>
            </w:tcBorders>
            <w:shd w:val="clear" w:color="auto" w:fill="2AD2C9"/>
          </w:tcPr>
          <w:p>
            <w:pPr>
              <w:jc w:val="right"/>
              <w:ind w:right="198"/>
              <w:spacing w:after="0" w:line="177" w:lineRule="exact"/>
              <w:rPr>
                <w:sz w:val="20"/>
                <w:szCs w:val="20"/>
                <w:color w:val="auto"/>
              </w:rPr>
            </w:pPr>
            <w:r>
              <w:rPr>
                <w:rFonts w:ascii="Arial" w:cs="Arial" w:eastAsia="Arial" w:hAnsi="Arial"/>
                <w:sz w:val="16"/>
                <w:szCs w:val="16"/>
                <w:b w:val="1"/>
                <w:bCs w:val="1"/>
                <w:color w:val="FFFFFF"/>
              </w:rPr>
              <w:t>Quarter</w:t>
            </w:r>
          </w:p>
        </w:tc>
        <w:tc>
          <w:tcPr>
            <w:tcW w:w="820" w:type="dxa"/>
            <w:vAlign w:val="bottom"/>
            <w:tcBorders>
              <w:top w:val="single" w:sz="8" w:color="auto"/>
              <w:right w:val="single" w:sz="8" w:color="auto"/>
            </w:tcBorders>
            <w:shd w:val="clear" w:color="auto" w:fill="2AD2C9"/>
          </w:tcPr>
          <w:p>
            <w:pPr>
              <w:spacing w:after="0"/>
              <w:rPr>
                <w:sz w:val="15"/>
                <w:szCs w:val="15"/>
                <w:color w:val="auto"/>
              </w:rPr>
            </w:pPr>
          </w:p>
        </w:tc>
        <w:tc>
          <w:tcPr>
            <w:tcW w:w="1820" w:type="dxa"/>
            <w:vAlign w:val="bottom"/>
            <w:tcBorders>
              <w:top w:val="single" w:sz="8" w:color="auto"/>
              <w:right w:val="single" w:sz="8" w:color="auto"/>
            </w:tcBorders>
            <w:gridSpan w:val="2"/>
            <w:shd w:val="clear" w:color="auto" w:fill="2AD2C9"/>
          </w:tcPr>
          <w:p>
            <w:pPr>
              <w:ind w:left="500"/>
              <w:spacing w:after="0" w:line="177" w:lineRule="exact"/>
              <w:rPr>
                <w:sz w:val="20"/>
                <w:szCs w:val="20"/>
                <w:color w:val="auto"/>
              </w:rPr>
            </w:pPr>
            <w:r>
              <w:rPr>
                <w:rFonts w:ascii="Arial" w:cs="Arial" w:eastAsia="Arial" w:hAnsi="Arial"/>
                <w:sz w:val="16"/>
                <w:szCs w:val="16"/>
                <w:b w:val="1"/>
                <w:bCs w:val="1"/>
                <w:color w:val="FFFFFF"/>
              </w:rPr>
              <w:t>Change %</w:t>
            </w:r>
          </w:p>
        </w:tc>
        <w:tc>
          <w:tcPr>
            <w:tcW w:w="1800" w:type="dxa"/>
            <w:vAlign w:val="bottom"/>
            <w:tcBorders>
              <w:top w:val="single" w:sz="8" w:color="auto"/>
              <w:right w:val="single" w:sz="8" w:color="auto"/>
            </w:tcBorders>
            <w:gridSpan w:val="2"/>
            <w:shd w:val="clear" w:color="auto" w:fill="2AD2C9"/>
          </w:tcPr>
          <w:p>
            <w:pPr>
              <w:jc w:val="right"/>
              <w:ind w:right="639"/>
              <w:spacing w:after="0" w:line="177" w:lineRule="exact"/>
              <w:rPr>
                <w:sz w:val="20"/>
                <w:szCs w:val="20"/>
                <w:color w:val="auto"/>
              </w:rPr>
            </w:pPr>
            <w:r>
              <w:rPr>
                <w:rFonts w:ascii="Arial" w:cs="Arial" w:eastAsia="Arial" w:hAnsi="Arial"/>
                <w:sz w:val="16"/>
                <w:szCs w:val="16"/>
                <w:b w:val="1"/>
                <w:bCs w:val="1"/>
                <w:color w:val="FFFFFF"/>
              </w:rPr>
              <w:t>As of</w:t>
            </w:r>
          </w:p>
        </w:tc>
        <w:tc>
          <w:tcPr>
            <w:tcW w:w="1140" w:type="dxa"/>
            <w:vAlign w:val="bottom"/>
            <w:tcBorders>
              <w:top w:val="single" w:sz="8" w:color="auto"/>
              <w:right w:val="single" w:sz="8" w:color="auto"/>
            </w:tcBorders>
            <w:shd w:val="clear" w:color="auto" w:fill="2AD2C9"/>
          </w:tcPr>
          <w:p>
            <w:pPr>
              <w:ind w:left="160"/>
              <w:spacing w:after="0" w:line="177" w:lineRule="exact"/>
              <w:rPr>
                <w:sz w:val="20"/>
                <w:szCs w:val="20"/>
                <w:color w:val="auto"/>
              </w:rPr>
            </w:pPr>
            <w:r>
              <w:rPr>
                <w:rFonts w:ascii="Arial" w:cs="Arial" w:eastAsia="Arial" w:hAnsi="Arial"/>
                <w:sz w:val="16"/>
                <w:szCs w:val="16"/>
                <w:b w:val="1"/>
                <w:bCs w:val="1"/>
                <w:color w:val="FFFFFF"/>
              </w:rPr>
              <w:t>Change %</w:t>
            </w:r>
          </w:p>
        </w:tc>
        <w:tc>
          <w:tcPr>
            <w:tcW w:w="0" w:type="dxa"/>
            <w:vAlign w:val="bottom"/>
          </w:tcPr>
          <w:p>
            <w:pPr>
              <w:spacing w:after="0"/>
              <w:rPr>
                <w:sz w:val="1"/>
                <w:szCs w:val="1"/>
                <w:color w:val="auto"/>
              </w:rPr>
            </w:pPr>
          </w:p>
        </w:tc>
      </w:tr>
      <w:tr>
        <w:trPr>
          <w:trHeight w:val="206"/>
        </w:trPr>
        <w:tc>
          <w:tcPr>
            <w:tcW w:w="1040" w:type="dxa"/>
            <w:vAlign w:val="bottom"/>
            <w:tcBorders>
              <w:left w:val="single" w:sz="8" w:color="auto"/>
              <w:bottom w:val="single" w:sz="8" w:color="auto"/>
              <w:right w:val="single" w:sz="8" w:color="2AD2C9"/>
            </w:tcBorders>
            <w:shd w:val="clear" w:color="auto" w:fill="2AD2C9"/>
          </w:tcPr>
          <w:p>
            <w:pPr>
              <w:ind w:left="20"/>
              <w:spacing w:after="0"/>
              <w:rPr>
                <w:sz w:val="20"/>
                <w:szCs w:val="20"/>
                <w:color w:val="auto"/>
              </w:rPr>
            </w:pPr>
            <w:r>
              <w:rPr>
                <w:rFonts w:ascii="Arial" w:cs="Arial" w:eastAsia="Arial" w:hAnsi="Arial"/>
                <w:sz w:val="16"/>
                <w:szCs w:val="16"/>
                <w:b w:val="1"/>
                <w:bCs w:val="1"/>
                <w:color w:val="FFFFFF"/>
              </w:rPr>
              <w:t>S/ millions</w:t>
            </w:r>
          </w:p>
        </w:tc>
        <w:tc>
          <w:tcPr>
            <w:tcW w:w="2700" w:type="dxa"/>
            <w:vAlign w:val="bottom"/>
            <w:tcBorders>
              <w:bottom w:val="single" w:sz="8" w:color="auto"/>
              <w:right w:val="single" w:sz="8" w:color="auto"/>
            </w:tcBorders>
            <w:shd w:val="clear" w:color="auto" w:fill="2AD2C9"/>
          </w:tcPr>
          <w:p>
            <w:pPr>
              <w:spacing w:after="0"/>
              <w:rPr>
                <w:sz w:val="17"/>
                <w:szCs w:val="17"/>
                <w:color w:val="auto"/>
              </w:rPr>
            </w:pPr>
          </w:p>
        </w:tc>
        <w:tc>
          <w:tcPr>
            <w:tcW w:w="980" w:type="dxa"/>
            <w:vAlign w:val="bottom"/>
            <w:tcBorders>
              <w:bottom w:val="single" w:sz="8" w:color="auto"/>
            </w:tcBorders>
            <w:shd w:val="clear" w:color="auto" w:fill="2AD2C9"/>
          </w:tcPr>
          <w:p>
            <w:pPr>
              <w:jc w:val="right"/>
              <w:ind w:right="259"/>
              <w:spacing w:after="0"/>
              <w:rPr>
                <w:sz w:val="20"/>
                <w:szCs w:val="20"/>
                <w:color w:val="auto"/>
              </w:rPr>
            </w:pPr>
            <w:r>
              <w:rPr>
                <w:rFonts w:ascii="Arial" w:cs="Arial" w:eastAsia="Arial" w:hAnsi="Arial"/>
                <w:sz w:val="16"/>
                <w:szCs w:val="16"/>
                <w:b w:val="1"/>
                <w:bCs w:val="1"/>
                <w:color w:val="FFFFFF"/>
              </w:rPr>
              <w:t>3Q22</w:t>
            </w:r>
          </w:p>
        </w:tc>
        <w:tc>
          <w:tcPr>
            <w:tcW w:w="960" w:type="dxa"/>
            <w:vAlign w:val="bottom"/>
            <w:tcBorders>
              <w:bottom w:val="single" w:sz="8" w:color="auto"/>
            </w:tcBorders>
            <w:shd w:val="clear" w:color="auto" w:fill="2AD2C9"/>
          </w:tcPr>
          <w:p>
            <w:pPr>
              <w:jc w:val="right"/>
              <w:ind w:right="318"/>
              <w:spacing w:after="0"/>
              <w:rPr>
                <w:sz w:val="20"/>
                <w:szCs w:val="20"/>
                <w:color w:val="auto"/>
              </w:rPr>
            </w:pPr>
            <w:r>
              <w:rPr>
                <w:rFonts w:ascii="Arial" w:cs="Arial" w:eastAsia="Arial" w:hAnsi="Arial"/>
                <w:sz w:val="16"/>
                <w:szCs w:val="16"/>
                <w:b w:val="1"/>
                <w:bCs w:val="1"/>
                <w:color w:val="FFFFFF"/>
              </w:rPr>
              <w:t>2Q23</w:t>
            </w:r>
          </w:p>
        </w:tc>
        <w:tc>
          <w:tcPr>
            <w:tcW w:w="820" w:type="dxa"/>
            <w:vAlign w:val="bottom"/>
            <w:tcBorders>
              <w:bottom w:val="single" w:sz="8" w:color="auto"/>
              <w:right w:val="single" w:sz="8" w:color="auto"/>
            </w:tcBorders>
            <w:shd w:val="clear" w:color="auto" w:fill="2AD2C9"/>
          </w:tcPr>
          <w:p>
            <w:pPr>
              <w:jc w:val="right"/>
              <w:ind w:right="199"/>
              <w:spacing w:after="0"/>
              <w:rPr>
                <w:sz w:val="20"/>
                <w:szCs w:val="20"/>
                <w:color w:val="auto"/>
              </w:rPr>
            </w:pPr>
            <w:r>
              <w:rPr>
                <w:rFonts w:ascii="Arial" w:cs="Arial" w:eastAsia="Arial" w:hAnsi="Arial"/>
                <w:sz w:val="16"/>
                <w:szCs w:val="16"/>
                <w:b w:val="1"/>
                <w:bCs w:val="1"/>
                <w:color w:val="FFFFFF"/>
              </w:rPr>
              <w:t>3Q23</w:t>
            </w:r>
          </w:p>
        </w:tc>
        <w:tc>
          <w:tcPr>
            <w:tcW w:w="880" w:type="dxa"/>
            <w:vAlign w:val="bottom"/>
            <w:tcBorders>
              <w:bottom w:val="single" w:sz="8" w:color="auto"/>
            </w:tcBorders>
            <w:shd w:val="clear" w:color="auto" w:fill="2AD2C9"/>
          </w:tcPr>
          <w:p>
            <w:pPr>
              <w:ind w:left="260"/>
              <w:spacing w:after="0"/>
              <w:rPr>
                <w:sz w:val="20"/>
                <w:szCs w:val="20"/>
                <w:color w:val="auto"/>
              </w:rPr>
            </w:pPr>
            <w:r>
              <w:rPr>
                <w:rFonts w:ascii="Arial" w:cs="Arial" w:eastAsia="Arial" w:hAnsi="Arial"/>
                <w:sz w:val="16"/>
                <w:szCs w:val="16"/>
                <w:b w:val="1"/>
                <w:bCs w:val="1"/>
                <w:color w:val="FFFFFF"/>
              </w:rPr>
              <w:t>QoQ</w:t>
            </w:r>
          </w:p>
        </w:tc>
        <w:tc>
          <w:tcPr>
            <w:tcW w:w="940" w:type="dxa"/>
            <w:vAlign w:val="bottom"/>
            <w:tcBorders>
              <w:bottom w:val="single" w:sz="8" w:color="auto"/>
              <w:right w:val="single" w:sz="8" w:color="auto"/>
            </w:tcBorders>
            <w:shd w:val="clear" w:color="auto" w:fill="2AD2C9"/>
          </w:tcPr>
          <w:p>
            <w:pPr>
              <w:ind w:left="300"/>
              <w:spacing w:after="0"/>
              <w:rPr>
                <w:sz w:val="20"/>
                <w:szCs w:val="20"/>
                <w:color w:val="auto"/>
              </w:rPr>
            </w:pPr>
            <w:r>
              <w:rPr>
                <w:rFonts w:ascii="Arial" w:cs="Arial" w:eastAsia="Arial" w:hAnsi="Arial"/>
                <w:sz w:val="16"/>
                <w:szCs w:val="16"/>
                <w:b w:val="1"/>
                <w:bCs w:val="1"/>
                <w:color w:val="FFFFFF"/>
              </w:rPr>
              <w:t>YoY</w:t>
            </w:r>
          </w:p>
        </w:tc>
        <w:tc>
          <w:tcPr>
            <w:tcW w:w="960" w:type="dxa"/>
            <w:vAlign w:val="bottom"/>
            <w:tcBorders>
              <w:bottom w:val="single" w:sz="8" w:color="auto"/>
            </w:tcBorders>
            <w:shd w:val="clear" w:color="auto" w:fill="2AD2C9"/>
          </w:tcPr>
          <w:p>
            <w:pPr>
              <w:jc w:val="right"/>
              <w:ind w:right="178"/>
              <w:spacing w:after="0"/>
              <w:rPr>
                <w:sz w:val="20"/>
                <w:szCs w:val="20"/>
                <w:color w:val="auto"/>
              </w:rPr>
            </w:pPr>
            <w:r>
              <w:rPr>
                <w:rFonts w:ascii="Arial" w:cs="Arial" w:eastAsia="Arial" w:hAnsi="Arial"/>
                <w:sz w:val="16"/>
                <w:szCs w:val="16"/>
                <w:b w:val="1"/>
                <w:bCs w:val="1"/>
                <w:color w:val="FFFFFF"/>
              </w:rPr>
              <w:t>Sep 22</w:t>
            </w:r>
          </w:p>
        </w:tc>
        <w:tc>
          <w:tcPr>
            <w:tcW w:w="840" w:type="dxa"/>
            <w:vAlign w:val="bottom"/>
            <w:tcBorders>
              <w:bottom w:val="single" w:sz="8" w:color="auto"/>
              <w:right w:val="single" w:sz="8" w:color="auto"/>
            </w:tcBorders>
            <w:shd w:val="clear" w:color="auto" w:fill="2AD2C9"/>
          </w:tcPr>
          <w:p>
            <w:pPr>
              <w:jc w:val="right"/>
              <w:ind w:right="139"/>
              <w:spacing w:after="0"/>
              <w:rPr>
                <w:sz w:val="20"/>
                <w:szCs w:val="20"/>
                <w:color w:val="auto"/>
              </w:rPr>
            </w:pPr>
            <w:r>
              <w:rPr>
                <w:rFonts w:ascii="Arial" w:cs="Arial" w:eastAsia="Arial" w:hAnsi="Arial"/>
                <w:sz w:val="16"/>
                <w:szCs w:val="16"/>
                <w:b w:val="1"/>
                <w:bCs w:val="1"/>
                <w:color w:val="FFFFFF"/>
              </w:rPr>
              <w:t>Sep 23</w:t>
            </w:r>
          </w:p>
        </w:tc>
        <w:tc>
          <w:tcPr>
            <w:tcW w:w="114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6"/>
                <w:szCs w:val="16"/>
                <w:b w:val="1"/>
                <w:bCs w:val="1"/>
                <w:color w:val="FFFFFF"/>
              </w:rPr>
              <w:t>Sep23 / Sep22</w:t>
            </w:r>
          </w:p>
        </w:tc>
        <w:tc>
          <w:tcPr>
            <w:tcW w:w="0" w:type="dxa"/>
            <w:vAlign w:val="bottom"/>
          </w:tcPr>
          <w:p>
            <w:pPr>
              <w:spacing w:after="0"/>
              <w:rPr>
                <w:sz w:val="1"/>
                <w:szCs w:val="1"/>
                <w:color w:val="auto"/>
              </w:rPr>
            </w:pPr>
          </w:p>
        </w:tc>
      </w:tr>
      <w:tr>
        <w:trPr>
          <w:trHeight w:val="165"/>
        </w:trPr>
        <w:tc>
          <w:tcPr>
            <w:tcW w:w="1040" w:type="dxa"/>
            <w:vAlign w:val="bottom"/>
            <w:tcBorders>
              <w:left w:val="single" w:sz="8" w:color="auto"/>
              <w:right w:val="single" w:sz="8" w:color="auto"/>
            </w:tcBorders>
          </w:tcPr>
          <w:p>
            <w:pPr>
              <w:spacing w:after="0"/>
              <w:rPr>
                <w:sz w:val="14"/>
                <w:szCs w:val="14"/>
                <w:color w:val="auto"/>
              </w:rPr>
            </w:pPr>
          </w:p>
        </w:tc>
        <w:tc>
          <w:tcPr>
            <w:tcW w:w="2700" w:type="dxa"/>
            <w:vAlign w:val="bottom"/>
            <w:tcBorders>
              <w:right w:val="single" w:sz="8" w:color="auto"/>
            </w:tcBorders>
          </w:tcPr>
          <w:p>
            <w:pPr>
              <w:spacing w:after="0" w:line="165" w:lineRule="exact"/>
              <w:rPr>
                <w:sz w:val="20"/>
                <w:szCs w:val="20"/>
                <w:color w:val="auto"/>
              </w:rPr>
            </w:pPr>
            <w:r>
              <w:rPr>
                <w:rFonts w:ascii="Arial" w:cs="Arial" w:eastAsia="Arial" w:hAnsi="Arial"/>
                <w:sz w:val="16"/>
                <w:szCs w:val="16"/>
                <w:color w:val="auto"/>
              </w:rPr>
              <w:t>Income from Insurance Services</w:t>
            </w:r>
          </w:p>
        </w:tc>
        <w:tc>
          <w:tcPr>
            <w:tcW w:w="980" w:type="dxa"/>
            <w:vAlign w:val="bottom"/>
          </w:tcPr>
          <w:p>
            <w:pPr>
              <w:jc w:val="right"/>
              <w:ind w:right="19"/>
              <w:spacing w:after="0" w:line="165" w:lineRule="exact"/>
              <w:rPr>
                <w:sz w:val="20"/>
                <w:szCs w:val="20"/>
                <w:color w:val="auto"/>
              </w:rPr>
            </w:pPr>
            <w:r>
              <w:rPr>
                <w:rFonts w:ascii="Arial" w:cs="Arial" w:eastAsia="Arial" w:hAnsi="Arial"/>
                <w:sz w:val="16"/>
                <w:szCs w:val="16"/>
                <w:color w:val="auto"/>
              </w:rPr>
              <w:t>885.5</w:t>
            </w:r>
          </w:p>
        </w:tc>
        <w:tc>
          <w:tcPr>
            <w:tcW w:w="960" w:type="dxa"/>
            <w:vAlign w:val="bottom"/>
          </w:tcPr>
          <w:p>
            <w:pPr>
              <w:jc w:val="right"/>
              <w:ind w:right="38"/>
              <w:spacing w:after="0" w:line="165" w:lineRule="exact"/>
              <w:rPr>
                <w:sz w:val="20"/>
                <w:szCs w:val="20"/>
                <w:color w:val="auto"/>
              </w:rPr>
            </w:pPr>
            <w:r>
              <w:rPr>
                <w:rFonts w:ascii="Arial" w:cs="Arial" w:eastAsia="Arial" w:hAnsi="Arial"/>
                <w:sz w:val="16"/>
                <w:szCs w:val="16"/>
                <w:color w:val="auto"/>
              </w:rPr>
              <w:t>945.9</w:t>
            </w:r>
          </w:p>
        </w:tc>
        <w:tc>
          <w:tcPr>
            <w:tcW w:w="820" w:type="dxa"/>
            <w:vAlign w:val="bottom"/>
            <w:tcBorders>
              <w:right w:val="single" w:sz="8" w:color="auto"/>
            </w:tcBorders>
          </w:tcPr>
          <w:p>
            <w:pPr>
              <w:jc w:val="right"/>
              <w:spacing w:after="0" w:line="165" w:lineRule="exact"/>
              <w:rPr>
                <w:sz w:val="20"/>
                <w:szCs w:val="20"/>
                <w:color w:val="auto"/>
              </w:rPr>
            </w:pPr>
            <w:r>
              <w:rPr>
                <w:rFonts w:ascii="Arial" w:cs="Arial" w:eastAsia="Arial" w:hAnsi="Arial"/>
                <w:sz w:val="16"/>
                <w:szCs w:val="16"/>
                <w:color w:val="auto"/>
              </w:rPr>
              <w:t>923.7</w:t>
            </w:r>
          </w:p>
        </w:tc>
        <w:tc>
          <w:tcPr>
            <w:tcW w:w="880" w:type="dxa"/>
            <w:vAlign w:val="bottom"/>
          </w:tcPr>
          <w:p>
            <w:pPr>
              <w:jc w:val="center"/>
              <w:spacing w:after="0" w:line="165" w:lineRule="exact"/>
              <w:rPr>
                <w:sz w:val="20"/>
                <w:szCs w:val="20"/>
                <w:color w:val="auto"/>
              </w:rPr>
            </w:pPr>
            <w:r>
              <w:rPr>
                <w:rFonts w:ascii="Arial" w:cs="Arial" w:eastAsia="Arial" w:hAnsi="Arial"/>
                <w:sz w:val="16"/>
                <w:szCs w:val="16"/>
                <w:color w:val="auto"/>
              </w:rPr>
              <w:t>-2.3%</w:t>
            </w:r>
          </w:p>
        </w:tc>
        <w:tc>
          <w:tcPr>
            <w:tcW w:w="94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6"/>
                <w:szCs w:val="16"/>
                <w:color w:val="auto"/>
              </w:rPr>
              <w:t>4.3%</w:t>
            </w:r>
          </w:p>
        </w:tc>
        <w:tc>
          <w:tcPr>
            <w:tcW w:w="960" w:type="dxa"/>
            <w:vAlign w:val="bottom"/>
          </w:tcPr>
          <w:p>
            <w:pPr>
              <w:jc w:val="right"/>
              <w:ind w:right="18"/>
              <w:spacing w:after="0" w:line="165" w:lineRule="exact"/>
              <w:rPr>
                <w:sz w:val="20"/>
                <w:szCs w:val="20"/>
                <w:color w:val="auto"/>
              </w:rPr>
            </w:pPr>
            <w:r>
              <w:rPr>
                <w:rFonts w:ascii="Arial" w:cs="Arial" w:eastAsia="Arial" w:hAnsi="Arial"/>
                <w:sz w:val="16"/>
                <w:szCs w:val="16"/>
                <w:color w:val="auto"/>
              </w:rPr>
              <w:t>2,558.7</w:t>
            </w:r>
          </w:p>
        </w:tc>
        <w:tc>
          <w:tcPr>
            <w:tcW w:w="840" w:type="dxa"/>
            <w:vAlign w:val="bottom"/>
            <w:tcBorders>
              <w:right w:val="single" w:sz="8" w:color="auto"/>
            </w:tcBorders>
          </w:tcPr>
          <w:p>
            <w:pPr>
              <w:jc w:val="right"/>
              <w:spacing w:after="0" w:line="165" w:lineRule="exact"/>
              <w:rPr>
                <w:sz w:val="20"/>
                <w:szCs w:val="20"/>
                <w:color w:val="auto"/>
              </w:rPr>
            </w:pPr>
            <w:r>
              <w:rPr>
                <w:rFonts w:ascii="Arial" w:cs="Arial" w:eastAsia="Arial" w:hAnsi="Arial"/>
                <w:sz w:val="16"/>
                <w:szCs w:val="16"/>
                <w:color w:val="auto"/>
              </w:rPr>
              <w:t>2,823.5</w:t>
            </w:r>
          </w:p>
        </w:tc>
        <w:tc>
          <w:tcPr>
            <w:tcW w:w="114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185"/>
        </w:trPr>
        <w:tc>
          <w:tcPr>
            <w:tcW w:w="10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5"/>
              </w:rPr>
              <w:t>Total</w:t>
            </w:r>
          </w:p>
        </w:tc>
        <w:tc>
          <w:tcPr>
            <w:tcW w:w="27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Expenses for Insurance Services</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(496.4)</w:t>
            </w:r>
          </w:p>
        </w:tc>
        <w:tc>
          <w:tcPr>
            <w:tcW w:w="960" w:type="dxa"/>
            <w:vAlign w:val="bottom"/>
          </w:tcPr>
          <w:p>
            <w:pPr>
              <w:jc w:val="right"/>
              <w:ind w:right="38"/>
              <w:spacing w:after="0"/>
              <w:rPr>
                <w:sz w:val="20"/>
                <w:szCs w:val="20"/>
                <w:color w:val="auto"/>
              </w:rPr>
            </w:pPr>
            <w:r>
              <w:rPr>
                <w:rFonts w:ascii="Arial" w:cs="Arial" w:eastAsia="Arial" w:hAnsi="Arial"/>
                <w:sz w:val="16"/>
                <w:szCs w:val="16"/>
                <w:color w:val="auto"/>
              </w:rPr>
              <w:t>(550.4)</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(505.4)</w:t>
            </w:r>
          </w:p>
        </w:tc>
        <w:tc>
          <w:tcPr>
            <w:tcW w:w="880" w:type="dxa"/>
            <w:vAlign w:val="bottom"/>
          </w:tcPr>
          <w:p>
            <w:pPr>
              <w:jc w:val="center"/>
              <w:spacing w:after="0"/>
              <w:rPr>
                <w:sz w:val="20"/>
                <w:szCs w:val="20"/>
                <w:color w:val="auto"/>
              </w:rPr>
            </w:pPr>
            <w:r>
              <w:rPr>
                <w:rFonts w:ascii="Arial" w:cs="Arial" w:eastAsia="Arial" w:hAnsi="Arial"/>
                <w:sz w:val="16"/>
                <w:szCs w:val="16"/>
                <w:color w:val="auto"/>
              </w:rPr>
              <w:t>-8.2%</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1.8%</w:t>
            </w:r>
          </w:p>
        </w:tc>
        <w:tc>
          <w:tcPr>
            <w:tcW w:w="960" w:type="dxa"/>
            <w:vAlign w:val="bottom"/>
          </w:tcPr>
          <w:p>
            <w:pPr>
              <w:jc w:val="right"/>
              <w:ind w:right="18"/>
              <w:spacing w:after="0"/>
              <w:rPr>
                <w:sz w:val="20"/>
                <w:szCs w:val="20"/>
                <w:color w:val="auto"/>
              </w:rPr>
            </w:pPr>
            <w:r>
              <w:rPr>
                <w:rFonts w:ascii="Arial" w:cs="Arial" w:eastAsia="Arial" w:hAnsi="Arial"/>
                <w:sz w:val="16"/>
                <w:szCs w:val="16"/>
                <w:color w:val="auto"/>
              </w:rPr>
              <w:t>(1,540.8)</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(1,601.0)</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110"/>
        </w:trPr>
        <w:tc>
          <w:tcPr>
            <w:tcW w:w="1040" w:type="dxa"/>
            <w:vAlign w:val="bottom"/>
            <w:tcBorders>
              <w:left w:val="single" w:sz="8" w:color="auto"/>
              <w:right w:val="single" w:sz="8" w:color="auto"/>
            </w:tcBorders>
            <w:vMerge w:val="continue"/>
          </w:tcPr>
          <w:p>
            <w:pPr>
              <w:spacing w:after="0"/>
              <w:rPr>
                <w:sz w:val="9"/>
                <w:szCs w:val="9"/>
                <w:color w:val="auto"/>
              </w:rPr>
            </w:pPr>
          </w:p>
        </w:tc>
        <w:tc>
          <w:tcPr>
            <w:tcW w:w="2700" w:type="dxa"/>
            <w:vAlign w:val="bottom"/>
            <w:tcBorders>
              <w:right w:val="single" w:sz="8" w:color="auto"/>
            </w:tcBorders>
            <w:vMerge w:val="restart"/>
          </w:tcPr>
          <w:p>
            <w:pPr>
              <w:spacing w:after="0" w:line="178" w:lineRule="exact"/>
              <w:rPr>
                <w:sz w:val="20"/>
                <w:szCs w:val="20"/>
                <w:color w:val="auto"/>
              </w:rPr>
            </w:pPr>
            <w:r>
              <w:rPr>
                <w:rFonts w:ascii="Arial" w:cs="Arial" w:eastAsia="Arial" w:hAnsi="Arial"/>
                <w:sz w:val="16"/>
                <w:szCs w:val="16"/>
                <w:color w:val="auto"/>
              </w:rPr>
              <w:t>Reinsurance Results</w:t>
            </w:r>
          </w:p>
        </w:tc>
        <w:tc>
          <w:tcPr>
            <w:tcW w:w="980" w:type="dxa"/>
            <w:vAlign w:val="bottom"/>
            <w:vMerge w:val="restart"/>
          </w:tcPr>
          <w:p>
            <w:pPr>
              <w:jc w:val="right"/>
              <w:ind w:right="19"/>
              <w:spacing w:after="0" w:line="178" w:lineRule="exact"/>
              <w:rPr>
                <w:sz w:val="20"/>
                <w:szCs w:val="20"/>
                <w:color w:val="auto"/>
              </w:rPr>
            </w:pPr>
            <w:r>
              <w:rPr>
                <w:rFonts w:ascii="Arial" w:cs="Arial" w:eastAsia="Arial" w:hAnsi="Arial"/>
                <w:sz w:val="16"/>
                <w:szCs w:val="16"/>
                <w:color w:val="auto"/>
              </w:rPr>
              <w:t>(85.3)</w:t>
            </w:r>
          </w:p>
        </w:tc>
        <w:tc>
          <w:tcPr>
            <w:tcW w:w="960" w:type="dxa"/>
            <w:vAlign w:val="bottom"/>
            <w:vMerge w:val="restart"/>
          </w:tcPr>
          <w:p>
            <w:pPr>
              <w:jc w:val="right"/>
              <w:ind w:right="58"/>
              <w:spacing w:after="0" w:line="178" w:lineRule="exact"/>
              <w:rPr>
                <w:sz w:val="20"/>
                <w:szCs w:val="20"/>
                <w:color w:val="auto"/>
              </w:rPr>
            </w:pPr>
            <w:r>
              <w:rPr>
                <w:rFonts w:ascii="Arial" w:cs="Arial" w:eastAsia="Arial" w:hAnsi="Arial"/>
                <w:sz w:val="16"/>
                <w:szCs w:val="16"/>
                <w:color w:val="auto"/>
              </w:rPr>
              <w:t>(98.9)</w:t>
            </w:r>
          </w:p>
        </w:tc>
        <w:tc>
          <w:tcPr>
            <w:tcW w:w="820" w:type="dxa"/>
            <w:vAlign w:val="bottom"/>
            <w:tcBorders>
              <w:right w:val="single" w:sz="8" w:color="auto"/>
            </w:tcBorders>
            <w:vMerge w:val="restart"/>
          </w:tcPr>
          <w:p>
            <w:pPr>
              <w:jc w:val="right"/>
              <w:spacing w:after="0" w:line="178" w:lineRule="exact"/>
              <w:rPr>
                <w:sz w:val="20"/>
                <w:szCs w:val="20"/>
                <w:color w:val="auto"/>
              </w:rPr>
            </w:pPr>
            <w:r>
              <w:rPr>
                <w:rFonts w:ascii="Arial" w:cs="Arial" w:eastAsia="Arial" w:hAnsi="Arial"/>
                <w:sz w:val="16"/>
                <w:szCs w:val="16"/>
                <w:color w:val="auto"/>
              </w:rPr>
              <w:t>(87.4)</w:t>
            </w:r>
          </w:p>
        </w:tc>
        <w:tc>
          <w:tcPr>
            <w:tcW w:w="880" w:type="dxa"/>
            <w:vAlign w:val="bottom"/>
            <w:vMerge w:val="restart"/>
          </w:tcPr>
          <w:p>
            <w:pPr>
              <w:jc w:val="center"/>
              <w:spacing w:after="0" w:line="178" w:lineRule="exact"/>
              <w:rPr>
                <w:sz w:val="20"/>
                <w:szCs w:val="20"/>
                <w:color w:val="auto"/>
              </w:rPr>
            </w:pPr>
            <w:r>
              <w:rPr>
                <w:rFonts w:ascii="Arial" w:cs="Arial" w:eastAsia="Arial" w:hAnsi="Arial"/>
                <w:sz w:val="16"/>
                <w:szCs w:val="16"/>
                <w:color w:val="auto"/>
                <w:w w:val="98"/>
              </w:rPr>
              <w:t>-11.7%</w:t>
            </w:r>
          </w:p>
        </w:tc>
        <w:tc>
          <w:tcPr>
            <w:tcW w:w="940" w:type="dxa"/>
            <w:vAlign w:val="bottom"/>
            <w:tcBorders>
              <w:right w:val="single" w:sz="8" w:color="auto"/>
            </w:tcBorders>
            <w:vMerge w:val="restart"/>
          </w:tcPr>
          <w:p>
            <w:pPr>
              <w:jc w:val="center"/>
              <w:spacing w:after="0" w:line="178" w:lineRule="exact"/>
              <w:rPr>
                <w:sz w:val="20"/>
                <w:szCs w:val="20"/>
                <w:color w:val="auto"/>
              </w:rPr>
            </w:pPr>
            <w:r>
              <w:rPr>
                <w:rFonts w:ascii="Arial" w:cs="Arial" w:eastAsia="Arial" w:hAnsi="Arial"/>
                <w:sz w:val="16"/>
                <w:szCs w:val="16"/>
                <w:color w:val="auto"/>
              </w:rPr>
              <w:t>2.4%</w:t>
            </w:r>
          </w:p>
        </w:tc>
        <w:tc>
          <w:tcPr>
            <w:tcW w:w="960" w:type="dxa"/>
            <w:vAlign w:val="bottom"/>
            <w:vMerge w:val="restart"/>
          </w:tcPr>
          <w:p>
            <w:pPr>
              <w:jc w:val="right"/>
              <w:ind w:right="18"/>
              <w:spacing w:after="0" w:line="178" w:lineRule="exact"/>
              <w:rPr>
                <w:sz w:val="20"/>
                <w:szCs w:val="20"/>
                <w:color w:val="auto"/>
              </w:rPr>
            </w:pPr>
            <w:r>
              <w:rPr>
                <w:rFonts w:ascii="Arial" w:cs="Arial" w:eastAsia="Arial" w:hAnsi="Arial"/>
                <w:sz w:val="16"/>
                <w:szCs w:val="16"/>
                <w:color w:val="auto"/>
              </w:rPr>
              <w:t>(313.2)</w:t>
            </w:r>
          </w:p>
        </w:tc>
        <w:tc>
          <w:tcPr>
            <w:tcW w:w="840" w:type="dxa"/>
            <w:vAlign w:val="bottom"/>
            <w:tcBorders>
              <w:right w:val="single" w:sz="8" w:color="auto"/>
            </w:tcBorders>
            <w:vMerge w:val="restart"/>
          </w:tcPr>
          <w:p>
            <w:pPr>
              <w:jc w:val="right"/>
              <w:spacing w:after="0" w:line="178" w:lineRule="exact"/>
              <w:rPr>
                <w:sz w:val="20"/>
                <w:szCs w:val="20"/>
                <w:color w:val="auto"/>
              </w:rPr>
            </w:pPr>
            <w:r>
              <w:rPr>
                <w:rFonts w:ascii="Arial" w:cs="Arial" w:eastAsia="Arial" w:hAnsi="Arial"/>
                <w:sz w:val="16"/>
                <w:szCs w:val="16"/>
                <w:color w:val="auto"/>
              </w:rPr>
              <w:t>(298.7)</w:t>
            </w:r>
          </w:p>
        </w:tc>
        <w:tc>
          <w:tcPr>
            <w:tcW w:w="1140" w:type="dxa"/>
            <w:vAlign w:val="bottom"/>
            <w:tcBorders>
              <w:right w:val="single" w:sz="8" w:color="auto"/>
            </w:tcBorders>
            <w:vMerge w:val="restart"/>
          </w:tcPr>
          <w:p>
            <w:pPr>
              <w:jc w:val="center"/>
              <w:spacing w:after="0" w:line="178" w:lineRule="exact"/>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67"/>
        </w:trPr>
        <w:tc>
          <w:tcPr>
            <w:tcW w:w="1040" w:type="dxa"/>
            <w:vAlign w:val="bottom"/>
            <w:tcBorders>
              <w:left w:val="single" w:sz="8" w:color="auto"/>
              <w:right w:val="single" w:sz="8" w:color="auto"/>
            </w:tcBorders>
          </w:tcPr>
          <w:p>
            <w:pPr>
              <w:spacing w:after="0"/>
              <w:rPr>
                <w:sz w:val="5"/>
                <w:szCs w:val="5"/>
                <w:color w:val="auto"/>
              </w:rPr>
            </w:pPr>
          </w:p>
        </w:tc>
        <w:tc>
          <w:tcPr>
            <w:tcW w:w="2700" w:type="dxa"/>
            <w:vAlign w:val="bottom"/>
            <w:tcBorders>
              <w:right w:val="single" w:sz="8" w:color="auto"/>
            </w:tcBorders>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820" w:type="dxa"/>
            <w:vAlign w:val="bottom"/>
            <w:tcBorders>
              <w:right w:val="single" w:sz="8" w:color="auto"/>
            </w:tcBorders>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940" w:type="dxa"/>
            <w:vAlign w:val="bottom"/>
            <w:tcBorders>
              <w:right w:val="single" w:sz="8" w:color="auto"/>
            </w:tcBorders>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840" w:type="dxa"/>
            <w:vAlign w:val="bottom"/>
            <w:tcBorders>
              <w:right w:val="single" w:sz="8" w:color="auto"/>
            </w:tcBorders>
            <w:vMerge w:val="continue"/>
          </w:tcPr>
          <w:p>
            <w:pPr>
              <w:spacing w:after="0"/>
              <w:rPr>
                <w:sz w:val="5"/>
                <w:szCs w:val="5"/>
                <w:color w:val="auto"/>
              </w:rPr>
            </w:pPr>
          </w:p>
        </w:tc>
        <w:tc>
          <w:tcPr>
            <w:tcW w:w="114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1040" w:type="dxa"/>
            <w:vAlign w:val="bottom"/>
            <w:tcBorders>
              <w:left w:val="single" w:sz="8" w:color="auto"/>
              <w:bottom w:val="single" w:sz="8" w:color="auto"/>
              <w:right w:val="single" w:sz="8" w:color="auto"/>
            </w:tcBorders>
          </w:tcPr>
          <w:p>
            <w:pPr>
              <w:spacing w:after="0"/>
              <w:rPr>
                <w:sz w:val="17"/>
                <w:szCs w:val="17"/>
                <w:color w:val="auto"/>
              </w:rPr>
            </w:pPr>
          </w:p>
        </w:tc>
        <w:tc>
          <w:tcPr>
            <w:tcW w:w="2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b w:val="1"/>
                <w:bCs w:val="1"/>
                <w:color w:val="auto"/>
              </w:rPr>
              <w:t>Insurance Undewrwriting Result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303.8</w:t>
            </w:r>
          </w:p>
        </w:tc>
        <w:tc>
          <w:tcPr>
            <w:tcW w:w="96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b w:val="1"/>
                <w:bCs w:val="1"/>
                <w:color w:val="auto"/>
              </w:rPr>
              <w:t>296.6</w:t>
            </w:r>
          </w:p>
        </w:tc>
        <w:tc>
          <w:tcPr>
            <w:tcW w:w="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330.9</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11.6%</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8.9%</w:t>
            </w:r>
          </w:p>
        </w:tc>
        <w:tc>
          <w:tcPr>
            <w:tcW w:w="96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b w:val="1"/>
                <w:bCs w:val="1"/>
                <w:color w:val="auto"/>
              </w:rPr>
              <w:t>704.6</w:t>
            </w: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923.8</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31.1%</w:t>
            </w:r>
          </w:p>
        </w:tc>
        <w:tc>
          <w:tcPr>
            <w:tcW w:w="0" w:type="dxa"/>
            <w:vAlign w:val="bottom"/>
          </w:tcPr>
          <w:p>
            <w:pPr>
              <w:spacing w:after="0"/>
              <w:rPr>
                <w:sz w:val="1"/>
                <w:szCs w:val="1"/>
                <w:color w:val="auto"/>
              </w:rPr>
            </w:pPr>
          </w:p>
        </w:tc>
      </w:tr>
      <w:tr>
        <w:trPr>
          <w:trHeight w:val="165"/>
        </w:trPr>
        <w:tc>
          <w:tcPr>
            <w:tcW w:w="1040" w:type="dxa"/>
            <w:vAlign w:val="bottom"/>
            <w:tcBorders>
              <w:left w:val="single" w:sz="8" w:color="auto"/>
              <w:right w:val="single" w:sz="8" w:color="auto"/>
            </w:tcBorders>
          </w:tcPr>
          <w:p>
            <w:pPr>
              <w:spacing w:after="0"/>
              <w:rPr>
                <w:sz w:val="14"/>
                <w:szCs w:val="14"/>
                <w:color w:val="auto"/>
              </w:rPr>
            </w:pPr>
          </w:p>
        </w:tc>
        <w:tc>
          <w:tcPr>
            <w:tcW w:w="2700" w:type="dxa"/>
            <w:vAlign w:val="bottom"/>
            <w:tcBorders>
              <w:right w:val="single" w:sz="8" w:color="auto"/>
            </w:tcBorders>
          </w:tcPr>
          <w:p>
            <w:pPr>
              <w:spacing w:after="0" w:line="165" w:lineRule="exact"/>
              <w:rPr>
                <w:sz w:val="20"/>
                <w:szCs w:val="20"/>
                <w:color w:val="auto"/>
              </w:rPr>
            </w:pPr>
            <w:r>
              <w:rPr>
                <w:rFonts w:ascii="Arial" w:cs="Arial" w:eastAsia="Arial" w:hAnsi="Arial"/>
                <w:sz w:val="16"/>
                <w:szCs w:val="16"/>
                <w:color w:val="auto"/>
              </w:rPr>
              <w:t>Income from Insurance Services</w:t>
            </w:r>
          </w:p>
        </w:tc>
        <w:tc>
          <w:tcPr>
            <w:tcW w:w="980" w:type="dxa"/>
            <w:vAlign w:val="bottom"/>
          </w:tcPr>
          <w:p>
            <w:pPr>
              <w:jc w:val="right"/>
              <w:ind w:right="19"/>
              <w:spacing w:after="0" w:line="165" w:lineRule="exact"/>
              <w:rPr>
                <w:sz w:val="20"/>
                <w:szCs w:val="20"/>
                <w:color w:val="auto"/>
              </w:rPr>
            </w:pPr>
            <w:r>
              <w:rPr>
                <w:rFonts w:ascii="Arial" w:cs="Arial" w:eastAsia="Arial" w:hAnsi="Arial"/>
                <w:sz w:val="16"/>
                <w:szCs w:val="16"/>
                <w:color w:val="auto"/>
              </w:rPr>
              <w:t>397.4</w:t>
            </w:r>
          </w:p>
        </w:tc>
        <w:tc>
          <w:tcPr>
            <w:tcW w:w="960" w:type="dxa"/>
            <w:vAlign w:val="bottom"/>
          </w:tcPr>
          <w:p>
            <w:pPr>
              <w:jc w:val="right"/>
              <w:ind w:right="38"/>
              <w:spacing w:after="0" w:line="165" w:lineRule="exact"/>
              <w:rPr>
                <w:sz w:val="20"/>
                <w:szCs w:val="20"/>
                <w:color w:val="auto"/>
              </w:rPr>
            </w:pPr>
            <w:r>
              <w:rPr>
                <w:rFonts w:ascii="Arial" w:cs="Arial" w:eastAsia="Arial" w:hAnsi="Arial"/>
                <w:sz w:val="16"/>
                <w:szCs w:val="16"/>
                <w:color w:val="auto"/>
              </w:rPr>
              <w:t>427.0</w:t>
            </w:r>
          </w:p>
        </w:tc>
        <w:tc>
          <w:tcPr>
            <w:tcW w:w="820" w:type="dxa"/>
            <w:vAlign w:val="bottom"/>
            <w:tcBorders>
              <w:right w:val="single" w:sz="8" w:color="auto"/>
            </w:tcBorders>
          </w:tcPr>
          <w:p>
            <w:pPr>
              <w:jc w:val="right"/>
              <w:spacing w:after="0" w:line="165" w:lineRule="exact"/>
              <w:rPr>
                <w:sz w:val="20"/>
                <w:szCs w:val="20"/>
                <w:color w:val="auto"/>
              </w:rPr>
            </w:pPr>
            <w:r>
              <w:rPr>
                <w:rFonts w:ascii="Arial" w:cs="Arial" w:eastAsia="Arial" w:hAnsi="Arial"/>
                <w:sz w:val="16"/>
                <w:szCs w:val="16"/>
                <w:color w:val="auto"/>
              </w:rPr>
              <w:t>404.6</w:t>
            </w:r>
          </w:p>
        </w:tc>
        <w:tc>
          <w:tcPr>
            <w:tcW w:w="880" w:type="dxa"/>
            <w:vAlign w:val="bottom"/>
          </w:tcPr>
          <w:p>
            <w:pPr>
              <w:jc w:val="center"/>
              <w:spacing w:after="0" w:line="165" w:lineRule="exact"/>
              <w:rPr>
                <w:sz w:val="20"/>
                <w:szCs w:val="20"/>
                <w:color w:val="auto"/>
              </w:rPr>
            </w:pPr>
            <w:r>
              <w:rPr>
                <w:rFonts w:ascii="Arial" w:cs="Arial" w:eastAsia="Arial" w:hAnsi="Arial"/>
                <w:sz w:val="16"/>
                <w:szCs w:val="16"/>
                <w:color w:val="auto"/>
              </w:rPr>
              <w:t>-5.2%</w:t>
            </w:r>
          </w:p>
        </w:tc>
        <w:tc>
          <w:tcPr>
            <w:tcW w:w="94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6"/>
                <w:szCs w:val="16"/>
                <w:color w:val="auto"/>
              </w:rPr>
              <w:t>1.8%</w:t>
            </w:r>
          </w:p>
        </w:tc>
        <w:tc>
          <w:tcPr>
            <w:tcW w:w="960" w:type="dxa"/>
            <w:vAlign w:val="bottom"/>
          </w:tcPr>
          <w:p>
            <w:pPr>
              <w:jc w:val="right"/>
              <w:ind w:right="18"/>
              <w:spacing w:after="0" w:line="165" w:lineRule="exact"/>
              <w:rPr>
                <w:sz w:val="20"/>
                <w:szCs w:val="20"/>
                <w:color w:val="auto"/>
              </w:rPr>
            </w:pPr>
            <w:r>
              <w:rPr>
                <w:rFonts w:ascii="Arial" w:cs="Arial" w:eastAsia="Arial" w:hAnsi="Arial"/>
                <w:sz w:val="16"/>
                <w:szCs w:val="16"/>
                <w:color w:val="auto"/>
              </w:rPr>
              <w:t>1,232.1</w:t>
            </w:r>
          </w:p>
        </w:tc>
        <w:tc>
          <w:tcPr>
            <w:tcW w:w="840" w:type="dxa"/>
            <w:vAlign w:val="bottom"/>
            <w:tcBorders>
              <w:right w:val="single" w:sz="8" w:color="auto"/>
            </w:tcBorders>
          </w:tcPr>
          <w:p>
            <w:pPr>
              <w:jc w:val="right"/>
              <w:spacing w:after="0" w:line="165" w:lineRule="exact"/>
              <w:rPr>
                <w:sz w:val="20"/>
                <w:szCs w:val="20"/>
                <w:color w:val="auto"/>
              </w:rPr>
            </w:pPr>
            <w:r>
              <w:rPr>
                <w:rFonts w:ascii="Arial" w:cs="Arial" w:eastAsia="Arial" w:hAnsi="Arial"/>
                <w:sz w:val="16"/>
                <w:szCs w:val="16"/>
                <w:color w:val="auto"/>
              </w:rPr>
              <w:t>1,244.9</w:t>
            </w:r>
          </w:p>
        </w:tc>
        <w:tc>
          <w:tcPr>
            <w:tcW w:w="114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85"/>
        </w:trPr>
        <w:tc>
          <w:tcPr>
            <w:tcW w:w="10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rPr>
              <w:t>P&amp;C</w:t>
            </w:r>
          </w:p>
        </w:tc>
        <w:tc>
          <w:tcPr>
            <w:tcW w:w="27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Expenses for Insurance Services</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(241.2)</w:t>
            </w:r>
          </w:p>
        </w:tc>
        <w:tc>
          <w:tcPr>
            <w:tcW w:w="960" w:type="dxa"/>
            <w:vAlign w:val="bottom"/>
          </w:tcPr>
          <w:p>
            <w:pPr>
              <w:jc w:val="right"/>
              <w:ind w:right="38"/>
              <w:spacing w:after="0"/>
              <w:rPr>
                <w:sz w:val="20"/>
                <w:szCs w:val="20"/>
                <w:color w:val="auto"/>
              </w:rPr>
            </w:pPr>
            <w:r>
              <w:rPr>
                <w:rFonts w:ascii="Arial" w:cs="Arial" w:eastAsia="Arial" w:hAnsi="Arial"/>
                <w:sz w:val="16"/>
                <w:szCs w:val="16"/>
                <w:color w:val="auto"/>
              </w:rPr>
              <w:t>(274.1)</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(256.2)</w:t>
            </w:r>
          </w:p>
        </w:tc>
        <w:tc>
          <w:tcPr>
            <w:tcW w:w="880" w:type="dxa"/>
            <w:vAlign w:val="bottom"/>
          </w:tcPr>
          <w:p>
            <w:pPr>
              <w:jc w:val="center"/>
              <w:spacing w:after="0"/>
              <w:rPr>
                <w:sz w:val="20"/>
                <w:szCs w:val="20"/>
                <w:color w:val="auto"/>
              </w:rPr>
            </w:pPr>
            <w:r>
              <w:rPr>
                <w:rFonts w:ascii="Arial" w:cs="Arial" w:eastAsia="Arial" w:hAnsi="Arial"/>
                <w:sz w:val="16"/>
                <w:szCs w:val="16"/>
                <w:color w:val="auto"/>
              </w:rPr>
              <w:t>-6.6%</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6.2%</w:t>
            </w:r>
          </w:p>
        </w:tc>
        <w:tc>
          <w:tcPr>
            <w:tcW w:w="960" w:type="dxa"/>
            <w:vAlign w:val="bottom"/>
          </w:tcPr>
          <w:p>
            <w:pPr>
              <w:jc w:val="right"/>
              <w:ind w:right="18"/>
              <w:spacing w:after="0"/>
              <w:rPr>
                <w:sz w:val="20"/>
                <w:szCs w:val="20"/>
                <w:color w:val="auto"/>
              </w:rPr>
            </w:pPr>
            <w:r>
              <w:rPr>
                <w:rFonts w:ascii="Arial" w:cs="Arial" w:eastAsia="Arial" w:hAnsi="Arial"/>
                <w:sz w:val="16"/>
                <w:szCs w:val="16"/>
                <w:color w:val="auto"/>
              </w:rPr>
              <w:t>(698.5)</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(816.4)</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110"/>
        </w:trPr>
        <w:tc>
          <w:tcPr>
            <w:tcW w:w="1040" w:type="dxa"/>
            <w:vAlign w:val="bottom"/>
            <w:tcBorders>
              <w:left w:val="single" w:sz="8" w:color="auto"/>
              <w:right w:val="single" w:sz="8" w:color="auto"/>
            </w:tcBorders>
            <w:vMerge w:val="continue"/>
          </w:tcPr>
          <w:p>
            <w:pPr>
              <w:spacing w:after="0"/>
              <w:rPr>
                <w:sz w:val="9"/>
                <w:szCs w:val="9"/>
                <w:color w:val="auto"/>
              </w:rPr>
            </w:pPr>
          </w:p>
        </w:tc>
        <w:tc>
          <w:tcPr>
            <w:tcW w:w="2700" w:type="dxa"/>
            <w:vAlign w:val="bottom"/>
            <w:tcBorders>
              <w:right w:val="single" w:sz="8" w:color="auto"/>
            </w:tcBorders>
            <w:vMerge w:val="restart"/>
          </w:tcPr>
          <w:p>
            <w:pPr>
              <w:spacing w:after="0" w:line="178" w:lineRule="exact"/>
              <w:rPr>
                <w:sz w:val="20"/>
                <w:szCs w:val="20"/>
                <w:color w:val="auto"/>
              </w:rPr>
            </w:pPr>
            <w:r>
              <w:rPr>
                <w:rFonts w:ascii="Arial" w:cs="Arial" w:eastAsia="Arial" w:hAnsi="Arial"/>
                <w:sz w:val="16"/>
                <w:szCs w:val="16"/>
                <w:color w:val="auto"/>
              </w:rPr>
              <w:t>Reinsurance Results</w:t>
            </w:r>
          </w:p>
        </w:tc>
        <w:tc>
          <w:tcPr>
            <w:tcW w:w="980" w:type="dxa"/>
            <w:vAlign w:val="bottom"/>
            <w:vMerge w:val="restart"/>
          </w:tcPr>
          <w:p>
            <w:pPr>
              <w:jc w:val="right"/>
              <w:ind w:right="19"/>
              <w:spacing w:after="0" w:line="178" w:lineRule="exact"/>
              <w:rPr>
                <w:sz w:val="20"/>
                <w:szCs w:val="20"/>
                <w:color w:val="auto"/>
              </w:rPr>
            </w:pPr>
            <w:r>
              <w:rPr>
                <w:rFonts w:ascii="Arial" w:cs="Arial" w:eastAsia="Arial" w:hAnsi="Arial"/>
                <w:sz w:val="16"/>
                <w:szCs w:val="16"/>
                <w:color w:val="auto"/>
              </w:rPr>
              <w:t>(76.9)</w:t>
            </w:r>
          </w:p>
        </w:tc>
        <w:tc>
          <w:tcPr>
            <w:tcW w:w="960" w:type="dxa"/>
            <w:vAlign w:val="bottom"/>
            <w:vMerge w:val="restart"/>
          </w:tcPr>
          <w:p>
            <w:pPr>
              <w:jc w:val="right"/>
              <w:ind w:right="58"/>
              <w:spacing w:after="0" w:line="178" w:lineRule="exact"/>
              <w:rPr>
                <w:sz w:val="20"/>
                <w:szCs w:val="20"/>
                <w:color w:val="auto"/>
              </w:rPr>
            </w:pPr>
            <w:r>
              <w:rPr>
                <w:rFonts w:ascii="Arial" w:cs="Arial" w:eastAsia="Arial" w:hAnsi="Arial"/>
                <w:sz w:val="16"/>
                <w:szCs w:val="16"/>
                <w:color w:val="auto"/>
              </w:rPr>
              <w:t>(69.2)</w:t>
            </w:r>
          </w:p>
        </w:tc>
        <w:tc>
          <w:tcPr>
            <w:tcW w:w="820" w:type="dxa"/>
            <w:vAlign w:val="bottom"/>
            <w:tcBorders>
              <w:right w:val="single" w:sz="8" w:color="auto"/>
            </w:tcBorders>
            <w:vMerge w:val="restart"/>
          </w:tcPr>
          <w:p>
            <w:pPr>
              <w:jc w:val="right"/>
              <w:spacing w:after="0" w:line="178" w:lineRule="exact"/>
              <w:rPr>
                <w:sz w:val="20"/>
                <w:szCs w:val="20"/>
                <w:color w:val="auto"/>
              </w:rPr>
            </w:pPr>
            <w:r>
              <w:rPr>
                <w:rFonts w:ascii="Arial" w:cs="Arial" w:eastAsia="Arial" w:hAnsi="Arial"/>
                <w:sz w:val="16"/>
                <w:szCs w:val="16"/>
                <w:color w:val="auto"/>
              </w:rPr>
              <w:t>(64.3)</w:t>
            </w:r>
          </w:p>
        </w:tc>
        <w:tc>
          <w:tcPr>
            <w:tcW w:w="880" w:type="dxa"/>
            <w:vAlign w:val="bottom"/>
            <w:vMerge w:val="restart"/>
          </w:tcPr>
          <w:p>
            <w:pPr>
              <w:jc w:val="center"/>
              <w:spacing w:after="0" w:line="178" w:lineRule="exact"/>
              <w:rPr>
                <w:sz w:val="20"/>
                <w:szCs w:val="20"/>
                <w:color w:val="auto"/>
              </w:rPr>
            </w:pPr>
            <w:r>
              <w:rPr>
                <w:rFonts w:ascii="Arial" w:cs="Arial" w:eastAsia="Arial" w:hAnsi="Arial"/>
                <w:sz w:val="16"/>
                <w:szCs w:val="16"/>
                <w:color w:val="auto"/>
              </w:rPr>
              <w:t>-7.1%</w:t>
            </w:r>
          </w:p>
        </w:tc>
        <w:tc>
          <w:tcPr>
            <w:tcW w:w="940" w:type="dxa"/>
            <w:vAlign w:val="bottom"/>
            <w:tcBorders>
              <w:right w:val="single" w:sz="8" w:color="auto"/>
            </w:tcBorders>
            <w:vMerge w:val="restart"/>
          </w:tcPr>
          <w:p>
            <w:pPr>
              <w:jc w:val="center"/>
              <w:spacing w:after="0" w:line="178" w:lineRule="exact"/>
              <w:rPr>
                <w:sz w:val="20"/>
                <w:szCs w:val="20"/>
                <w:color w:val="auto"/>
              </w:rPr>
            </w:pPr>
            <w:r>
              <w:rPr>
                <w:rFonts w:ascii="Arial" w:cs="Arial" w:eastAsia="Arial" w:hAnsi="Arial"/>
                <w:sz w:val="16"/>
                <w:szCs w:val="16"/>
                <w:color w:val="auto"/>
              </w:rPr>
              <w:t>-16.4%</w:t>
            </w:r>
          </w:p>
        </w:tc>
        <w:tc>
          <w:tcPr>
            <w:tcW w:w="960" w:type="dxa"/>
            <w:vAlign w:val="bottom"/>
            <w:vMerge w:val="restart"/>
          </w:tcPr>
          <w:p>
            <w:pPr>
              <w:jc w:val="right"/>
              <w:ind w:right="18"/>
              <w:spacing w:after="0" w:line="178" w:lineRule="exact"/>
              <w:rPr>
                <w:sz w:val="20"/>
                <w:szCs w:val="20"/>
                <w:color w:val="auto"/>
              </w:rPr>
            </w:pPr>
            <w:r>
              <w:rPr>
                <w:rFonts w:ascii="Arial" w:cs="Arial" w:eastAsia="Arial" w:hAnsi="Arial"/>
                <w:sz w:val="16"/>
                <w:szCs w:val="16"/>
                <w:color w:val="auto"/>
              </w:rPr>
              <w:t>(306.2)</w:t>
            </w:r>
          </w:p>
        </w:tc>
        <w:tc>
          <w:tcPr>
            <w:tcW w:w="840" w:type="dxa"/>
            <w:vAlign w:val="bottom"/>
            <w:tcBorders>
              <w:right w:val="single" w:sz="8" w:color="auto"/>
            </w:tcBorders>
            <w:vMerge w:val="restart"/>
          </w:tcPr>
          <w:p>
            <w:pPr>
              <w:jc w:val="right"/>
              <w:spacing w:after="0" w:line="178" w:lineRule="exact"/>
              <w:rPr>
                <w:sz w:val="20"/>
                <w:szCs w:val="20"/>
                <w:color w:val="auto"/>
              </w:rPr>
            </w:pPr>
            <w:r>
              <w:rPr>
                <w:rFonts w:ascii="Arial" w:cs="Arial" w:eastAsia="Arial" w:hAnsi="Arial"/>
                <w:sz w:val="16"/>
                <w:szCs w:val="16"/>
                <w:color w:val="auto"/>
              </w:rPr>
              <w:t>(214.8)</w:t>
            </w:r>
          </w:p>
        </w:tc>
        <w:tc>
          <w:tcPr>
            <w:tcW w:w="1140" w:type="dxa"/>
            <w:vAlign w:val="bottom"/>
            <w:tcBorders>
              <w:right w:val="single" w:sz="8" w:color="auto"/>
            </w:tcBorders>
            <w:vMerge w:val="restart"/>
          </w:tcPr>
          <w:p>
            <w:pPr>
              <w:jc w:val="center"/>
              <w:spacing w:after="0" w:line="178" w:lineRule="exact"/>
              <w:rPr>
                <w:sz w:val="20"/>
                <w:szCs w:val="20"/>
                <w:color w:val="auto"/>
              </w:rPr>
            </w:pPr>
            <w:r>
              <w:rPr>
                <w:rFonts w:ascii="Arial" w:cs="Arial" w:eastAsia="Arial" w:hAnsi="Arial"/>
                <w:sz w:val="16"/>
                <w:szCs w:val="16"/>
                <w:color w:val="auto"/>
              </w:rPr>
              <w:t>-29.8%</w:t>
            </w:r>
          </w:p>
        </w:tc>
        <w:tc>
          <w:tcPr>
            <w:tcW w:w="0" w:type="dxa"/>
            <w:vAlign w:val="bottom"/>
          </w:tcPr>
          <w:p>
            <w:pPr>
              <w:spacing w:after="0"/>
              <w:rPr>
                <w:sz w:val="1"/>
                <w:szCs w:val="1"/>
                <w:color w:val="auto"/>
              </w:rPr>
            </w:pPr>
          </w:p>
        </w:tc>
      </w:tr>
      <w:tr>
        <w:trPr>
          <w:trHeight w:val="67"/>
        </w:trPr>
        <w:tc>
          <w:tcPr>
            <w:tcW w:w="1040" w:type="dxa"/>
            <w:vAlign w:val="bottom"/>
            <w:tcBorders>
              <w:left w:val="single" w:sz="8" w:color="auto"/>
              <w:right w:val="single" w:sz="8" w:color="auto"/>
            </w:tcBorders>
          </w:tcPr>
          <w:p>
            <w:pPr>
              <w:spacing w:after="0"/>
              <w:rPr>
                <w:sz w:val="5"/>
                <w:szCs w:val="5"/>
                <w:color w:val="auto"/>
              </w:rPr>
            </w:pPr>
          </w:p>
        </w:tc>
        <w:tc>
          <w:tcPr>
            <w:tcW w:w="2700" w:type="dxa"/>
            <w:vAlign w:val="bottom"/>
            <w:tcBorders>
              <w:right w:val="single" w:sz="8" w:color="auto"/>
            </w:tcBorders>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820" w:type="dxa"/>
            <w:vAlign w:val="bottom"/>
            <w:tcBorders>
              <w:right w:val="single" w:sz="8" w:color="auto"/>
            </w:tcBorders>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940" w:type="dxa"/>
            <w:vAlign w:val="bottom"/>
            <w:tcBorders>
              <w:right w:val="single" w:sz="8" w:color="auto"/>
            </w:tcBorders>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840" w:type="dxa"/>
            <w:vAlign w:val="bottom"/>
            <w:tcBorders>
              <w:right w:val="single" w:sz="8" w:color="auto"/>
            </w:tcBorders>
            <w:vMerge w:val="continue"/>
          </w:tcPr>
          <w:p>
            <w:pPr>
              <w:spacing w:after="0"/>
              <w:rPr>
                <w:sz w:val="5"/>
                <w:szCs w:val="5"/>
                <w:color w:val="auto"/>
              </w:rPr>
            </w:pPr>
          </w:p>
        </w:tc>
        <w:tc>
          <w:tcPr>
            <w:tcW w:w="114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1040" w:type="dxa"/>
            <w:vAlign w:val="bottom"/>
            <w:tcBorders>
              <w:left w:val="single" w:sz="8" w:color="auto"/>
              <w:bottom w:val="single" w:sz="8" w:color="auto"/>
              <w:right w:val="single" w:sz="8" w:color="auto"/>
            </w:tcBorders>
          </w:tcPr>
          <w:p>
            <w:pPr>
              <w:spacing w:after="0"/>
              <w:rPr>
                <w:sz w:val="17"/>
                <w:szCs w:val="17"/>
                <w:color w:val="auto"/>
              </w:rPr>
            </w:pPr>
          </w:p>
        </w:tc>
        <w:tc>
          <w:tcPr>
            <w:tcW w:w="2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b w:val="1"/>
                <w:bCs w:val="1"/>
                <w:color w:val="auto"/>
              </w:rPr>
              <w:t>Insurance Undewrwriting Result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79.3</w:t>
            </w:r>
          </w:p>
        </w:tc>
        <w:tc>
          <w:tcPr>
            <w:tcW w:w="96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b w:val="1"/>
                <w:bCs w:val="1"/>
                <w:color w:val="auto"/>
              </w:rPr>
              <w:t>83.6</w:t>
            </w:r>
          </w:p>
        </w:tc>
        <w:tc>
          <w:tcPr>
            <w:tcW w:w="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84.2</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0.7%</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6.1%</w:t>
            </w:r>
          </w:p>
        </w:tc>
        <w:tc>
          <w:tcPr>
            <w:tcW w:w="96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b w:val="1"/>
                <w:bCs w:val="1"/>
                <w:color w:val="auto"/>
              </w:rPr>
              <w:t>227.4</w:t>
            </w: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213.8</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-6.0%</w:t>
            </w:r>
          </w:p>
        </w:tc>
        <w:tc>
          <w:tcPr>
            <w:tcW w:w="0" w:type="dxa"/>
            <w:vAlign w:val="bottom"/>
          </w:tcPr>
          <w:p>
            <w:pPr>
              <w:spacing w:after="0"/>
              <w:rPr>
                <w:sz w:val="1"/>
                <w:szCs w:val="1"/>
                <w:color w:val="auto"/>
              </w:rPr>
            </w:pPr>
          </w:p>
        </w:tc>
      </w:tr>
      <w:tr>
        <w:trPr>
          <w:trHeight w:val="165"/>
        </w:trPr>
        <w:tc>
          <w:tcPr>
            <w:tcW w:w="1040" w:type="dxa"/>
            <w:vAlign w:val="bottom"/>
            <w:tcBorders>
              <w:left w:val="single" w:sz="8" w:color="auto"/>
              <w:right w:val="single" w:sz="8" w:color="auto"/>
            </w:tcBorders>
          </w:tcPr>
          <w:p>
            <w:pPr>
              <w:spacing w:after="0"/>
              <w:rPr>
                <w:sz w:val="14"/>
                <w:szCs w:val="14"/>
                <w:color w:val="auto"/>
              </w:rPr>
            </w:pPr>
          </w:p>
        </w:tc>
        <w:tc>
          <w:tcPr>
            <w:tcW w:w="2700" w:type="dxa"/>
            <w:vAlign w:val="bottom"/>
            <w:tcBorders>
              <w:right w:val="single" w:sz="8" w:color="auto"/>
            </w:tcBorders>
          </w:tcPr>
          <w:p>
            <w:pPr>
              <w:spacing w:after="0" w:line="165" w:lineRule="exact"/>
              <w:rPr>
                <w:sz w:val="20"/>
                <w:szCs w:val="20"/>
                <w:color w:val="auto"/>
              </w:rPr>
            </w:pPr>
            <w:r>
              <w:rPr>
                <w:rFonts w:ascii="Arial" w:cs="Arial" w:eastAsia="Arial" w:hAnsi="Arial"/>
                <w:sz w:val="16"/>
                <w:szCs w:val="16"/>
                <w:color w:val="auto"/>
              </w:rPr>
              <w:t>Income from Insurance Services</w:t>
            </w:r>
          </w:p>
        </w:tc>
        <w:tc>
          <w:tcPr>
            <w:tcW w:w="980" w:type="dxa"/>
            <w:vAlign w:val="bottom"/>
          </w:tcPr>
          <w:p>
            <w:pPr>
              <w:jc w:val="right"/>
              <w:ind w:right="19"/>
              <w:spacing w:after="0" w:line="165" w:lineRule="exact"/>
              <w:rPr>
                <w:sz w:val="20"/>
                <w:szCs w:val="20"/>
                <w:color w:val="auto"/>
              </w:rPr>
            </w:pPr>
            <w:r>
              <w:rPr>
                <w:rFonts w:ascii="Arial" w:cs="Arial" w:eastAsia="Arial" w:hAnsi="Arial"/>
                <w:sz w:val="16"/>
                <w:szCs w:val="16"/>
                <w:color w:val="auto"/>
              </w:rPr>
              <w:t>480.1</w:t>
            </w:r>
          </w:p>
        </w:tc>
        <w:tc>
          <w:tcPr>
            <w:tcW w:w="960" w:type="dxa"/>
            <w:vAlign w:val="bottom"/>
          </w:tcPr>
          <w:p>
            <w:pPr>
              <w:jc w:val="right"/>
              <w:ind w:right="38"/>
              <w:spacing w:after="0" w:line="165" w:lineRule="exact"/>
              <w:rPr>
                <w:sz w:val="20"/>
                <w:szCs w:val="20"/>
                <w:color w:val="auto"/>
              </w:rPr>
            </w:pPr>
            <w:r>
              <w:rPr>
                <w:rFonts w:ascii="Arial" w:cs="Arial" w:eastAsia="Arial" w:hAnsi="Arial"/>
                <w:sz w:val="16"/>
                <w:szCs w:val="16"/>
                <w:color w:val="auto"/>
              </w:rPr>
              <w:t>491.4</w:t>
            </w:r>
          </w:p>
        </w:tc>
        <w:tc>
          <w:tcPr>
            <w:tcW w:w="820" w:type="dxa"/>
            <w:vAlign w:val="bottom"/>
            <w:tcBorders>
              <w:right w:val="single" w:sz="8" w:color="auto"/>
            </w:tcBorders>
          </w:tcPr>
          <w:p>
            <w:pPr>
              <w:jc w:val="right"/>
              <w:spacing w:after="0" w:line="165" w:lineRule="exact"/>
              <w:rPr>
                <w:sz w:val="20"/>
                <w:szCs w:val="20"/>
                <w:color w:val="auto"/>
              </w:rPr>
            </w:pPr>
            <w:r>
              <w:rPr>
                <w:rFonts w:ascii="Arial" w:cs="Arial" w:eastAsia="Arial" w:hAnsi="Arial"/>
                <w:sz w:val="16"/>
                <w:szCs w:val="16"/>
                <w:color w:val="auto"/>
              </w:rPr>
              <w:t>487.1</w:t>
            </w:r>
          </w:p>
        </w:tc>
        <w:tc>
          <w:tcPr>
            <w:tcW w:w="880" w:type="dxa"/>
            <w:vAlign w:val="bottom"/>
          </w:tcPr>
          <w:p>
            <w:pPr>
              <w:jc w:val="center"/>
              <w:spacing w:after="0" w:line="165" w:lineRule="exact"/>
              <w:rPr>
                <w:sz w:val="20"/>
                <w:szCs w:val="20"/>
                <w:color w:val="auto"/>
              </w:rPr>
            </w:pPr>
            <w:r>
              <w:rPr>
                <w:rFonts w:ascii="Arial" w:cs="Arial" w:eastAsia="Arial" w:hAnsi="Arial"/>
                <w:sz w:val="16"/>
                <w:szCs w:val="16"/>
                <w:color w:val="auto"/>
              </w:rPr>
              <w:t>-0.9%</w:t>
            </w:r>
          </w:p>
        </w:tc>
        <w:tc>
          <w:tcPr>
            <w:tcW w:w="94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6"/>
                <w:szCs w:val="16"/>
                <w:color w:val="auto"/>
              </w:rPr>
              <w:t>1.5%</w:t>
            </w:r>
          </w:p>
        </w:tc>
        <w:tc>
          <w:tcPr>
            <w:tcW w:w="960" w:type="dxa"/>
            <w:vAlign w:val="bottom"/>
          </w:tcPr>
          <w:p>
            <w:pPr>
              <w:jc w:val="right"/>
              <w:ind w:right="18"/>
              <w:spacing w:after="0" w:line="165" w:lineRule="exact"/>
              <w:rPr>
                <w:sz w:val="20"/>
                <w:szCs w:val="20"/>
                <w:color w:val="auto"/>
              </w:rPr>
            </w:pPr>
            <w:r>
              <w:rPr>
                <w:rFonts w:ascii="Arial" w:cs="Arial" w:eastAsia="Arial" w:hAnsi="Arial"/>
                <w:sz w:val="16"/>
                <w:szCs w:val="16"/>
                <w:color w:val="auto"/>
              </w:rPr>
              <w:t>1,285.0</w:t>
            </w:r>
          </w:p>
        </w:tc>
        <w:tc>
          <w:tcPr>
            <w:tcW w:w="840" w:type="dxa"/>
            <w:vAlign w:val="bottom"/>
            <w:tcBorders>
              <w:right w:val="single" w:sz="8" w:color="auto"/>
            </w:tcBorders>
          </w:tcPr>
          <w:p>
            <w:pPr>
              <w:jc w:val="right"/>
              <w:spacing w:after="0" w:line="165" w:lineRule="exact"/>
              <w:rPr>
                <w:sz w:val="20"/>
                <w:szCs w:val="20"/>
                <w:color w:val="auto"/>
              </w:rPr>
            </w:pPr>
            <w:r>
              <w:rPr>
                <w:rFonts w:ascii="Arial" w:cs="Arial" w:eastAsia="Arial" w:hAnsi="Arial"/>
                <w:sz w:val="16"/>
                <w:szCs w:val="16"/>
                <w:color w:val="auto"/>
              </w:rPr>
              <w:t>1,498.3</w:t>
            </w:r>
          </w:p>
        </w:tc>
        <w:tc>
          <w:tcPr>
            <w:tcW w:w="114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185"/>
        </w:trPr>
        <w:tc>
          <w:tcPr>
            <w:tcW w:w="10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rPr>
              <w:t>Life</w:t>
            </w:r>
          </w:p>
        </w:tc>
        <w:tc>
          <w:tcPr>
            <w:tcW w:w="27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Expenses for Insurance Services</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(254.3)</w:t>
            </w:r>
          </w:p>
        </w:tc>
        <w:tc>
          <w:tcPr>
            <w:tcW w:w="960" w:type="dxa"/>
            <w:vAlign w:val="bottom"/>
          </w:tcPr>
          <w:p>
            <w:pPr>
              <w:jc w:val="right"/>
              <w:ind w:right="38"/>
              <w:spacing w:after="0"/>
              <w:rPr>
                <w:sz w:val="20"/>
                <w:szCs w:val="20"/>
                <w:color w:val="auto"/>
              </w:rPr>
            </w:pPr>
            <w:r>
              <w:rPr>
                <w:rFonts w:ascii="Arial" w:cs="Arial" w:eastAsia="Arial" w:hAnsi="Arial"/>
                <w:sz w:val="16"/>
                <w:szCs w:val="16"/>
                <w:color w:val="auto"/>
              </w:rPr>
              <w:t>(270.7)</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(243.3)</w:t>
            </w:r>
          </w:p>
        </w:tc>
        <w:tc>
          <w:tcPr>
            <w:tcW w:w="880" w:type="dxa"/>
            <w:vAlign w:val="bottom"/>
          </w:tcPr>
          <w:p>
            <w:pPr>
              <w:jc w:val="center"/>
              <w:spacing w:after="0"/>
              <w:rPr>
                <w:sz w:val="20"/>
                <w:szCs w:val="20"/>
                <w:color w:val="auto"/>
              </w:rPr>
            </w:pPr>
            <w:r>
              <w:rPr>
                <w:rFonts w:ascii="Arial" w:cs="Arial" w:eastAsia="Arial" w:hAnsi="Arial"/>
                <w:sz w:val="16"/>
                <w:szCs w:val="16"/>
                <w:color w:val="auto"/>
              </w:rPr>
              <w:t>-10.1%</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-4.4%</w:t>
            </w:r>
          </w:p>
        </w:tc>
        <w:tc>
          <w:tcPr>
            <w:tcW w:w="960" w:type="dxa"/>
            <w:vAlign w:val="bottom"/>
          </w:tcPr>
          <w:p>
            <w:pPr>
              <w:jc w:val="right"/>
              <w:ind w:right="18"/>
              <w:spacing w:after="0"/>
              <w:rPr>
                <w:sz w:val="20"/>
                <w:szCs w:val="20"/>
                <w:color w:val="auto"/>
              </w:rPr>
            </w:pPr>
            <w:r>
              <w:rPr>
                <w:rFonts w:ascii="Arial" w:cs="Arial" w:eastAsia="Arial" w:hAnsi="Arial"/>
                <w:sz w:val="16"/>
                <w:szCs w:val="16"/>
                <w:color w:val="auto"/>
              </w:rPr>
              <w:t>(839.8)</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(771.2)</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110"/>
        </w:trPr>
        <w:tc>
          <w:tcPr>
            <w:tcW w:w="1040" w:type="dxa"/>
            <w:vAlign w:val="bottom"/>
            <w:tcBorders>
              <w:left w:val="single" w:sz="8" w:color="auto"/>
              <w:right w:val="single" w:sz="8" w:color="auto"/>
            </w:tcBorders>
            <w:vMerge w:val="continue"/>
          </w:tcPr>
          <w:p>
            <w:pPr>
              <w:spacing w:after="0"/>
              <w:rPr>
                <w:sz w:val="9"/>
                <w:szCs w:val="9"/>
                <w:color w:val="auto"/>
              </w:rPr>
            </w:pPr>
          </w:p>
        </w:tc>
        <w:tc>
          <w:tcPr>
            <w:tcW w:w="2700" w:type="dxa"/>
            <w:vAlign w:val="bottom"/>
            <w:tcBorders>
              <w:right w:val="single" w:sz="8" w:color="auto"/>
            </w:tcBorders>
            <w:vMerge w:val="restart"/>
          </w:tcPr>
          <w:p>
            <w:pPr>
              <w:spacing w:after="0" w:line="178" w:lineRule="exact"/>
              <w:rPr>
                <w:sz w:val="20"/>
                <w:szCs w:val="20"/>
                <w:color w:val="auto"/>
              </w:rPr>
            </w:pPr>
            <w:r>
              <w:rPr>
                <w:rFonts w:ascii="Arial" w:cs="Arial" w:eastAsia="Arial" w:hAnsi="Arial"/>
                <w:sz w:val="16"/>
                <w:szCs w:val="16"/>
                <w:color w:val="auto"/>
              </w:rPr>
              <w:t>Reinsurance Results</w:t>
            </w:r>
          </w:p>
        </w:tc>
        <w:tc>
          <w:tcPr>
            <w:tcW w:w="980" w:type="dxa"/>
            <w:vAlign w:val="bottom"/>
            <w:vMerge w:val="restart"/>
          </w:tcPr>
          <w:p>
            <w:pPr>
              <w:jc w:val="right"/>
              <w:ind w:right="19"/>
              <w:spacing w:after="0" w:line="178" w:lineRule="exact"/>
              <w:rPr>
                <w:sz w:val="20"/>
                <w:szCs w:val="20"/>
                <w:color w:val="auto"/>
              </w:rPr>
            </w:pPr>
            <w:r>
              <w:rPr>
                <w:rFonts w:ascii="Arial" w:cs="Arial" w:eastAsia="Arial" w:hAnsi="Arial"/>
                <w:sz w:val="16"/>
                <w:szCs w:val="16"/>
                <w:color w:val="auto"/>
              </w:rPr>
              <w:t>(14.0)</w:t>
            </w:r>
          </w:p>
        </w:tc>
        <w:tc>
          <w:tcPr>
            <w:tcW w:w="960" w:type="dxa"/>
            <w:vAlign w:val="bottom"/>
            <w:vMerge w:val="restart"/>
          </w:tcPr>
          <w:p>
            <w:pPr>
              <w:jc w:val="right"/>
              <w:ind w:right="58"/>
              <w:spacing w:after="0" w:line="178" w:lineRule="exact"/>
              <w:rPr>
                <w:sz w:val="20"/>
                <w:szCs w:val="20"/>
                <w:color w:val="auto"/>
              </w:rPr>
            </w:pPr>
            <w:r>
              <w:rPr>
                <w:rFonts w:ascii="Arial" w:cs="Arial" w:eastAsia="Arial" w:hAnsi="Arial"/>
                <w:sz w:val="16"/>
                <w:szCs w:val="16"/>
                <w:color w:val="auto"/>
              </w:rPr>
              <w:t>(24.0)</w:t>
            </w:r>
          </w:p>
        </w:tc>
        <w:tc>
          <w:tcPr>
            <w:tcW w:w="820" w:type="dxa"/>
            <w:vAlign w:val="bottom"/>
            <w:tcBorders>
              <w:right w:val="single" w:sz="8" w:color="auto"/>
            </w:tcBorders>
            <w:vMerge w:val="restart"/>
          </w:tcPr>
          <w:p>
            <w:pPr>
              <w:jc w:val="right"/>
              <w:spacing w:after="0" w:line="178" w:lineRule="exact"/>
              <w:rPr>
                <w:sz w:val="20"/>
                <w:szCs w:val="20"/>
                <w:color w:val="auto"/>
              </w:rPr>
            </w:pPr>
            <w:r>
              <w:rPr>
                <w:rFonts w:ascii="Arial" w:cs="Arial" w:eastAsia="Arial" w:hAnsi="Arial"/>
                <w:sz w:val="16"/>
                <w:szCs w:val="16"/>
                <w:color w:val="auto"/>
              </w:rPr>
              <w:t>(17.3)</w:t>
            </w:r>
          </w:p>
        </w:tc>
        <w:tc>
          <w:tcPr>
            <w:tcW w:w="880" w:type="dxa"/>
            <w:vAlign w:val="bottom"/>
            <w:vMerge w:val="restart"/>
          </w:tcPr>
          <w:p>
            <w:pPr>
              <w:jc w:val="center"/>
              <w:spacing w:after="0" w:line="178" w:lineRule="exact"/>
              <w:rPr>
                <w:sz w:val="20"/>
                <w:szCs w:val="20"/>
                <w:color w:val="auto"/>
              </w:rPr>
            </w:pPr>
            <w:r>
              <w:rPr>
                <w:rFonts w:ascii="Arial" w:cs="Arial" w:eastAsia="Arial" w:hAnsi="Arial"/>
                <w:sz w:val="16"/>
                <w:szCs w:val="16"/>
                <w:color w:val="auto"/>
              </w:rPr>
              <w:t>-27.9%</w:t>
            </w:r>
          </w:p>
        </w:tc>
        <w:tc>
          <w:tcPr>
            <w:tcW w:w="940" w:type="dxa"/>
            <w:vAlign w:val="bottom"/>
            <w:tcBorders>
              <w:right w:val="single" w:sz="8" w:color="auto"/>
            </w:tcBorders>
            <w:vMerge w:val="restart"/>
          </w:tcPr>
          <w:p>
            <w:pPr>
              <w:jc w:val="center"/>
              <w:spacing w:after="0" w:line="178" w:lineRule="exact"/>
              <w:rPr>
                <w:sz w:val="20"/>
                <w:szCs w:val="20"/>
                <w:color w:val="auto"/>
              </w:rPr>
            </w:pPr>
            <w:r>
              <w:rPr>
                <w:rFonts w:ascii="Arial" w:cs="Arial" w:eastAsia="Arial" w:hAnsi="Arial"/>
                <w:sz w:val="16"/>
                <w:szCs w:val="16"/>
                <w:color w:val="auto"/>
              </w:rPr>
              <w:t>23.1%</w:t>
            </w:r>
          </w:p>
        </w:tc>
        <w:tc>
          <w:tcPr>
            <w:tcW w:w="960" w:type="dxa"/>
            <w:vAlign w:val="bottom"/>
            <w:vMerge w:val="restart"/>
          </w:tcPr>
          <w:p>
            <w:pPr>
              <w:jc w:val="right"/>
              <w:ind w:right="18"/>
              <w:spacing w:after="0" w:line="178" w:lineRule="exact"/>
              <w:rPr>
                <w:sz w:val="20"/>
                <w:szCs w:val="20"/>
                <w:color w:val="auto"/>
              </w:rPr>
            </w:pPr>
            <w:r>
              <w:rPr>
                <w:rFonts w:ascii="Arial" w:cs="Arial" w:eastAsia="Arial" w:hAnsi="Arial"/>
                <w:sz w:val="16"/>
                <w:szCs w:val="16"/>
                <w:color w:val="auto"/>
              </w:rPr>
              <w:t>(6.9)</w:t>
            </w:r>
          </w:p>
        </w:tc>
        <w:tc>
          <w:tcPr>
            <w:tcW w:w="840" w:type="dxa"/>
            <w:vAlign w:val="bottom"/>
            <w:tcBorders>
              <w:right w:val="single" w:sz="8" w:color="auto"/>
            </w:tcBorders>
            <w:vMerge w:val="restart"/>
          </w:tcPr>
          <w:p>
            <w:pPr>
              <w:jc w:val="right"/>
              <w:spacing w:after="0" w:line="178" w:lineRule="exact"/>
              <w:rPr>
                <w:sz w:val="20"/>
                <w:szCs w:val="20"/>
                <w:color w:val="auto"/>
              </w:rPr>
            </w:pPr>
            <w:r>
              <w:rPr>
                <w:rFonts w:ascii="Arial" w:cs="Arial" w:eastAsia="Arial" w:hAnsi="Arial"/>
                <w:sz w:val="16"/>
                <w:szCs w:val="16"/>
                <w:color w:val="auto"/>
              </w:rPr>
              <w:t>(68.4)</w:t>
            </w:r>
          </w:p>
        </w:tc>
        <w:tc>
          <w:tcPr>
            <w:tcW w:w="1140" w:type="dxa"/>
            <w:vAlign w:val="bottom"/>
            <w:tcBorders>
              <w:right w:val="single" w:sz="8" w:color="auto"/>
            </w:tcBorders>
            <w:vMerge w:val="restart"/>
          </w:tcPr>
          <w:p>
            <w:pPr>
              <w:jc w:val="center"/>
              <w:spacing w:after="0" w:line="178" w:lineRule="exact"/>
              <w:rPr>
                <w:sz w:val="20"/>
                <w:szCs w:val="20"/>
                <w:color w:val="auto"/>
              </w:rPr>
            </w:pPr>
            <w:r>
              <w:rPr>
                <w:rFonts w:ascii="Arial" w:cs="Arial" w:eastAsia="Arial" w:hAnsi="Arial"/>
                <w:sz w:val="16"/>
                <w:szCs w:val="16"/>
                <w:color w:val="auto"/>
              </w:rPr>
              <w:t>890.9%</w:t>
            </w:r>
          </w:p>
        </w:tc>
        <w:tc>
          <w:tcPr>
            <w:tcW w:w="0" w:type="dxa"/>
            <w:vAlign w:val="bottom"/>
          </w:tcPr>
          <w:p>
            <w:pPr>
              <w:spacing w:after="0"/>
              <w:rPr>
                <w:sz w:val="1"/>
                <w:szCs w:val="1"/>
                <w:color w:val="auto"/>
              </w:rPr>
            </w:pPr>
          </w:p>
        </w:tc>
      </w:tr>
      <w:tr>
        <w:trPr>
          <w:trHeight w:val="67"/>
        </w:trPr>
        <w:tc>
          <w:tcPr>
            <w:tcW w:w="1040" w:type="dxa"/>
            <w:vAlign w:val="bottom"/>
            <w:tcBorders>
              <w:left w:val="single" w:sz="8" w:color="auto"/>
              <w:right w:val="single" w:sz="8" w:color="auto"/>
            </w:tcBorders>
          </w:tcPr>
          <w:p>
            <w:pPr>
              <w:spacing w:after="0"/>
              <w:rPr>
                <w:sz w:val="5"/>
                <w:szCs w:val="5"/>
                <w:color w:val="auto"/>
              </w:rPr>
            </w:pPr>
          </w:p>
        </w:tc>
        <w:tc>
          <w:tcPr>
            <w:tcW w:w="2700" w:type="dxa"/>
            <w:vAlign w:val="bottom"/>
            <w:tcBorders>
              <w:right w:val="single" w:sz="8" w:color="auto"/>
            </w:tcBorders>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820" w:type="dxa"/>
            <w:vAlign w:val="bottom"/>
            <w:tcBorders>
              <w:right w:val="single" w:sz="8" w:color="auto"/>
            </w:tcBorders>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940" w:type="dxa"/>
            <w:vAlign w:val="bottom"/>
            <w:tcBorders>
              <w:right w:val="single" w:sz="8" w:color="auto"/>
            </w:tcBorders>
            <w:vMerge w:val="continue"/>
          </w:tcPr>
          <w:p>
            <w:pPr>
              <w:spacing w:after="0"/>
              <w:rPr>
                <w:sz w:val="5"/>
                <w:szCs w:val="5"/>
                <w:color w:val="auto"/>
              </w:rPr>
            </w:pPr>
          </w:p>
        </w:tc>
        <w:tc>
          <w:tcPr>
            <w:tcW w:w="960" w:type="dxa"/>
            <w:vAlign w:val="bottom"/>
            <w:vMerge w:val="continue"/>
          </w:tcPr>
          <w:p>
            <w:pPr>
              <w:spacing w:after="0"/>
              <w:rPr>
                <w:sz w:val="5"/>
                <w:szCs w:val="5"/>
                <w:color w:val="auto"/>
              </w:rPr>
            </w:pPr>
          </w:p>
        </w:tc>
        <w:tc>
          <w:tcPr>
            <w:tcW w:w="840" w:type="dxa"/>
            <w:vAlign w:val="bottom"/>
            <w:tcBorders>
              <w:right w:val="single" w:sz="8" w:color="auto"/>
            </w:tcBorders>
            <w:vMerge w:val="continue"/>
          </w:tcPr>
          <w:p>
            <w:pPr>
              <w:spacing w:after="0"/>
              <w:rPr>
                <w:sz w:val="5"/>
                <w:szCs w:val="5"/>
                <w:color w:val="auto"/>
              </w:rPr>
            </w:pPr>
          </w:p>
        </w:tc>
        <w:tc>
          <w:tcPr>
            <w:tcW w:w="114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1040" w:type="dxa"/>
            <w:vAlign w:val="bottom"/>
            <w:tcBorders>
              <w:left w:val="single" w:sz="8" w:color="auto"/>
              <w:bottom w:val="single" w:sz="8" w:color="auto"/>
              <w:right w:val="single" w:sz="8" w:color="auto"/>
            </w:tcBorders>
          </w:tcPr>
          <w:p>
            <w:pPr>
              <w:spacing w:after="0"/>
              <w:rPr>
                <w:sz w:val="17"/>
                <w:szCs w:val="17"/>
                <w:color w:val="auto"/>
              </w:rPr>
            </w:pPr>
          </w:p>
        </w:tc>
        <w:tc>
          <w:tcPr>
            <w:tcW w:w="2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b w:val="1"/>
                <w:bCs w:val="1"/>
                <w:color w:val="auto"/>
              </w:rPr>
              <w:t>Insurance Undewrwriting Result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211.8</w:t>
            </w:r>
          </w:p>
        </w:tc>
        <w:tc>
          <w:tcPr>
            <w:tcW w:w="96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b w:val="1"/>
                <w:bCs w:val="1"/>
                <w:color w:val="auto"/>
              </w:rPr>
              <w:t>196.8</w:t>
            </w:r>
          </w:p>
        </w:tc>
        <w:tc>
          <w:tcPr>
            <w:tcW w:w="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226.6</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15.1%</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7.0%</w:t>
            </w:r>
          </w:p>
        </w:tc>
        <w:tc>
          <w:tcPr>
            <w:tcW w:w="96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b w:val="1"/>
                <w:bCs w:val="1"/>
                <w:color w:val="auto"/>
              </w:rPr>
              <w:t>438.2</w:t>
            </w: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658.7</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50.3%</w:t>
            </w:r>
          </w:p>
        </w:tc>
        <w:tc>
          <w:tcPr>
            <w:tcW w:w="0" w:type="dxa"/>
            <w:vAlign w:val="bottom"/>
          </w:tcPr>
          <w:p>
            <w:pPr>
              <w:spacing w:after="0"/>
              <w:rPr>
                <w:sz w:val="1"/>
                <w:szCs w:val="1"/>
                <w:color w:val="auto"/>
              </w:rPr>
            </w:pPr>
          </w:p>
        </w:tc>
      </w:tr>
      <w:tr>
        <w:trPr>
          <w:trHeight w:val="165"/>
        </w:trPr>
        <w:tc>
          <w:tcPr>
            <w:tcW w:w="1040" w:type="dxa"/>
            <w:vAlign w:val="bottom"/>
            <w:tcBorders>
              <w:left w:val="single" w:sz="8" w:color="auto"/>
              <w:right w:val="single" w:sz="8" w:color="auto"/>
            </w:tcBorders>
          </w:tcPr>
          <w:p>
            <w:pPr>
              <w:spacing w:after="0"/>
              <w:rPr>
                <w:sz w:val="14"/>
                <w:szCs w:val="14"/>
                <w:color w:val="auto"/>
              </w:rPr>
            </w:pPr>
          </w:p>
        </w:tc>
        <w:tc>
          <w:tcPr>
            <w:tcW w:w="2700" w:type="dxa"/>
            <w:vAlign w:val="bottom"/>
            <w:tcBorders>
              <w:right w:val="single" w:sz="8" w:color="auto"/>
            </w:tcBorders>
          </w:tcPr>
          <w:p>
            <w:pPr>
              <w:spacing w:after="0" w:line="165" w:lineRule="exact"/>
              <w:rPr>
                <w:sz w:val="20"/>
                <w:szCs w:val="20"/>
                <w:color w:val="auto"/>
              </w:rPr>
            </w:pPr>
            <w:r>
              <w:rPr>
                <w:rFonts w:ascii="Arial" w:cs="Arial" w:eastAsia="Arial" w:hAnsi="Arial"/>
                <w:sz w:val="16"/>
                <w:szCs w:val="16"/>
                <w:color w:val="auto"/>
              </w:rPr>
              <w:t>Income from Insurance Services</w:t>
            </w:r>
          </w:p>
        </w:tc>
        <w:tc>
          <w:tcPr>
            <w:tcW w:w="980" w:type="dxa"/>
            <w:vAlign w:val="bottom"/>
          </w:tcPr>
          <w:p>
            <w:pPr>
              <w:jc w:val="right"/>
              <w:ind w:right="19"/>
              <w:spacing w:after="0" w:line="165" w:lineRule="exact"/>
              <w:rPr>
                <w:sz w:val="20"/>
                <w:szCs w:val="20"/>
                <w:color w:val="auto"/>
              </w:rPr>
            </w:pPr>
            <w:r>
              <w:rPr>
                <w:rFonts w:ascii="Arial" w:cs="Arial" w:eastAsia="Arial" w:hAnsi="Arial"/>
                <w:sz w:val="16"/>
                <w:szCs w:val="16"/>
                <w:color w:val="auto"/>
              </w:rPr>
              <w:t>18.9</w:t>
            </w:r>
          </w:p>
        </w:tc>
        <w:tc>
          <w:tcPr>
            <w:tcW w:w="960" w:type="dxa"/>
            <w:vAlign w:val="bottom"/>
          </w:tcPr>
          <w:p>
            <w:pPr>
              <w:jc w:val="right"/>
              <w:ind w:right="58"/>
              <w:spacing w:after="0" w:line="165" w:lineRule="exact"/>
              <w:rPr>
                <w:sz w:val="20"/>
                <w:szCs w:val="20"/>
                <w:color w:val="auto"/>
              </w:rPr>
            </w:pPr>
            <w:r>
              <w:rPr>
                <w:rFonts w:ascii="Arial" w:cs="Arial" w:eastAsia="Arial" w:hAnsi="Arial"/>
                <w:sz w:val="16"/>
                <w:szCs w:val="16"/>
                <w:color w:val="auto"/>
              </w:rPr>
              <w:t>29.6</w:t>
            </w:r>
          </w:p>
        </w:tc>
        <w:tc>
          <w:tcPr>
            <w:tcW w:w="820" w:type="dxa"/>
            <w:vAlign w:val="bottom"/>
            <w:tcBorders>
              <w:right w:val="single" w:sz="8" w:color="auto"/>
            </w:tcBorders>
          </w:tcPr>
          <w:p>
            <w:pPr>
              <w:jc w:val="right"/>
              <w:spacing w:after="0" w:line="165" w:lineRule="exact"/>
              <w:rPr>
                <w:sz w:val="20"/>
                <w:szCs w:val="20"/>
                <w:color w:val="auto"/>
              </w:rPr>
            </w:pPr>
            <w:r>
              <w:rPr>
                <w:rFonts w:ascii="Arial" w:cs="Arial" w:eastAsia="Arial" w:hAnsi="Arial"/>
                <w:sz w:val="16"/>
                <w:szCs w:val="16"/>
                <w:color w:val="auto"/>
              </w:rPr>
              <w:t>33.9</w:t>
            </w:r>
          </w:p>
        </w:tc>
        <w:tc>
          <w:tcPr>
            <w:tcW w:w="880" w:type="dxa"/>
            <w:vAlign w:val="bottom"/>
          </w:tcPr>
          <w:p>
            <w:pPr>
              <w:jc w:val="center"/>
              <w:spacing w:after="0" w:line="165" w:lineRule="exact"/>
              <w:rPr>
                <w:sz w:val="20"/>
                <w:szCs w:val="20"/>
                <w:color w:val="auto"/>
              </w:rPr>
            </w:pPr>
            <w:r>
              <w:rPr>
                <w:rFonts w:ascii="Arial" w:cs="Arial" w:eastAsia="Arial" w:hAnsi="Arial"/>
                <w:sz w:val="16"/>
                <w:szCs w:val="16"/>
                <w:color w:val="auto"/>
              </w:rPr>
              <w:t>14.6%</w:t>
            </w:r>
          </w:p>
        </w:tc>
        <w:tc>
          <w:tcPr>
            <w:tcW w:w="94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6"/>
                <w:szCs w:val="16"/>
                <w:color w:val="auto"/>
              </w:rPr>
              <w:t>79.5%</w:t>
            </w:r>
          </w:p>
        </w:tc>
        <w:tc>
          <w:tcPr>
            <w:tcW w:w="960" w:type="dxa"/>
            <w:vAlign w:val="bottom"/>
          </w:tcPr>
          <w:p>
            <w:pPr>
              <w:jc w:val="right"/>
              <w:ind w:right="18"/>
              <w:spacing w:after="0" w:line="165" w:lineRule="exact"/>
              <w:rPr>
                <w:sz w:val="20"/>
                <w:szCs w:val="20"/>
                <w:color w:val="auto"/>
              </w:rPr>
            </w:pPr>
            <w:r>
              <w:rPr>
                <w:rFonts w:ascii="Arial" w:cs="Arial" w:eastAsia="Arial" w:hAnsi="Arial"/>
                <w:sz w:val="16"/>
                <w:szCs w:val="16"/>
                <w:color w:val="auto"/>
              </w:rPr>
              <w:t>54.7</w:t>
            </w:r>
          </w:p>
        </w:tc>
        <w:tc>
          <w:tcPr>
            <w:tcW w:w="840" w:type="dxa"/>
            <w:vAlign w:val="bottom"/>
            <w:tcBorders>
              <w:right w:val="single" w:sz="8" w:color="auto"/>
            </w:tcBorders>
          </w:tcPr>
          <w:p>
            <w:pPr>
              <w:jc w:val="right"/>
              <w:spacing w:after="0" w:line="165" w:lineRule="exact"/>
              <w:rPr>
                <w:sz w:val="20"/>
                <w:szCs w:val="20"/>
                <w:color w:val="auto"/>
              </w:rPr>
            </w:pPr>
            <w:r>
              <w:rPr>
                <w:rFonts w:ascii="Arial" w:cs="Arial" w:eastAsia="Arial" w:hAnsi="Arial"/>
                <w:sz w:val="16"/>
                <w:szCs w:val="16"/>
                <w:color w:val="auto"/>
              </w:rPr>
              <w:t>86.5</w:t>
            </w:r>
          </w:p>
        </w:tc>
        <w:tc>
          <w:tcPr>
            <w:tcW w:w="114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6"/>
                <w:szCs w:val="16"/>
                <w:color w:val="auto"/>
              </w:rPr>
              <w:t>58.2%</w:t>
            </w:r>
          </w:p>
        </w:tc>
        <w:tc>
          <w:tcPr>
            <w:tcW w:w="0" w:type="dxa"/>
            <w:vAlign w:val="bottom"/>
          </w:tcPr>
          <w:p>
            <w:pPr>
              <w:spacing w:after="0"/>
              <w:rPr>
                <w:sz w:val="1"/>
                <w:szCs w:val="1"/>
                <w:color w:val="auto"/>
              </w:rPr>
            </w:pPr>
          </w:p>
        </w:tc>
      </w:tr>
      <w:tr>
        <w:trPr>
          <w:trHeight w:val="248"/>
        </w:trPr>
        <w:tc>
          <w:tcPr>
            <w:tcW w:w="10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Crediseguros</w:t>
            </w:r>
          </w:p>
        </w:tc>
        <w:tc>
          <w:tcPr>
            <w:tcW w:w="27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Expenses for Insurance Services</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(4.6)</w:t>
            </w:r>
          </w:p>
        </w:tc>
        <w:tc>
          <w:tcPr>
            <w:tcW w:w="960" w:type="dxa"/>
            <w:vAlign w:val="bottom"/>
          </w:tcPr>
          <w:p>
            <w:pPr>
              <w:jc w:val="right"/>
              <w:ind w:right="58"/>
              <w:spacing w:after="0"/>
              <w:rPr>
                <w:sz w:val="20"/>
                <w:szCs w:val="20"/>
                <w:color w:val="auto"/>
              </w:rPr>
            </w:pPr>
            <w:r>
              <w:rPr>
                <w:rFonts w:ascii="Arial" w:cs="Arial" w:eastAsia="Arial" w:hAnsi="Arial"/>
                <w:sz w:val="16"/>
                <w:szCs w:val="16"/>
                <w:color w:val="auto"/>
              </w:rPr>
              <w:t>(10.2)</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(11.3)</w:t>
            </w:r>
          </w:p>
        </w:tc>
        <w:tc>
          <w:tcPr>
            <w:tcW w:w="880" w:type="dxa"/>
            <w:vAlign w:val="bottom"/>
          </w:tcPr>
          <w:p>
            <w:pPr>
              <w:jc w:val="center"/>
              <w:spacing w:after="0"/>
              <w:rPr>
                <w:sz w:val="20"/>
                <w:szCs w:val="20"/>
                <w:color w:val="auto"/>
              </w:rPr>
            </w:pPr>
            <w:r>
              <w:rPr>
                <w:rFonts w:ascii="Arial" w:cs="Arial" w:eastAsia="Arial" w:hAnsi="Arial"/>
                <w:sz w:val="16"/>
                <w:szCs w:val="16"/>
                <w:color w:val="auto"/>
              </w:rPr>
              <w:t>10.1%</w:t>
            </w: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142.5%</w:t>
            </w:r>
          </w:p>
        </w:tc>
        <w:tc>
          <w:tcPr>
            <w:tcW w:w="960" w:type="dxa"/>
            <w:vAlign w:val="bottom"/>
          </w:tcPr>
          <w:p>
            <w:pPr>
              <w:jc w:val="right"/>
              <w:ind w:right="18"/>
              <w:spacing w:after="0"/>
              <w:rPr>
                <w:sz w:val="20"/>
                <w:szCs w:val="20"/>
                <w:color w:val="auto"/>
              </w:rPr>
            </w:pPr>
            <w:r>
              <w:rPr>
                <w:rFonts w:ascii="Arial" w:cs="Arial" w:eastAsia="Arial" w:hAnsi="Arial"/>
                <w:sz w:val="16"/>
                <w:szCs w:val="16"/>
                <w:color w:val="auto"/>
              </w:rPr>
              <w:t>(14.6)</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(27.7)</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90.4%</w:t>
            </w:r>
          </w:p>
        </w:tc>
        <w:tc>
          <w:tcPr>
            <w:tcW w:w="0" w:type="dxa"/>
            <w:vAlign w:val="bottom"/>
          </w:tcPr>
          <w:p>
            <w:pPr>
              <w:spacing w:after="0"/>
              <w:rPr>
                <w:sz w:val="1"/>
                <w:szCs w:val="1"/>
                <w:color w:val="auto"/>
              </w:rPr>
            </w:pPr>
          </w:p>
        </w:tc>
      </w:tr>
      <w:tr>
        <w:trPr>
          <w:trHeight w:val="115"/>
        </w:trPr>
        <w:tc>
          <w:tcPr>
            <w:tcW w:w="1040" w:type="dxa"/>
            <w:vAlign w:val="bottom"/>
            <w:tcBorders>
              <w:left w:val="single" w:sz="8" w:color="auto"/>
              <w:right w:val="single" w:sz="8" w:color="auto"/>
            </w:tcBorders>
          </w:tcPr>
          <w:p>
            <w:pPr>
              <w:spacing w:after="0"/>
              <w:rPr>
                <w:sz w:val="10"/>
                <w:szCs w:val="10"/>
                <w:color w:val="auto"/>
              </w:rPr>
            </w:pPr>
          </w:p>
        </w:tc>
        <w:tc>
          <w:tcPr>
            <w:tcW w:w="2700" w:type="dxa"/>
            <w:vAlign w:val="bottom"/>
            <w:tcBorders>
              <w:right w:val="single" w:sz="8" w:color="auto"/>
            </w:tcBorders>
          </w:tcPr>
          <w:p>
            <w:pPr>
              <w:spacing w:after="0" w:line="115" w:lineRule="exact"/>
              <w:rPr>
                <w:sz w:val="20"/>
                <w:szCs w:val="20"/>
                <w:color w:val="auto"/>
              </w:rPr>
            </w:pPr>
            <w:r>
              <w:rPr>
                <w:rFonts w:ascii="Arial" w:cs="Arial" w:eastAsia="Arial" w:hAnsi="Arial"/>
                <w:sz w:val="13"/>
                <w:szCs w:val="13"/>
                <w:color w:val="auto"/>
              </w:rPr>
              <w:t>Reinsurance Results</w:t>
            </w:r>
          </w:p>
        </w:tc>
        <w:tc>
          <w:tcPr>
            <w:tcW w:w="980" w:type="dxa"/>
            <w:vAlign w:val="bottom"/>
          </w:tcPr>
          <w:p>
            <w:pPr>
              <w:jc w:val="right"/>
              <w:ind w:right="19"/>
              <w:spacing w:after="0" w:line="115" w:lineRule="exact"/>
              <w:rPr>
                <w:sz w:val="20"/>
                <w:szCs w:val="20"/>
                <w:color w:val="auto"/>
              </w:rPr>
            </w:pPr>
            <w:r>
              <w:rPr>
                <w:rFonts w:ascii="Arial" w:cs="Arial" w:eastAsia="Arial" w:hAnsi="Arial"/>
                <w:sz w:val="13"/>
                <w:szCs w:val="13"/>
                <w:color w:val="auto"/>
              </w:rPr>
              <w:t>(5.0)</w:t>
            </w:r>
          </w:p>
        </w:tc>
        <w:tc>
          <w:tcPr>
            <w:tcW w:w="960" w:type="dxa"/>
            <w:vAlign w:val="bottom"/>
          </w:tcPr>
          <w:p>
            <w:pPr>
              <w:jc w:val="right"/>
              <w:ind w:right="38"/>
              <w:spacing w:after="0" w:line="115" w:lineRule="exact"/>
              <w:rPr>
                <w:sz w:val="20"/>
                <w:szCs w:val="20"/>
                <w:color w:val="auto"/>
              </w:rPr>
            </w:pPr>
            <w:r>
              <w:rPr>
                <w:rFonts w:ascii="Arial" w:cs="Arial" w:eastAsia="Arial" w:hAnsi="Arial"/>
                <w:sz w:val="13"/>
                <w:szCs w:val="13"/>
                <w:color w:val="auto"/>
              </w:rPr>
              <w:t>(7.6)</w:t>
            </w:r>
          </w:p>
        </w:tc>
        <w:tc>
          <w:tcPr>
            <w:tcW w:w="820" w:type="dxa"/>
            <w:vAlign w:val="bottom"/>
            <w:tcBorders>
              <w:right w:val="single" w:sz="8" w:color="auto"/>
            </w:tcBorders>
          </w:tcPr>
          <w:p>
            <w:pPr>
              <w:jc w:val="right"/>
              <w:spacing w:after="0" w:line="115" w:lineRule="exact"/>
              <w:rPr>
                <w:sz w:val="20"/>
                <w:szCs w:val="20"/>
                <w:color w:val="auto"/>
              </w:rPr>
            </w:pPr>
            <w:r>
              <w:rPr>
                <w:rFonts w:ascii="Arial" w:cs="Arial" w:eastAsia="Arial" w:hAnsi="Arial"/>
                <w:sz w:val="13"/>
                <w:szCs w:val="13"/>
                <w:color w:val="auto"/>
              </w:rPr>
              <w:t>(7.6)</w:t>
            </w:r>
          </w:p>
        </w:tc>
        <w:tc>
          <w:tcPr>
            <w:tcW w:w="880" w:type="dxa"/>
            <w:vAlign w:val="bottom"/>
          </w:tcPr>
          <w:p>
            <w:pPr>
              <w:jc w:val="center"/>
              <w:spacing w:after="0" w:line="115" w:lineRule="exact"/>
              <w:rPr>
                <w:sz w:val="20"/>
                <w:szCs w:val="20"/>
                <w:color w:val="auto"/>
              </w:rPr>
            </w:pPr>
            <w:r>
              <w:rPr>
                <w:rFonts w:ascii="Arial" w:cs="Arial" w:eastAsia="Arial" w:hAnsi="Arial"/>
                <w:sz w:val="13"/>
                <w:szCs w:val="13"/>
                <w:color w:val="auto"/>
              </w:rPr>
              <w:t>0.6%</w:t>
            </w:r>
          </w:p>
        </w:tc>
        <w:tc>
          <w:tcPr>
            <w:tcW w:w="940" w:type="dxa"/>
            <w:vAlign w:val="bottom"/>
            <w:tcBorders>
              <w:right w:val="single" w:sz="8" w:color="auto"/>
            </w:tcBorders>
          </w:tcPr>
          <w:p>
            <w:pPr>
              <w:jc w:val="center"/>
              <w:spacing w:after="0" w:line="115" w:lineRule="exact"/>
              <w:rPr>
                <w:sz w:val="20"/>
                <w:szCs w:val="20"/>
                <w:color w:val="auto"/>
              </w:rPr>
            </w:pPr>
            <w:r>
              <w:rPr>
                <w:rFonts w:ascii="Arial" w:cs="Arial" w:eastAsia="Arial" w:hAnsi="Arial"/>
                <w:sz w:val="13"/>
                <w:szCs w:val="13"/>
                <w:color w:val="auto"/>
              </w:rPr>
              <w:t>52.8%</w:t>
            </w:r>
          </w:p>
        </w:tc>
        <w:tc>
          <w:tcPr>
            <w:tcW w:w="960" w:type="dxa"/>
            <w:vAlign w:val="bottom"/>
          </w:tcPr>
          <w:p>
            <w:pPr>
              <w:jc w:val="right"/>
              <w:ind w:right="18"/>
              <w:spacing w:after="0" w:line="115" w:lineRule="exact"/>
              <w:rPr>
                <w:sz w:val="20"/>
                <w:szCs w:val="20"/>
                <w:color w:val="auto"/>
              </w:rPr>
            </w:pPr>
            <w:r>
              <w:rPr>
                <w:rFonts w:ascii="Arial" w:cs="Arial" w:eastAsia="Arial" w:hAnsi="Arial"/>
                <w:sz w:val="13"/>
                <w:szCs w:val="13"/>
                <w:color w:val="auto"/>
              </w:rPr>
              <w:t>(13.3)</w:t>
            </w:r>
          </w:p>
        </w:tc>
        <w:tc>
          <w:tcPr>
            <w:tcW w:w="840" w:type="dxa"/>
            <w:vAlign w:val="bottom"/>
            <w:tcBorders>
              <w:right w:val="single" w:sz="8" w:color="auto"/>
            </w:tcBorders>
          </w:tcPr>
          <w:p>
            <w:pPr>
              <w:jc w:val="right"/>
              <w:spacing w:after="0" w:line="115" w:lineRule="exact"/>
              <w:rPr>
                <w:sz w:val="20"/>
                <w:szCs w:val="20"/>
                <w:color w:val="auto"/>
              </w:rPr>
            </w:pPr>
            <w:r>
              <w:rPr>
                <w:rFonts w:ascii="Arial" w:cs="Arial" w:eastAsia="Arial" w:hAnsi="Arial"/>
                <w:sz w:val="13"/>
                <w:szCs w:val="13"/>
                <w:color w:val="auto"/>
              </w:rPr>
              <w:t>(20.9)</w:t>
            </w:r>
          </w:p>
        </w:tc>
        <w:tc>
          <w:tcPr>
            <w:tcW w:w="1140" w:type="dxa"/>
            <w:vAlign w:val="bottom"/>
            <w:tcBorders>
              <w:right w:val="single" w:sz="8" w:color="auto"/>
            </w:tcBorders>
          </w:tcPr>
          <w:p>
            <w:pPr>
              <w:jc w:val="center"/>
              <w:spacing w:after="0" w:line="115" w:lineRule="exact"/>
              <w:rPr>
                <w:sz w:val="20"/>
                <w:szCs w:val="20"/>
                <w:color w:val="auto"/>
              </w:rPr>
            </w:pPr>
            <w:r>
              <w:rPr>
                <w:rFonts w:ascii="Arial" w:cs="Arial" w:eastAsia="Arial" w:hAnsi="Arial"/>
                <w:sz w:val="13"/>
                <w:szCs w:val="13"/>
                <w:color w:val="auto"/>
              </w:rPr>
              <w:t>57.6%</w:t>
            </w:r>
          </w:p>
        </w:tc>
        <w:tc>
          <w:tcPr>
            <w:tcW w:w="0" w:type="dxa"/>
            <w:vAlign w:val="bottom"/>
          </w:tcPr>
          <w:p>
            <w:pPr>
              <w:spacing w:after="0"/>
              <w:rPr>
                <w:sz w:val="1"/>
                <w:szCs w:val="1"/>
                <w:color w:val="auto"/>
              </w:rPr>
            </w:pPr>
          </w:p>
        </w:tc>
      </w:tr>
      <w:tr>
        <w:trPr>
          <w:trHeight w:val="206"/>
        </w:trPr>
        <w:tc>
          <w:tcPr>
            <w:tcW w:w="1040" w:type="dxa"/>
            <w:vAlign w:val="bottom"/>
            <w:tcBorders>
              <w:left w:val="single" w:sz="8" w:color="auto"/>
              <w:bottom w:val="single" w:sz="8" w:color="auto"/>
              <w:right w:val="single" w:sz="8" w:color="auto"/>
            </w:tcBorders>
          </w:tcPr>
          <w:p>
            <w:pPr>
              <w:spacing w:after="0"/>
              <w:rPr>
                <w:sz w:val="17"/>
                <w:szCs w:val="17"/>
                <w:color w:val="auto"/>
              </w:rPr>
            </w:pPr>
          </w:p>
        </w:tc>
        <w:tc>
          <w:tcPr>
            <w:tcW w:w="2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b w:val="1"/>
                <w:bCs w:val="1"/>
                <w:color w:val="auto"/>
              </w:rPr>
              <w:t>Insurance Undewrwriting Result</w:t>
            </w: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9.2</w:t>
            </w:r>
          </w:p>
        </w:tc>
        <w:tc>
          <w:tcPr>
            <w:tcW w:w="96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b w:val="1"/>
                <w:bCs w:val="1"/>
                <w:color w:val="auto"/>
              </w:rPr>
              <w:t>11.8</w:t>
            </w:r>
          </w:p>
        </w:tc>
        <w:tc>
          <w:tcPr>
            <w:tcW w:w="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15.0</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27.6%</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62.3%</w:t>
            </w:r>
          </w:p>
        </w:tc>
        <w:tc>
          <w:tcPr>
            <w:tcW w:w="96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b w:val="1"/>
                <w:bCs w:val="1"/>
                <w:color w:val="auto"/>
              </w:rPr>
              <w:t>26.8</w:t>
            </w: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37.9</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41.1%</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 the QoQ analysis, the Insurance Underwriting Result rose 11.6%. This evolution reflected an -8.2% reduction in service expenses, which was driven primarily by Life and P &amp; C, and a more favorable Reinsurance result (-11.7%). This was partially attenuated by a reduction in income for insurance services, which was reported in both P&amp;C and Life.</w:t>
      </w:r>
    </w:p>
    <w:p>
      <w:pPr>
        <w:spacing w:after="0" w:line="136"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In the YoY analysis, the Insurance Underwriting Result increased by 8.9% due to an uptick in income for insurance services in Crediseguros, Life and P &amp; C. This evolution was partially attenuated by higher expenses for insurance services in P &amp; C.</w:t>
      </w:r>
    </w:p>
    <w:p>
      <w:pPr>
        <w:spacing w:after="0" w:line="124"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YTD, the Underwriting Insurance Result rose 31.1%. This improvement is mainly attributable to an increase in income from insurance services (+10.3%) which was primarily driven by Life and Crediseguros- and was partially offset by an increase in expenses for insurance services (+3.9%), which was fueled mainly by P &amp; C.</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 &amp; C</w:t>
      </w:r>
    </w:p>
    <w:p>
      <w:pPr>
        <w:spacing w:after="0" w:line="175" w:lineRule="exact"/>
        <w:rPr>
          <w:sz w:val="20"/>
          <w:szCs w:val="20"/>
          <w:color w:val="auto"/>
        </w:rPr>
      </w:pPr>
    </w:p>
    <w:p>
      <w:pPr>
        <w:ind w:left="1560"/>
        <w:spacing w:after="0"/>
        <w:tabs>
          <w:tab w:leader="none" w:pos="7180" w:val="left"/>
        </w:tabs>
        <w:rPr>
          <w:sz w:val="20"/>
          <w:szCs w:val="20"/>
          <w:color w:val="auto"/>
        </w:rPr>
      </w:pPr>
      <w:r>
        <w:rPr>
          <w:rFonts w:ascii="Arial" w:cs="Arial" w:eastAsia="Arial" w:hAnsi="Arial"/>
          <w:sz w:val="16"/>
          <w:szCs w:val="16"/>
          <w:b w:val="1"/>
          <w:bCs w:val="1"/>
          <w:color w:val="auto"/>
        </w:rPr>
        <w:t>Income for Insurance Services</w:t>
      </w:r>
      <w:r>
        <w:rPr>
          <w:sz w:val="20"/>
          <w:szCs w:val="20"/>
          <w:color w:val="auto"/>
        </w:rPr>
        <w:tab/>
      </w:r>
      <w:r>
        <w:rPr>
          <w:rFonts w:ascii="Arial" w:cs="Arial" w:eastAsia="Arial" w:hAnsi="Arial"/>
          <w:sz w:val="16"/>
          <w:szCs w:val="16"/>
          <w:b w:val="1"/>
          <w:bCs w:val="1"/>
          <w:color w:val="auto"/>
        </w:rPr>
        <w:t>Expenses for Insurance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13970</wp:posOffset>
            </wp:positionV>
            <wp:extent cx="6123305" cy="18605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123305" cy="1860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QoQ, the Insurance Underwriting Result rose 0.7%, driven by the following dynamics:</w:t>
      </w:r>
    </w:p>
    <w:p>
      <w:pPr>
        <w:spacing w:after="0" w:line="286" w:lineRule="exact"/>
        <w:rPr>
          <w:sz w:val="20"/>
          <w:szCs w:val="20"/>
          <w:color w:val="auto"/>
        </w:rPr>
      </w:pPr>
    </w:p>
    <w:p>
      <w:pPr>
        <w:ind w:left="600" w:hanging="304"/>
        <w:spacing w:after="0"/>
        <w:tabs>
          <w:tab w:leader="none" w:pos="6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Insurance income fell 5.2%, which was primarily attributable to a reduction in the premium level in P &amp; C.</w:t>
      </w:r>
    </w:p>
    <w:p>
      <w:pPr>
        <w:spacing w:after="0" w:line="13" w:lineRule="exact"/>
        <w:rPr>
          <w:rFonts w:ascii="Arial" w:cs="Arial" w:eastAsia="Arial" w:hAnsi="Arial"/>
          <w:sz w:val="16"/>
          <w:szCs w:val="16"/>
          <w:color w:val="auto"/>
        </w:rPr>
      </w:pPr>
    </w:p>
    <w:p>
      <w:pPr>
        <w:ind w:left="600" w:hanging="304"/>
        <w:spacing w:after="0"/>
        <w:tabs>
          <w:tab w:leader="none" w:pos="6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Insurance service expenses fell 6.6% due to a drop in claims in P &amp; C.</w:t>
      </w:r>
    </w:p>
    <w:p>
      <w:pPr>
        <w:spacing w:after="0" w:line="1" w:lineRule="exact"/>
        <w:rPr>
          <w:rFonts w:ascii="Arial" w:cs="Arial" w:eastAsia="Arial" w:hAnsi="Arial"/>
          <w:sz w:val="16"/>
          <w:szCs w:val="16"/>
          <w:color w:val="auto"/>
        </w:rPr>
      </w:pPr>
    </w:p>
    <w:p>
      <w:pPr>
        <w:ind w:left="600" w:hanging="304"/>
        <w:spacing w:after="0"/>
        <w:tabs>
          <w:tab w:leader="none" w:pos="6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reinsurance result dropped 7.1%, driven by a reduction in ceded premiums.</w:t>
      </w:r>
    </w:p>
    <w:p>
      <w:pPr>
        <w:spacing w:after="0" w:line="320" w:lineRule="exact"/>
        <w:rPr>
          <w:sz w:val="20"/>
          <w:szCs w:val="20"/>
          <w:color w:val="auto"/>
        </w:rPr>
      </w:pPr>
    </w:p>
    <w:p>
      <w:pPr>
        <w:ind w:left="11100"/>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40005</wp:posOffset>
            </wp:positionV>
            <wp:extent cx="7143750" cy="158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 w:name="page37"/>
    <w:bookmarkEnd w:id="36"/>
    <w:p>
      <w:pPr>
        <w:ind w:left="2960"/>
        <w:spacing w:after="0"/>
        <w:tabs>
          <w:tab w:leader="none" w:pos="3140" w:val="left"/>
          <w:tab w:leader="none" w:pos="7700" w:val="left"/>
        </w:tabs>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202565</wp:posOffset>
            </wp:positionH>
            <wp:positionV relativeFrom="page">
              <wp:posOffset>88900</wp:posOffset>
            </wp:positionV>
            <wp:extent cx="7143750" cy="41592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3750" cy="415925"/>
                    </a:xfrm>
                    <a:prstGeom prst="rect">
                      <a:avLst/>
                    </a:prstGeom>
                    <a:noFill/>
                  </pic:spPr>
                </pic:pic>
              </a:graphicData>
            </a:graphic>
          </wp:anchor>
        </w:drawing>
        <w:t>|</w:t>
      </w:r>
      <w:r>
        <w:rPr>
          <w:sz w:val="20"/>
          <w:szCs w:val="20"/>
          <w:color w:val="auto"/>
        </w:rPr>
        <w:tab/>
      </w:r>
      <w:r>
        <w:rPr>
          <w:rFonts w:ascii="Arial" w:cs="Arial" w:eastAsia="Arial" w:hAnsi="Arial"/>
          <w:sz w:val="16"/>
          <w:szCs w:val="16"/>
          <w:b w:val="1"/>
          <w:bCs w:val="1"/>
          <w:color w:val="FFFFFF"/>
        </w:rPr>
        <w:t>Earnings Release 3Q / 2023</w:t>
      </w:r>
      <w:r>
        <w:rPr>
          <w:sz w:val="20"/>
          <w:szCs w:val="20"/>
          <w:color w:val="auto"/>
        </w:rPr>
        <w:tab/>
      </w:r>
      <w:r>
        <w:rPr>
          <w:rFonts w:ascii="Arial" w:cs="Arial" w:eastAsia="Arial" w:hAnsi="Arial"/>
          <w:sz w:val="18"/>
          <w:szCs w:val="18"/>
          <w:b w:val="1"/>
          <w:bCs w:val="1"/>
          <w:color w:val="E93CAC"/>
        </w:rPr>
        <w:t>Analysis of 3Q23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159385</wp:posOffset>
            </wp:positionV>
            <wp:extent cx="7143750" cy="2038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3750" cy="203835"/>
                    </a:xfrm>
                    <a:prstGeom prst="rect">
                      <a:avLst/>
                    </a:prstGeom>
                    <a:noFill/>
                  </pic:spPr>
                </pic:pic>
              </a:graphicData>
            </a:graphic>
          </wp:anchor>
        </w:drawing>
      </w:r>
    </w:p>
    <w:p>
      <w:pPr>
        <w:spacing w:after="0" w:line="251"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FFFFFF"/>
        </w:rPr>
        <w:t>07. Insurance Underwriting Results</w:t>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color w:val="auto"/>
        </w:rPr>
        <w:t>YoY, the Insurance Underwriting Result rose 6.1% due to the following dynamics:</w:t>
      </w:r>
    </w:p>
    <w:p>
      <w:pPr>
        <w:spacing w:after="0" w:line="236" w:lineRule="exact"/>
        <w:rPr>
          <w:sz w:val="20"/>
          <w:szCs w:val="20"/>
          <w:color w:val="auto"/>
        </w:rPr>
      </w:pPr>
    </w:p>
    <w:p>
      <w:pPr>
        <w:ind w:left="600" w:hanging="304"/>
        <w:spacing w:after="0"/>
        <w:tabs>
          <w:tab w:leader="none" w:pos="6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Income from insurance services rose 1.8% YoY, fueled mainly by growth in premiums in P &amp; C, Cars and Medical Assistance.</w:t>
      </w:r>
    </w:p>
    <w:p>
      <w:pPr>
        <w:spacing w:after="0" w:line="13" w:lineRule="exact"/>
        <w:rPr>
          <w:rFonts w:ascii="Arial" w:cs="Arial" w:eastAsia="Arial" w:hAnsi="Arial"/>
          <w:sz w:val="16"/>
          <w:szCs w:val="16"/>
          <w:color w:val="auto"/>
        </w:rPr>
      </w:pPr>
    </w:p>
    <w:p>
      <w:pPr>
        <w:ind w:left="600" w:right="40" w:hanging="304"/>
        <w:spacing w:after="0" w:line="241" w:lineRule="auto"/>
        <w:tabs>
          <w:tab w:leader="none" w:pos="6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Expenses for life insurance services increased 6.2% YoY, which was primarily driven by (i) Cars, due to an increase in claims frequency; and (ii) P &amp; C, where the credit card protection line was impacted by an uptick in unrecognized internet purchases.</w:t>
      </w:r>
    </w:p>
    <w:p>
      <w:pPr>
        <w:spacing w:after="0" w:line="1" w:lineRule="exact"/>
        <w:rPr>
          <w:rFonts w:ascii="Arial" w:cs="Arial" w:eastAsia="Arial" w:hAnsi="Arial"/>
          <w:sz w:val="16"/>
          <w:szCs w:val="16"/>
          <w:color w:val="auto"/>
        </w:rPr>
      </w:pPr>
    </w:p>
    <w:p>
      <w:pPr>
        <w:ind w:left="600" w:hanging="304"/>
        <w:spacing w:after="0"/>
        <w:tabs>
          <w:tab w:leader="none" w:pos="6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reinsurance result dropped 16.4% in P &amp; C after more reinsurance claims related to Cyclone Yaku were recovered.</w:t>
      </w:r>
    </w:p>
    <w:p>
      <w:pPr>
        <w:spacing w:after="0" w:line="163" w:lineRule="exact"/>
        <w:rPr>
          <w:sz w:val="20"/>
          <w:szCs w:val="20"/>
          <w:color w:val="auto"/>
        </w:rPr>
      </w:pPr>
    </w:p>
    <w:p>
      <w:pPr>
        <w:ind w:right="1560"/>
        <w:spacing w:after="0" w:line="518" w:lineRule="auto"/>
        <w:rPr>
          <w:sz w:val="20"/>
          <w:szCs w:val="20"/>
          <w:color w:val="auto"/>
        </w:rPr>
      </w:pPr>
      <w:r>
        <w:rPr>
          <w:rFonts w:ascii="Arial" w:cs="Arial" w:eastAsia="Arial" w:hAnsi="Arial"/>
          <w:sz w:val="16"/>
          <w:szCs w:val="16"/>
          <w:color w:val="auto"/>
        </w:rPr>
        <w:t xml:space="preserve">YTD, the Insurance Underwriting Result fell 6.0%. This evolution was mainly driven by lower results for Personal Accidents and Cars. </w:t>
      </w:r>
      <w:r>
        <w:rPr>
          <w:rFonts w:ascii="Arial" w:cs="Arial" w:eastAsia="Arial" w:hAnsi="Arial"/>
          <w:sz w:val="16"/>
          <w:szCs w:val="16"/>
          <w:b w:val="1"/>
          <w:bCs w:val="1"/>
          <w:i w:val="1"/>
          <w:iCs w:val="1"/>
          <w:color w:val="auto"/>
        </w:rPr>
        <w:t>Life Insurance</w:t>
      </w:r>
    </w:p>
    <w:p>
      <w:pPr>
        <w:spacing w:after="0" w:line="1" w:lineRule="exact"/>
        <w:rPr>
          <w:sz w:val="20"/>
          <w:szCs w:val="20"/>
          <w:color w:val="auto"/>
        </w:rPr>
      </w:pPr>
    </w:p>
    <w:p>
      <w:pPr>
        <w:ind w:left="1560"/>
        <w:spacing w:after="0"/>
        <w:tabs>
          <w:tab w:leader="none" w:pos="7180" w:val="left"/>
        </w:tabs>
        <w:rPr>
          <w:sz w:val="20"/>
          <w:szCs w:val="20"/>
          <w:color w:val="auto"/>
        </w:rPr>
      </w:pPr>
      <w:r>
        <w:rPr>
          <w:rFonts w:ascii="Arial" w:cs="Arial" w:eastAsia="Arial" w:hAnsi="Arial"/>
          <w:sz w:val="16"/>
          <w:szCs w:val="16"/>
          <w:b w:val="1"/>
          <w:bCs w:val="1"/>
          <w:color w:val="auto"/>
        </w:rPr>
        <w:t>Income for Insurance Services</w:t>
      </w:r>
      <w:r>
        <w:rPr>
          <w:sz w:val="20"/>
          <w:szCs w:val="20"/>
          <w:color w:val="auto"/>
        </w:rPr>
        <w:tab/>
      </w:r>
      <w:r>
        <w:rPr>
          <w:rFonts w:ascii="Arial" w:cs="Arial" w:eastAsia="Arial" w:hAnsi="Arial"/>
          <w:sz w:val="16"/>
          <w:szCs w:val="16"/>
          <w:b w:val="1"/>
          <w:bCs w:val="1"/>
          <w:color w:val="auto"/>
        </w:rPr>
        <w:t>Expenses for Insurance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13970</wp:posOffset>
            </wp:positionV>
            <wp:extent cx="6162675" cy="21824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162675" cy="2182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QoQ, the Insurance Underwriting result rose 15.1%. The following dynamics stood out:</w:t>
      </w:r>
    </w:p>
    <w:p>
      <w:pPr>
        <w:spacing w:after="0" w:line="175" w:lineRule="exact"/>
        <w:rPr>
          <w:sz w:val="20"/>
          <w:szCs w:val="20"/>
          <w:color w:val="auto"/>
        </w:rPr>
      </w:pPr>
    </w:p>
    <w:p>
      <w:pPr>
        <w:ind w:left="600" w:hanging="304"/>
        <w:spacing w:after="0" w:line="249" w:lineRule="auto"/>
        <w:tabs>
          <w:tab w:leader="none" w:pos="6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Income from insurance services dropped 0.9% due to (i) Individual Life, which reported a reduction in sales, (ii) Pensions, due to a decrease in the premium level in SISCO V. This was partially offset by an uptick in income in Group Life.</w:t>
      </w:r>
    </w:p>
    <w:p>
      <w:pPr>
        <w:spacing w:after="0" w:line="1" w:lineRule="exact"/>
        <w:rPr>
          <w:rFonts w:ascii="Arial" w:cs="Arial" w:eastAsia="Arial" w:hAnsi="Arial"/>
          <w:sz w:val="16"/>
          <w:szCs w:val="16"/>
          <w:color w:val="auto"/>
        </w:rPr>
      </w:pPr>
    </w:p>
    <w:p>
      <w:pPr>
        <w:ind w:left="600" w:hanging="304"/>
        <w:spacing w:after="0"/>
        <w:tabs>
          <w:tab w:leader="none" w:pos="6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Expenses for insurance services fell 10.1%, which was driven primarily by Credit Life and Individual Life via releases of IBNR COVID.</w:t>
      </w:r>
    </w:p>
    <w:p>
      <w:pPr>
        <w:spacing w:after="0" w:line="1" w:lineRule="exact"/>
        <w:rPr>
          <w:rFonts w:ascii="Arial" w:cs="Arial" w:eastAsia="Arial" w:hAnsi="Arial"/>
          <w:sz w:val="16"/>
          <w:szCs w:val="16"/>
          <w:color w:val="auto"/>
        </w:rPr>
      </w:pPr>
    </w:p>
    <w:p>
      <w:pPr>
        <w:ind w:left="600" w:right="60" w:hanging="304"/>
        <w:spacing w:after="0" w:line="259" w:lineRule="auto"/>
        <w:tabs>
          <w:tab w:leader="none" w:pos="6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loss recovered for the insurance result fell 27.9%, which reflects an uptick in recoveries on reinsurance claims and a drop in ceded premiums through Pensions.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YoY, the Insurance Underwriting Result rose 7.0%. The following dynamics were noteworthy:</w:t>
      </w:r>
    </w:p>
    <w:p>
      <w:pPr>
        <w:spacing w:after="0" w:line="187" w:lineRule="exact"/>
        <w:rPr>
          <w:sz w:val="20"/>
          <w:szCs w:val="20"/>
          <w:color w:val="auto"/>
        </w:rPr>
      </w:pPr>
    </w:p>
    <w:p>
      <w:pPr>
        <w:ind w:left="600" w:right="120" w:hanging="304"/>
        <w:spacing w:after="0" w:line="249" w:lineRule="auto"/>
        <w:tabs>
          <w:tab w:leader="none" w:pos="6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Income from insurance services rose 1.5%. This growth was driven primarily by Pensions and reflects positive movements in both prices and the size of the tranche awarded under SISCO VI in comparison to the conditions obtained under SISCO V.</w:t>
      </w:r>
    </w:p>
    <w:p>
      <w:pPr>
        <w:spacing w:after="0" w:line="1" w:lineRule="exact"/>
        <w:rPr>
          <w:rFonts w:ascii="Arial" w:cs="Arial" w:eastAsia="Arial" w:hAnsi="Arial"/>
          <w:sz w:val="16"/>
          <w:szCs w:val="16"/>
          <w:color w:val="auto"/>
        </w:rPr>
      </w:pPr>
    </w:p>
    <w:p>
      <w:pPr>
        <w:ind w:left="600" w:right="580" w:hanging="304"/>
        <w:spacing w:after="0" w:line="241" w:lineRule="auto"/>
        <w:tabs>
          <w:tab w:leader="none" w:pos="6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Insurance expenses fell 4.4% YoY and 8.2% YTD, which was fueled mainly by the evolution in Pensions, Credit Life and Group Life, which reported a reduction in claims in comparison to periods affected by COVID-19.</w:t>
      </w:r>
    </w:p>
    <w:p>
      <w:pPr>
        <w:spacing w:after="0" w:line="1" w:lineRule="exact"/>
        <w:rPr>
          <w:rFonts w:ascii="Arial" w:cs="Arial" w:eastAsia="Arial" w:hAnsi="Arial"/>
          <w:sz w:val="16"/>
          <w:szCs w:val="16"/>
          <w:color w:val="auto"/>
        </w:rPr>
      </w:pPr>
    </w:p>
    <w:p>
      <w:pPr>
        <w:ind w:left="600" w:hanging="304"/>
        <w:spacing w:after="0"/>
        <w:tabs>
          <w:tab w:leader="none" w:pos="6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loss on reinsurance increased 23.1%.</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YTD, the Insurance Underwriting Result increased by 50.3%, driven primarily by better results in Pensions and Credit Life.</w:t>
      </w:r>
    </w:p>
    <w:p>
      <w:pPr>
        <w:spacing w:after="0" w:line="33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43750" cy="158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 w:name="page38"/>
    <w:bookmarkEnd w:id="37"/>
    <w:p>
      <w:pPr>
        <w:ind w:left="2961"/>
        <w:spacing w:after="0"/>
        <w:tabs>
          <w:tab w:leader="none" w:pos="3141" w:val="left"/>
          <w:tab w:leader="none" w:pos="7701" w:val="left"/>
        </w:tabs>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202565</wp:posOffset>
            </wp:positionH>
            <wp:positionV relativeFrom="page">
              <wp:posOffset>88900</wp:posOffset>
            </wp:positionV>
            <wp:extent cx="7143750" cy="41592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3750" cy="415925"/>
                    </a:xfrm>
                    <a:prstGeom prst="rect">
                      <a:avLst/>
                    </a:prstGeom>
                    <a:noFill/>
                  </pic:spPr>
                </pic:pic>
              </a:graphicData>
            </a:graphic>
          </wp:anchor>
        </w:drawing>
        <w:t>|</w:t>
      </w:r>
      <w:r>
        <w:rPr>
          <w:sz w:val="20"/>
          <w:szCs w:val="20"/>
          <w:color w:val="auto"/>
        </w:rPr>
        <w:tab/>
      </w:r>
      <w:r>
        <w:rPr>
          <w:rFonts w:ascii="Arial" w:cs="Arial" w:eastAsia="Arial" w:hAnsi="Arial"/>
          <w:sz w:val="16"/>
          <w:szCs w:val="16"/>
          <w:b w:val="1"/>
          <w:bCs w:val="1"/>
          <w:color w:val="FFFFFF"/>
        </w:rPr>
        <w:t>Earnings Release 3Q / 2023</w:t>
      </w:r>
      <w:r>
        <w:rPr>
          <w:sz w:val="20"/>
          <w:szCs w:val="20"/>
          <w:color w:val="auto"/>
        </w:rPr>
        <w:tab/>
      </w:r>
      <w:r>
        <w:rPr>
          <w:rFonts w:ascii="Arial" w:cs="Arial" w:eastAsia="Arial" w:hAnsi="Arial"/>
          <w:sz w:val="18"/>
          <w:szCs w:val="18"/>
          <w:b w:val="1"/>
          <w:bCs w:val="1"/>
          <w:color w:val="E93CAC"/>
        </w:rPr>
        <w:t>Analysis of 3Q23 Consolidated Results</w:t>
      </w:r>
    </w:p>
    <w:p>
      <w:pPr>
        <w:spacing w:after="0" w:line="293" w:lineRule="exact"/>
        <w:rPr>
          <w:sz w:val="20"/>
          <w:szCs w:val="20"/>
          <w:color w:val="auto"/>
        </w:rPr>
      </w:pPr>
    </w:p>
    <w:p>
      <w:pPr>
        <w:ind w:left="1"/>
        <w:spacing w:after="0"/>
        <w:tabs>
          <w:tab w:leader="none" w:pos="881" w:val="left"/>
        </w:tabs>
        <w:rPr>
          <w:sz w:val="20"/>
          <w:szCs w:val="20"/>
          <w:color w:val="auto"/>
        </w:rPr>
      </w:pPr>
      <w:r>
        <w:rPr>
          <w:rFonts w:ascii="Arial" w:cs="Arial" w:eastAsia="Arial" w:hAnsi="Arial"/>
          <w:sz w:val="40"/>
          <w:szCs w:val="40"/>
          <w:b w:val="1"/>
          <w:bCs w:val="1"/>
          <w:color w:val="E93CAC"/>
        </w:rPr>
        <w:t>08</w:t>
      </w:r>
      <w:r>
        <w:rPr>
          <w:sz w:val="20"/>
          <w:szCs w:val="20"/>
          <w:color w:val="auto"/>
        </w:rPr>
        <w:tab/>
      </w:r>
      <w:r>
        <w:rPr>
          <w:rFonts w:ascii="Arial" w:cs="Arial" w:eastAsia="Arial" w:hAnsi="Arial"/>
          <w:sz w:val="30"/>
          <w:szCs w:val="30"/>
          <w:color w:val="E93CAC"/>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191135</wp:posOffset>
            </wp:positionV>
            <wp:extent cx="7143750" cy="7143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3750" cy="714375"/>
                    </a:xfrm>
                    <a:prstGeom prst="rect">
                      <a:avLst/>
                    </a:prstGeom>
                    <a:noFill/>
                  </pic:spPr>
                </pic:pic>
              </a:graphicData>
            </a:graphic>
          </wp:anchor>
        </w:drawing>
      </w:r>
    </w:p>
    <w:p>
      <w:pPr>
        <w:spacing w:after="0" w:line="368" w:lineRule="exact"/>
        <w:rPr>
          <w:sz w:val="20"/>
          <w:szCs w:val="20"/>
          <w:color w:val="auto"/>
        </w:rPr>
      </w:pPr>
    </w:p>
    <w:p>
      <w:pPr>
        <w:ind w:left="241" w:right="260"/>
        <w:spacing w:after="0" w:line="250" w:lineRule="auto"/>
        <w:rPr>
          <w:sz w:val="20"/>
          <w:szCs w:val="20"/>
          <w:color w:val="auto"/>
        </w:rPr>
      </w:pPr>
      <w:r>
        <w:rPr>
          <w:rFonts w:ascii="Arial" w:cs="Arial" w:eastAsia="Arial" w:hAnsi="Arial"/>
          <w:sz w:val="16"/>
          <w:szCs w:val="16"/>
          <w:color w:val="FFFFFF"/>
        </w:rPr>
        <w:t>Operating expenses rose YTD, driven primarily by core businesses at BCP and disruptive initiatives at the Credicorp level. At BCP, core businesses fueled growth in expenses through an uptick in IT expenses related to: (i) increased use of the Cloud as clients become more digital; (ii) investments to enhance digital capacities and improve cybersecurity; and (iii) moves to attract more specialized Digital talent. Expenses for disruptive initiatives at the Credicorp level increased 64.3% as some of these initiatives have scaled up. If we exclude expenses for disruption, YTD growth in Operating Expenses stands at 7.5%.</w:t>
      </w:r>
    </w:p>
    <w:p>
      <w:pPr>
        <w:spacing w:after="0" w:line="278"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Total Operating Expenses</w:t>
      </w:r>
    </w:p>
    <w:p>
      <w:pPr>
        <w:spacing w:after="0" w:line="182" w:lineRule="exact"/>
        <w:rPr>
          <w:sz w:val="20"/>
          <w:szCs w:val="20"/>
          <w:color w:val="auto"/>
        </w:rPr>
      </w:pPr>
    </w:p>
    <w:tbl>
      <w:tblPr>
        <w:tblLayout w:type="fixed"/>
        <w:tblInd w:w="11" w:type="dxa"/>
        <w:tblCellMar>
          <w:top w:w="0" w:type="dxa"/>
          <w:left w:w="0" w:type="dxa"/>
          <w:bottom w:w="0" w:type="dxa"/>
          <w:right w:w="0" w:type="dxa"/>
        </w:tblCellMar>
      </w:tblPr>
      <w:tr>
        <w:trPr>
          <w:trHeight w:val="177"/>
        </w:trPr>
        <w:tc>
          <w:tcPr>
            <w:tcW w:w="3660" w:type="dxa"/>
            <w:vAlign w:val="bottom"/>
            <w:tcBorders>
              <w:top w:val="single" w:sz="8" w:color="auto"/>
              <w:left w:val="single" w:sz="8" w:color="auto"/>
              <w:right w:val="single" w:sz="8" w:color="auto"/>
            </w:tcBorders>
            <w:shd w:val="clear" w:color="auto" w:fill="2AD2C9"/>
          </w:tcPr>
          <w:p>
            <w:pPr>
              <w:ind w:left="20"/>
              <w:spacing w:after="0" w:line="177" w:lineRule="exact"/>
              <w:rPr>
                <w:sz w:val="20"/>
                <w:szCs w:val="20"/>
                <w:color w:val="auto"/>
              </w:rPr>
            </w:pPr>
            <w:r>
              <w:rPr>
                <w:rFonts w:ascii="Arial" w:cs="Arial" w:eastAsia="Arial" w:hAnsi="Arial"/>
                <w:sz w:val="16"/>
                <w:szCs w:val="16"/>
                <w:b w:val="1"/>
                <w:bCs w:val="1"/>
                <w:color w:val="FFFFFF"/>
              </w:rPr>
              <w:t>Operating expenses</w:t>
            </w:r>
          </w:p>
        </w:tc>
        <w:tc>
          <w:tcPr>
            <w:tcW w:w="940" w:type="dxa"/>
            <w:vAlign w:val="bottom"/>
            <w:tcBorders>
              <w:top w:val="single" w:sz="8" w:color="auto"/>
            </w:tcBorders>
            <w:shd w:val="clear" w:color="auto" w:fill="2AD2C9"/>
          </w:tcPr>
          <w:p>
            <w:pPr>
              <w:spacing w:after="0"/>
              <w:rPr>
                <w:sz w:val="15"/>
                <w:szCs w:val="15"/>
                <w:color w:val="auto"/>
              </w:rPr>
            </w:pPr>
          </w:p>
        </w:tc>
        <w:tc>
          <w:tcPr>
            <w:tcW w:w="880" w:type="dxa"/>
            <w:vAlign w:val="bottom"/>
            <w:tcBorders>
              <w:top w:val="single" w:sz="8" w:color="auto"/>
            </w:tcBorders>
            <w:shd w:val="clear" w:color="auto" w:fill="2AD2C9"/>
          </w:tcPr>
          <w:p>
            <w:pPr>
              <w:jc w:val="right"/>
              <w:ind w:right="138"/>
              <w:spacing w:after="0" w:line="177" w:lineRule="exact"/>
              <w:rPr>
                <w:sz w:val="20"/>
                <w:szCs w:val="20"/>
                <w:color w:val="auto"/>
              </w:rPr>
            </w:pPr>
            <w:r>
              <w:rPr>
                <w:rFonts w:ascii="Arial" w:cs="Arial" w:eastAsia="Arial" w:hAnsi="Arial"/>
                <w:sz w:val="16"/>
                <w:szCs w:val="16"/>
                <w:b w:val="1"/>
                <w:bCs w:val="1"/>
                <w:color w:val="FFFFFF"/>
              </w:rPr>
              <w:t>Quarter</w:t>
            </w:r>
          </w:p>
        </w:tc>
        <w:tc>
          <w:tcPr>
            <w:tcW w:w="820" w:type="dxa"/>
            <w:vAlign w:val="bottom"/>
            <w:tcBorders>
              <w:top w:val="single" w:sz="8" w:color="auto"/>
              <w:right w:val="single" w:sz="8" w:color="auto"/>
            </w:tcBorders>
            <w:shd w:val="clear" w:color="auto" w:fill="2AD2C9"/>
          </w:tcPr>
          <w:p>
            <w:pPr>
              <w:spacing w:after="0"/>
              <w:rPr>
                <w:sz w:val="15"/>
                <w:szCs w:val="15"/>
                <w:color w:val="auto"/>
              </w:rPr>
            </w:pPr>
          </w:p>
        </w:tc>
        <w:tc>
          <w:tcPr>
            <w:tcW w:w="1700" w:type="dxa"/>
            <w:vAlign w:val="bottom"/>
            <w:tcBorders>
              <w:top w:val="single" w:sz="8" w:color="auto"/>
              <w:right w:val="single" w:sz="8" w:color="auto"/>
            </w:tcBorders>
            <w:gridSpan w:val="2"/>
            <w:shd w:val="clear" w:color="auto" w:fill="2AD2C9"/>
          </w:tcPr>
          <w:p>
            <w:pPr>
              <w:ind w:left="440"/>
              <w:spacing w:after="0" w:line="177" w:lineRule="exact"/>
              <w:rPr>
                <w:sz w:val="20"/>
                <w:szCs w:val="20"/>
                <w:color w:val="auto"/>
              </w:rPr>
            </w:pPr>
            <w:r>
              <w:rPr>
                <w:rFonts w:ascii="Arial" w:cs="Arial" w:eastAsia="Arial" w:hAnsi="Arial"/>
                <w:sz w:val="16"/>
                <w:szCs w:val="16"/>
                <w:b w:val="1"/>
                <w:bCs w:val="1"/>
                <w:color w:val="FFFFFF"/>
              </w:rPr>
              <w:t>% change</w:t>
            </w:r>
          </w:p>
        </w:tc>
        <w:tc>
          <w:tcPr>
            <w:tcW w:w="1220" w:type="dxa"/>
            <w:vAlign w:val="bottom"/>
            <w:tcBorders>
              <w:top w:val="single" w:sz="8" w:color="auto"/>
            </w:tcBorders>
            <w:shd w:val="clear" w:color="auto" w:fill="2AD2C9"/>
          </w:tcPr>
          <w:p>
            <w:pPr>
              <w:jc w:val="right"/>
              <w:spacing w:after="0" w:line="177" w:lineRule="exact"/>
              <w:rPr>
                <w:sz w:val="20"/>
                <w:szCs w:val="20"/>
                <w:color w:val="auto"/>
              </w:rPr>
            </w:pPr>
            <w:r>
              <w:rPr>
                <w:rFonts w:ascii="Arial" w:cs="Arial" w:eastAsia="Arial" w:hAnsi="Arial"/>
                <w:sz w:val="16"/>
                <w:szCs w:val="16"/>
                <w:b w:val="1"/>
                <w:bCs w:val="1"/>
                <w:color w:val="FFFFFF"/>
              </w:rPr>
              <w:t>As of</w:t>
            </w:r>
          </w:p>
        </w:tc>
        <w:tc>
          <w:tcPr>
            <w:tcW w:w="820" w:type="dxa"/>
            <w:vAlign w:val="bottom"/>
            <w:tcBorders>
              <w:top w:val="single" w:sz="8" w:color="auto"/>
              <w:right w:val="single" w:sz="8" w:color="auto"/>
            </w:tcBorders>
            <w:shd w:val="clear" w:color="auto" w:fill="2AD2C9"/>
          </w:tcPr>
          <w:p>
            <w:pPr>
              <w:spacing w:after="0"/>
              <w:rPr>
                <w:sz w:val="15"/>
                <w:szCs w:val="15"/>
                <w:color w:val="auto"/>
              </w:rPr>
            </w:pPr>
          </w:p>
        </w:tc>
        <w:tc>
          <w:tcPr>
            <w:tcW w:w="1220" w:type="dxa"/>
            <w:vAlign w:val="bottom"/>
            <w:tcBorders>
              <w:top w:val="single" w:sz="8" w:color="auto"/>
              <w:right w:val="single" w:sz="8" w:color="auto"/>
            </w:tcBorders>
            <w:shd w:val="clear" w:color="auto" w:fill="2AD2C9"/>
          </w:tcPr>
          <w:p>
            <w:pPr>
              <w:jc w:val="center"/>
              <w:spacing w:after="0" w:line="177" w:lineRule="exact"/>
              <w:rPr>
                <w:sz w:val="20"/>
                <w:szCs w:val="20"/>
                <w:color w:val="auto"/>
              </w:rPr>
            </w:pPr>
            <w:r>
              <w:rPr>
                <w:rFonts w:ascii="Arial" w:cs="Arial" w:eastAsia="Arial" w:hAnsi="Arial"/>
                <w:sz w:val="16"/>
                <w:szCs w:val="16"/>
                <w:b w:val="1"/>
                <w:bCs w:val="1"/>
                <w:color w:val="FFFFFF"/>
              </w:rPr>
              <w:t>% change</w:t>
            </w:r>
          </w:p>
        </w:tc>
      </w:tr>
      <w:tr>
        <w:trPr>
          <w:trHeight w:val="206"/>
        </w:trPr>
        <w:tc>
          <w:tcPr>
            <w:tcW w:w="3660" w:type="dxa"/>
            <w:vAlign w:val="bottom"/>
            <w:tcBorders>
              <w:left w:val="single" w:sz="8" w:color="auto"/>
              <w:bottom w:val="single" w:sz="8" w:color="auto"/>
              <w:right w:val="single" w:sz="8" w:color="auto"/>
            </w:tcBorders>
            <w:shd w:val="clear" w:color="auto" w:fill="2AD2C9"/>
          </w:tcPr>
          <w:p>
            <w:pPr>
              <w:ind w:left="20"/>
              <w:spacing w:after="0"/>
              <w:rPr>
                <w:sz w:val="20"/>
                <w:szCs w:val="20"/>
                <w:color w:val="auto"/>
              </w:rPr>
            </w:pPr>
            <w:r>
              <w:rPr>
                <w:rFonts w:ascii="Arial" w:cs="Arial" w:eastAsia="Arial" w:hAnsi="Arial"/>
                <w:sz w:val="16"/>
                <w:szCs w:val="16"/>
                <w:b w:val="1"/>
                <w:bCs w:val="1"/>
                <w:color w:val="FFFFFF"/>
              </w:rPr>
              <w:t>S/ 000</w:t>
            </w:r>
          </w:p>
        </w:tc>
        <w:tc>
          <w:tcPr>
            <w:tcW w:w="940" w:type="dxa"/>
            <w:vAlign w:val="bottom"/>
            <w:tcBorders>
              <w:bottom w:val="single" w:sz="8" w:color="auto"/>
            </w:tcBorders>
            <w:shd w:val="clear" w:color="auto" w:fill="2AD2C9"/>
          </w:tcPr>
          <w:p>
            <w:pPr>
              <w:jc w:val="right"/>
              <w:ind w:right="238"/>
              <w:spacing w:after="0"/>
              <w:rPr>
                <w:sz w:val="20"/>
                <w:szCs w:val="20"/>
                <w:color w:val="auto"/>
              </w:rPr>
            </w:pPr>
            <w:r>
              <w:rPr>
                <w:rFonts w:ascii="Arial" w:cs="Arial" w:eastAsia="Arial" w:hAnsi="Arial"/>
                <w:sz w:val="16"/>
                <w:szCs w:val="16"/>
                <w:b w:val="1"/>
                <w:bCs w:val="1"/>
                <w:color w:val="FFFFFF"/>
              </w:rPr>
              <w:t>3Q22</w:t>
            </w:r>
          </w:p>
        </w:tc>
        <w:tc>
          <w:tcPr>
            <w:tcW w:w="880" w:type="dxa"/>
            <w:vAlign w:val="bottom"/>
            <w:tcBorders>
              <w:bottom w:val="single" w:sz="8" w:color="auto"/>
            </w:tcBorders>
            <w:shd w:val="clear" w:color="auto" w:fill="2AD2C9"/>
          </w:tcPr>
          <w:p>
            <w:pPr>
              <w:jc w:val="right"/>
              <w:ind w:right="238"/>
              <w:spacing w:after="0"/>
              <w:rPr>
                <w:sz w:val="20"/>
                <w:szCs w:val="20"/>
                <w:color w:val="auto"/>
              </w:rPr>
            </w:pPr>
            <w:r>
              <w:rPr>
                <w:rFonts w:ascii="Arial" w:cs="Arial" w:eastAsia="Arial" w:hAnsi="Arial"/>
                <w:sz w:val="16"/>
                <w:szCs w:val="16"/>
                <w:b w:val="1"/>
                <w:bCs w:val="1"/>
                <w:color w:val="FFFFFF"/>
              </w:rPr>
              <w:t>2Q23</w:t>
            </w:r>
          </w:p>
        </w:tc>
        <w:tc>
          <w:tcPr>
            <w:tcW w:w="820" w:type="dxa"/>
            <w:vAlign w:val="bottom"/>
            <w:tcBorders>
              <w:bottom w:val="single" w:sz="8" w:color="auto"/>
              <w:right w:val="single" w:sz="8" w:color="auto"/>
            </w:tcBorders>
            <w:shd w:val="clear" w:color="auto" w:fill="2AD2C9"/>
          </w:tcPr>
          <w:p>
            <w:pPr>
              <w:jc w:val="right"/>
              <w:ind w:right="178"/>
              <w:spacing w:after="0"/>
              <w:rPr>
                <w:sz w:val="20"/>
                <w:szCs w:val="20"/>
                <w:color w:val="auto"/>
              </w:rPr>
            </w:pPr>
            <w:r>
              <w:rPr>
                <w:rFonts w:ascii="Arial" w:cs="Arial" w:eastAsia="Arial" w:hAnsi="Arial"/>
                <w:sz w:val="16"/>
                <w:szCs w:val="16"/>
                <w:b w:val="1"/>
                <w:bCs w:val="1"/>
                <w:color w:val="FFFFFF"/>
              </w:rPr>
              <w:t>3Q23</w:t>
            </w:r>
          </w:p>
        </w:tc>
        <w:tc>
          <w:tcPr>
            <w:tcW w:w="860" w:type="dxa"/>
            <w:vAlign w:val="bottom"/>
            <w:tcBorders>
              <w:bottom w:val="single" w:sz="8" w:color="auto"/>
            </w:tcBorders>
            <w:shd w:val="clear" w:color="auto" w:fill="2AD2C9"/>
          </w:tcPr>
          <w:p>
            <w:pPr>
              <w:ind w:left="240"/>
              <w:spacing w:after="0"/>
              <w:rPr>
                <w:sz w:val="20"/>
                <w:szCs w:val="20"/>
                <w:color w:val="auto"/>
              </w:rPr>
            </w:pPr>
            <w:r>
              <w:rPr>
                <w:rFonts w:ascii="Arial" w:cs="Arial" w:eastAsia="Arial" w:hAnsi="Arial"/>
                <w:sz w:val="16"/>
                <w:szCs w:val="16"/>
                <w:b w:val="1"/>
                <w:bCs w:val="1"/>
                <w:color w:val="FFFFFF"/>
              </w:rPr>
              <w:t>QoQ</w:t>
            </w:r>
          </w:p>
        </w:tc>
        <w:tc>
          <w:tcPr>
            <w:tcW w:w="840" w:type="dxa"/>
            <w:vAlign w:val="bottom"/>
            <w:tcBorders>
              <w:bottom w:val="single" w:sz="8" w:color="auto"/>
              <w:right w:val="single" w:sz="8" w:color="auto"/>
            </w:tcBorders>
            <w:shd w:val="clear" w:color="auto" w:fill="2AD2C9"/>
          </w:tcPr>
          <w:p>
            <w:pPr>
              <w:ind w:left="260"/>
              <w:spacing w:after="0"/>
              <w:rPr>
                <w:sz w:val="20"/>
                <w:szCs w:val="20"/>
                <w:color w:val="auto"/>
              </w:rPr>
            </w:pPr>
            <w:r>
              <w:rPr>
                <w:rFonts w:ascii="Arial" w:cs="Arial" w:eastAsia="Arial" w:hAnsi="Arial"/>
                <w:sz w:val="16"/>
                <w:szCs w:val="16"/>
                <w:b w:val="1"/>
                <w:bCs w:val="1"/>
                <w:color w:val="FFFFFF"/>
              </w:rPr>
              <w:t>YoY</w:t>
            </w:r>
          </w:p>
        </w:tc>
        <w:tc>
          <w:tcPr>
            <w:tcW w:w="1220" w:type="dxa"/>
            <w:vAlign w:val="bottom"/>
            <w:tcBorders>
              <w:bottom w:val="single" w:sz="8" w:color="auto"/>
            </w:tcBorders>
            <w:shd w:val="clear" w:color="auto" w:fill="2AD2C9"/>
          </w:tcPr>
          <w:p>
            <w:pPr>
              <w:jc w:val="right"/>
              <w:ind w:right="398"/>
              <w:spacing w:after="0"/>
              <w:rPr>
                <w:sz w:val="20"/>
                <w:szCs w:val="20"/>
                <w:color w:val="auto"/>
              </w:rPr>
            </w:pPr>
            <w:r>
              <w:rPr>
                <w:rFonts w:ascii="Arial" w:cs="Arial" w:eastAsia="Arial" w:hAnsi="Arial"/>
                <w:sz w:val="16"/>
                <w:szCs w:val="16"/>
                <w:b w:val="1"/>
                <w:bCs w:val="1"/>
                <w:color w:val="FFFFFF"/>
              </w:rPr>
              <w:t>Sep 22</w:t>
            </w:r>
          </w:p>
        </w:tc>
        <w:tc>
          <w:tcPr>
            <w:tcW w:w="820" w:type="dxa"/>
            <w:vAlign w:val="bottom"/>
            <w:tcBorders>
              <w:bottom w:val="single" w:sz="8" w:color="auto"/>
              <w:right w:val="single" w:sz="8" w:color="auto"/>
            </w:tcBorders>
            <w:shd w:val="clear" w:color="auto" w:fill="2AD2C9"/>
          </w:tcPr>
          <w:p>
            <w:pPr>
              <w:jc w:val="right"/>
              <w:ind w:right="198"/>
              <w:spacing w:after="0"/>
              <w:rPr>
                <w:sz w:val="20"/>
                <w:szCs w:val="20"/>
                <w:color w:val="auto"/>
              </w:rPr>
            </w:pPr>
            <w:r>
              <w:rPr>
                <w:rFonts w:ascii="Arial" w:cs="Arial" w:eastAsia="Arial" w:hAnsi="Arial"/>
                <w:sz w:val="16"/>
                <w:szCs w:val="16"/>
                <w:b w:val="1"/>
                <w:bCs w:val="1"/>
                <w:color w:val="FFFFFF"/>
              </w:rPr>
              <w:t>Sep 23</w:t>
            </w:r>
          </w:p>
        </w:tc>
        <w:tc>
          <w:tcPr>
            <w:tcW w:w="122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6"/>
                <w:szCs w:val="16"/>
                <w:b w:val="1"/>
                <w:bCs w:val="1"/>
                <w:color w:val="FFFFFF"/>
              </w:rPr>
              <w:t>Sep 23 / Sep 22</w:t>
            </w:r>
          </w:p>
        </w:tc>
      </w:tr>
      <w:tr>
        <w:trPr>
          <w:trHeight w:val="165"/>
        </w:trPr>
        <w:tc>
          <w:tcPr>
            <w:tcW w:w="3660" w:type="dxa"/>
            <w:vAlign w:val="bottom"/>
            <w:tcBorders>
              <w:left w:val="single" w:sz="8" w:color="auto"/>
              <w:right w:val="single" w:sz="8" w:color="auto"/>
            </w:tcBorders>
          </w:tcPr>
          <w:p>
            <w:pPr>
              <w:ind w:left="20"/>
              <w:spacing w:after="0" w:line="165" w:lineRule="exact"/>
              <w:rPr>
                <w:sz w:val="20"/>
                <w:szCs w:val="20"/>
                <w:color w:val="auto"/>
              </w:rPr>
            </w:pPr>
            <w:r>
              <w:rPr>
                <w:rFonts w:ascii="Arial" w:cs="Arial" w:eastAsia="Arial" w:hAnsi="Arial"/>
                <w:sz w:val="16"/>
                <w:szCs w:val="16"/>
                <w:color w:val="auto"/>
              </w:rPr>
              <w:t>Salaries and employees benefits</w:t>
            </w:r>
          </w:p>
        </w:tc>
        <w:tc>
          <w:tcPr>
            <w:tcW w:w="940" w:type="dxa"/>
            <w:vAlign w:val="bottom"/>
          </w:tcPr>
          <w:p>
            <w:pPr>
              <w:jc w:val="right"/>
              <w:spacing w:after="0" w:line="165" w:lineRule="exact"/>
              <w:rPr>
                <w:sz w:val="20"/>
                <w:szCs w:val="20"/>
                <w:color w:val="auto"/>
              </w:rPr>
            </w:pPr>
            <w:r>
              <w:rPr>
                <w:rFonts w:ascii="Arial" w:cs="Arial" w:eastAsia="Arial" w:hAnsi="Arial"/>
                <w:sz w:val="16"/>
                <w:szCs w:val="16"/>
                <w:color w:val="auto"/>
              </w:rPr>
              <w:t>984,336</w:t>
            </w:r>
          </w:p>
        </w:tc>
        <w:tc>
          <w:tcPr>
            <w:tcW w:w="880" w:type="dxa"/>
            <w:vAlign w:val="bottom"/>
          </w:tcPr>
          <w:p>
            <w:pPr>
              <w:jc w:val="right"/>
              <w:spacing w:after="0" w:line="165" w:lineRule="exact"/>
              <w:rPr>
                <w:sz w:val="20"/>
                <w:szCs w:val="20"/>
                <w:color w:val="auto"/>
              </w:rPr>
            </w:pPr>
            <w:r>
              <w:rPr>
                <w:rFonts w:ascii="Arial" w:cs="Arial" w:eastAsia="Arial" w:hAnsi="Arial"/>
                <w:sz w:val="16"/>
                <w:szCs w:val="16"/>
                <w:color w:val="auto"/>
              </w:rPr>
              <w:t>1,054,735</w:t>
            </w:r>
          </w:p>
        </w:tc>
        <w:tc>
          <w:tcPr>
            <w:tcW w:w="820" w:type="dxa"/>
            <w:vAlign w:val="bottom"/>
            <w:tcBorders>
              <w:right w:val="single" w:sz="8" w:color="auto"/>
            </w:tcBorders>
          </w:tcPr>
          <w:p>
            <w:pPr>
              <w:jc w:val="right"/>
              <w:spacing w:after="0" w:line="165" w:lineRule="exact"/>
              <w:rPr>
                <w:sz w:val="20"/>
                <w:szCs w:val="20"/>
                <w:color w:val="auto"/>
              </w:rPr>
            </w:pPr>
            <w:r>
              <w:rPr>
                <w:rFonts w:ascii="Arial" w:cs="Arial" w:eastAsia="Arial" w:hAnsi="Arial"/>
                <w:sz w:val="16"/>
                <w:szCs w:val="16"/>
                <w:color w:val="auto"/>
              </w:rPr>
              <w:t>1,061,402</w:t>
            </w:r>
          </w:p>
        </w:tc>
        <w:tc>
          <w:tcPr>
            <w:tcW w:w="860" w:type="dxa"/>
            <w:vAlign w:val="bottom"/>
          </w:tcPr>
          <w:p>
            <w:pPr>
              <w:jc w:val="center"/>
              <w:spacing w:after="0" w:line="165" w:lineRule="exact"/>
              <w:rPr>
                <w:sz w:val="20"/>
                <w:szCs w:val="20"/>
                <w:color w:val="auto"/>
              </w:rPr>
            </w:pPr>
            <w:r>
              <w:rPr>
                <w:rFonts w:ascii="Arial" w:cs="Arial" w:eastAsia="Arial" w:hAnsi="Arial"/>
                <w:sz w:val="16"/>
                <w:szCs w:val="16"/>
                <w:color w:val="auto"/>
              </w:rPr>
              <w:t>0.6%</w:t>
            </w:r>
          </w:p>
        </w:tc>
        <w:tc>
          <w:tcPr>
            <w:tcW w:w="84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6"/>
                <w:szCs w:val="16"/>
                <w:color w:val="auto"/>
              </w:rPr>
              <w:t>7.8%</w:t>
            </w:r>
          </w:p>
        </w:tc>
        <w:tc>
          <w:tcPr>
            <w:tcW w:w="1220" w:type="dxa"/>
            <w:vAlign w:val="bottom"/>
          </w:tcPr>
          <w:p>
            <w:pPr>
              <w:jc w:val="right"/>
              <w:ind w:right="178"/>
              <w:spacing w:after="0" w:line="165" w:lineRule="exact"/>
              <w:rPr>
                <w:sz w:val="20"/>
                <w:szCs w:val="20"/>
                <w:color w:val="auto"/>
              </w:rPr>
            </w:pPr>
            <w:r>
              <w:rPr>
                <w:rFonts w:ascii="Arial" w:cs="Arial" w:eastAsia="Arial" w:hAnsi="Arial"/>
                <w:sz w:val="16"/>
                <w:szCs w:val="16"/>
                <w:color w:val="auto"/>
              </w:rPr>
              <w:t>2,866,013</w:t>
            </w:r>
          </w:p>
        </w:tc>
        <w:tc>
          <w:tcPr>
            <w:tcW w:w="820" w:type="dxa"/>
            <w:vAlign w:val="bottom"/>
            <w:tcBorders>
              <w:right w:val="single" w:sz="8" w:color="auto"/>
            </w:tcBorders>
          </w:tcPr>
          <w:p>
            <w:pPr>
              <w:jc w:val="right"/>
              <w:spacing w:after="0" w:line="165" w:lineRule="exact"/>
              <w:rPr>
                <w:sz w:val="20"/>
                <w:szCs w:val="20"/>
                <w:color w:val="auto"/>
              </w:rPr>
            </w:pPr>
            <w:r>
              <w:rPr>
                <w:rFonts w:ascii="Arial" w:cs="Arial" w:eastAsia="Arial" w:hAnsi="Arial"/>
                <w:sz w:val="16"/>
                <w:szCs w:val="16"/>
                <w:color w:val="auto"/>
              </w:rPr>
              <w:t>3,145,695</w:t>
            </w:r>
          </w:p>
        </w:tc>
        <w:tc>
          <w:tcPr>
            <w:tcW w:w="122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6"/>
                <w:szCs w:val="16"/>
                <w:color w:val="auto"/>
              </w:rPr>
              <w:t>9.8%</w:t>
            </w:r>
          </w:p>
        </w:tc>
      </w:tr>
      <w:tr>
        <w:trPr>
          <w:trHeight w:val="185"/>
        </w:trPr>
        <w:tc>
          <w:tcPr>
            <w:tcW w:w="36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Administrative, general and tax expenses</w:t>
            </w:r>
          </w:p>
        </w:tc>
        <w:tc>
          <w:tcPr>
            <w:tcW w:w="940" w:type="dxa"/>
            <w:vAlign w:val="bottom"/>
          </w:tcPr>
          <w:p>
            <w:pPr>
              <w:jc w:val="right"/>
              <w:spacing w:after="0"/>
              <w:rPr>
                <w:sz w:val="20"/>
                <w:szCs w:val="20"/>
                <w:color w:val="auto"/>
              </w:rPr>
            </w:pPr>
            <w:r>
              <w:rPr>
                <w:rFonts w:ascii="Arial" w:cs="Arial" w:eastAsia="Arial" w:hAnsi="Arial"/>
                <w:sz w:val="16"/>
                <w:szCs w:val="16"/>
                <w:color w:val="auto"/>
              </w:rPr>
              <w:t>869,873</w:t>
            </w:r>
          </w:p>
        </w:tc>
        <w:tc>
          <w:tcPr>
            <w:tcW w:w="880" w:type="dxa"/>
            <w:vAlign w:val="bottom"/>
          </w:tcPr>
          <w:p>
            <w:pPr>
              <w:jc w:val="right"/>
              <w:spacing w:after="0"/>
              <w:rPr>
                <w:sz w:val="20"/>
                <w:szCs w:val="20"/>
                <w:color w:val="auto"/>
              </w:rPr>
            </w:pPr>
            <w:r>
              <w:rPr>
                <w:rFonts w:ascii="Arial" w:cs="Arial" w:eastAsia="Arial" w:hAnsi="Arial"/>
                <w:sz w:val="16"/>
                <w:szCs w:val="16"/>
                <w:color w:val="auto"/>
              </w:rPr>
              <w:t>871,046</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1,007,894</w:t>
            </w:r>
          </w:p>
        </w:tc>
        <w:tc>
          <w:tcPr>
            <w:tcW w:w="860" w:type="dxa"/>
            <w:vAlign w:val="bottom"/>
          </w:tcPr>
          <w:p>
            <w:pPr>
              <w:jc w:val="center"/>
              <w:spacing w:after="0"/>
              <w:rPr>
                <w:sz w:val="20"/>
                <w:szCs w:val="20"/>
                <w:color w:val="auto"/>
              </w:rPr>
            </w:pPr>
            <w:r>
              <w:rPr>
                <w:rFonts w:ascii="Arial" w:cs="Arial" w:eastAsia="Arial" w:hAnsi="Arial"/>
                <w:sz w:val="16"/>
                <w:szCs w:val="16"/>
                <w:color w:val="auto"/>
              </w:rPr>
              <w:t>15.7%</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15.9%</w:t>
            </w:r>
          </w:p>
        </w:tc>
        <w:tc>
          <w:tcPr>
            <w:tcW w:w="1220" w:type="dxa"/>
            <w:vAlign w:val="bottom"/>
          </w:tcPr>
          <w:p>
            <w:pPr>
              <w:jc w:val="right"/>
              <w:ind w:right="178"/>
              <w:spacing w:after="0"/>
              <w:rPr>
                <w:sz w:val="20"/>
                <w:szCs w:val="20"/>
                <w:color w:val="auto"/>
              </w:rPr>
            </w:pPr>
            <w:r>
              <w:rPr>
                <w:rFonts w:ascii="Arial" w:cs="Arial" w:eastAsia="Arial" w:hAnsi="Arial"/>
                <w:sz w:val="16"/>
                <w:szCs w:val="16"/>
                <w:color w:val="auto"/>
              </w:rPr>
              <w:t>2,385,038</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2,714,000</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13.8%</w:t>
            </w:r>
          </w:p>
        </w:tc>
      </w:tr>
      <w:tr>
        <w:trPr>
          <w:trHeight w:val="185"/>
        </w:trPr>
        <w:tc>
          <w:tcPr>
            <w:tcW w:w="36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Depreciation and amortization</w:t>
            </w:r>
          </w:p>
        </w:tc>
        <w:tc>
          <w:tcPr>
            <w:tcW w:w="940" w:type="dxa"/>
            <w:vAlign w:val="bottom"/>
          </w:tcPr>
          <w:p>
            <w:pPr>
              <w:jc w:val="right"/>
              <w:spacing w:after="0"/>
              <w:rPr>
                <w:sz w:val="20"/>
                <w:szCs w:val="20"/>
                <w:color w:val="auto"/>
              </w:rPr>
            </w:pPr>
            <w:r>
              <w:rPr>
                <w:rFonts w:ascii="Arial" w:cs="Arial" w:eastAsia="Arial" w:hAnsi="Arial"/>
                <w:sz w:val="16"/>
                <w:szCs w:val="16"/>
                <w:color w:val="auto"/>
              </w:rPr>
              <w:t>162,009</w:t>
            </w:r>
          </w:p>
        </w:tc>
        <w:tc>
          <w:tcPr>
            <w:tcW w:w="880" w:type="dxa"/>
            <w:vAlign w:val="bottom"/>
          </w:tcPr>
          <w:p>
            <w:pPr>
              <w:jc w:val="right"/>
              <w:spacing w:after="0"/>
              <w:rPr>
                <w:sz w:val="20"/>
                <w:szCs w:val="20"/>
                <w:color w:val="auto"/>
              </w:rPr>
            </w:pPr>
            <w:r>
              <w:rPr>
                <w:rFonts w:ascii="Arial" w:cs="Arial" w:eastAsia="Arial" w:hAnsi="Arial"/>
                <w:sz w:val="16"/>
                <w:szCs w:val="16"/>
                <w:color w:val="auto"/>
              </w:rPr>
              <w:t>160,549</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159,761</w:t>
            </w:r>
          </w:p>
        </w:tc>
        <w:tc>
          <w:tcPr>
            <w:tcW w:w="860" w:type="dxa"/>
            <w:vAlign w:val="bottom"/>
          </w:tcPr>
          <w:p>
            <w:pPr>
              <w:jc w:val="center"/>
              <w:spacing w:after="0"/>
              <w:rPr>
                <w:sz w:val="20"/>
                <w:szCs w:val="20"/>
                <w:color w:val="auto"/>
              </w:rPr>
            </w:pPr>
            <w:r>
              <w:rPr>
                <w:rFonts w:ascii="Arial" w:cs="Arial" w:eastAsia="Arial" w:hAnsi="Arial"/>
                <w:sz w:val="16"/>
                <w:szCs w:val="16"/>
                <w:color w:val="auto"/>
              </w:rPr>
              <w:t>-0.5%</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-1.4%</w:t>
            </w:r>
          </w:p>
        </w:tc>
        <w:tc>
          <w:tcPr>
            <w:tcW w:w="1220" w:type="dxa"/>
            <w:vAlign w:val="bottom"/>
          </w:tcPr>
          <w:p>
            <w:pPr>
              <w:jc w:val="right"/>
              <w:ind w:right="178"/>
              <w:spacing w:after="0"/>
              <w:rPr>
                <w:sz w:val="20"/>
                <w:szCs w:val="20"/>
                <w:color w:val="auto"/>
              </w:rPr>
            </w:pPr>
            <w:r>
              <w:rPr>
                <w:rFonts w:ascii="Arial" w:cs="Arial" w:eastAsia="Arial" w:hAnsi="Arial"/>
                <w:sz w:val="16"/>
                <w:szCs w:val="16"/>
                <w:color w:val="auto"/>
              </w:rPr>
              <w:t>470,795</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481,389</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2.3%</w:t>
            </w:r>
          </w:p>
        </w:tc>
      </w:tr>
      <w:tr>
        <w:trPr>
          <w:trHeight w:val="198"/>
        </w:trPr>
        <w:tc>
          <w:tcPr>
            <w:tcW w:w="36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Association in participation</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9,999</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16,742</w:t>
            </w:r>
          </w:p>
        </w:tc>
        <w:tc>
          <w:tcPr>
            <w:tcW w:w="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14,634</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-12.6%</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46.4%</w:t>
            </w:r>
          </w:p>
        </w:tc>
        <w:tc>
          <w:tcPr>
            <w:tcW w:w="122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color w:val="auto"/>
              </w:rPr>
              <w:t>28,019</w:t>
            </w:r>
          </w:p>
        </w:tc>
        <w:tc>
          <w:tcPr>
            <w:tcW w:w="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43,988</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57.0%</w:t>
            </w:r>
          </w:p>
        </w:tc>
      </w:tr>
      <w:tr>
        <w:trPr>
          <w:trHeight w:val="178"/>
        </w:trPr>
        <w:tc>
          <w:tcPr>
            <w:tcW w:w="3660" w:type="dxa"/>
            <w:vAlign w:val="bottom"/>
            <w:tcBorders>
              <w:left w:val="single" w:sz="8" w:color="auto"/>
              <w:bottom w:val="single" w:sz="8" w:color="auto"/>
              <w:right w:val="single" w:sz="8" w:color="auto"/>
            </w:tcBorders>
          </w:tcPr>
          <w:p>
            <w:pPr>
              <w:ind w:left="20"/>
              <w:spacing w:after="0" w:line="178" w:lineRule="exact"/>
              <w:rPr>
                <w:sz w:val="20"/>
                <w:szCs w:val="20"/>
                <w:color w:val="auto"/>
              </w:rPr>
            </w:pPr>
            <w:r>
              <w:rPr>
                <w:rFonts w:ascii="Arial" w:cs="Arial" w:eastAsia="Arial" w:hAnsi="Arial"/>
                <w:sz w:val="16"/>
                <w:szCs w:val="16"/>
                <w:b w:val="1"/>
                <w:bCs w:val="1"/>
                <w:color w:val="auto"/>
              </w:rPr>
              <w:t>Operating expenses</w:t>
            </w:r>
          </w:p>
        </w:tc>
        <w:tc>
          <w:tcPr>
            <w:tcW w:w="94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b w:val="1"/>
                <w:bCs w:val="1"/>
                <w:color w:val="auto"/>
              </w:rPr>
              <w:t>2,026,217</w:t>
            </w:r>
          </w:p>
        </w:tc>
        <w:tc>
          <w:tcPr>
            <w:tcW w:w="88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b w:val="1"/>
                <w:bCs w:val="1"/>
                <w:color w:val="auto"/>
              </w:rPr>
              <w:t>2,103,072</w:t>
            </w:r>
          </w:p>
        </w:tc>
        <w:tc>
          <w:tcPr>
            <w:tcW w:w="820" w:type="dxa"/>
            <w:vAlign w:val="bottom"/>
            <w:tcBorders>
              <w:bottom w:val="single" w:sz="8" w:color="auto"/>
              <w:right w:val="single" w:sz="8" w:color="auto"/>
            </w:tcBorders>
          </w:tcPr>
          <w:p>
            <w:pPr>
              <w:jc w:val="right"/>
              <w:spacing w:after="0" w:line="178" w:lineRule="exact"/>
              <w:rPr>
                <w:sz w:val="20"/>
                <w:szCs w:val="20"/>
                <w:color w:val="auto"/>
              </w:rPr>
            </w:pPr>
            <w:r>
              <w:rPr>
                <w:rFonts w:ascii="Arial" w:cs="Arial" w:eastAsia="Arial" w:hAnsi="Arial"/>
                <w:sz w:val="16"/>
                <w:szCs w:val="16"/>
                <w:b w:val="1"/>
                <w:bCs w:val="1"/>
                <w:color w:val="auto"/>
              </w:rPr>
              <w:t>2,243,691</w:t>
            </w:r>
          </w:p>
        </w:tc>
        <w:tc>
          <w:tcPr>
            <w:tcW w:w="860" w:type="dxa"/>
            <w:vAlign w:val="bottom"/>
            <w:tcBorders>
              <w:bottom w:val="single" w:sz="8" w:color="auto"/>
            </w:tcBorders>
          </w:tcPr>
          <w:p>
            <w:pPr>
              <w:jc w:val="center"/>
              <w:spacing w:after="0" w:line="178" w:lineRule="exact"/>
              <w:rPr>
                <w:sz w:val="20"/>
                <w:szCs w:val="20"/>
                <w:color w:val="auto"/>
              </w:rPr>
            </w:pPr>
            <w:r>
              <w:rPr>
                <w:rFonts w:ascii="Arial" w:cs="Arial" w:eastAsia="Arial" w:hAnsi="Arial"/>
                <w:sz w:val="16"/>
                <w:szCs w:val="16"/>
                <w:b w:val="1"/>
                <w:bCs w:val="1"/>
                <w:color w:val="auto"/>
              </w:rPr>
              <w:t>6.7%</w:t>
            </w:r>
          </w:p>
        </w:tc>
        <w:tc>
          <w:tcPr>
            <w:tcW w:w="840" w:type="dxa"/>
            <w:vAlign w:val="bottom"/>
            <w:tcBorders>
              <w:bottom w:val="single" w:sz="8" w:color="auto"/>
              <w:right w:val="single" w:sz="8" w:color="auto"/>
            </w:tcBorders>
          </w:tcPr>
          <w:p>
            <w:pPr>
              <w:jc w:val="center"/>
              <w:spacing w:after="0" w:line="178" w:lineRule="exact"/>
              <w:rPr>
                <w:sz w:val="20"/>
                <w:szCs w:val="20"/>
                <w:color w:val="auto"/>
              </w:rPr>
            </w:pPr>
            <w:r>
              <w:rPr>
                <w:rFonts w:ascii="Arial" w:cs="Arial" w:eastAsia="Arial" w:hAnsi="Arial"/>
                <w:sz w:val="16"/>
                <w:szCs w:val="16"/>
                <w:b w:val="1"/>
                <w:bCs w:val="1"/>
                <w:color w:val="auto"/>
              </w:rPr>
              <w:t>10.7%</w:t>
            </w:r>
          </w:p>
        </w:tc>
        <w:tc>
          <w:tcPr>
            <w:tcW w:w="1220" w:type="dxa"/>
            <w:vAlign w:val="bottom"/>
            <w:tcBorders>
              <w:bottom w:val="single" w:sz="8" w:color="auto"/>
            </w:tcBorders>
          </w:tcPr>
          <w:p>
            <w:pPr>
              <w:jc w:val="right"/>
              <w:ind w:right="178"/>
              <w:spacing w:after="0" w:line="178" w:lineRule="exact"/>
              <w:rPr>
                <w:sz w:val="20"/>
                <w:szCs w:val="20"/>
                <w:color w:val="auto"/>
              </w:rPr>
            </w:pPr>
            <w:r>
              <w:rPr>
                <w:rFonts w:ascii="Arial" w:cs="Arial" w:eastAsia="Arial" w:hAnsi="Arial"/>
                <w:sz w:val="16"/>
                <w:szCs w:val="16"/>
                <w:b w:val="1"/>
                <w:bCs w:val="1"/>
                <w:color w:val="auto"/>
              </w:rPr>
              <w:t>5,749,865</w:t>
            </w:r>
          </w:p>
        </w:tc>
        <w:tc>
          <w:tcPr>
            <w:tcW w:w="820" w:type="dxa"/>
            <w:vAlign w:val="bottom"/>
            <w:tcBorders>
              <w:bottom w:val="single" w:sz="8" w:color="auto"/>
              <w:right w:val="single" w:sz="8" w:color="auto"/>
            </w:tcBorders>
          </w:tcPr>
          <w:p>
            <w:pPr>
              <w:jc w:val="right"/>
              <w:spacing w:after="0" w:line="178" w:lineRule="exact"/>
              <w:rPr>
                <w:sz w:val="20"/>
                <w:szCs w:val="20"/>
                <w:color w:val="auto"/>
              </w:rPr>
            </w:pPr>
            <w:r>
              <w:rPr>
                <w:rFonts w:ascii="Arial" w:cs="Arial" w:eastAsia="Arial" w:hAnsi="Arial"/>
                <w:sz w:val="16"/>
                <w:szCs w:val="16"/>
                <w:b w:val="1"/>
                <w:bCs w:val="1"/>
                <w:color w:val="auto"/>
              </w:rPr>
              <w:t>6,385,072</w:t>
            </w:r>
          </w:p>
        </w:tc>
        <w:tc>
          <w:tcPr>
            <w:tcW w:w="1220" w:type="dxa"/>
            <w:vAlign w:val="bottom"/>
            <w:tcBorders>
              <w:bottom w:val="single" w:sz="8" w:color="auto"/>
              <w:right w:val="single" w:sz="8" w:color="auto"/>
            </w:tcBorders>
          </w:tcPr>
          <w:p>
            <w:pPr>
              <w:jc w:val="center"/>
              <w:spacing w:after="0" w:line="178" w:lineRule="exact"/>
              <w:rPr>
                <w:sz w:val="20"/>
                <w:szCs w:val="20"/>
                <w:color w:val="auto"/>
              </w:rPr>
            </w:pPr>
            <w:r>
              <w:rPr>
                <w:rFonts w:ascii="Arial" w:cs="Arial" w:eastAsia="Arial" w:hAnsi="Arial"/>
                <w:sz w:val="16"/>
                <w:szCs w:val="16"/>
                <w:b w:val="1"/>
                <w:bCs w:val="1"/>
                <w:color w:val="auto"/>
              </w:rPr>
              <w:t>11.0%</w:t>
            </w:r>
          </w:p>
        </w:tc>
      </w:tr>
    </w:tbl>
    <w:p>
      <w:pPr>
        <w:spacing w:after="0" w:line="160" w:lineRule="exact"/>
        <w:rPr>
          <w:sz w:val="20"/>
          <w:szCs w:val="20"/>
          <w:color w:val="auto"/>
        </w:rPr>
      </w:pPr>
    </w:p>
    <w:p>
      <w:pPr>
        <w:ind w:left="1"/>
        <w:spacing w:after="0"/>
        <w:rPr>
          <w:sz w:val="20"/>
          <w:szCs w:val="20"/>
          <w:color w:val="auto"/>
        </w:rPr>
      </w:pPr>
      <w:r>
        <w:rPr>
          <w:rFonts w:ascii="Arial" w:cs="Arial" w:eastAsia="Arial" w:hAnsi="Arial"/>
          <w:sz w:val="16"/>
          <w:szCs w:val="16"/>
          <w:color w:val="auto"/>
        </w:rPr>
        <w:t>To analyze expenses, we will focus on YTD movements to eliminate the impact of seasonality between quarters.</w:t>
      </w:r>
    </w:p>
    <w:p>
      <w:pPr>
        <w:spacing w:after="0" w:line="187" w:lineRule="exact"/>
        <w:rPr>
          <w:sz w:val="20"/>
          <w:szCs w:val="20"/>
          <w:color w:val="auto"/>
        </w:rPr>
      </w:pPr>
    </w:p>
    <w:p>
      <w:pPr>
        <w:ind w:left="1"/>
        <w:spacing w:after="0"/>
        <w:rPr>
          <w:sz w:val="20"/>
          <w:szCs w:val="20"/>
          <w:color w:val="auto"/>
        </w:rPr>
      </w:pPr>
      <w:r>
        <w:rPr>
          <w:rFonts w:ascii="Arial" w:cs="Arial" w:eastAsia="Arial" w:hAnsi="Arial"/>
          <w:sz w:val="16"/>
          <w:szCs w:val="16"/>
          <w:color w:val="auto"/>
        </w:rPr>
        <w:t>Operating expenses remain high due to:</w:t>
      </w:r>
    </w:p>
    <w:p>
      <w:pPr>
        <w:spacing w:after="0" w:line="187" w:lineRule="exact"/>
        <w:rPr>
          <w:sz w:val="20"/>
          <w:szCs w:val="20"/>
          <w:color w:val="auto"/>
        </w:rPr>
      </w:pPr>
    </w:p>
    <w:p>
      <w:pPr>
        <w:ind w:left="301" w:right="740" w:hanging="301"/>
        <w:spacing w:after="0" w:line="249" w:lineRule="auto"/>
        <w:tabs>
          <w:tab w:leader="none" w:pos="301" w:val="left"/>
        </w:tabs>
        <w:numPr>
          <w:ilvl w:val="0"/>
          <w:numId w:val="45"/>
        </w:numPr>
        <w:rPr>
          <w:rFonts w:ascii="Arial" w:cs="Arial" w:eastAsia="Arial" w:hAnsi="Arial"/>
          <w:sz w:val="16"/>
          <w:szCs w:val="16"/>
          <w:color w:val="auto"/>
        </w:rPr>
      </w:pPr>
      <w:r>
        <w:rPr>
          <w:rFonts w:ascii="Arial" w:cs="Arial" w:eastAsia="Arial" w:hAnsi="Arial"/>
          <w:sz w:val="16"/>
          <w:szCs w:val="16"/>
          <w:color w:val="auto"/>
        </w:rPr>
        <w:t>Growth in Administrative and general expenses and taxes, which was driven mainly by BCP via an uptick in IT expenses associated with the transformation strategy; disruption expenses; and advertising and marketing.</w:t>
      </w:r>
    </w:p>
    <w:p>
      <w:pPr>
        <w:spacing w:after="0" w:line="1" w:lineRule="exact"/>
        <w:rPr>
          <w:rFonts w:ascii="Arial" w:cs="Arial" w:eastAsia="Arial" w:hAnsi="Arial"/>
          <w:sz w:val="16"/>
          <w:szCs w:val="16"/>
          <w:color w:val="auto"/>
        </w:rPr>
      </w:pPr>
    </w:p>
    <w:p>
      <w:pPr>
        <w:ind w:left="301" w:right="400" w:hanging="301"/>
        <w:spacing w:after="0" w:line="259" w:lineRule="auto"/>
        <w:tabs>
          <w:tab w:leader="none" w:pos="301" w:val="left"/>
        </w:tabs>
        <w:numPr>
          <w:ilvl w:val="0"/>
          <w:numId w:val="45"/>
        </w:numPr>
        <w:rPr>
          <w:rFonts w:ascii="Arial" w:cs="Arial" w:eastAsia="Arial" w:hAnsi="Arial"/>
          <w:sz w:val="16"/>
          <w:szCs w:val="16"/>
          <w:color w:val="auto"/>
        </w:rPr>
      </w:pPr>
      <w:r>
        <w:rPr>
          <w:rFonts w:ascii="Arial" w:cs="Arial" w:eastAsia="Arial" w:hAnsi="Arial"/>
          <w:sz w:val="16"/>
          <w:szCs w:val="16"/>
          <w:color w:val="auto"/>
        </w:rPr>
        <w:t>An increase in Employee salaries and benefits, which was driven primarily by an increase in the head count in core businesses and growth in the number of hires and the salary level of IT specialists, both at BCP.</w:t>
      </w:r>
    </w:p>
    <w:p>
      <w:pPr>
        <w:spacing w:after="0" w:line="135" w:lineRule="exact"/>
        <w:rPr>
          <w:sz w:val="20"/>
          <w:szCs w:val="20"/>
          <w:color w:val="auto"/>
        </w:rPr>
      </w:pPr>
    </w:p>
    <w:p>
      <w:pPr>
        <w:ind w:left="1"/>
        <w:spacing w:after="0"/>
        <w:rPr>
          <w:sz w:val="20"/>
          <w:szCs w:val="20"/>
          <w:color w:val="auto"/>
        </w:rPr>
      </w:pPr>
      <w:r>
        <w:rPr>
          <w:rFonts w:ascii="Arial" w:cs="Arial" w:eastAsia="Arial" w:hAnsi="Arial"/>
          <w:sz w:val="16"/>
          <w:szCs w:val="16"/>
          <w:color w:val="auto"/>
        </w:rPr>
        <w:t>The uptick in operating expenses YTD stood at 11.0% If we exclude disruptive expenses, operating expenses indicate growth of 7.5% YTD.</w:t>
      </w:r>
    </w:p>
    <w:p>
      <w:pPr>
        <w:spacing w:after="0" w:line="162"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Administrative and general expenses</w:t>
      </w:r>
    </w:p>
    <w:p>
      <w:pPr>
        <w:spacing w:after="0" w:line="182" w:lineRule="exact"/>
        <w:rPr>
          <w:sz w:val="20"/>
          <w:szCs w:val="20"/>
          <w:color w:val="auto"/>
        </w:rPr>
      </w:pPr>
    </w:p>
    <w:tbl>
      <w:tblPr>
        <w:tblLayout w:type="fixed"/>
        <w:tblInd w:w="11" w:type="dxa"/>
        <w:tblCellMar>
          <w:top w:w="0" w:type="dxa"/>
          <w:left w:w="0" w:type="dxa"/>
          <w:bottom w:w="0" w:type="dxa"/>
          <w:right w:w="0" w:type="dxa"/>
        </w:tblCellMar>
      </w:tblPr>
      <w:tr>
        <w:trPr>
          <w:trHeight w:val="177"/>
        </w:trPr>
        <w:tc>
          <w:tcPr>
            <w:tcW w:w="3780" w:type="dxa"/>
            <w:vAlign w:val="bottom"/>
            <w:tcBorders>
              <w:top w:val="single" w:sz="8" w:color="auto"/>
              <w:left w:val="single" w:sz="8" w:color="auto"/>
              <w:right w:val="single" w:sz="8" w:color="auto"/>
            </w:tcBorders>
            <w:shd w:val="clear" w:color="auto" w:fill="2AD2C9"/>
          </w:tcPr>
          <w:p>
            <w:pPr>
              <w:ind w:left="20"/>
              <w:spacing w:after="0" w:line="177" w:lineRule="exact"/>
              <w:rPr>
                <w:sz w:val="20"/>
                <w:szCs w:val="20"/>
                <w:color w:val="auto"/>
              </w:rPr>
            </w:pPr>
            <w:r>
              <w:rPr>
                <w:rFonts w:ascii="Arial" w:cs="Arial" w:eastAsia="Arial" w:hAnsi="Arial"/>
                <w:sz w:val="16"/>
                <w:szCs w:val="16"/>
                <w:b w:val="1"/>
                <w:bCs w:val="1"/>
                <w:color w:val="FFFFFF"/>
              </w:rPr>
              <w:t>Administrative general, and tax expenses</w:t>
            </w:r>
          </w:p>
        </w:tc>
        <w:tc>
          <w:tcPr>
            <w:tcW w:w="860" w:type="dxa"/>
            <w:vAlign w:val="bottom"/>
            <w:tcBorders>
              <w:top w:val="single" w:sz="8" w:color="auto"/>
            </w:tcBorders>
            <w:shd w:val="clear" w:color="auto" w:fill="2AD2C9"/>
          </w:tcPr>
          <w:p>
            <w:pPr>
              <w:spacing w:after="0"/>
              <w:rPr>
                <w:sz w:val="15"/>
                <w:szCs w:val="15"/>
                <w:color w:val="auto"/>
              </w:rPr>
            </w:pPr>
          </w:p>
        </w:tc>
        <w:tc>
          <w:tcPr>
            <w:tcW w:w="820" w:type="dxa"/>
            <w:vAlign w:val="bottom"/>
            <w:tcBorders>
              <w:top w:val="single" w:sz="8" w:color="auto"/>
            </w:tcBorders>
            <w:shd w:val="clear" w:color="auto" w:fill="2AD2C9"/>
          </w:tcPr>
          <w:p>
            <w:pPr>
              <w:jc w:val="right"/>
              <w:ind w:right="38"/>
              <w:spacing w:after="0" w:line="177" w:lineRule="exact"/>
              <w:rPr>
                <w:sz w:val="20"/>
                <w:szCs w:val="20"/>
                <w:color w:val="auto"/>
              </w:rPr>
            </w:pPr>
            <w:r>
              <w:rPr>
                <w:rFonts w:ascii="Arial" w:cs="Arial" w:eastAsia="Arial" w:hAnsi="Arial"/>
                <w:sz w:val="16"/>
                <w:szCs w:val="16"/>
                <w:b w:val="1"/>
                <w:bCs w:val="1"/>
                <w:color w:val="FFFFFF"/>
              </w:rPr>
              <w:t>Quarter</w:t>
            </w:r>
          </w:p>
        </w:tc>
        <w:tc>
          <w:tcPr>
            <w:tcW w:w="860" w:type="dxa"/>
            <w:vAlign w:val="bottom"/>
            <w:tcBorders>
              <w:top w:val="single" w:sz="8" w:color="auto"/>
              <w:right w:val="single" w:sz="8" w:color="auto"/>
            </w:tcBorders>
            <w:shd w:val="clear" w:color="auto" w:fill="2AD2C9"/>
          </w:tcPr>
          <w:p>
            <w:pPr>
              <w:spacing w:after="0"/>
              <w:rPr>
                <w:sz w:val="15"/>
                <w:szCs w:val="15"/>
                <w:color w:val="auto"/>
              </w:rPr>
            </w:pPr>
          </w:p>
        </w:tc>
        <w:tc>
          <w:tcPr>
            <w:tcW w:w="1700" w:type="dxa"/>
            <w:vAlign w:val="bottom"/>
            <w:tcBorders>
              <w:top w:val="single" w:sz="8" w:color="auto"/>
              <w:right w:val="single" w:sz="8" w:color="auto"/>
            </w:tcBorders>
            <w:gridSpan w:val="2"/>
            <w:shd w:val="clear" w:color="auto" w:fill="2AD2C9"/>
          </w:tcPr>
          <w:p>
            <w:pPr>
              <w:jc w:val="right"/>
              <w:ind w:right="398"/>
              <w:spacing w:after="0" w:line="177" w:lineRule="exact"/>
              <w:rPr>
                <w:sz w:val="20"/>
                <w:szCs w:val="20"/>
                <w:color w:val="auto"/>
              </w:rPr>
            </w:pPr>
            <w:r>
              <w:rPr>
                <w:rFonts w:ascii="Arial" w:cs="Arial" w:eastAsia="Arial" w:hAnsi="Arial"/>
                <w:sz w:val="16"/>
                <w:szCs w:val="16"/>
                <w:b w:val="1"/>
                <w:bCs w:val="1"/>
                <w:color w:val="FFFFFF"/>
              </w:rPr>
              <w:t>% change</w:t>
            </w:r>
          </w:p>
        </w:tc>
        <w:tc>
          <w:tcPr>
            <w:tcW w:w="1200" w:type="dxa"/>
            <w:vAlign w:val="bottom"/>
            <w:tcBorders>
              <w:top w:val="single" w:sz="8" w:color="auto"/>
            </w:tcBorders>
            <w:shd w:val="clear" w:color="auto" w:fill="2AD2C9"/>
          </w:tcPr>
          <w:p>
            <w:pPr>
              <w:jc w:val="right"/>
              <w:spacing w:after="0" w:line="177" w:lineRule="exact"/>
              <w:rPr>
                <w:sz w:val="20"/>
                <w:szCs w:val="20"/>
                <w:color w:val="auto"/>
              </w:rPr>
            </w:pPr>
            <w:r>
              <w:rPr>
                <w:rFonts w:ascii="Arial" w:cs="Arial" w:eastAsia="Arial" w:hAnsi="Arial"/>
                <w:sz w:val="16"/>
                <w:szCs w:val="16"/>
                <w:b w:val="1"/>
                <w:bCs w:val="1"/>
                <w:color w:val="FFFFFF"/>
              </w:rPr>
              <w:t>As of</w:t>
            </w:r>
          </w:p>
        </w:tc>
        <w:tc>
          <w:tcPr>
            <w:tcW w:w="820" w:type="dxa"/>
            <w:vAlign w:val="bottom"/>
            <w:tcBorders>
              <w:top w:val="single" w:sz="8" w:color="auto"/>
              <w:right w:val="single" w:sz="8" w:color="auto"/>
            </w:tcBorders>
            <w:shd w:val="clear" w:color="auto" w:fill="2AD2C9"/>
          </w:tcPr>
          <w:p>
            <w:pPr>
              <w:spacing w:after="0"/>
              <w:rPr>
                <w:sz w:val="15"/>
                <w:szCs w:val="15"/>
                <w:color w:val="auto"/>
              </w:rPr>
            </w:pPr>
          </w:p>
        </w:tc>
        <w:tc>
          <w:tcPr>
            <w:tcW w:w="1220" w:type="dxa"/>
            <w:vAlign w:val="bottom"/>
            <w:tcBorders>
              <w:top w:val="single" w:sz="8" w:color="auto"/>
              <w:right w:val="single" w:sz="8" w:color="auto"/>
            </w:tcBorders>
            <w:shd w:val="clear" w:color="auto" w:fill="2AD2C9"/>
          </w:tcPr>
          <w:p>
            <w:pPr>
              <w:jc w:val="right"/>
              <w:ind w:right="158"/>
              <w:spacing w:after="0" w:line="177" w:lineRule="exact"/>
              <w:rPr>
                <w:sz w:val="20"/>
                <w:szCs w:val="20"/>
                <w:color w:val="auto"/>
              </w:rPr>
            </w:pPr>
            <w:r>
              <w:rPr>
                <w:rFonts w:ascii="Arial" w:cs="Arial" w:eastAsia="Arial" w:hAnsi="Arial"/>
                <w:sz w:val="16"/>
                <w:szCs w:val="16"/>
                <w:b w:val="1"/>
                <w:bCs w:val="1"/>
                <w:color w:val="FFFFFF"/>
              </w:rPr>
              <w:t>% change</w:t>
            </w:r>
          </w:p>
        </w:tc>
      </w:tr>
      <w:tr>
        <w:trPr>
          <w:trHeight w:val="206"/>
        </w:trPr>
        <w:tc>
          <w:tcPr>
            <w:tcW w:w="3780" w:type="dxa"/>
            <w:vAlign w:val="bottom"/>
            <w:tcBorders>
              <w:left w:val="single" w:sz="8" w:color="auto"/>
              <w:bottom w:val="single" w:sz="8" w:color="auto"/>
              <w:right w:val="single" w:sz="8" w:color="auto"/>
            </w:tcBorders>
            <w:shd w:val="clear" w:color="auto" w:fill="2AD2C9"/>
          </w:tcPr>
          <w:p>
            <w:pPr>
              <w:ind w:left="20"/>
              <w:spacing w:after="0"/>
              <w:rPr>
                <w:sz w:val="20"/>
                <w:szCs w:val="20"/>
                <w:color w:val="auto"/>
              </w:rPr>
            </w:pPr>
            <w:r>
              <w:rPr>
                <w:rFonts w:ascii="Arial" w:cs="Arial" w:eastAsia="Arial" w:hAnsi="Arial"/>
                <w:sz w:val="16"/>
                <w:szCs w:val="16"/>
                <w:b w:val="1"/>
                <w:bCs w:val="1"/>
                <w:color w:val="FFFFFF"/>
              </w:rPr>
              <w:t>S/000</w:t>
            </w:r>
          </w:p>
        </w:tc>
        <w:tc>
          <w:tcPr>
            <w:tcW w:w="860" w:type="dxa"/>
            <w:vAlign w:val="bottom"/>
            <w:tcBorders>
              <w:bottom w:val="single" w:sz="8" w:color="auto"/>
            </w:tcBorders>
            <w:shd w:val="clear" w:color="auto" w:fill="2AD2C9"/>
          </w:tcPr>
          <w:p>
            <w:pPr>
              <w:jc w:val="right"/>
              <w:ind w:right="198"/>
              <w:spacing w:after="0"/>
              <w:rPr>
                <w:sz w:val="20"/>
                <w:szCs w:val="20"/>
                <w:color w:val="auto"/>
              </w:rPr>
            </w:pPr>
            <w:r>
              <w:rPr>
                <w:rFonts w:ascii="Arial" w:cs="Arial" w:eastAsia="Arial" w:hAnsi="Arial"/>
                <w:sz w:val="16"/>
                <w:szCs w:val="16"/>
                <w:b w:val="1"/>
                <w:bCs w:val="1"/>
                <w:color w:val="FFFFFF"/>
              </w:rPr>
              <w:t>3Q22</w:t>
            </w:r>
          </w:p>
        </w:tc>
        <w:tc>
          <w:tcPr>
            <w:tcW w:w="820" w:type="dxa"/>
            <w:vAlign w:val="bottom"/>
            <w:tcBorders>
              <w:bottom w:val="single" w:sz="8" w:color="auto"/>
            </w:tcBorders>
            <w:shd w:val="clear" w:color="auto" w:fill="2AD2C9"/>
          </w:tcPr>
          <w:p>
            <w:pPr>
              <w:jc w:val="right"/>
              <w:ind w:right="238"/>
              <w:spacing w:after="0"/>
              <w:rPr>
                <w:sz w:val="20"/>
                <w:szCs w:val="20"/>
                <w:color w:val="auto"/>
              </w:rPr>
            </w:pPr>
            <w:r>
              <w:rPr>
                <w:rFonts w:ascii="Arial" w:cs="Arial" w:eastAsia="Arial" w:hAnsi="Arial"/>
                <w:sz w:val="16"/>
                <w:szCs w:val="16"/>
                <w:b w:val="1"/>
                <w:bCs w:val="1"/>
                <w:color w:val="FFFFFF"/>
              </w:rPr>
              <w:t>2Q23</w:t>
            </w:r>
          </w:p>
        </w:tc>
        <w:tc>
          <w:tcPr>
            <w:tcW w:w="860" w:type="dxa"/>
            <w:vAlign w:val="bottom"/>
            <w:tcBorders>
              <w:bottom w:val="single" w:sz="8" w:color="auto"/>
              <w:right w:val="single" w:sz="8" w:color="auto"/>
            </w:tcBorders>
            <w:shd w:val="clear" w:color="auto" w:fill="2AD2C9"/>
          </w:tcPr>
          <w:p>
            <w:pPr>
              <w:jc w:val="right"/>
              <w:ind w:right="218"/>
              <w:spacing w:after="0"/>
              <w:rPr>
                <w:sz w:val="20"/>
                <w:szCs w:val="20"/>
                <w:color w:val="auto"/>
              </w:rPr>
            </w:pPr>
            <w:r>
              <w:rPr>
                <w:rFonts w:ascii="Arial" w:cs="Arial" w:eastAsia="Arial" w:hAnsi="Arial"/>
                <w:sz w:val="16"/>
                <w:szCs w:val="16"/>
                <w:b w:val="1"/>
                <w:bCs w:val="1"/>
                <w:color w:val="FFFFFF"/>
              </w:rPr>
              <w:t>3Q23</w:t>
            </w:r>
          </w:p>
        </w:tc>
        <w:tc>
          <w:tcPr>
            <w:tcW w:w="980" w:type="dxa"/>
            <w:vAlign w:val="bottom"/>
            <w:tcBorders>
              <w:bottom w:val="single" w:sz="8" w:color="auto"/>
            </w:tcBorders>
            <w:shd w:val="clear" w:color="auto" w:fill="2AD2C9"/>
          </w:tcPr>
          <w:p>
            <w:pPr>
              <w:jc w:val="right"/>
              <w:ind w:right="298"/>
              <w:spacing w:after="0"/>
              <w:rPr>
                <w:sz w:val="20"/>
                <w:szCs w:val="20"/>
                <w:color w:val="auto"/>
              </w:rPr>
            </w:pPr>
            <w:r>
              <w:rPr>
                <w:rFonts w:ascii="Arial" w:cs="Arial" w:eastAsia="Arial" w:hAnsi="Arial"/>
                <w:sz w:val="16"/>
                <w:szCs w:val="16"/>
                <w:b w:val="1"/>
                <w:bCs w:val="1"/>
                <w:color w:val="FFFFFF"/>
              </w:rPr>
              <w:t>QoQ</w:t>
            </w:r>
          </w:p>
        </w:tc>
        <w:tc>
          <w:tcPr>
            <w:tcW w:w="720" w:type="dxa"/>
            <w:vAlign w:val="bottom"/>
            <w:tcBorders>
              <w:bottom w:val="single" w:sz="8" w:color="auto"/>
              <w:right w:val="single" w:sz="8" w:color="auto"/>
            </w:tcBorders>
            <w:shd w:val="clear" w:color="auto" w:fill="2AD2C9"/>
          </w:tcPr>
          <w:p>
            <w:pPr>
              <w:jc w:val="right"/>
              <w:ind w:right="198"/>
              <w:spacing w:after="0"/>
              <w:rPr>
                <w:sz w:val="20"/>
                <w:szCs w:val="20"/>
                <w:color w:val="auto"/>
              </w:rPr>
            </w:pPr>
            <w:r>
              <w:rPr>
                <w:rFonts w:ascii="Arial" w:cs="Arial" w:eastAsia="Arial" w:hAnsi="Arial"/>
                <w:sz w:val="16"/>
                <w:szCs w:val="16"/>
                <w:b w:val="1"/>
                <w:bCs w:val="1"/>
                <w:color w:val="FFFFFF"/>
              </w:rPr>
              <w:t>YoY</w:t>
            </w:r>
          </w:p>
        </w:tc>
        <w:tc>
          <w:tcPr>
            <w:tcW w:w="1200" w:type="dxa"/>
            <w:vAlign w:val="bottom"/>
            <w:tcBorders>
              <w:bottom w:val="single" w:sz="8" w:color="auto"/>
            </w:tcBorders>
            <w:shd w:val="clear" w:color="auto" w:fill="2AD2C9"/>
          </w:tcPr>
          <w:p>
            <w:pPr>
              <w:jc w:val="right"/>
              <w:ind w:right="378"/>
              <w:spacing w:after="0"/>
              <w:rPr>
                <w:sz w:val="20"/>
                <w:szCs w:val="20"/>
                <w:color w:val="auto"/>
              </w:rPr>
            </w:pPr>
            <w:r>
              <w:rPr>
                <w:rFonts w:ascii="Arial" w:cs="Arial" w:eastAsia="Arial" w:hAnsi="Arial"/>
                <w:sz w:val="16"/>
                <w:szCs w:val="16"/>
                <w:b w:val="1"/>
                <w:bCs w:val="1"/>
                <w:color w:val="FFFFFF"/>
              </w:rPr>
              <w:t>Sep 22</w:t>
            </w:r>
          </w:p>
        </w:tc>
        <w:tc>
          <w:tcPr>
            <w:tcW w:w="820" w:type="dxa"/>
            <w:vAlign w:val="bottom"/>
            <w:tcBorders>
              <w:bottom w:val="single" w:sz="8" w:color="auto"/>
              <w:right w:val="single" w:sz="8" w:color="auto"/>
            </w:tcBorders>
            <w:shd w:val="clear" w:color="auto" w:fill="2AD2C9"/>
          </w:tcPr>
          <w:p>
            <w:pPr>
              <w:jc w:val="right"/>
              <w:ind w:right="198"/>
              <w:spacing w:after="0"/>
              <w:rPr>
                <w:sz w:val="20"/>
                <w:szCs w:val="20"/>
                <w:color w:val="auto"/>
              </w:rPr>
            </w:pPr>
            <w:r>
              <w:rPr>
                <w:rFonts w:ascii="Arial" w:cs="Arial" w:eastAsia="Arial" w:hAnsi="Arial"/>
                <w:sz w:val="16"/>
                <w:szCs w:val="16"/>
                <w:b w:val="1"/>
                <w:bCs w:val="1"/>
                <w:color w:val="FFFFFF"/>
              </w:rPr>
              <w:t>Sep 23</w:t>
            </w:r>
          </w:p>
        </w:tc>
        <w:tc>
          <w:tcPr>
            <w:tcW w:w="1220" w:type="dxa"/>
            <w:vAlign w:val="bottom"/>
            <w:tcBorders>
              <w:bottom w:val="single" w:sz="8" w:color="auto"/>
              <w:right w:val="single" w:sz="8" w:color="auto"/>
            </w:tcBorders>
            <w:shd w:val="clear" w:color="auto" w:fill="2AD2C9"/>
          </w:tcPr>
          <w:p>
            <w:pPr>
              <w:jc w:val="right"/>
              <w:spacing w:after="0"/>
              <w:rPr>
                <w:sz w:val="20"/>
                <w:szCs w:val="20"/>
                <w:color w:val="auto"/>
              </w:rPr>
            </w:pPr>
            <w:r>
              <w:rPr>
                <w:rFonts w:ascii="Arial" w:cs="Arial" w:eastAsia="Arial" w:hAnsi="Arial"/>
                <w:sz w:val="16"/>
                <w:szCs w:val="16"/>
                <w:b w:val="1"/>
                <w:bCs w:val="1"/>
                <w:color w:val="FFFFFF"/>
              </w:rPr>
              <w:t>Sep 23 / Sep 22</w:t>
            </w:r>
          </w:p>
        </w:tc>
      </w:tr>
      <w:tr>
        <w:trPr>
          <w:trHeight w:val="165"/>
        </w:trPr>
        <w:tc>
          <w:tcPr>
            <w:tcW w:w="3780" w:type="dxa"/>
            <w:vAlign w:val="bottom"/>
            <w:tcBorders>
              <w:left w:val="single" w:sz="8" w:color="auto"/>
              <w:right w:val="single" w:sz="8" w:color="auto"/>
            </w:tcBorders>
          </w:tcPr>
          <w:p>
            <w:pPr>
              <w:ind w:left="20"/>
              <w:spacing w:after="0" w:line="165" w:lineRule="exact"/>
              <w:rPr>
                <w:sz w:val="20"/>
                <w:szCs w:val="20"/>
                <w:color w:val="auto"/>
              </w:rPr>
            </w:pPr>
            <w:r>
              <w:rPr>
                <w:rFonts w:ascii="Arial" w:cs="Arial" w:eastAsia="Arial" w:hAnsi="Arial"/>
                <w:sz w:val="16"/>
                <w:szCs w:val="16"/>
                <w:color w:val="auto"/>
              </w:rPr>
              <w:t>IT expenses and IT third-party services</w:t>
            </w:r>
          </w:p>
        </w:tc>
        <w:tc>
          <w:tcPr>
            <w:tcW w:w="860" w:type="dxa"/>
            <w:vAlign w:val="bottom"/>
          </w:tcPr>
          <w:p>
            <w:pPr>
              <w:jc w:val="right"/>
              <w:ind w:right="18"/>
              <w:spacing w:after="0" w:line="165" w:lineRule="exact"/>
              <w:rPr>
                <w:sz w:val="20"/>
                <w:szCs w:val="20"/>
                <w:color w:val="auto"/>
              </w:rPr>
            </w:pPr>
            <w:r>
              <w:rPr>
                <w:rFonts w:ascii="Arial" w:cs="Arial" w:eastAsia="Arial" w:hAnsi="Arial"/>
                <w:sz w:val="16"/>
                <w:szCs w:val="16"/>
                <w:color w:val="auto"/>
              </w:rPr>
              <w:t>240,603</w:t>
            </w:r>
          </w:p>
        </w:tc>
        <w:tc>
          <w:tcPr>
            <w:tcW w:w="820" w:type="dxa"/>
            <w:vAlign w:val="bottom"/>
          </w:tcPr>
          <w:p>
            <w:pPr>
              <w:jc w:val="right"/>
              <w:ind w:right="58"/>
              <w:spacing w:after="0" w:line="165" w:lineRule="exact"/>
              <w:rPr>
                <w:sz w:val="20"/>
                <w:szCs w:val="20"/>
                <w:color w:val="auto"/>
              </w:rPr>
            </w:pPr>
            <w:r>
              <w:rPr>
                <w:rFonts w:ascii="Arial" w:cs="Arial" w:eastAsia="Arial" w:hAnsi="Arial"/>
                <w:sz w:val="16"/>
                <w:szCs w:val="16"/>
                <w:color w:val="auto"/>
              </w:rPr>
              <w:t>256,348</w:t>
            </w:r>
          </w:p>
        </w:tc>
        <w:tc>
          <w:tcPr>
            <w:tcW w:w="860" w:type="dxa"/>
            <w:vAlign w:val="bottom"/>
            <w:tcBorders>
              <w:right w:val="single" w:sz="8" w:color="auto"/>
            </w:tcBorders>
          </w:tcPr>
          <w:p>
            <w:pPr>
              <w:jc w:val="right"/>
              <w:spacing w:after="0" w:line="165" w:lineRule="exact"/>
              <w:rPr>
                <w:sz w:val="20"/>
                <w:szCs w:val="20"/>
                <w:color w:val="auto"/>
              </w:rPr>
            </w:pPr>
            <w:r>
              <w:rPr>
                <w:rFonts w:ascii="Arial" w:cs="Arial" w:eastAsia="Arial" w:hAnsi="Arial"/>
                <w:sz w:val="16"/>
                <w:szCs w:val="16"/>
                <w:color w:val="auto"/>
              </w:rPr>
              <w:t>271,304</w:t>
            </w:r>
          </w:p>
        </w:tc>
        <w:tc>
          <w:tcPr>
            <w:tcW w:w="980" w:type="dxa"/>
            <w:vAlign w:val="bottom"/>
          </w:tcPr>
          <w:p>
            <w:pPr>
              <w:jc w:val="right"/>
              <w:ind w:right="58"/>
              <w:spacing w:after="0" w:line="165" w:lineRule="exact"/>
              <w:rPr>
                <w:sz w:val="20"/>
                <w:szCs w:val="20"/>
                <w:color w:val="auto"/>
              </w:rPr>
            </w:pPr>
            <w:r>
              <w:rPr>
                <w:rFonts w:ascii="Arial" w:cs="Arial" w:eastAsia="Arial" w:hAnsi="Arial"/>
                <w:sz w:val="16"/>
                <w:szCs w:val="16"/>
                <w:color w:val="auto"/>
              </w:rPr>
              <w:t>5.8%</w:t>
            </w:r>
          </w:p>
        </w:tc>
        <w:tc>
          <w:tcPr>
            <w:tcW w:w="720" w:type="dxa"/>
            <w:vAlign w:val="bottom"/>
            <w:tcBorders>
              <w:right w:val="single" w:sz="8" w:color="auto"/>
            </w:tcBorders>
          </w:tcPr>
          <w:p>
            <w:pPr>
              <w:jc w:val="right"/>
              <w:spacing w:after="0" w:line="165" w:lineRule="exact"/>
              <w:rPr>
                <w:sz w:val="20"/>
                <w:szCs w:val="20"/>
                <w:color w:val="auto"/>
              </w:rPr>
            </w:pPr>
            <w:r>
              <w:rPr>
                <w:rFonts w:ascii="Arial" w:cs="Arial" w:eastAsia="Arial" w:hAnsi="Arial"/>
                <w:sz w:val="16"/>
                <w:szCs w:val="16"/>
                <w:color w:val="auto"/>
              </w:rPr>
              <w:t>12.8%</w:t>
            </w:r>
          </w:p>
        </w:tc>
        <w:tc>
          <w:tcPr>
            <w:tcW w:w="1200" w:type="dxa"/>
            <w:vAlign w:val="bottom"/>
          </w:tcPr>
          <w:p>
            <w:pPr>
              <w:jc w:val="right"/>
              <w:ind w:right="158"/>
              <w:spacing w:after="0" w:line="165" w:lineRule="exact"/>
              <w:rPr>
                <w:sz w:val="20"/>
                <w:szCs w:val="20"/>
                <w:color w:val="auto"/>
              </w:rPr>
            </w:pPr>
            <w:r>
              <w:rPr>
                <w:rFonts w:ascii="Arial" w:cs="Arial" w:eastAsia="Arial" w:hAnsi="Arial"/>
                <w:sz w:val="16"/>
                <w:szCs w:val="16"/>
                <w:color w:val="auto"/>
              </w:rPr>
              <w:t>645,517</w:t>
            </w:r>
          </w:p>
        </w:tc>
        <w:tc>
          <w:tcPr>
            <w:tcW w:w="820" w:type="dxa"/>
            <w:vAlign w:val="bottom"/>
            <w:tcBorders>
              <w:right w:val="single" w:sz="8" w:color="auto"/>
            </w:tcBorders>
          </w:tcPr>
          <w:p>
            <w:pPr>
              <w:jc w:val="right"/>
              <w:spacing w:after="0" w:line="165" w:lineRule="exact"/>
              <w:rPr>
                <w:sz w:val="20"/>
                <w:szCs w:val="20"/>
                <w:color w:val="auto"/>
              </w:rPr>
            </w:pPr>
            <w:r>
              <w:rPr>
                <w:rFonts w:ascii="Arial" w:cs="Arial" w:eastAsia="Arial" w:hAnsi="Arial"/>
                <w:sz w:val="16"/>
                <w:szCs w:val="16"/>
                <w:color w:val="auto"/>
              </w:rPr>
              <w:t>768,584</w:t>
            </w:r>
          </w:p>
        </w:tc>
        <w:tc>
          <w:tcPr>
            <w:tcW w:w="1220" w:type="dxa"/>
            <w:vAlign w:val="bottom"/>
            <w:tcBorders>
              <w:right w:val="single" w:sz="8" w:color="auto"/>
            </w:tcBorders>
          </w:tcPr>
          <w:p>
            <w:pPr>
              <w:jc w:val="right"/>
              <w:spacing w:after="0" w:line="165" w:lineRule="exact"/>
              <w:rPr>
                <w:sz w:val="20"/>
                <w:szCs w:val="20"/>
                <w:color w:val="auto"/>
              </w:rPr>
            </w:pPr>
            <w:r>
              <w:rPr>
                <w:rFonts w:ascii="Arial" w:cs="Arial" w:eastAsia="Arial" w:hAnsi="Arial"/>
                <w:sz w:val="16"/>
                <w:szCs w:val="16"/>
                <w:color w:val="auto"/>
              </w:rPr>
              <w:t>19.1%</w:t>
            </w:r>
          </w:p>
        </w:tc>
      </w:tr>
      <w:tr>
        <w:trPr>
          <w:trHeight w:val="185"/>
        </w:trPr>
        <w:tc>
          <w:tcPr>
            <w:tcW w:w="3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Advertising and customer loyalty programs</w:t>
            </w:r>
          </w:p>
        </w:tc>
        <w:tc>
          <w:tcPr>
            <w:tcW w:w="860" w:type="dxa"/>
            <w:vAlign w:val="bottom"/>
          </w:tcPr>
          <w:p>
            <w:pPr>
              <w:jc w:val="right"/>
              <w:ind w:right="18"/>
              <w:spacing w:after="0"/>
              <w:rPr>
                <w:sz w:val="20"/>
                <w:szCs w:val="20"/>
                <w:color w:val="auto"/>
              </w:rPr>
            </w:pPr>
            <w:r>
              <w:rPr>
                <w:rFonts w:ascii="Arial" w:cs="Arial" w:eastAsia="Arial" w:hAnsi="Arial"/>
                <w:sz w:val="16"/>
                <w:szCs w:val="16"/>
                <w:color w:val="auto"/>
              </w:rPr>
              <w:t>173,517</w:t>
            </w:r>
          </w:p>
        </w:tc>
        <w:tc>
          <w:tcPr>
            <w:tcW w:w="820" w:type="dxa"/>
            <w:vAlign w:val="bottom"/>
          </w:tcPr>
          <w:p>
            <w:pPr>
              <w:jc w:val="right"/>
              <w:ind w:right="58"/>
              <w:spacing w:after="0"/>
              <w:rPr>
                <w:sz w:val="20"/>
                <w:szCs w:val="20"/>
                <w:color w:val="auto"/>
              </w:rPr>
            </w:pPr>
            <w:r>
              <w:rPr>
                <w:rFonts w:ascii="Arial" w:cs="Arial" w:eastAsia="Arial" w:hAnsi="Arial"/>
                <w:sz w:val="16"/>
                <w:szCs w:val="16"/>
                <w:color w:val="auto"/>
              </w:rPr>
              <w:t>174,021</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171,902</w:t>
            </w:r>
          </w:p>
        </w:tc>
        <w:tc>
          <w:tcPr>
            <w:tcW w:w="980" w:type="dxa"/>
            <w:vAlign w:val="bottom"/>
          </w:tcPr>
          <w:p>
            <w:pPr>
              <w:jc w:val="right"/>
              <w:ind w:right="58"/>
              <w:spacing w:after="0"/>
              <w:rPr>
                <w:sz w:val="20"/>
                <w:szCs w:val="20"/>
                <w:color w:val="auto"/>
              </w:rPr>
            </w:pPr>
            <w:r>
              <w:rPr>
                <w:rFonts w:ascii="Arial" w:cs="Arial" w:eastAsia="Arial" w:hAnsi="Arial"/>
                <w:sz w:val="16"/>
                <w:szCs w:val="16"/>
                <w:color w:val="auto"/>
              </w:rPr>
              <w:t>-1.2%</w:t>
            </w: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1200" w:type="dxa"/>
            <w:vAlign w:val="bottom"/>
          </w:tcPr>
          <w:p>
            <w:pPr>
              <w:jc w:val="right"/>
              <w:ind w:right="158"/>
              <w:spacing w:after="0"/>
              <w:rPr>
                <w:sz w:val="20"/>
                <w:szCs w:val="20"/>
                <w:color w:val="auto"/>
              </w:rPr>
            </w:pPr>
            <w:r>
              <w:rPr>
                <w:rFonts w:ascii="Arial" w:cs="Arial" w:eastAsia="Arial" w:hAnsi="Arial"/>
                <w:sz w:val="16"/>
                <w:szCs w:val="16"/>
                <w:color w:val="auto"/>
              </w:rPr>
              <w:t>439,880</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481,690</w:t>
            </w:r>
          </w:p>
        </w:tc>
        <w:tc>
          <w:tcPr>
            <w:tcW w:w="12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9.5%</w:t>
            </w:r>
          </w:p>
        </w:tc>
      </w:tr>
      <w:tr>
        <w:trPr>
          <w:trHeight w:val="185"/>
        </w:trPr>
        <w:tc>
          <w:tcPr>
            <w:tcW w:w="3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Taxes and contributions</w:t>
            </w:r>
          </w:p>
        </w:tc>
        <w:tc>
          <w:tcPr>
            <w:tcW w:w="860" w:type="dxa"/>
            <w:vAlign w:val="bottom"/>
          </w:tcPr>
          <w:p>
            <w:pPr>
              <w:jc w:val="right"/>
              <w:ind w:right="18"/>
              <w:spacing w:after="0"/>
              <w:rPr>
                <w:sz w:val="20"/>
                <w:szCs w:val="20"/>
                <w:color w:val="auto"/>
              </w:rPr>
            </w:pPr>
            <w:r>
              <w:rPr>
                <w:rFonts w:ascii="Arial" w:cs="Arial" w:eastAsia="Arial" w:hAnsi="Arial"/>
                <w:sz w:val="16"/>
                <w:szCs w:val="16"/>
                <w:color w:val="auto"/>
              </w:rPr>
              <w:t>45,461</w:t>
            </w:r>
          </w:p>
        </w:tc>
        <w:tc>
          <w:tcPr>
            <w:tcW w:w="820" w:type="dxa"/>
            <w:vAlign w:val="bottom"/>
          </w:tcPr>
          <w:p>
            <w:pPr>
              <w:jc w:val="right"/>
              <w:ind w:right="58"/>
              <w:spacing w:after="0"/>
              <w:rPr>
                <w:sz w:val="20"/>
                <w:szCs w:val="20"/>
                <w:color w:val="auto"/>
              </w:rPr>
            </w:pPr>
            <w:r>
              <w:rPr>
                <w:rFonts w:ascii="Arial" w:cs="Arial" w:eastAsia="Arial" w:hAnsi="Arial"/>
                <w:sz w:val="16"/>
                <w:szCs w:val="16"/>
                <w:color w:val="auto"/>
              </w:rPr>
              <w:t>20,557</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65,606</w:t>
            </w:r>
          </w:p>
        </w:tc>
        <w:tc>
          <w:tcPr>
            <w:tcW w:w="980" w:type="dxa"/>
            <w:vAlign w:val="bottom"/>
          </w:tcPr>
          <w:p>
            <w:pPr>
              <w:jc w:val="right"/>
              <w:ind w:right="58"/>
              <w:spacing w:after="0"/>
              <w:rPr>
                <w:sz w:val="20"/>
                <w:szCs w:val="20"/>
                <w:color w:val="auto"/>
              </w:rPr>
            </w:pPr>
            <w:r>
              <w:rPr>
                <w:rFonts w:ascii="Arial" w:cs="Arial" w:eastAsia="Arial" w:hAnsi="Arial"/>
                <w:sz w:val="16"/>
                <w:szCs w:val="16"/>
                <w:color w:val="auto"/>
              </w:rPr>
              <w:t>219.1%</w:t>
            </w: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44.3%</w:t>
            </w:r>
          </w:p>
        </w:tc>
        <w:tc>
          <w:tcPr>
            <w:tcW w:w="1200" w:type="dxa"/>
            <w:vAlign w:val="bottom"/>
          </w:tcPr>
          <w:p>
            <w:pPr>
              <w:jc w:val="right"/>
              <w:ind w:right="158"/>
              <w:spacing w:after="0"/>
              <w:rPr>
                <w:sz w:val="20"/>
                <w:szCs w:val="20"/>
                <w:color w:val="auto"/>
              </w:rPr>
            </w:pPr>
            <w:r>
              <w:rPr>
                <w:rFonts w:ascii="Arial" w:cs="Arial" w:eastAsia="Arial" w:hAnsi="Arial"/>
                <w:sz w:val="16"/>
                <w:szCs w:val="16"/>
                <w:color w:val="auto"/>
              </w:rPr>
              <w:t>186,100</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171,236</w:t>
            </w:r>
          </w:p>
        </w:tc>
        <w:tc>
          <w:tcPr>
            <w:tcW w:w="12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-8.0%</w:t>
            </w:r>
          </w:p>
        </w:tc>
      </w:tr>
      <w:tr>
        <w:trPr>
          <w:trHeight w:val="185"/>
        </w:trPr>
        <w:tc>
          <w:tcPr>
            <w:tcW w:w="3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Audit Services, Consulting and professional fees</w:t>
            </w:r>
          </w:p>
        </w:tc>
        <w:tc>
          <w:tcPr>
            <w:tcW w:w="860" w:type="dxa"/>
            <w:vAlign w:val="bottom"/>
          </w:tcPr>
          <w:p>
            <w:pPr>
              <w:jc w:val="right"/>
              <w:ind w:right="18"/>
              <w:spacing w:after="0"/>
              <w:rPr>
                <w:sz w:val="20"/>
                <w:szCs w:val="20"/>
                <w:color w:val="auto"/>
              </w:rPr>
            </w:pPr>
            <w:r>
              <w:rPr>
                <w:rFonts w:ascii="Arial" w:cs="Arial" w:eastAsia="Arial" w:hAnsi="Arial"/>
                <w:sz w:val="16"/>
                <w:szCs w:val="16"/>
                <w:color w:val="auto"/>
              </w:rPr>
              <w:t>73,297</w:t>
            </w:r>
          </w:p>
        </w:tc>
        <w:tc>
          <w:tcPr>
            <w:tcW w:w="820" w:type="dxa"/>
            <w:vAlign w:val="bottom"/>
          </w:tcPr>
          <w:p>
            <w:pPr>
              <w:jc w:val="right"/>
              <w:ind w:right="58"/>
              <w:spacing w:after="0"/>
              <w:rPr>
                <w:sz w:val="20"/>
                <w:szCs w:val="20"/>
                <w:color w:val="auto"/>
              </w:rPr>
            </w:pPr>
            <w:r>
              <w:rPr>
                <w:rFonts w:ascii="Arial" w:cs="Arial" w:eastAsia="Arial" w:hAnsi="Arial"/>
                <w:sz w:val="16"/>
                <w:szCs w:val="16"/>
                <w:color w:val="auto"/>
              </w:rPr>
              <w:t>67,017</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112,480</w:t>
            </w:r>
          </w:p>
        </w:tc>
        <w:tc>
          <w:tcPr>
            <w:tcW w:w="980" w:type="dxa"/>
            <w:vAlign w:val="bottom"/>
          </w:tcPr>
          <w:p>
            <w:pPr>
              <w:jc w:val="right"/>
              <w:ind w:right="58"/>
              <w:spacing w:after="0"/>
              <w:rPr>
                <w:sz w:val="20"/>
                <w:szCs w:val="20"/>
                <w:color w:val="auto"/>
              </w:rPr>
            </w:pPr>
            <w:r>
              <w:rPr>
                <w:rFonts w:ascii="Arial" w:cs="Arial" w:eastAsia="Arial" w:hAnsi="Arial"/>
                <w:sz w:val="16"/>
                <w:szCs w:val="16"/>
                <w:color w:val="auto"/>
              </w:rPr>
              <w:t>67.8%</w:t>
            </w: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53.5%</w:t>
            </w:r>
          </w:p>
        </w:tc>
        <w:tc>
          <w:tcPr>
            <w:tcW w:w="1200" w:type="dxa"/>
            <w:vAlign w:val="bottom"/>
          </w:tcPr>
          <w:p>
            <w:pPr>
              <w:jc w:val="right"/>
              <w:ind w:right="158"/>
              <w:spacing w:after="0"/>
              <w:rPr>
                <w:sz w:val="20"/>
                <w:szCs w:val="20"/>
                <w:color w:val="auto"/>
              </w:rPr>
            </w:pPr>
            <w:r>
              <w:rPr>
                <w:rFonts w:ascii="Arial" w:cs="Arial" w:eastAsia="Arial" w:hAnsi="Arial"/>
                <w:sz w:val="16"/>
                <w:szCs w:val="16"/>
                <w:color w:val="auto"/>
              </w:rPr>
              <w:t>194,229</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231,375</w:t>
            </w:r>
          </w:p>
        </w:tc>
        <w:tc>
          <w:tcPr>
            <w:tcW w:w="12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19.1%</w:t>
            </w:r>
          </w:p>
        </w:tc>
      </w:tr>
      <w:tr>
        <w:trPr>
          <w:trHeight w:val="185"/>
        </w:trPr>
        <w:tc>
          <w:tcPr>
            <w:tcW w:w="3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Transport and communications</w:t>
            </w:r>
          </w:p>
        </w:tc>
        <w:tc>
          <w:tcPr>
            <w:tcW w:w="860" w:type="dxa"/>
            <w:vAlign w:val="bottom"/>
          </w:tcPr>
          <w:p>
            <w:pPr>
              <w:jc w:val="right"/>
              <w:ind w:right="18"/>
              <w:spacing w:after="0"/>
              <w:rPr>
                <w:sz w:val="20"/>
                <w:szCs w:val="20"/>
                <w:color w:val="auto"/>
              </w:rPr>
            </w:pPr>
            <w:r>
              <w:rPr>
                <w:rFonts w:ascii="Arial" w:cs="Arial" w:eastAsia="Arial" w:hAnsi="Arial"/>
                <w:sz w:val="16"/>
                <w:szCs w:val="16"/>
                <w:color w:val="auto"/>
              </w:rPr>
              <w:t>73,494</w:t>
            </w:r>
          </w:p>
        </w:tc>
        <w:tc>
          <w:tcPr>
            <w:tcW w:w="820" w:type="dxa"/>
            <w:vAlign w:val="bottom"/>
          </w:tcPr>
          <w:p>
            <w:pPr>
              <w:jc w:val="right"/>
              <w:ind w:right="58"/>
              <w:spacing w:after="0"/>
              <w:rPr>
                <w:sz w:val="20"/>
                <w:szCs w:val="20"/>
                <w:color w:val="auto"/>
              </w:rPr>
            </w:pPr>
            <w:r>
              <w:rPr>
                <w:rFonts w:ascii="Arial" w:cs="Arial" w:eastAsia="Arial" w:hAnsi="Arial"/>
                <w:sz w:val="16"/>
                <w:szCs w:val="16"/>
                <w:color w:val="auto"/>
              </w:rPr>
              <w:t>57,437</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57,518</w:t>
            </w:r>
          </w:p>
        </w:tc>
        <w:tc>
          <w:tcPr>
            <w:tcW w:w="980" w:type="dxa"/>
            <w:vAlign w:val="bottom"/>
          </w:tcPr>
          <w:p>
            <w:pPr>
              <w:jc w:val="right"/>
              <w:ind w:right="58"/>
              <w:spacing w:after="0"/>
              <w:rPr>
                <w:sz w:val="20"/>
                <w:szCs w:val="20"/>
                <w:color w:val="auto"/>
              </w:rPr>
            </w:pPr>
            <w:r>
              <w:rPr>
                <w:rFonts w:ascii="Arial" w:cs="Arial" w:eastAsia="Arial" w:hAnsi="Arial"/>
                <w:sz w:val="16"/>
                <w:szCs w:val="16"/>
                <w:color w:val="auto"/>
              </w:rPr>
              <w:t>0.1%</w:t>
            </w: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-21.7%</w:t>
            </w:r>
          </w:p>
        </w:tc>
        <w:tc>
          <w:tcPr>
            <w:tcW w:w="1200" w:type="dxa"/>
            <w:vAlign w:val="bottom"/>
          </w:tcPr>
          <w:p>
            <w:pPr>
              <w:jc w:val="right"/>
              <w:ind w:right="158"/>
              <w:spacing w:after="0"/>
              <w:rPr>
                <w:sz w:val="20"/>
                <w:szCs w:val="20"/>
                <w:color w:val="auto"/>
              </w:rPr>
            </w:pPr>
            <w:r>
              <w:rPr>
                <w:rFonts w:ascii="Arial" w:cs="Arial" w:eastAsia="Arial" w:hAnsi="Arial"/>
                <w:sz w:val="16"/>
                <w:szCs w:val="16"/>
                <w:color w:val="auto"/>
              </w:rPr>
              <w:t>161,510</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165,991</w:t>
            </w:r>
          </w:p>
        </w:tc>
        <w:tc>
          <w:tcPr>
            <w:tcW w:w="12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2.8%</w:t>
            </w:r>
          </w:p>
        </w:tc>
      </w:tr>
      <w:tr>
        <w:trPr>
          <w:trHeight w:val="185"/>
        </w:trPr>
        <w:tc>
          <w:tcPr>
            <w:tcW w:w="3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Repair and maintenance</w:t>
            </w:r>
          </w:p>
        </w:tc>
        <w:tc>
          <w:tcPr>
            <w:tcW w:w="860" w:type="dxa"/>
            <w:vAlign w:val="bottom"/>
          </w:tcPr>
          <w:p>
            <w:pPr>
              <w:jc w:val="right"/>
              <w:ind w:right="18"/>
              <w:spacing w:after="0"/>
              <w:rPr>
                <w:sz w:val="20"/>
                <w:szCs w:val="20"/>
                <w:color w:val="auto"/>
              </w:rPr>
            </w:pPr>
            <w:r>
              <w:rPr>
                <w:rFonts w:ascii="Arial" w:cs="Arial" w:eastAsia="Arial" w:hAnsi="Arial"/>
                <w:sz w:val="16"/>
                <w:szCs w:val="16"/>
                <w:color w:val="auto"/>
              </w:rPr>
              <w:t>30,940</w:t>
            </w:r>
          </w:p>
        </w:tc>
        <w:tc>
          <w:tcPr>
            <w:tcW w:w="820" w:type="dxa"/>
            <w:vAlign w:val="bottom"/>
          </w:tcPr>
          <w:p>
            <w:pPr>
              <w:jc w:val="right"/>
              <w:ind w:right="58"/>
              <w:spacing w:after="0"/>
              <w:rPr>
                <w:sz w:val="20"/>
                <w:szCs w:val="20"/>
                <w:color w:val="auto"/>
              </w:rPr>
            </w:pPr>
            <w:r>
              <w:rPr>
                <w:rFonts w:ascii="Arial" w:cs="Arial" w:eastAsia="Arial" w:hAnsi="Arial"/>
                <w:sz w:val="16"/>
                <w:szCs w:val="16"/>
                <w:color w:val="auto"/>
              </w:rPr>
              <w:t>37,555</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44,084</w:t>
            </w:r>
          </w:p>
        </w:tc>
        <w:tc>
          <w:tcPr>
            <w:tcW w:w="980" w:type="dxa"/>
            <w:vAlign w:val="bottom"/>
          </w:tcPr>
          <w:p>
            <w:pPr>
              <w:jc w:val="right"/>
              <w:ind w:right="58"/>
              <w:spacing w:after="0"/>
              <w:rPr>
                <w:sz w:val="20"/>
                <w:szCs w:val="20"/>
                <w:color w:val="auto"/>
              </w:rPr>
            </w:pPr>
            <w:r>
              <w:rPr>
                <w:rFonts w:ascii="Arial" w:cs="Arial" w:eastAsia="Arial" w:hAnsi="Arial"/>
                <w:sz w:val="16"/>
                <w:szCs w:val="16"/>
                <w:color w:val="auto"/>
              </w:rPr>
              <w:t>17.4%</w:t>
            </w: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42.5%</w:t>
            </w:r>
          </w:p>
        </w:tc>
        <w:tc>
          <w:tcPr>
            <w:tcW w:w="1200" w:type="dxa"/>
            <w:vAlign w:val="bottom"/>
          </w:tcPr>
          <w:p>
            <w:pPr>
              <w:jc w:val="right"/>
              <w:ind w:right="158"/>
              <w:spacing w:after="0"/>
              <w:rPr>
                <w:sz w:val="20"/>
                <w:szCs w:val="20"/>
                <w:color w:val="auto"/>
              </w:rPr>
            </w:pPr>
            <w:r>
              <w:rPr>
                <w:rFonts w:ascii="Arial" w:cs="Arial" w:eastAsia="Arial" w:hAnsi="Arial"/>
                <w:sz w:val="16"/>
                <w:szCs w:val="16"/>
                <w:color w:val="auto"/>
              </w:rPr>
              <w:t>100,026</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107,429</w:t>
            </w:r>
          </w:p>
        </w:tc>
        <w:tc>
          <w:tcPr>
            <w:tcW w:w="12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7.4%</w:t>
            </w:r>
          </w:p>
        </w:tc>
      </w:tr>
      <w:tr>
        <w:trPr>
          <w:trHeight w:val="185"/>
        </w:trPr>
        <w:tc>
          <w:tcPr>
            <w:tcW w:w="3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Agents’ Fees</w:t>
            </w:r>
          </w:p>
        </w:tc>
        <w:tc>
          <w:tcPr>
            <w:tcW w:w="860" w:type="dxa"/>
            <w:vAlign w:val="bottom"/>
          </w:tcPr>
          <w:p>
            <w:pPr>
              <w:jc w:val="right"/>
              <w:ind w:right="18"/>
              <w:spacing w:after="0"/>
              <w:rPr>
                <w:sz w:val="20"/>
                <w:szCs w:val="20"/>
                <w:color w:val="auto"/>
              </w:rPr>
            </w:pPr>
            <w:r>
              <w:rPr>
                <w:rFonts w:ascii="Arial" w:cs="Arial" w:eastAsia="Arial" w:hAnsi="Arial"/>
                <w:sz w:val="16"/>
                <w:szCs w:val="16"/>
                <w:color w:val="auto"/>
              </w:rPr>
              <w:t>25,574</w:t>
            </w:r>
          </w:p>
        </w:tc>
        <w:tc>
          <w:tcPr>
            <w:tcW w:w="820" w:type="dxa"/>
            <w:vAlign w:val="bottom"/>
          </w:tcPr>
          <w:p>
            <w:pPr>
              <w:jc w:val="right"/>
              <w:ind w:right="58"/>
              <w:spacing w:after="0"/>
              <w:rPr>
                <w:sz w:val="20"/>
                <w:szCs w:val="20"/>
                <w:color w:val="auto"/>
              </w:rPr>
            </w:pPr>
            <w:r>
              <w:rPr>
                <w:rFonts w:ascii="Arial" w:cs="Arial" w:eastAsia="Arial" w:hAnsi="Arial"/>
                <w:sz w:val="16"/>
                <w:szCs w:val="16"/>
                <w:color w:val="auto"/>
              </w:rPr>
              <w:t>27,747</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29,310</w:t>
            </w:r>
          </w:p>
        </w:tc>
        <w:tc>
          <w:tcPr>
            <w:tcW w:w="980" w:type="dxa"/>
            <w:vAlign w:val="bottom"/>
          </w:tcPr>
          <w:p>
            <w:pPr>
              <w:jc w:val="right"/>
              <w:ind w:right="58"/>
              <w:spacing w:after="0"/>
              <w:rPr>
                <w:sz w:val="20"/>
                <w:szCs w:val="20"/>
                <w:color w:val="auto"/>
              </w:rPr>
            </w:pPr>
            <w:r>
              <w:rPr>
                <w:rFonts w:ascii="Arial" w:cs="Arial" w:eastAsia="Arial" w:hAnsi="Arial"/>
                <w:sz w:val="16"/>
                <w:szCs w:val="16"/>
                <w:color w:val="auto"/>
              </w:rPr>
              <w:t>5.6%</w:t>
            </w: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14.6%</w:t>
            </w:r>
          </w:p>
        </w:tc>
        <w:tc>
          <w:tcPr>
            <w:tcW w:w="1200" w:type="dxa"/>
            <w:vAlign w:val="bottom"/>
          </w:tcPr>
          <w:p>
            <w:pPr>
              <w:jc w:val="right"/>
              <w:ind w:right="158"/>
              <w:spacing w:after="0"/>
              <w:rPr>
                <w:sz w:val="20"/>
                <w:szCs w:val="20"/>
                <w:color w:val="auto"/>
              </w:rPr>
            </w:pPr>
            <w:r>
              <w:rPr>
                <w:rFonts w:ascii="Arial" w:cs="Arial" w:eastAsia="Arial" w:hAnsi="Arial"/>
                <w:sz w:val="16"/>
                <w:szCs w:val="16"/>
                <w:color w:val="auto"/>
              </w:rPr>
              <w:t>78,683</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83,209</w:t>
            </w:r>
          </w:p>
        </w:tc>
        <w:tc>
          <w:tcPr>
            <w:tcW w:w="12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5.8%</w:t>
            </w:r>
          </w:p>
        </w:tc>
      </w:tr>
      <w:tr>
        <w:trPr>
          <w:trHeight w:val="185"/>
        </w:trPr>
        <w:tc>
          <w:tcPr>
            <w:tcW w:w="3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Services by third-party</w:t>
            </w:r>
          </w:p>
        </w:tc>
        <w:tc>
          <w:tcPr>
            <w:tcW w:w="860" w:type="dxa"/>
            <w:vAlign w:val="bottom"/>
          </w:tcPr>
          <w:p>
            <w:pPr>
              <w:jc w:val="right"/>
              <w:ind w:right="18"/>
              <w:spacing w:after="0"/>
              <w:rPr>
                <w:sz w:val="20"/>
                <w:szCs w:val="20"/>
                <w:color w:val="auto"/>
              </w:rPr>
            </w:pPr>
            <w:r>
              <w:rPr>
                <w:rFonts w:ascii="Arial" w:cs="Arial" w:eastAsia="Arial" w:hAnsi="Arial"/>
                <w:sz w:val="16"/>
                <w:szCs w:val="16"/>
                <w:color w:val="auto"/>
              </w:rPr>
              <w:t>36,327</w:t>
            </w:r>
          </w:p>
        </w:tc>
        <w:tc>
          <w:tcPr>
            <w:tcW w:w="820" w:type="dxa"/>
            <w:vAlign w:val="bottom"/>
          </w:tcPr>
          <w:p>
            <w:pPr>
              <w:jc w:val="right"/>
              <w:ind w:right="58"/>
              <w:spacing w:after="0"/>
              <w:rPr>
                <w:sz w:val="20"/>
                <w:szCs w:val="20"/>
                <w:color w:val="auto"/>
              </w:rPr>
            </w:pPr>
            <w:r>
              <w:rPr>
                <w:rFonts w:ascii="Arial" w:cs="Arial" w:eastAsia="Arial" w:hAnsi="Arial"/>
                <w:sz w:val="16"/>
                <w:szCs w:val="16"/>
                <w:color w:val="auto"/>
              </w:rPr>
              <w:t>27,661</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45,426</w:t>
            </w:r>
          </w:p>
        </w:tc>
        <w:tc>
          <w:tcPr>
            <w:tcW w:w="980" w:type="dxa"/>
            <w:vAlign w:val="bottom"/>
          </w:tcPr>
          <w:p>
            <w:pPr>
              <w:jc w:val="right"/>
              <w:ind w:right="58"/>
              <w:spacing w:after="0"/>
              <w:rPr>
                <w:sz w:val="20"/>
                <w:szCs w:val="20"/>
                <w:color w:val="auto"/>
              </w:rPr>
            </w:pPr>
            <w:r>
              <w:rPr>
                <w:rFonts w:ascii="Arial" w:cs="Arial" w:eastAsia="Arial" w:hAnsi="Arial"/>
                <w:sz w:val="16"/>
                <w:szCs w:val="16"/>
                <w:color w:val="auto"/>
              </w:rPr>
              <w:t>64.2%</w:t>
            </w: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25.0%</w:t>
            </w:r>
          </w:p>
        </w:tc>
        <w:tc>
          <w:tcPr>
            <w:tcW w:w="1200" w:type="dxa"/>
            <w:vAlign w:val="bottom"/>
          </w:tcPr>
          <w:p>
            <w:pPr>
              <w:jc w:val="right"/>
              <w:ind w:right="158"/>
              <w:spacing w:after="0"/>
              <w:rPr>
                <w:sz w:val="20"/>
                <w:szCs w:val="20"/>
                <w:color w:val="auto"/>
              </w:rPr>
            </w:pPr>
            <w:r>
              <w:rPr>
                <w:rFonts w:ascii="Arial" w:cs="Arial" w:eastAsia="Arial" w:hAnsi="Arial"/>
                <w:sz w:val="16"/>
                <w:szCs w:val="16"/>
                <w:color w:val="auto"/>
              </w:rPr>
              <w:t>77,873</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100,598</w:t>
            </w:r>
          </w:p>
        </w:tc>
        <w:tc>
          <w:tcPr>
            <w:tcW w:w="12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29.2%</w:t>
            </w:r>
          </w:p>
        </w:tc>
      </w:tr>
      <w:tr>
        <w:trPr>
          <w:trHeight w:val="185"/>
        </w:trPr>
        <w:tc>
          <w:tcPr>
            <w:tcW w:w="3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Leases of low value and short-term</w:t>
            </w:r>
          </w:p>
        </w:tc>
        <w:tc>
          <w:tcPr>
            <w:tcW w:w="860" w:type="dxa"/>
            <w:vAlign w:val="bottom"/>
          </w:tcPr>
          <w:p>
            <w:pPr>
              <w:jc w:val="right"/>
              <w:ind w:right="18"/>
              <w:spacing w:after="0"/>
              <w:rPr>
                <w:sz w:val="20"/>
                <w:szCs w:val="20"/>
                <w:color w:val="auto"/>
              </w:rPr>
            </w:pPr>
            <w:r>
              <w:rPr>
                <w:rFonts w:ascii="Arial" w:cs="Arial" w:eastAsia="Arial" w:hAnsi="Arial"/>
                <w:sz w:val="16"/>
                <w:szCs w:val="16"/>
                <w:color w:val="auto"/>
              </w:rPr>
              <w:t>24,171</w:t>
            </w:r>
          </w:p>
        </w:tc>
        <w:tc>
          <w:tcPr>
            <w:tcW w:w="820" w:type="dxa"/>
            <w:vAlign w:val="bottom"/>
          </w:tcPr>
          <w:p>
            <w:pPr>
              <w:jc w:val="right"/>
              <w:ind w:right="58"/>
              <w:spacing w:after="0"/>
              <w:rPr>
                <w:sz w:val="20"/>
                <w:szCs w:val="20"/>
                <w:color w:val="auto"/>
              </w:rPr>
            </w:pPr>
            <w:r>
              <w:rPr>
                <w:rFonts w:ascii="Arial" w:cs="Arial" w:eastAsia="Arial" w:hAnsi="Arial"/>
                <w:sz w:val="16"/>
                <w:szCs w:val="16"/>
                <w:color w:val="auto"/>
              </w:rPr>
              <w:t>25,282</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27,754</w:t>
            </w:r>
          </w:p>
        </w:tc>
        <w:tc>
          <w:tcPr>
            <w:tcW w:w="980" w:type="dxa"/>
            <w:vAlign w:val="bottom"/>
          </w:tcPr>
          <w:p>
            <w:pPr>
              <w:jc w:val="right"/>
              <w:ind w:right="58"/>
              <w:spacing w:after="0"/>
              <w:rPr>
                <w:sz w:val="20"/>
                <w:szCs w:val="20"/>
                <w:color w:val="auto"/>
              </w:rPr>
            </w:pPr>
            <w:r>
              <w:rPr>
                <w:rFonts w:ascii="Arial" w:cs="Arial" w:eastAsia="Arial" w:hAnsi="Arial"/>
                <w:sz w:val="16"/>
                <w:szCs w:val="16"/>
                <w:color w:val="auto"/>
              </w:rPr>
              <w:t>9.8%</w:t>
            </w: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14.8%</w:t>
            </w:r>
          </w:p>
        </w:tc>
        <w:tc>
          <w:tcPr>
            <w:tcW w:w="1200" w:type="dxa"/>
            <w:vAlign w:val="bottom"/>
          </w:tcPr>
          <w:p>
            <w:pPr>
              <w:jc w:val="right"/>
              <w:ind w:right="158"/>
              <w:spacing w:after="0"/>
              <w:rPr>
                <w:sz w:val="20"/>
                <w:szCs w:val="20"/>
                <w:color w:val="auto"/>
              </w:rPr>
            </w:pPr>
            <w:r>
              <w:rPr>
                <w:rFonts w:ascii="Arial" w:cs="Arial" w:eastAsia="Arial" w:hAnsi="Arial"/>
                <w:sz w:val="16"/>
                <w:szCs w:val="16"/>
                <w:color w:val="auto"/>
              </w:rPr>
              <w:t>67,712</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78,152</w:t>
            </w:r>
          </w:p>
        </w:tc>
        <w:tc>
          <w:tcPr>
            <w:tcW w:w="12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15.4%</w:t>
            </w:r>
          </w:p>
        </w:tc>
      </w:tr>
      <w:tr>
        <w:trPr>
          <w:trHeight w:val="185"/>
        </w:trPr>
        <w:tc>
          <w:tcPr>
            <w:tcW w:w="3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Miscellaneous supplies</w:t>
            </w:r>
          </w:p>
        </w:tc>
        <w:tc>
          <w:tcPr>
            <w:tcW w:w="860" w:type="dxa"/>
            <w:vAlign w:val="bottom"/>
          </w:tcPr>
          <w:p>
            <w:pPr>
              <w:jc w:val="right"/>
              <w:ind w:right="18"/>
              <w:spacing w:after="0"/>
              <w:rPr>
                <w:sz w:val="20"/>
                <w:szCs w:val="20"/>
                <w:color w:val="auto"/>
              </w:rPr>
            </w:pPr>
            <w:r>
              <w:rPr>
                <w:rFonts w:ascii="Arial" w:cs="Arial" w:eastAsia="Arial" w:hAnsi="Arial"/>
                <w:sz w:val="16"/>
                <w:szCs w:val="16"/>
                <w:color w:val="auto"/>
              </w:rPr>
              <w:t>25,266</w:t>
            </w:r>
          </w:p>
        </w:tc>
        <w:tc>
          <w:tcPr>
            <w:tcW w:w="820" w:type="dxa"/>
            <w:vAlign w:val="bottom"/>
          </w:tcPr>
          <w:p>
            <w:pPr>
              <w:jc w:val="right"/>
              <w:ind w:right="58"/>
              <w:spacing w:after="0"/>
              <w:rPr>
                <w:sz w:val="20"/>
                <w:szCs w:val="20"/>
                <w:color w:val="auto"/>
              </w:rPr>
            </w:pPr>
            <w:r>
              <w:rPr>
                <w:rFonts w:ascii="Arial" w:cs="Arial" w:eastAsia="Arial" w:hAnsi="Arial"/>
                <w:sz w:val="16"/>
                <w:szCs w:val="16"/>
                <w:color w:val="auto"/>
              </w:rPr>
              <w:t>27,837</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27,091</w:t>
            </w:r>
          </w:p>
        </w:tc>
        <w:tc>
          <w:tcPr>
            <w:tcW w:w="980" w:type="dxa"/>
            <w:vAlign w:val="bottom"/>
          </w:tcPr>
          <w:p>
            <w:pPr>
              <w:jc w:val="right"/>
              <w:ind w:right="58"/>
              <w:spacing w:after="0"/>
              <w:rPr>
                <w:sz w:val="20"/>
                <w:szCs w:val="20"/>
                <w:color w:val="auto"/>
              </w:rPr>
            </w:pPr>
            <w:r>
              <w:rPr>
                <w:rFonts w:ascii="Arial" w:cs="Arial" w:eastAsia="Arial" w:hAnsi="Arial"/>
                <w:sz w:val="16"/>
                <w:szCs w:val="16"/>
                <w:color w:val="auto"/>
              </w:rPr>
              <w:t>-2.7%</w:t>
            </w: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1200" w:type="dxa"/>
            <w:vAlign w:val="bottom"/>
          </w:tcPr>
          <w:p>
            <w:pPr>
              <w:jc w:val="right"/>
              <w:ind w:right="158"/>
              <w:spacing w:after="0"/>
              <w:rPr>
                <w:sz w:val="20"/>
                <w:szCs w:val="20"/>
                <w:color w:val="auto"/>
              </w:rPr>
            </w:pPr>
            <w:r>
              <w:rPr>
                <w:rFonts w:ascii="Arial" w:cs="Arial" w:eastAsia="Arial" w:hAnsi="Arial"/>
                <w:sz w:val="16"/>
                <w:szCs w:val="16"/>
                <w:color w:val="auto"/>
              </w:rPr>
              <w:t>64,999</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87,921</w:t>
            </w:r>
          </w:p>
        </w:tc>
        <w:tc>
          <w:tcPr>
            <w:tcW w:w="12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35.3%</w:t>
            </w:r>
          </w:p>
        </w:tc>
      </w:tr>
      <w:tr>
        <w:trPr>
          <w:trHeight w:val="185"/>
        </w:trPr>
        <w:tc>
          <w:tcPr>
            <w:tcW w:w="3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Security and protection</w:t>
            </w:r>
          </w:p>
        </w:tc>
        <w:tc>
          <w:tcPr>
            <w:tcW w:w="860" w:type="dxa"/>
            <w:vAlign w:val="bottom"/>
          </w:tcPr>
          <w:p>
            <w:pPr>
              <w:jc w:val="right"/>
              <w:ind w:right="18"/>
              <w:spacing w:after="0"/>
              <w:rPr>
                <w:sz w:val="20"/>
                <w:szCs w:val="20"/>
                <w:color w:val="auto"/>
              </w:rPr>
            </w:pPr>
            <w:r>
              <w:rPr>
                <w:rFonts w:ascii="Arial" w:cs="Arial" w:eastAsia="Arial" w:hAnsi="Arial"/>
                <w:sz w:val="16"/>
                <w:szCs w:val="16"/>
                <w:color w:val="auto"/>
              </w:rPr>
              <w:t>16,841</w:t>
            </w:r>
          </w:p>
        </w:tc>
        <w:tc>
          <w:tcPr>
            <w:tcW w:w="820" w:type="dxa"/>
            <w:vAlign w:val="bottom"/>
          </w:tcPr>
          <w:p>
            <w:pPr>
              <w:jc w:val="right"/>
              <w:ind w:right="58"/>
              <w:spacing w:after="0"/>
              <w:rPr>
                <w:sz w:val="20"/>
                <w:szCs w:val="20"/>
                <w:color w:val="auto"/>
              </w:rPr>
            </w:pPr>
            <w:r>
              <w:rPr>
                <w:rFonts w:ascii="Arial" w:cs="Arial" w:eastAsia="Arial" w:hAnsi="Arial"/>
                <w:sz w:val="16"/>
                <w:szCs w:val="16"/>
                <w:color w:val="auto"/>
              </w:rPr>
              <w:t>16,004</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16,064</w:t>
            </w:r>
          </w:p>
        </w:tc>
        <w:tc>
          <w:tcPr>
            <w:tcW w:w="980" w:type="dxa"/>
            <w:vAlign w:val="bottom"/>
          </w:tcPr>
          <w:p>
            <w:pPr>
              <w:jc w:val="right"/>
              <w:ind w:right="58"/>
              <w:spacing w:after="0"/>
              <w:rPr>
                <w:sz w:val="20"/>
                <w:szCs w:val="20"/>
                <w:color w:val="auto"/>
              </w:rPr>
            </w:pPr>
            <w:r>
              <w:rPr>
                <w:rFonts w:ascii="Arial" w:cs="Arial" w:eastAsia="Arial" w:hAnsi="Arial"/>
                <w:sz w:val="16"/>
                <w:szCs w:val="16"/>
                <w:color w:val="auto"/>
              </w:rPr>
              <w:t>0.4%</w:t>
            </w: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200" w:type="dxa"/>
            <w:vAlign w:val="bottom"/>
          </w:tcPr>
          <w:p>
            <w:pPr>
              <w:jc w:val="right"/>
              <w:ind w:right="158"/>
              <w:spacing w:after="0"/>
              <w:rPr>
                <w:sz w:val="20"/>
                <w:szCs w:val="20"/>
                <w:color w:val="auto"/>
              </w:rPr>
            </w:pPr>
            <w:r>
              <w:rPr>
                <w:rFonts w:ascii="Arial" w:cs="Arial" w:eastAsia="Arial" w:hAnsi="Arial"/>
                <w:sz w:val="16"/>
                <w:szCs w:val="16"/>
                <w:color w:val="auto"/>
              </w:rPr>
              <w:t>48,115</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47,857</w:t>
            </w:r>
          </w:p>
        </w:tc>
        <w:tc>
          <w:tcPr>
            <w:tcW w:w="12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-0.5%</w:t>
            </w:r>
          </w:p>
        </w:tc>
      </w:tr>
      <w:tr>
        <w:trPr>
          <w:trHeight w:val="185"/>
        </w:trPr>
        <w:tc>
          <w:tcPr>
            <w:tcW w:w="3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Subscriptions and quotes</w:t>
            </w:r>
          </w:p>
        </w:tc>
        <w:tc>
          <w:tcPr>
            <w:tcW w:w="860" w:type="dxa"/>
            <w:vAlign w:val="bottom"/>
          </w:tcPr>
          <w:p>
            <w:pPr>
              <w:jc w:val="right"/>
              <w:ind w:right="18"/>
              <w:spacing w:after="0"/>
              <w:rPr>
                <w:sz w:val="20"/>
                <w:szCs w:val="20"/>
                <w:color w:val="auto"/>
              </w:rPr>
            </w:pPr>
            <w:r>
              <w:rPr>
                <w:rFonts w:ascii="Arial" w:cs="Arial" w:eastAsia="Arial" w:hAnsi="Arial"/>
                <w:sz w:val="16"/>
                <w:szCs w:val="16"/>
                <w:color w:val="auto"/>
              </w:rPr>
              <w:t>13,703</w:t>
            </w:r>
          </w:p>
        </w:tc>
        <w:tc>
          <w:tcPr>
            <w:tcW w:w="820" w:type="dxa"/>
            <w:vAlign w:val="bottom"/>
          </w:tcPr>
          <w:p>
            <w:pPr>
              <w:jc w:val="right"/>
              <w:ind w:right="58"/>
              <w:spacing w:after="0"/>
              <w:rPr>
                <w:sz w:val="20"/>
                <w:szCs w:val="20"/>
                <w:color w:val="auto"/>
              </w:rPr>
            </w:pPr>
            <w:r>
              <w:rPr>
                <w:rFonts w:ascii="Arial" w:cs="Arial" w:eastAsia="Arial" w:hAnsi="Arial"/>
                <w:sz w:val="16"/>
                <w:szCs w:val="16"/>
                <w:color w:val="auto"/>
              </w:rPr>
              <w:t>16,024</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14,391</w:t>
            </w:r>
          </w:p>
        </w:tc>
        <w:tc>
          <w:tcPr>
            <w:tcW w:w="980" w:type="dxa"/>
            <w:vAlign w:val="bottom"/>
          </w:tcPr>
          <w:p>
            <w:pPr>
              <w:jc w:val="right"/>
              <w:ind w:right="58"/>
              <w:spacing w:after="0"/>
              <w:rPr>
                <w:sz w:val="20"/>
                <w:szCs w:val="20"/>
                <w:color w:val="auto"/>
              </w:rPr>
            </w:pPr>
            <w:r>
              <w:rPr>
                <w:rFonts w:ascii="Arial" w:cs="Arial" w:eastAsia="Arial" w:hAnsi="Arial"/>
                <w:sz w:val="16"/>
                <w:szCs w:val="16"/>
                <w:color w:val="auto"/>
              </w:rPr>
              <w:t>-10.2%</w:t>
            </w: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200" w:type="dxa"/>
            <w:vAlign w:val="bottom"/>
          </w:tcPr>
          <w:p>
            <w:pPr>
              <w:jc w:val="right"/>
              <w:ind w:right="158"/>
              <w:spacing w:after="0"/>
              <w:rPr>
                <w:sz w:val="20"/>
                <w:szCs w:val="20"/>
                <w:color w:val="auto"/>
              </w:rPr>
            </w:pPr>
            <w:r>
              <w:rPr>
                <w:rFonts w:ascii="Arial" w:cs="Arial" w:eastAsia="Arial" w:hAnsi="Arial"/>
                <w:sz w:val="16"/>
                <w:szCs w:val="16"/>
                <w:color w:val="auto"/>
              </w:rPr>
              <w:t>41,592</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43,501</w:t>
            </w:r>
          </w:p>
        </w:tc>
        <w:tc>
          <w:tcPr>
            <w:tcW w:w="12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4.6%</w:t>
            </w:r>
          </w:p>
        </w:tc>
      </w:tr>
      <w:tr>
        <w:trPr>
          <w:trHeight w:val="185"/>
        </w:trPr>
        <w:tc>
          <w:tcPr>
            <w:tcW w:w="3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Electricity and water</w:t>
            </w:r>
          </w:p>
        </w:tc>
        <w:tc>
          <w:tcPr>
            <w:tcW w:w="860" w:type="dxa"/>
            <w:vAlign w:val="bottom"/>
          </w:tcPr>
          <w:p>
            <w:pPr>
              <w:jc w:val="right"/>
              <w:ind w:right="18"/>
              <w:spacing w:after="0"/>
              <w:rPr>
                <w:sz w:val="20"/>
                <w:szCs w:val="20"/>
                <w:color w:val="auto"/>
              </w:rPr>
            </w:pPr>
            <w:r>
              <w:rPr>
                <w:rFonts w:ascii="Arial" w:cs="Arial" w:eastAsia="Arial" w:hAnsi="Arial"/>
                <w:sz w:val="16"/>
                <w:szCs w:val="16"/>
                <w:color w:val="auto"/>
              </w:rPr>
              <w:t>11,742</w:t>
            </w:r>
          </w:p>
        </w:tc>
        <w:tc>
          <w:tcPr>
            <w:tcW w:w="820" w:type="dxa"/>
            <w:vAlign w:val="bottom"/>
          </w:tcPr>
          <w:p>
            <w:pPr>
              <w:jc w:val="right"/>
              <w:ind w:right="58"/>
              <w:spacing w:after="0"/>
              <w:rPr>
                <w:sz w:val="20"/>
                <w:szCs w:val="20"/>
                <w:color w:val="auto"/>
              </w:rPr>
            </w:pPr>
            <w:r>
              <w:rPr>
                <w:rFonts w:ascii="Arial" w:cs="Arial" w:eastAsia="Arial" w:hAnsi="Arial"/>
                <w:sz w:val="16"/>
                <w:szCs w:val="16"/>
                <w:color w:val="auto"/>
              </w:rPr>
              <w:t>14,954</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13,592</w:t>
            </w:r>
          </w:p>
        </w:tc>
        <w:tc>
          <w:tcPr>
            <w:tcW w:w="980" w:type="dxa"/>
            <w:vAlign w:val="bottom"/>
          </w:tcPr>
          <w:p>
            <w:pPr>
              <w:jc w:val="right"/>
              <w:ind w:right="58"/>
              <w:spacing w:after="0"/>
              <w:rPr>
                <w:sz w:val="20"/>
                <w:szCs w:val="20"/>
                <w:color w:val="auto"/>
              </w:rPr>
            </w:pPr>
            <w:r>
              <w:rPr>
                <w:rFonts w:ascii="Arial" w:cs="Arial" w:eastAsia="Arial" w:hAnsi="Arial"/>
                <w:sz w:val="16"/>
                <w:szCs w:val="16"/>
                <w:color w:val="auto"/>
              </w:rPr>
              <w:t>-9.1%</w:t>
            </w: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15.8%</w:t>
            </w:r>
          </w:p>
        </w:tc>
        <w:tc>
          <w:tcPr>
            <w:tcW w:w="1200" w:type="dxa"/>
            <w:vAlign w:val="bottom"/>
          </w:tcPr>
          <w:p>
            <w:pPr>
              <w:jc w:val="right"/>
              <w:ind w:right="158"/>
              <w:spacing w:after="0"/>
              <w:rPr>
                <w:sz w:val="20"/>
                <w:szCs w:val="20"/>
                <w:color w:val="auto"/>
              </w:rPr>
            </w:pPr>
            <w:r>
              <w:rPr>
                <w:rFonts w:ascii="Arial" w:cs="Arial" w:eastAsia="Arial" w:hAnsi="Arial"/>
                <w:sz w:val="16"/>
                <w:szCs w:val="16"/>
                <w:color w:val="auto"/>
              </w:rPr>
              <w:t>35,718</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40,043</w:t>
            </w:r>
          </w:p>
        </w:tc>
        <w:tc>
          <w:tcPr>
            <w:tcW w:w="12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12.1%</w:t>
            </w:r>
          </w:p>
        </w:tc>
      </w:tr>
      <w:tr>
        <w:trPr>
          <w:trHeight w:val="185"/>
        </w:trPr>
        <w:tc>
          <w:tcPr>
            <w:tcW w:w="3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Electronic processing</w:t>
            </w:r>
          </w:p>
        </w:tc>
        <w:tc>
          <w:tcPr>
            <w:tcW w:w="860" w:type="dxa"/>
            <w:vAlign w:val="bottom"/>
          </w:tcPr>
          <w:p>
            <w:pPr>
              <w:jc w:val="right"/>
              <w:ind w:right="18"/>
              <w:spacing w:after="0"/>
              <w:rPr>
                <w:sz w:val="20"/>
                <w:szCs w:val="20"/>
                <w:color w:val="auto"/>
              </w:rPr>
            </w:pPr>
            <w:r>
              <w:rPr>
                <w:rFonts w:ascii="Arial" w:cs="Arial" w:eastAsia="Arial" w:hAnsi="Arial"/>
                <w:sz w:val="16"/>
                <w:szCs w:val="16"/>
                <w:color w:val="auto"/>
              </w:rPr>
              <w:t>7,770</w:t>
            </w:r>
          </w:p>
        </w:tc>
        <w:tc>
          <w:tcPr>
            <w:tcW w:w="820" w:type="dxa"/>
            <w:vAlign w:val="bottom"/>
          </w:tcPr>
          <w:p>
            <w:pPr>
              <w:jc w:val="right"/>
              <w:ind w:right="58"/>
              <w:spacing w:after="0"/>
              <w:rPr>
                <w:sz w:val="20"/>
                <w:szCs w:val="20"/>
                <w:color w:val="auto"/>
              </w:rPr>
            </w:pPr>
            <w:r>
              <w:rPr>
                <w:rFonts w:ascii="Arial" w:cs="Arial" w:eastAsia="Arial" w:hAnsi="Arial"/>
                <w:sz w:val="16"/>
                <w:szCs w:val="16"/>
                <w:color w:val="auto"/>
              </w:rPr>
              <w:t>9,791</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9,959</w:t>
            </w:r>
          </w:p>
        </w:tc>
        <w:tc>
          <w:tcPr>
            <w:tcW w:w="980" w:type="dxa"/>
            <w:vAlign w:val="bottom"/>
          </w:tcPr>
          <w:p>
            <w:pPr>
              <w:jc w:val="right"/>
              <w:ind w:right="58"/>
              <w:spacing w:after="0"/>
              <w:rPr>
                <w:sz w:val="20"/>
                <w:szCs w:val="20"/>
                <w:color w:val="auto"/>
              </w:rPr>
            </w:pPr>
            <w:r>
              <w:rPr>
                <w:rFonts w:ascii="Arial" w:cs="Arial" w:eastAsia="Arial" w:hAnsi="Arial"/>
                <w:sz w:val="16"/>
                <w:szCs w:val="16"/>
                <w:color w:val="auto"/>
              </w:rPr>
              <w:t>1.7%</w:t>
            </w: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28.2%</w:t>
            </w:r>
          </w:p>
        </w:tc>
        <w:tc>
          <w:tcPr>
            <w:tcW w:w="1200" w:type="dxa"/>
            <w:vAlign w:val="bottom"/>
          </w:tcPr>
          <w:p>
            <w:pPr>
              <w:jc w:val="right"/>
              <w:ind w:right="158"/>
              <w:spacing w:after="0"/>
              <w:rPr>
                <w:sz w:val="20"/>
                <w:szCs w:val="20"/>
                <w:color w:val="auto"/>
              </w:rPr>
            </w:pPr>
            <w:r>
              <w:rPr>
                <w:rFonts w:ascii="Arial" w:cs="Arial" w:eastAsia="Arial" w:hAnsi="Arial"/>
                <w:sz w:val="16"/>
                <w:szCs w:val="16"/>
                <w:color w:val="auto"/>
              </w:rPr>
              <w:t>23,671</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28,480</w:t>
            </w:r>
          </w:p>
        </w:tc>
        <w:tc>
          <w:tcPr>
            <w:tcW w:w="12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20.3%</w:t>
            </w:r>
          </w:p>
        </w:tc>
      </w:tr>
      <w:tr>
        <w:trPr>
          <w:trHeight w:val="185"/>
        </w:trPr>
        <w:tc>
          <w:tcPr>
            <w:tcW w:w="37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Insurance</w:t>
            </w:r>
          </w:p>
        </w:tc>
        <w:tc>
          <w:tcPr>
            <w:tcW w:w="860" w:type="dxa"/>
            <w:vAlign w:val="bottom"/>
          </w:tcPr>
          <w:p>
            <w:pPr>
              <w:jc w:val="right"/>
              <w:ind w:right="18"/>
              <w:spacing w:after="0"/>
              <w:rPr>
                <w:sz w:val="20"/>
                <w:szCs w:val="20"/>
                <w:color w:val="auto"/>
              </w:rPr>
            </w:pPr>
            <w:r>
              <w:rPr>
                <w:rFonts w:ascii="Arial" w:cs="Arial" w:eastAsia="Arial" w:hAnsi="Arial"/>
                <w:sz w:val="16"/>
                <w:szCs w:val="16"/>
                <w:color w:val="auto"/>
              </w:rPr>
              <w:t>39,524</w:t>
            </w:r>
          </w:p>
        </w:tc>
        <w:tc>
          <w:tcPr>
            <w:tcW w:w="820" w:type="dxa"/>
            <w:vAlign w:val="bottom"/>
          </w:tcPr>
          <w:p>
            <w:pPr>
              <w:jc w:val="right"/>
              <w:ind w:right="58"/>
              <w:spacing w:after="0"/>
              <w:rPr>
                <w:sz w:val="20"/>
                <w:szCs w:val="20"/>
                <w:color w:val="auto"/>
              </w:rPr>
            </w:pPr>
            <w:r>
              <w:rPr>
                <w:rFonts w:ascii="Arial" w:cs="Arial" w:eastAsia="Arial" w:hAnsi="Arial"/>
                <w:sz w:val="16"/>
                <w:szCs w:val="16"/>
                <w:color w:val="auto"/>
              </w:rPr>
              <w:t>5,022</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38,034</w:t>
            </w:r>
          </w:p>
        </w:tc>
        <w:tc>
          <w:tcPr>
            <w:tcW w:w="980" w:type="dxa"/>
            <w:vAlign w:val="bottom"/>
          </w:tcPr>
          <w:p>
            <w:pPr>
              <w:jc w:val="right"/>
              <w:ind w:right="58"/>
              <w:spacing w:after="0"/>
              <w:rPr>
                <w:sz w:val="20"/>
                <w:szCs w:val="20"/>
                <w:color w:val="auto"/>
              </w:rPr>
            </w:pPr>
            <w:r>
              <w:rPr>
                <w:rFonts w:ascii="Arial" w:cs="Arial" w:eastAsia="Arial" w:hAnsi="Arial"/>
                <w:sz w:val="16"/>
                <w:szCs w:val="16"/>
                <w:color w:val="auto"/>
              </w:rPr>
              <w:t>657.3%</w:t>
            </w:r>
          </w:p>
        </w:tc>
        <w:tc>
          <w:tcPr>
            <w:tcW w:w="7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1200" w:type="dxa"/>
            <w:vAlign w:val="bottom"/>
          </w:tcPr>
          <w:p>
            <w:pPr>
              <w:jc w:val="right"/>
              <w:ind w:right="158"/>
              <w:spacing w:after="0"/>
              <w:rPr>
                <w:sz w:val="20"/>
                <w:szCs w:val="20"/>
                <w:color w:val="auto"/>
              </w:rPr>
            </w:pPr>
            <w:r>
              <w:rPr>
                <w:rFonts w:ascii="Arial" w:cs="Arial" w:eastAsia="Arial" w:hAnsi="Arial"/>
                <w:sz w:val="16"/>
                <w:szCs w:val="16"/>
                <w:color w:val="auto"/>
              </w:rPr>
              <w:t>54,365</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51,806</w:t>
            </w:r>
          </w:p>
        </w:tc>
        <w:tc>
          <w:tcPr>
            <w:tcW w:w="12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-4.7%</w:t>
            </w:r>
          </w:p>
        </w:tc>
      </w:tr>
      <w:tr>
        <w:trPr>
          <w:trHeight w:val="175"/>
        </w:trPr>
        <w:tc>
          <w:tcPr>
            <w:tcW w:w="3780" w:type="dxa"/>
            <w:vAlign w:val="bottom"/>
            <w:tcBorders>
              <w:left w:val="single" w:sz="8" w:color="auto"/>
              <w:right w:val="single" w:sz="8" w:color="auto"/>
            </w:tcBorders>
          </w:tcPr>
          <w:p>
            <w:pPr>
              <w:ind w:left="20"/>
              <w:spacing w:after="0" w:line="175" w:lineRule="exact"/>
              <w:rPr>
                <w:sz w:val="20"/>
                <w:szCs w:val="20"/>
                <w:color w:val="auto"/>
              </w:rPr>
            </w:pPr>
            <w:r>
              <w:rPr>
                <w:rFonts w:ascii="Arial" w:cs="Arial" w:eastAsia="Arial" w:hAnsi="Arial"/>
                <w:sz w:val="16"/>
                <w:szCs w:val="16"/>
                <w:color w:val="auto"/>
              </w:rPr>
              <w:t>Cleaning</w:t>
            </w:r>
          </w:p>
        </w:tc>
        <w:tc>
          <w:tcPr>
            <w:tcW w:w="860" w:type="dxa"/>
            <w:vAlign w:val="bottom"/>
          </w:tcPr>
          <w:p>
            <w:pPr>
              <w:jc w:val="right"/>
              <w:ind w:right="18"/>
              <w:spacing w:after="0" w:line="175" w:lineRule="exact"/>
              <w:rPr>
                <w:sz w:val="20"/>
                <w:szCs w:val="20"/>
                <w:color w:val="auto"/>
              </w:rPr>
            </w:pPr>
            <w:r>
              <w:rPr>
                <w:rFonts w:ascii="Arial" w:cs="Arial" w:eastAsia="Arial" w:hAnsi="Arial"/>
                <w:sz w:val="16"/>
                <w:szCs w:val="16"/>
                <w:color w:val="auto"/>
              </w:rPr>
              <w:t>5,358</w:t>
            </w:r>
          </w:p>
        </w:tc>
        <w:tc>
          <w:tcPr>
            <w:tcW w:w="820" w:type="dxa"/>
            <w:vAlign w:val="bottom"/>
          </w:tcPr>
          <w:p>
            <w:pPr>
              <w:jc w:val="right"/>
              <w:ind w:right="58"/>
              <w:spacing w:after="0" w:line="175" w:lineRule="exact"/>
              <w:rPr>
                <w:sz w:val="20"/>
                <w:szCs w:val="20"/>
                <w:color w:val="auto"/>
              </w:rPr>
            </w:pPr>
            <w:r>
              <w:rPr>
                <w:rFonts w:ascii="Arial" w:cs="Arial" w:eastAsia="Arial" w:hAnsi="Arial"/>
                <w:sz w:val="16"/>
                <w:szCs w:val="16"/>
                <w:color w:val="auto"/>
              </w:rPr>
              <w:t>5,463</w:t>
            </w:r>
          </w:p>
        </w:tc>
        <w:tc>
          <w:tcPr>
            <w:tcW w:w="860" w:type="dxa"/>
            <w:vAlign w:val="bottom"/>
            <w:tcBorders>
              <w:right w:val="single" w:sz="8" w:color="auto"/>
            </w:tcBorders>
          </w:tcPr>
          <w:p>
            <w:pPr>
              <w:jc w:val="right"/>
              <w:spacing w:after="0" w:line="175" w:lineRule="exact"/>
              <w:rPr>
                <w:sz w:val="20"/>
                <w:szCs w:val="20"/>
                <w:color w:val="auto"/>
              </w:rPr>
            </w:pPr>
            <w:r>
              <w:rPr>
                <w:rFonts w:ascii="Arial" w:cs="Arial" w:eastAsia="Arial" w:hAnsi="Arial"/>
                <w:sz w:val="16"/>
                <w:szCs w:val="16"/>
                <w:color w:val="auto"/>
              </w:rPr>
              <w:t>5,930</w:t>
            </w:r>
          </w:p>
        </w:tc>
        <w:tc>
          <w:tcPr>
            <w:tcW w:w="980" w:type="dxa"/>
            <w:vAlign w:val="bottom"/>
          </w:tcPr>
          <w:p>
            <w:pPr>
              <w:jc w:val="right"/>
              <w:ind w:right="58"/>
              <w:spacing w:after="0" w:line="175" w:lineRule="exact"/>
              <w:rPr>
                <w:sz w:val="20"/>
                <w:szCs w:val="20"/>
                <w:color w:val="auto"/>
              </w:rPr>
            </w:pPr>
            <w:r>
              <w:rPr>
                <w:rFonts w:ascii="Arial" w:cs="Arial" w:eastAsia="Arial" w:hAnsi="Arial"/>
                <w:sz w:val="16"/>
                <w:szCs w:val="16"/>
                <w:color w:val="auto"/>
              </w:rPr>
              <w:t>8.5%</w:t>
            </w:r>
          </w:p>
        </w:tc>
        <w:tc>
          <w:tcPr>
            <w:tcW w:w="720" w:type="dxa"/>
            <w:vAlign w:val="bottom"/>
            <w:tcBorders>
              <w:right w:val="single" w:sz="8" w:color="auto"/>
            </w:tcBorders>
          </w:tcPr>
          <w:p>
            <w:pPr>
              <w:jc w:val="right"/>
              <w:spacing w:after="0" w:line="175" w:lineRule="exact"/>
              <w:rPr>
                <w:sz w:val="20"/>
                <w:szCs w:val="20"/>
                <w:color w:val="auto"/>
              </w:rPr>
            </w:pPr>
            <w:r>
              <w:rPr>
                <w:rFonts w:ascii="Arial" w:cs="Arial" w:eastAsia="Arial" w:hAnsi="Arial"/>
                <w:sz w:val="16"/>
                <w:szCs w:val="16"/>
                <w:color w:val="auto"/>
              </w:rPr>
              <w:t>10.7%</w:t>
            </w:r>
          </w:p>
        </w:tc>
        <w:tc>
          <w:tcPr>
            <w:tcW w:w="1200" w:type="dxa"/>
            <w:vAlign w:val="bottom"/>
          </w:tcPr>
          <w:p>
            <w:pPr>
              <w:jc w:val="right"/>
              <w:ind w:right="158"/>
              <w:spacing w:after="0" w:line="175" w:lineRule="exact"/>
              <w:rPr>
                <w:sz w:val="20"/>
                <w:szCs w:val="20"/>
                <w:color w:val="auto"/>
              </w:rPr>
            </w:pPr>
            <w:r>
              <w:rPr>
                <w:rFonts w:ascii="Arial" w:cs="Arial" w:eastAsia="Arial" w:hAnsi="Arial"/>
                <w:sz w:val="16"/>
                <w:szCs w:val="16"/>
                <w:color w:val="auto"/>
              </w:rPr>
              <w:t>15,067</w:t>
            </w:r>
          </w:p>
        </w:tc>
        <w:tc>
          <w:tcPr>
            <w:tcW w:w="820" w:type="dxa"/>
            <w:vAlign w:val="bottom"/>
            <w:tcBorders>
              <w:right w:val="single" w:sz="8" w:color="auto"/>
            </w:tcBorders>
          </w:tcPr>
          <w:p>
            <w:pPr>
              <w:jc w:val="right"/>
              <w:spacing w:after="0" w:line="175" w:lineRule="exact"/>
              <w:rPr>
                <w:sz w:val="20"/>
                <w:szCs w:val="20"/>
                <w:color w:val="auto"/>
              </w:rPr>
            </w:pPr>
            <w:r>
              <w:rPr>
                <w:rFonts w:ascii="Arial" w:cs="Arial" w:eastAsia="Arial" w:hAnsi="Arial"/>
                <w:sz w:val="16"/>
                <w:szCs w:val="16"/>
                <w:color w:val="auto"/>
              </w:rPr>
              <w:t>16,555</w:t>
            </w:r>
          </w:p>
        </w:tc>
        <w:tc>
          <w:tcPr>
            <w:tcW w:w="1220" w:type="dxa"/>
            <w:vAlign w:val="bottom"/>
            <w:tcBorders>
              <w:right w:val="single" w:sz="8" w:color="auto"/>
            </w:tcBorders>
          </w:tcPr>
          <w:p>
            <w:pPr>
              <w:jc w:val="right"/>
              <w:spacing w:after="0" w:line="175" w:lineRule="exact"/>
              <w:rPr>
                <w:sz w:val="20"/>
                <w:szCs w:val="20"/>
                <w:color w:val="auto"/>
              </w:rPr>
            </w:pPr>
            <w:r>
              <w:rPr>
                <w:rFonts w:ascii="Arial" w:cs="Arial" w:eastAsia="Arial" w:hAnsi="Arial"/>
                <w:sz w:val="16"/>
                <w:szCs w:val="16"/>
                <w:color w:val="auto"/>
              </w:rPr>
              <w:t>9.9%</w:t>
            </w:r>
          </w:p>
        </w:tc>
      </w:tr>
      <w:tr>
        <w:trPr>
          <w:trHeight w:val="208"/>
        </w:trPr>
        <w:tc>
          <w:tcPr>
            <w:tcW w:w="3780" w:type="dxa"/>
            <w:vAlign w:val="bottom"/>
            <w:tcBorders>
              <w:left w:val="single" w:sz="8" w:color="auto"/>
              <w:bottom w:val="single" w:sz="8" w:color="auto"/>
              <w:right w:val="single" w:sz="8" w:color="auto"/>
            </w:tcBorders>
          </w:tcPr>
          <w:p>
            <w:pPr>
              <w:ind w:left="20"/>
              <w:spacing w:after="0" w:line="209" w:lineRule="exact"/>
              <w:rPr>
                <w:sz w:val="20"/>
                <w:szCs w:val="20"/>
                <w:color w:val="auto"/>
              </w:rPr>
            </w:pPr>
            <w:r>
              <w:rPr>
                <w:rFonts w:ascii="Arial" w:cs="Arial" w:eastAsia="Arial" w:hAnsi="Arial"/>
                <w:sz w:val="15"/>
                <w:szCs w:val="15"/>
                <w:color w:val="auto"/>
              </w:rPr>
              <w:t xml:space="preserve">Others </w:t>
            </w:r>
            <w:r>
              <w:rPr>
                <w:rFonts w:ascii="Arial" w:cs="Arial" w:eastAsia="Arial" w:hAnsi="Arial"/>
                <w:sz w:val="24"/>
                <w:szCs w:val="24"/>
                <w:color w:val="auto"/>
                <w:vertAlign w:val="superscript"/>
              </w:rPr>
              <w:t>(1)</w:t>
            </w:r>
          </w:p>
        </w:tc>
        <w:tc>
          <w:tcPr>
            <w:tcW w:w="86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26,285</w:t>
            </w:r>
          </w:p>
        </w:tc>
        <w:tc>
          <w:tcPr>
            <w:tcW w:w="82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82,326</w:t>
            </w:r>
          </w:p>
        </w:tc>
        <w:tc>
          <w:tcPr>
            <w:tcW w:w="8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57,449</w:t>
            </w:r>
          </w:p>
        </w:tc>
        <w:tc>
          <w:tcPr>
            <w:tcW w:w="98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-30.2%</w:t>
            </w:r>
          </w:p>
        </w:tc>
        <w:tc>
          <w:tcPr>
            <w:tcW w:w="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118.6%</w:t>
            </w:r>
          </w:p>
        </w:tc>
        <w:tc>
          <w:tcPr>
            <w:tcW w:w="1200" w:type="dxa"/>
            <w:vAlign w:val="bottom"/>
            <w:tcBorders>
              <w:bottom w:val="single" w:sz="8" w:color="auto"/>
            </w:tcBorders>
          </w:tcPr>
          <w:p>
            <w:pPr>
              <w:jc w:val="right"/>
              <w:ind w:right="158"/>
              <w:spacing w:after="0"/>
              <w:rPr>
                <w:sz w:val="20"/>
                <w:szCs w:val="20"/>
                <w:color w:val="auto"/>
              </w:rPr>
            </w:pPr>
            <w:r>
              <w:rPr>
                <w:rFonts w:ascii="Arial" w:cs="Arial" w:eastAsia="Arial" w:hAnsi="Arial"/>
                <w:sz w:val="16"/>
                <w:szCs w:val="16"/>
                <w:color w:val="auto"/>
              </w:rPr>
              <w:t>149,981</w:t>
            </w:r>
          </w:p>
        </w:tc>
        <w:tc>
          <w:tcPr>
            <w:tcW w:w="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209,573</w:t>
            </w:r>
          </w:p>
        </w:tc>
        <w:tc>
          <w:tcPr>
            <w:tcW w:w="12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39.7%</w:t>
            </w:r>
          </w:p>
        </w:tc>
      </w:tr>
      <w:tr>
        <w:trPr>
          <w:trHeight w:val="178"/>
        </w:trPr>
        <w:tc>
          <w:tcPr>
            <w:tcW w:w="3780" w:type="dxa"/>
            <w:vAlign w:val="bottom"/>
            <w:tcBorders>
              <w:left w:val="single" w:sz="8" w:color="auto"/>
              <w:bottom w:val="single" w:sz="8" w:color="auto"/>
              <w:right w:val="single" w:sz="8" w:color="auto"/>
            </w:tcBorders>
          </w:tcPr>
          <w:p>
            <w:pPr>
              <w:ind w:left="20"/>
              <w:spacing w:after="0" w:line="178" w:lineRule="exact"/>
              <w:rPr>
                <w:sz w:val="20"/>
                <w:szCs w:val="20"/>
                <w:color w:val="auto"/>
              </w:rPr>
            </w:pPr>
            <w:r>
              <w:rPr>
                <w:rFonts w:ascii="Arial" w:cs="Arial" w:eastAsia="Arial" w:hAnsi="Arial"/>
                <w:sz w:val="16"/>
                <w:szCs w:val="16"/>
                <w:b w:val="1"/>
                <w:bCs w:val="1"/>
                <w:color w:val="auto"/>
              </w:rPr>
              <w:t>Total</w:t>
            </w:r>
          </w:p>
        </w:tc>
        <w:tc>
          <w:tcPr>
            <w:tcW w:w="860" w:type="dxa"/>
            <w:vAlign w:val="bottom"/>
            <w:tcBorders>
              <w:bottom w:val="single" w:sz="8" w:color="auto"/>
            </w:tcBorders>
          </w:tcPr>
          <w:p>
            <w:pPr>
              <w:jc w:val="right"/>
              <w:ind w:right="18"/>
              <w:spacing w:after="0" w:line="178" w:lineRule="exact"/>
              <w:rPr>
                <w:sz w:val="20"/>
                <w:szCs w:val="20"/>
                <w:color w:val="auto"/>
              </w:rPr>
            </w:pPr>
            <w:r>
              <w:rPr>
                <w:rFonts w:ascii="Arial" w:cs="Arial" w:eastAsia="Arial" w:hAnsi="Arial"/>
                <w:sz w:val="16"/>
                <w:szCs w:val="16"/>
                <w:b w:val="1"/>
                <w:bCs w:val="1"/>
                <w:color w:val="auto"/>
              </w:rPr>
              <w:t>869,873</w:t>
            </w:r>
          </w:p>
        </w:tc>
        <w:tc>
          <w:tcPr>
            <w:tcW w:w="820" w:type="dxa"/>
            <w:vAlign w:val="bottom"/>
            <w:tcBorders>
              <w:bottom w:val="single" w:sz="8" w:color="auto"/>
            </w:tcBorders>
          </w:tcPr>
          <w:p>
            <w:pPr>
              <w:jc w:val="right"/>
              <w:ind w:right="58"/>
              <w:spacing w:after="0" w:line="178" w:lineRule="exact"/>
              <w:rPr>
                <w:sz w:val="20"/>
                <w:szCs w:val="20"/>
                <w:color w:val="auto"/>
              </w:rPr>
            </w:pPr>
            <w:r>
              <w:rPr>
                <w:rFonts w:ascii="Arial" w:cs="Arial" w:eastAsia="Arial" w:hAnsi="Arial"/>
                <w:sz w:val="16"/>
                <w:szCs w:val="16"/>
                <w:b w:val="1"/>
                <w:bCs w:val="1"/>
                <w:color w:val="auto"/>
              </w:rPr>
              <w:t>871,046</w:t>
            </w:r>
          </w:p>
        </w:tc>
        <w:tc>
          <w:tcPr>
            <w:tcW w:w="860" w:type="dxa"/>
            <w:vAlign w:val="bottom"/>
            <w:tcBorders>
              <w:bottom w:val="single" w:sz="8" w:color="auto"/>
              <w:right w:val="single" w:sz="8" w:color="auto"/>
            </w:tcBorders>
          </w:tcPr>
          <w:p>
            <w:pPr>
              <w:jc w:val="right"/>
              <w:spacing w:after="0" w:line="178" w:lineRule="exact"/>
              <w:rPr>
                <w:sz w:val="20"/>
                <w:szCs w:val="20"/>
                <w:color w:val="auto"/>
              </w:rPr>
            </w:pPr>
            <w:r>
              <w:rPr>
                <w:rFonts w:ascii="Arial" w:cs="Arial" w:eastAsia="Arial" w:hAnsi="Arial"/>
                <w:sz w:val="16"/>
                <w:szCs w:val="16"/>
                <w:b w:val="1"/>
                <w:bCs w:val="1"/>
                <w:color w:val="auto"/>
              </w:rPr>
              <w:t>1,007,894</w:t>
            </w:r>
          </w:p>
        </w:tc>
        <w:tc>
          <w:tcPr>
            <w:tcW w:w="980" w:type="dxa"/>
            <w:vAlign w:val="bottom"/>
            <w:tcBorders>
              <w:bottom w:val="single" w:sz="8" w:color="auto"/>
            </w:tcBorders>
          </w:tcPr>
          <w:p>
            <w:pPr>
              <w:jc w:val="right"/>
              <w:ind w:right="58"/>
              <w:spacing w:after="0" w:line="178" w:lineRule="exact"/>
              <w:rPr>
                <w:sz w:val="20"/>
                <w:szCs w:val="20"/>
                <w:color w:val="auto"/>
              </w:rPr>
            </w:pPr>
            <w:r>
              <w:rPr>
                <w:rFonts w:ascii="Arial" w:cs="Arial" w:eastAsia="Arial" w:hAnsi="Arial"/>
                <w:sz w:val="16"/>
                <w:szCs w:val="16"/>
                <w:b w:val="1"/>
                <w:bCs w:val="1"/>
                <w:color w:val="auto"/>
              </w:rPr>
              <w:t>15.7%</w:t>
            </w:r>
          </w:p>
        </w:tc>
        <w:tc>
          <w:tcPr>
            <w:tcW w:w="72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b w:val="1"/>
                <w:bCs w:val="1"/>
                <w:color w:val="auto"/>
              </w:rPr>
              <w:t>15.9%</w:t>
            </w:r>
          </w:p>
        </w:tc>
        <w:tc>
          <w:tcPr>
            <w:tcW w:w="1200" w:type="dxa"/>
            <w:vAlign w:val="bottom"/>
            <w:tcBorders>
              <w:bottom w:val="single" w:sz="8" w:color="auto"/>
            </w:tcBorders>
          </w:tcPr>
          <w:p>
            <w:pPr>
              <w:jc w:val="right"/>
              <w:ind w:right="158"/>
              <w:spacing w:after="0" w:line="178" w:lineRule="exact"/>
              <w:rPr>
                <w:sz w:val="20"/>
                <w:szCs w:val="20"/>
                <w:color w:val="auto"/>
              </w:rPr>
            </w:pPr>
            <w:r>
              <w:rPr>
                <w:rFonts w:ascii="Arial" w:cs="Arial" w:eastAsia="Arial" w:hAnsi="Arial"/>
                <w:sz w:val="16"/>
                <w:szCs w:val="16"/>
                <w:b w:val="1"/>
                <w:bCs w:val="1"/>
                <w:color w:val="auto"/>
              </w:rPr>
              <w:t>2,385,038</w:t>
            </w:r>
          </w:p>
        </w:tc>
        <w:tc>
          <w:tcPr>
            <w:tcW w:w="820" w:type="dxa"/>
            <w:vAlign w:val="bottom"/>
            <w:tcBorders>
              <w:bottom w:val="single" w:sz="8" w:color="auto"/>
              <w:right w:val="single" w:sz="8" w:color="auto"/>
            </w:tcBorders>
          </w:tcPr>
          <w:p>
            <w:pPr>
              <w:jc w:val="right"/>
              <w:spacing w:after="0" w:line="178" w:lineRule="exact"/>
              <w:rPr>
                <w:sz w:val="20"/>
                <w:szCs w:val="20"/>
                <w:color w:val="auto"/>
              </w:rPr>
            </w:pPr>
            <w:r>
              <w:rPr>
                <w:rFonts w:ascii="Arial" w:cs="Arial" w:eastAsia="Arial" w:hAnsi="Arial"/>
                <w:sz w:val="16"/>
                <w:szCs w:val="16"/>
                <w:b w:val="1"/>
                <w:bCs w:val="1"/>
                <w:color w:val="auto"/>
              </w:rPr>
              <w:t>2,714,000</w:t>
            </w:r>
          </w:p>
        </w:tc>
        <w:tc>
          <w:tcPr>
            <w:tcW w:w="1220" w:type="dxa"/>
            <w:vAlign w:val="bottom"/>
            <w:tcBorders>
              <w:bottom w:val="single" w:sz="8" w:color="auto"/>
              <w:right w:val="single" w:sz="8" w:color="auto"/>
            </w:tcBorders>
          </w:tcPr>
          <w:p>
            <w:pPr>
              <w:jc w:val="right"/>
              <w:spacing w:after="0" w:line="178" w:lineRule="exact"/>
              <w:rPr>
                <w:sz w:val="20"/>
                <w:szCs w:val="20"/>
                <w:color w:val="auto"/>
              </w:rPr>
            </w:pPr>
            <w:r>
              <w:rPr>
                <w:rFonts w:ascii="Arial" w:cs="Arial" w:eastAsia="Arial" w:hAnsi="Arial"/>
                <w:sz w:val="16"/>
                <w:szCs w:val="16"/>
                <w:b w:val="1"/>
                <w:bCs w:val="1"/>
                <w:color w:val="auto"/>
              </w:rPr>
              <w:t>13.8%</w:t>
            </w:r>
          </w:p>
        </w:tc>
      </w:tr>
    </w:tbl>
    <w:p>
      <w:pPr>
        <w:spacing w:after="0" w:line="160" w:lineRule="exact"/>
        <w:rPr>
          <w:sz w:val="20"/>
          <w:szCs w:val="20"/>
          <w:color w:val="auto"/>
        </w:rPr>
      </w:pPr>
    </w:p>
    <w:p>
      <w:pPr>
        <w:ind w:left="1" w:right="200"/>
        <w:spacing w:after="0" w:line="274" w:lineRule="auto"/>
        <w:rPr>
          <w:sz w:val="20"/>
          <w:szCs w:val="20"/>
          <w:color w:val="auto"/>
        </w:rPr>
      </w:pPr>
      <w:r>
        <w:rPr>
          <w:rFonts w:ascii="Arial" w:cs="Arial" w:eastAsia="Arial" w:hAnsi="Arial"/>
          <w:sz w:val="16"/>
          <w:szCs w:val="16"/>
          <w:color w:val="auto"/>
        </w:rPr>
        <w:t>Administrative and general expenses reported growth of 13.8% YTD at the end of September 2023. This uptick was driven primarily by core businesses and disruptive initiatives, mainly via expenses in the IT and marketing lines.</w:t>
      </w:r>
    </w:p>
    <w:p>
      <w:pPr>
        <w:spacing w:after="0" w:line="28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43750" cy="158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337" w:right="339" w:bottom="1440" w:gutter="0" w:footer="0" w:header="0"/>
        </w:sectPr>
      </w:pPr>
    </w:p>
    <w:bookmarkStart w:id="38" w:name="page39"/>
    <w:bookmarkEnd w:id="38"/>
    <w:p>
      <w:pPr>
        <w:ind w:left="2961"/>
        <w:spacing w:after="0"/>
        <w:tabs>
          <w:tab w:leader="none" w:pos="3141" w:val="left"/>
          <w:tab w:leader="none" w:pos="7701" w:val="left"/>
        </w:tabs>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202565</wp:posOffset>
            </wp:positionH>
            <wp:positionV relativeFrom="page">
              <wp:posOffset>88900</wp:posOffset>
            </wp:positionV>
            <wp:extent cx="7143750" cy="41592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3750" cy="415925"/>
                    </a:xfrm>
                    <a:prstGeom prst="rect">
                      <a:avLst/>
                    </a:prstGeom>
                    <a:noFill/>
                  </pic:spPr>
                </pic:pic>
              </a:graphicData>
            </a:graphic>
          </wp:anchor>
        </w:drawing>
        <w:t>|</w:t>
      </w:r>
      <w:r>
        <w:rPr>
          <w:sz w:val="20"/>
          <w:szCs w:val="20"/>
          <w:color w:val="auto"/>
        </w:rPr>
        <w:tab/>
      </w:r>
      <w:r>
        <w:rPr>
          <w:rFonts w:ascii="Arial" w:cs="Arial" w:eastAsia="Arial" w:hAnsi="Arial"/>
          <w:sz w:val="16"/>
          <w:szCs w:val="16"/>
          <w:b w:val="1"/>
          <w:bCs w:val="1"/>
          <w:color w:val="FFFFFF"/>
        </w:rPr>
        <w:t>Earnings Release 3Q / 2023</w:t>
      </w:r>
      <w:r>
        <w:rPr>
          <w:sz w:val="20"/>
          <w:szCs w:val="20"/>
          <w:color w:val="auto"/>
        </w:rPr>
        <w:tab/>
      </w:r>
      <w:r>
        <w:rPr>
          <w:rFonts w:ascii="Arial" w:cs="Arial" w:eastAsia="Arial" w:hAnsi="Arial"/>
          <w:sz w:val="18"/>
          <w:szCs w:val="18"/>
          <w:b w:val="1"/>
          <w:bCs w:val="1"/>
          <w:color w:val="E93CAC"/>
        </w:rPr>
        <w:t>Analysis of 3Q23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159385</wp:posOffset>
            </wp:positionV>
            <wp:extent cx="7143750" cy="2038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3750" cy="203835"/>
                    </a:xfrm>
                    <a:prstGeom prst="rect">
                      <a:avLst/>
                    </a:prstGeom>
                    <a:noFill/>
                  </pic:spPr>
                </pic:pic>
              </a:graphicData>
            </a:graphic>
          </wp:anchor>
        </w:drawing>
      </w:r>
    </w:p>
    <w:p>
      <w:pPr>
        <w:spacing w:after="0" w:line="251" w:lineRule="exact"/>
        <w:rPr>
          <w:sz w:val="20"/>
          <w:szCs w:val="20"/>
          <w:color w:val="auto"/>
        </w:rPr>
      </w:pPr>
    </w:p>
    <w:p>
      <w:pPr>
        <w:ind w:left="41"/>
        <w:spacing w:after="0"/>
        <w:rPr>
          <w:sz w:val="20"/>
          <w:szCs w:val="20"/>
          <w:color w:val="auto"/>
        </w:rPr>
      </w:pPr>
      <w:r>
        <w:rPr>
          <w:rFonts w:ascii="Arial" w:cs="Arial" w:eastAsia="Arial" w:hAnsi="Arial"/>
          <w:sz w:val="20"/>
          <w:szCs w:val="20"/>
          <w:b w:val="1"/>
          <w:bCs w:val="1"/>
          <w:color w:val="FFFFFF"/>
        </w:rPr>
        <w:t>08. Operating Expenses</w:t>
      </w:r>
    </w:p>
    <w:p>
      <w:pPr>
        <w:spacing w:after="0" w:line="83" w:lineRule="exact"/>
        <w:rPr>
          <w:sz w:val="20"/>
          <w:szCs w:val="20"/>
          <w:color w:val="auto"/>
        </w:rPr>
      </w:pPr>
    </w:p>
    <w:p>
      <w:pPr>
        <w:ind w:left="1"/>
        <w:spacing w:after="0"/>
        <w:rPr>
          <w:sz w:val="20"/>
          <w:szCs w:val="20"/>
          <w:color w:val="auto"/>
        </w:rPr>
      </w:pPr>
      <w:r>
        <w:rPr>
          <w:rFonts w:ascii="Arial" w:cs="Arial" w:eastAsia="Arial" w:hAnsi="Arial"/>
          <w:sz w:val="18"/>
          <w:szCs w:val="18"/>
          <w:b w:val="1"/>
          <w:bCs w:val="1"/>
          <w:color w:val="auto"/>
        </w:rPr>
        <w:t xml:space="preserve">Operating expenses for Core and Disruption </w:t>
      </w:r>
      <w:r>
        <w:rPr>
          <w:rFonts w:ascii="Arial" w:cs="Arial" w:eastAsia="Arial" w:hAnsi="Arial"/>
          <w:sz w:val="30"/>
          <w:szCs w:val="30"/>
          <w:b w:val="1"/>
          <w:bCs w:val="1"/>
          <w:color w:val="auto"/>
          <w:vertAlign w:val="superscript"/>
        </w:rPr>
        <w:t>(1)</w:t>
      </w:r>
    </w:p>
    <w:tbl>
      <w:tblPr>
        <w:tblLayout w:type="fixed"/>
        <w:tblInd w:w="11" w:type="dxa"/>
        <w:tblCellMar>
          <w:top w:w="0" w:type="dxa"/>
          <w:left w:w="0" w:type="dxa"/>
          <w:bottom w:w="0" w:type="dxa"/>
          <w:right w:w="0" w:type="dxa"/>
        </w:tblCellMar>
      </w:tblPr>
      <w:tr>
        <w:trPr>
          <w:trHeight w:val="159"/>
        </w:trPr>
        <w:tc>
          <w:tcPr>
            <w:tcW w:w="2280" w:type="dxa"/>
            <w:vAlign w:val="bottom"/>
            <w:tcBorders>
              <w:top w:val="single" w:sz="8" w:color="auto"/>
              <w:left w:val="single" w:sz="8" w:color="auto"/>
              <w:right w:val="single" w:sz="8" w:color="auto"/>
            </w:tcBorders>
            <w:shd w:val="clear" w:color="auto" w:fill="2AD2C9"/>
          </w:tcPr>
          <w:p>
            <w:pPr>
              <w:ind w:left="20"/>
              <w:spacing w:after="0" w:line="159" w:lineRule="exact"/>
              <w:rPr>
                <w:sz w:val="20"/>
                <w:szCs w:val="20"/>
                <w:color w:val="auto"/>
              </w:rPr>
            </w:pPr>
            <w:r>
              <w:rPr>
                <w:rFonts w:ascii="Arial" w:cs="Arial" w:eastAsia="Arial" w:hAnsi="Arial"/>
                <w:sz w:val="16"/>
                <w:szCs w:val="16"/>
                <w:b w:val="1"/>
                <w:bCs w:val="1"/>
                <w:color w:val="FFFFFF"/>
              </w:rPr>
              <w:t>Operating Expenses</w:t>
            </w:r>
          </w:p>
        </w:tc>
        <w:tc>
          <w:tcPr>
            <w:tcW w:w="1220" w:type="dxa"/>
            <w:vAlign w:val="bottom"/>
            <w:tcBorders>
              <w:top w:val="single" w:sz="8" w:color="auto"/>
            </w:tcBorders>
            <w:shd w:val="clear" w:color="auto" w:fill="2AD2C9"/>
          </w:tcPr>
          <w:p>
            <w:pPr>
              <w:spacing w:after="0"/>
              <w:rPr>
                <w:sz w:val="13"/>
                <w:szCs w:val="13"/>
                <w:color w:val="auto"/>
              </w:rPr>
            </w:pPr>
          </w:p>
        </w:tc>
        <w:tc>
          <w:tcPr>
            <w:tcW w:w="1140" w:type="dxa"/>
            <w:vAlign w:val="bottom"/>
            <w:tcBorders>
              <w:top w:val="single" w:sz="8" w:color="auto"/>
            </w:tcBorders>
            <w:shd w:val="clear" w:color="auto" w:fill="2AD2C9"/>
          </w:tcPr>
          <w:p>
            <w:pPr>
              <w:jc w:val="right"/>
              <w:ind w:right="358"/>
              <w:spacing w:after="0" w:line="159" w:lineRule="exact"/>
              <w:rPr>
                <w:sz w:val="20"/>
                <w:szCs w:val="20"/>
                <w:color w:val="auto"/>
              </w:rPr>
            </w:pPr>
            <w:r>
              <w:rPr>
                <w:rFonts w:ascii="Arial" w:cs="Arial" w:eastAsia="Arial" w:hAnsi="Arial"/>
                <w:sz w:val="16"/>
                <w:szCs w:val="16"/>
                <w:b w:val="1"/>
                <w:bCs w:val="1"/>
                <w:color w:val="FFFFFF"/>
              </w:rPr>
              <w:t>Quarter</w:t>
            </w:r>
          </w:p>
        </w:tc>
        <w:tc>
          <w:tcPr>
            <w:tcW w:w="920" w:type="dxa"/>
            <w:vAlign w:val="bottom"/>
            <w:tcBorders>
              <w:top w:val="single" w:sz="8" w:color="auto"/>
              <w:right w:val="single" w:sz="8" w:color="auto"/>
            </w:tcBorders>
            <w:shd w:val="clear" w:color="auto" w:fill="2AD2C9"/>
          </w:tcPr>
          <w:p>
            <w:pPr>
              <w:spacing w:after="0"/>
              <w:rPr>
                <w:sz w:val="13"/>
                <w:szCs w:val="13"/>
                <w:color w:val="auto"/>
              </w:rPr>
            </w:pPr>
          </w:p>
        </w:tc>
        <w:tc>
          <w:tcPr>
            <w:tcW w:w="2240" w:type="dxa"/>
            <w:vAlign w:val="bottom"/>
            <w:tcBorders>
              <w:top w:val="single" w:sz="8" w:color="auto"/>
              <w:right w:val="single" w:sz="8" w:color="auto"/>
            </w:tcBorders>
            <w:gridSpan w:val="2"/>
            <w:shd w:val="clear" w:color="auto" w:fill="2AD2C9"/>
          </w:tcPr>
          <w:p>
            <w:pPr>
              <w:ind w:left="720"/>
              <w:spacing w:after="0" w:line="159" w:lineRule="exact"/>
              <w:rPr>
                <w:sz w:val="20"/>
                <w:szCs w:val="20"/>
                <w:color w:val="auto"/>
              </w:rPr>
            </w:pPr>
            <w:r>
              <w:rPr>
                <w:rFonts w:ascii="Arial" w:cs="Arial" w:eastAsia="Arial" w:hAnsi="Arial"/>
                <w:sz w:val="16"/>
                <w:szCs w:val="16"/>
                <w:b w:val="1"/>
                <w:bCs w:val="1"/>
                <w:color w:val="FFFFFF"/>
              </w:rPr>
              <w:t>% change</w:t>
            </w:r>
          </w:p>
        </w:tc>
        <w:tc>
          <w:tcPr>
            <w:tcW w:w="1340" w:type="dxa"/>
            <w:vAlign w:val="bottom"/>
            <w:tcBorders>
              <w:top w:val="single" w:sz="8" w:color="auto"/>
            </w:tcBorders>
            <w:shd w:val="clear" w:color="auto" w:fill="2AD2C9"/>
          </w:tcPr>
          <w:p>
            <w:pPr>
              <w:jc w:val="right"/>
              <w:spacing w:after="0" w:line="159" w:lineRule="exact"/>
              <w:rPr>
                <w:sz w:val="20"/>
                <w:szCs w:val="20"/>
                <w:color w:val="auto"/>
              </w:rPr>
            </w:pPr>
            <w:r>
              <w:rPr>
                <w:rFonts w:ascii="Arial" w:cs="Arial" w:eastAsia="Arial" w:hAnsi="Arial"/>
                <w:sz w:val="16"/>
                <w:szCs w:val="16"/>
                <w:b w:val="1"/>
                <w:bCs w:val="1"/>
                <w:color w:val="FFFFFF"/>
              </w:rPr>
              <w:t>As of</w:t>
            </w:r>
          </w:p>
        </w:tc>
        <w:tc>
          <w:tcPr>
            <w:tcW w:w="880" w:type="dxa"/>
            <w:vAlign w:val="bottom"/>
            <w:tcBorders>
              <w:top w:val="single" w:sz="8" w:color="auto"/>
              <w:right w:val="single" w:sz="8" w:color="auto"/>
            </w:tcBorders>
            <w:shd w:val="clear" w:color="auto" w:fill="2AD2C9"/>
          </w:tcPr>
          <w:p>
            <w:pPr>
              <w:spacing w:after="0"/>
              <w:rPr>
                <w:sz w:val="13"/>
                <w:szCs w:val="13"/>
                <w:color w:val="auto"/>
              </w:rPr>
            </w:pPr>
          </w:p>
        </w:tc>
        <w:tc>
          <w:tcPr>
            <w:tcW w:w="1240" w:type="dxa"/>
            <w:vAlign w:val="bottom"/>
            <w:tcBorders>
              <w:top w:val="single" w:sz="8" w:color="auto"/>
              <w:right w:val="single" w:sz="8" w:color="auto"/>
            </w:tcBorders>
            <w:shd w:val="clear" w:color="auto" w:fill="2AD2C9"/>
          </w:tcPr>
          <w:p>
            <w:pPr>
              <w:jc w:val="center"/>
              <w:spacing w:after="0" w:line="159" w:lineRule="exact"/>
              <w:rPr>
                <w:sz w:val="20"/>
                <w:szCs w:val="20"/>
                <w:color w:val="auto"/>
              </w:rPr>
            </w:pPr>
            <w:r>
              <w:rPr>
                <w:rFonts w:ascii="Arial" w:cs="Arial" w:eastAsia="Arial" w:hAnsi="Arial"/>
                <w:sz w:val="16"/>
                <w:szCs w:val="16"/>
                <w:b w:val="1"/>
                <w:bCs w:val="1"/>
                <w:color w:val="FFFFFF"/>
              </w:rPr>
              <w:t>% change</w:t>
            </w:r>
          </w:p>
        </w:tc>
      </w:tr>
      <w:tr>
        <w:trPr>
          <w:trHeight w:val="206"/>
        </w:trPr>
        <w:tc>
          <w:tcPr>
            <w:tcW w:w="2280" w:type="dxa"/>
            <w:vAlign w:val="bottom"/>
            <w:tcBorders>
              <w:left w:val="single" w:sz="8" w:color="auto"/>
              <w:bottom w:val="single" w:sz="8" w:color="auto"/>
              <w:right w:val="single" w:sz="8" w:color="auto"/>
            </w:tcBorders>
            <w:shd w:val="clear" w:color="auto" w:fill="2AD2C9"/>
          </w:tcPr>
          <w:p>
            <w:pPr>
              <w:ind w:left="20"/>
              <w:spacing w:after="0"/>
              <w:rPr>
                <w:sz w:val="20"/>
                <w:szCs w:val="20"/>
                <w:color w:val="auto"/>
              </w:rPr>
            </w:pPr>
            <w:r>
              <w:rPr>
                <w:rFonts w:ascii="Arial" w:cs="Arial" w:eastAsia="Arial" w:hAnsi="Arial"/>
                <w:sz w:val="16"/>
                <w:szCs w:val="16"/>
                <w:b w:val="1"/>
                <w:bCs w:val="1"/>
                <w:color w:val="FFFFFF"/>
              </w:rPr>
              <w:t>S/ (000)</w:t>
            </w:r>
          </w:p>
        </w:tc>
        <w:tc>
          <w:tcPr>
            <w:tcW w:w="1220" w:type="dxa"/>
            <w:vAlign w:val="bottom"/>
            <w:tcBorders>
              <w:bottom w:val="single" w:sz="8" w:color="auto"/>
            </w:tcBorders>
            <w:shd w:val="clear" w:color="auto" w:fill="2AD2C9"/>
          </w:tcPr>
          <w:p>
            <w:pPr>
              <w:jc w:val="right"/>
              <w:ind w:right="398"/>
              <w:spacing w:after="0"/>
              <w:rPr>
                <w:sz w:val="20"/>
                <w:szCs w:val="20"/>
                <w:color w:val="auto"/>
              </w:rPr>
            </w:pPr>
            <w:r>
              <w:rPr>
                <w:rFonts w:ascii="Arial" w:cs="Arial" w:eastAsia="Arial" w:hAnsi="Arial"/>
                <w:sz w:val="16"/>
                <w:szCs w:val="16"/>
                <w:b w:val="1"/>
                <w:bCs w:val="1"/>
                <w:color w:val="FFFFFF"/>
              </w:rPr>
              <w:t>3Q22</w:t>
            </w:r>
          </w:p>
        </w:tc>
        <w:tc>
          <w:tcPr>
            <w:tcW w:w="1140" w:type="dxa"/>
            <w:vAlign w:val="bottom"/>
            <w:tcBorders>
              <w:bottom w:val="single" w:sz="8" w:color="auto"/>
            </w:tcBorders>
            <w:shd w:val="clear" w:color="auto" w:fill="2AD2C9"/>
          </w:tcPr>
          <w:p>
            <w:pPr>
              <w:jc w:val="right"/>
              <w:ind w:right="438"/>
              <w:spacing w:after="0"/>
              <w:rPr>
                <w:sz w:val="20"/>
                <w:szCs w:val="20"/>
                <w:color w:val="auto"/>
              </w:rPr>
            </w:pPr>
            <w:r>
              <w:rPr>
                <w:rFonts w:ascii="Arial" w:cs="Arial" w:eastAsia="Arial" w:hAnsi="Arial"/>
                <w:sz w:val="16"/>
                <w:szCs w:val="16"/>
                <w:b w:val="1"/>
                <w:bCs w:val="1"/>
                <w:color w:val="FFFFFF"/>
              </w:rPr>
              <w:t>2Q23</w:t>
            </w:r>
          </w:p>
        </w:tc>
        <w:tc>
          <w:tcPr>
            <w:tcW w:w="920" w:type="dxa"/>
            <w:vAlign w:val="bottom"/>
            <w:tcBorders>
              <w:bottom w:val="single" w:sz="8" w:color="auto"/>
              <w:right w:val="single" w:sz="8" w:color="auto"/>
            </w:tcBorders>
            <w:shd w:val="clear" w:color="auto" w:fill="2AD2C9"/>
          </w:tcPr>
          <w:p>
            <w:pPr>
              <w:jc w:val="right"/>
              <w:ind w:right="278"/>
              <w:spacing w:after="0"/>
              <w:rPr>
                <w:sz w:val="20"/>
                <w:szCs w:val="20"/>
                <w:color w:val="auto"/>
              </w:rPr>
            </w:pPr>
            <w:r>
              <w:rPr>
                <w:rFonts w:ascii="Arial" w:cs="Arial" w:eastAsia="Arial" w:hAnsi="Arial"/>
                <w:sz w:val="16"/>
                <w:szCs w:val="16"/>
                <w:b w:val="1"/>
                <w:bCs w:val="1"/>
                <w:color w:val="FFFFFF"/>
              </w:rPr>
              <w:t>3Q23</w:t>
            </w:r>
          </w:p>
        </w:tc>
        <w:tc>
          <w:tcPr>
            <w:tcW w:w="1120" w:type="dxa"/>
            <w:vAlign w:val="bottom"/>
            <w:tcBorders>
              <w:bottom w:val="single" w:sz="8" w:color="auto"/>
            </w:tcBorders>
            <w:shd w:val="clear" w:color="auto" w:fill="2AD2C9"/>
          </w:tcPr>
          <w:p>
            <w:pPr>
              <w:ind w:left="380"/>
              <w:spacing w:after="0"/>
              <w:rPr>
                <w:sz w:val="20"/>
                <w:szCs w:val="20"/>
                <w:color w:val="auto"/>
              </w:rPr>
            </w:pPr>
            <w:r>
              <w:rPr>
                <w:rFonts w:ascii="Arial" w:cs="Arial" w:eastAsia="Arial" w:hAnsi="Arial"/>
                <w:sz w:val="16"/>
                <w:szCs w:val="16"/>
                <w:b w:val="1"/>
                <w:bCs w:val="1"/>
                <w:color w:val="FFFFFF"/>
              </w:rPr>
              <w:t>QoQ</w:t>
            </w:r>
          </w:p>
        </w:tc>
        <w:tc>
          <w:tcPr>
            <w:tcW w:w="1120" w:type="dxa"/>
            <w:vAlign w:val="bottom"/>
            <w:tcBorders>
              <w:bottom w:val="single" w:sz="8" w:color="auto"/>
              <w:right w:val="single" w:sz="8" w:color="auto"/>
            </w:tcBorders>
            <w:shd w:val="clear" w:color="auto" w:fill="2AD2C9"/>
          </w:tcPr>
          <w:p>
            <w:pPr>
              <w:ind w:left="400"/>
              <w:spacing w:after="0"/>
              <w:rPr>
                <w:sz w:val="20"/>
                <w:szCs w:val="20"/>
                <w:color w:val="auto"/>
              </w:rPr>
            </w:pPr>
            <w:r>
              <w:rPr>
                <w:rFonts w:ascii="Arial" w:cs="Arial" w:eastAsia="Arial" w:hAnsi="Arial"/>
                <w:sz w:val="16"/>
                <w:szCs w:val="16"/>
                <w:b w:val="1"/>
                <w:bCs w:val="1"/>
                <w:color w:val="FFFFFF"/>
              </w:rPr>
              <w:t>YoY</w:t>
            </w:r>
          </w:p>
        </w:tc>
        <w:tc>
          <w:tcPr>
            <w:tcW w:w="1340" w:type="dxa"/>
            <w:vAlign w:val="bottom"/>
            <w:tcBorders>
              <w:bottom w:val="single" w:sz="8" w:color="auto"/>
            </w:tcBorders>
            <w:shd w:val="clear" w:color="auto" w:fill="2AD2C9"/>
          </w:tcPr>
          <w:p>
            <w:pPr>
              <w:jc w:val="right"/>
              <w:ind w:right="458"/>
              <w:spacing w:after="0"/>
              <w:rPr>
                <w:sz w:val="20"/>
                <w:szCs w:val="20"/>
                <w:color w:val="auto"/>
              </w:rPr>
            </w:pPr>
            <w:r>
              <w:rPr>
                <w:rFonts w:ascii="Arial" w:cs="Arial" w:eastAsia="Arial" w:hAnsi="Arial"/>
                <w:sz w:val="16"/>
                <w:szCs w:val="16"/>
                <w:b w:val="1"/>
                <w:bCs w:val="1"/>
                <w:color w:val="FFFFFF"/>
              </w:rPr>
              <w:t>Sep 22</w:t>
            </w:r>
          </w:p>
        </w:tc>
        <w:tc>
          <w:tcPr>
            <w:tcW w:w="880" w:type="dxa"/>
            <w:vAlign w:val="bottom"/>
            <w:tcBorders>
              <w:bottom w:val="single" w:sz="8" w:color="auto"/>
              <w:right w:val="single" w:sz="8" w:color="auto"/>
            </w:tcBorders>
            <w:shd w:val="clear" w:color="auto" w:fill="2AD2C9"/>
          </w:tcPr>
          <w:p>
            <w:pPr>
              <w:jc w:val="right"/>
              <w:ind w:right="218"/>
              <w:spacing w:after="0"/>
              <w:rPr>
                <w:sz w:val="20"/>
                <w:szCs w:val="20"/>
                <w:color w:val="auto"/>
              </w:rPr>
            </w:pPr>
            <w:r>
              <w:rPr>
                <w:rFonts w:ascii="Arial" w:cs="Arial" w:eastAsia="Arial" w:hAnsi="Arial"/>
                <w:sz w:val="16"/>
                <w:szCs w:val="16"/>
                <w:b w:val="1"/>
                <w:bCs w:val="1"/>
                <w:color w:val="FFFFFF"/>
              </w:rPr>
              <w:t>Sep 23</w:t>
            </w:r>
          </w:p>
        </w:tc>
        <w:tc>
          <w:tcPr>
            <w:tcW w:w="1240" w:type="dxa"/>
            <w:vAlign w:val="bottom"/>
            <w:tcBorders>
              <w:bottom w:val="single" w:sz="8" w:color="auto"/>
              <w:right w:val="single" w:sz="8" w:color="auto"/>
            </w:tcBorders>
            <w:shd w:val="clear" w:color="auto" w:fill="2AD2C9"/>
          </w:tcPr>
          <w:p>
            <w:pPr>
              <w:jc w:val="center"/>
              <w:spacing w:after="0"/>
              <w:rPr>
                <w:sz w:val="20"/>
                <w:szCs w:val="20"/>
                <w:color w:val="auto"/>
              </w:rPr>
            </w:pPr>
            <w:r>
              <w:rPr>
                <w:rFonts w:ascii="Arial" w:cs="Arial" w:eastAsia="Arial" w:hAnsi="Arial"/>
                <w:sz w:val="16"/>
                <w:szCs w:val="16"/>
                <w:b w:val="1"/>
                <w:bCs w:val="1"/>
                <w:color w:val="FFFFFF"/>
              </w:rPr>
              <w:t>Sep 23 / Sep 22</w:t>
            </w:r>
          </w:p>
        </w:tc>
      </w:tr>
      <w:tr>
        <w:trPr>
          <w:trHeight w:val="175"/>
        </w:trPr>
        <w:tc>
          <w:tcPr>
            <w:tcW w:w="2280" w:type="dxa"/>
            <w:vAlign w:val="bottom"/>
            <w:tcBorders>
              <w:left w:val="single" w:sz="8" w:color="auto"/>
              <w:right w:val="single" w:sz="8" w:color="auto"/>
            </w:tcBorders>
          </w:tcPr>
          <w:p>
            <w:pPr>
              <w:ind w:left="20"/>
              <w:spacing w:after="0" w:line="175" w:lineRule="exact"/>
              <w:rPr>
                <w:sz w:val="20"/>
                <w:szCs w:val="20"/>
                <w:color w:val="auto"/>
              </w:rPr>
            </w:pPr>
            <w:r>
              <w:rPr>
                <w:rFonts w:ascii="Arial" w:cs="Arial" w:eastAsia="Arial" w:hAnsi="Arial"/>
                <w:sz w:val="18"/>
                <w:szCs w:val="18"/>
                <w:color w:val="auto"/>
              </w:rPr>
              <w:t>Core Business BCP</w:t>
            </w:r>
          </w:p>
        </w:tc>
        <w:tc>
          <w:tcPr>
            <w:tcW w:w="1220" w:type="dxa"/>
            <w:vAlign w:val="bottom"/>
          </w:tcPr>
          <w:p>
            <w:pPr>
              <w:jc w:val="right"/>
              <w:ind w:right="38"/>
              <w:spacing w:after="0" w:line="175" w:lineRule="exact"/>
              <w:rPr>
                <w:sz w:val="20"/>
                <w:szCs w:val="20"/>
                <w:color w:val="auto"/>
              </w:rPr>
            </w:pPr>
            <w:r>
              <w:rPr>
                <w:rFonts w:ascii="Arial" w:cs="Arial" w:eastAsia="Arial" w:hAnsi="Arial"/>
                <w:sz w:val="16"/>
                <w:szCs w:val="16"/>
                <w:color w:val="auto"/>
              </w:rPr>
              <w:t>1,172,951</w:t>
            </w:r>
          </w:p>
        </w:tc>
        <w:tc>
          <w:tcPr>
            <w:tcW w:w="1140" w:type="dxa"/>
            <w:vAlign w:val="bottom"/>
          </w:tcPr>
          <w:p>
            <w:pPr>
              <w:jc w:val="right"/>
              <w:ind w:right="98"/>
              <w:spacing w:after="0" w:line="175" w:lineRule="exact"/>
              <w:rPr>
                <w:sz w:val="20"/>
                <w:szCs w:val="20"/>
                <w:color w:val="auto"/>
              </w:rPr>
            </w:pPr>
            <w:r>
              <w:rPr>
                <w:rFonts w:ascii="Arial" w:cs="Arial" w:eastAsia="Arial" w:hAnsi="Arial"/>
                <w:sz w:val="16"/>
                <w:szCs w:val="16"/>
                <w:color w:val="auto"/>
              </w:rPr>
              <w:t>1,195,522</w:t>
            </w:r>
          </w:p>
        </w:tc>
        <w:tc>
          <w:tcPr>
            <w:tcW w:w="920" w:type="dxa"/>
            <w:vAlign w:val="bottom"/>
            <w:tcBorders>
              <w:right w:val="single" w:sz="8" w:color="auto"/>
            </w:tcBorders>
          </w:tcPr>
          <w:p>
            <w:pPr>
              <w:jc w:val="right"/>
              <w:spacing w:after="0" w:line="175" w:lineRule="exact"/>
              <w:rPr>
                <w:sz w:val="20"/>
                <w:szCs w:val="20"/>
                <w:color w:val="auto"/>
              </w:rPr>
            </w:pPr>
            <w:r>
              <w:rPr>
                <w:rFonts w:ascii="Arial" w:cs="Arial" w:eastAsia="Arial" w:hAnsi="Arial"/>
                <w:sz w:val="16"/>
                <w:szCs w:val="16"/>
                <w:color w:val="auto"/>
              </w:rPr>
              <w:t>1,245,767</w:t>
            </w:r>
          </w:p>
        </w:tc>
        <w:tc>
          <w:tcPr>
            <w:tcW w:w="1120" w:type="dxa"/>
            <w:vAlign w:val="bottom"/>
          </w:tcPr>
          <w:p>
            <w:pPr>
              <w:jc w:val="center"/>
              <w:spacing w:after="0" w:line="175" w:lineRule="exact"/>
              <w:rPr>
                <w:sz w:val="20"/>
                <w:szCs w:val="20"/>
                <w:color w:val="auto"/>
              </w:rPr>
            </w:pPr>
            <w:r>
              <w:rPr>
                <w:rFonts w:ascii="Arial" w:cs="Arial" w:eastAsia="Arial" w:hAnsi="Arial"/>
                <w:sz w:val="18"/>
                <w:szCs w:val="18"/>
                <w:color w:val="auto"/>
                <w:w w:val="97"/>
              </w:rPr>
              <w:t>4.2%</w:t>
            </w:r>
          </w:p>
        </w:tc>
        <w:tc>
          <w:tcPr>
            <w:tcW w:w="1120" w:type="dxa"/>
            <w:vAlign w:val="bottom"/>
            <w:tcBorders>
              <w:right w:val="single" w:sz="8" w:color="auto"/>
            </w:tcBorders>
          </w:tcPr>
          <w:p>
            <w:pPr>
              <w:jc w:val="center"/>
              <w:spacing w:after="0" w:line="175" w:lineRule="exact"/>
              <w:rPr>
                <w:sz w:val="20"/>
                <w:szCs w:val="20"/>
                <w:color w:val="auto"/>
              </w:rPr>
            </w:pPr>
            <w:r>
              <w:rPr>
                <w:rFonts w:ascii="Arial" w:cs="Arial" w:eastAsia="Arial" w:hAnsi="Arial"/>
                <w:sz w:val="18"/>
                <w:szCs w:val="18"/>
                <w:color w:val="auto"/>
              </w:rPr>
              <w:t>6.2%</w:t>
            </w:r>
          </w:p>
        </w:tc>
        <w:tc>
          <w:tcPr>
            <w:tcW w:w="1340" w:type="dxa"/>
            <w:vAlign w:val="bottom"/>
          </w:tcPr>
          <w:p>
            <w:pPr>
              <w:jc w:val="right"/>
              <w:ind w:right="158"/>
              <w:spacing w:after="0" w:line="175" w:lineRule="exact"/>
              <w:rPr>
                <w:sz w:val="20"/>
                <w:szCs w:val="20"/>
                <w:color w:val="auto"/>
              </w:rPr>
            </w:pPr>
            <w:r>
              <w:rPr>
                <w:rFonts w:ascii="Arial" w:cs="Arial" w:eastAsia="Arial" w:hAnsi="Arial"/>
                <w:sz w:val="16"/>
                <w:szCs w:val="16"/>
                <w:color w:val="auto"/>
              </w:rPr>
              <w:t>3,337,154</w:t>
            </w:r>
          </w:p>
        </w:tc>
        <w:tc>
          <w:tcPr>
            <w:tcW w:w="880" w:type="dxa"/>
            <w:vAlign w:val="bottom"/>
            <w:tcBorders>
              <w:right w:val="single" w:sz="8" w:color="auto"/>
            </w:tcBorders>
          </w:tcPr>
          <w:p>
            <w:pPr>
              <w:jc w:val="right"/>
              <w:spacing w:after="0" w:line="175" w:lineRule="exact"/>
              <w:rPr>
                <w:sz w:val="20"/>
                <w:szCs w:val="20"/>
                <w:color w:val="auto"/>
              </w:rPr>
            </w:pPr>
            <w:r>
              <w:rPr>
                <w:rFonts w:ascii="Arial" w:cs="Arial" w:eastAsia="Arial" w:hAnsi="Arial"/>
                <w:sz w:val="16"/>
                <w:szCs w:val="16"/>
                <w:color w:val="auto"/>
              </w:rPr>
              <w:t>3,591,792</w:t>
            </w:r>
          </w:p>
        </w:tc>
        <w:tc>
          <w:tcPr>
            <w:tcW w:w="1240" w:type="dxa"/>
            <w:vAlign w:val="bottom"/>
            <w:tcBorders>
              <w:right w:val="single" w:sz="8" w:color="auto"/>
            </w:tcBorders>
          </w:tcPr>
          <w:p>
            <w:pPr>
              <w:jc w:val="center"/>
              <w:spacing w:after="0" w:line="175" w:lineRule="exact"/>
              <w:rPr>
                <w:sz w:val="20"/>
                <w:szCs w:val="20"/>
                <w:color w:val="auto"/>
              </w:rPr>
            </w:pPr>
            <w:r>
              <w:rPr>
                <w:rFonts w:ascii="Arial" w:cs="Arial" w:eastAsia="Arial" w:hAnsi="Arial"/>
                <w:sz w:val="18"/>
                <w:szCs w:val="18"/>
                <w:color w:val="auto"/>
              </w:rPr>
              <w:t>7.6%</w:t>
            </w:r>
          </w:p>
        </w:tc>
      </w:tr>
      <w:tr>
        <w:trPr>
          <w:trHeight w:val="198"/>
        </w:trPr>
        <w:tc>
          <w:tcPr>
            <w:tcW w:w="2280" w:type="dxa"/>
            <w:vAlign w:val="bottom"/>
            <w:tcBorders>
              <w:left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color w:val="auto"/>
              </w:rPr>
              <w:t>Core Business Mibanco</w:t>
            </w:r>
          </w:p>
        </w:tc>
        <w:tc>
          <w:tcPr>
            <w:tcW w:w="1220" w:type="dxa"/>
            <w:vAlign w:val="bottom"/>
          </w:tcPr>
          <w:p>
            <w:pPr>
              <w:jc w:val="right"/>
              <w:ind w:right="38"/>
              <w:spacing w:after="0"/>
              <w:rPr>
                <w:sz w:val="20"/>
                <w:szCs w:val="20"/>
                <w:color w:val="auto"/>
              </w:rPr>
            </w:pPr>
            <w:r>
              <w:rPr>
                <w:rFonts w:ascii="Arial" w:cs="Arial" w:eastAsia="Arial" w:hAnsi="Arial"/>
                <w:sz w:val="16"/>
                <w:szCs w:val="16"/>
                <w:color w:val="auto"/>
              </w:rPr>
              <w:t>287,215</w:t>
            </w:r>
          </w:p>
        </w:tc>
        <w:tc>
          <w:tcPr>
            <w:tcW w:w="1140" w:type="dxa"/>
            <w:vAlign w:val="bottom"/>
          </w:tcPr>
          <w:p>
            <w:pPr>
              <w:jc w:val="right"/>
              <w:ind w:right="98"/>
              <w:spacing w:after="0"/>
              <w:rPr>
                <w:sz w:val="20"/>
                <w:szCs w:val="20"/>
                <w:color w:val="auto"/>
              </w:rPr>
            </w:pPr>
            <w:r>
              <w:rPr>
                <w:rFonts w:ascii="Arial" w:cs="Arial" w:eastAsia="Arial" w:hAnsi="Arial"/>
                <w:sz w:val="16"/>
                <w:szCs w:val="16"/>
                <w:color w:val="auto"/>
              </w:rPr>
              <w:t>300,220</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302,729</w:t>
            </w:r>
          </w:p>
        </w:tc>
        <w:tc>
          <w:tcPr>
            <w:tcW w:w="1120" w:type="dxa"/>
            <w:vAlign w:val="bottom"/>
          </w:tcPr>
          <w:p>
            <w:pPr>
              <w:jc w:val="center"/>
              <w:spacing w:after="0" w:line="198" w:lineRule="exact"/>
              <w:rPr>
                <w:sz w:val="20"/>
                <w:szCs w:val="20"/>
                <w:color w:val="auto"/>
              </w:rPr>
            </w:pPr>
            <w:r>
              <w:rPr>
                <w:rFonts w:ascii="Arial" w:cs="Arial" w:eastAsia="Arial" w:hAnsi="Arial"/>
                <w:sz w:val="18"/>
                <w:szCs w:val="18"/>
                <w:color w:val="auto"/>
                <w:w w:val="97"/>
              </w:rPr>
              <w:t>0.8%</w:t>
            </w:r>
          </w:p>
        </w:tc>
        <w:tc>
          <w:tcPr>
            <w:tcW w:w="1120" w:type="dxa"/>
            <w:vAlign w:val="bottom"/>
            <w:tcBorders>
              <w:right w:val="single" w:sz="8" w:color="auto"/>
            </w:tcBorders>
          </w:tcPr>
          <w:p>
            <w:pPr>
              <w:jc w:val="center"/>
              <w:spacing w:after="0" w:line="198" w:lineRule="exact"/>
              <w:rPr>
                <w:sz w:val="20"/>
                <w:szCs w:val="20"/>
                <w:color w:val="auto"/>
              </w:rPr>
            </w:pPr>
            <w:r>
              <w:rPr>
                <w:rFonts w:ascii="Arial" w:cs="Arial" w:eastAsia="Arial" w:hAnsi="Arial"/>
                <w:sz w:val="18"/>
                <w:szCs w:val="18"/>
                <w:color w:val="auto"/>
              </w:rPr>
              <w:t>5.4%</w:t>
            </w:r>
          </w:p>
        </w:tc>
        <w:tc>
          <w:tcPr>
            <w:tcW w:w="1340" w:type="dxa"/>
            <w:vAlign w:val="bottom"/>
          </w:tcPr>
          <w:p>
            <w:pPr>
              <w:jc w:val="right"/>
              <w:ind w:right="158"/>
              <w:spacing w:after="0"/>
              <w:rPr>
                <w:sz w:val="20"/>
                <w:szCs w:val="20"/>
                <w:color w:val="auto"/>
              </w:rPr>
            </w:pPr>
            <w:r>
              <w:rPr>
                <w:rFonts w:ascii="Arial" w:cs="Arial" w:eastAsia="Arial" w:hAnsi="Arial"/>
                <w:sz w:val="16"/>
                <w:szCs w:val="16"/>
                <w:color w:val="auto"/>
              </w:rPr>
              <w:t>854,115</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900,728</w:t>
            </w:r>
          </w:p>
        </w:tc>
        <w:tc>
          <w:tcPr>
            <w:tcW w:w="1240" w:type="dxa"/>
            <w:vAlign w:val="bottom"/>
            <w:tcBorders>
              <w:right w:val="single" w:sz="8" w:color="auto"/>
            </w:tcBorders>
          </w:tcPr>
          <w:p>
            <w:pPr>
              <w:jc w:val="center"/>
              <w:spacing w:after="0" w:line="198" w:lineRule="exact"/>
              <w:rPr>
                <w:sz w:val="20"/>
                <w:szCs w:val="20"/>
                <w:color w:val="auto"/>
              </w:rPr>
            </w:pPr>
            <w:r>
              <w:rPr>
                <w:rFonts w:ascii="Arial" w:cs="Arial" w:eastAsia="Arial" w:hAnsi="Arial"/>
                <w:sz w:val="18"/>
                <w:szCs w:val="18"/>
                <w:color w:val="auto"/>
              </w:rPr>
              <w:t>5.5%</w:t>
            </w:r>
          </w:p>
        </w:tc>
      </w:tr>
      <w:tr>
        <w:trPr>
          <w:trHeight w:val="190"/>
        </w:trPr>
        <w:tc>
          <w:tcPr>
            <w:tcW w:w="2280" w:type="dxa"/>
            <w:vAlign w:val="bottom"/>
            <w:tcBorders>
              <w:left w:val="single" w:sz="8" w:color="auto"/>
              <w:right w:val="single" w:sz="8" w:color="auto"/>
            </w:tcBorders>
          </w:tcPr>
          <w:p>
            <w:pPr>
              <w:ind w:left="20"/>
              <w:spacing w:after="0" w:line="190" w:lineRule="exact"/>
              <w:rPr>
                <w:sz w:val="20"/>
                <w:szCs w:val="20"/>
                <w:color w:val="auto"/>
              </w:rPr>
            </w:pPr>
            <w:r>
              <w:rPr>
                <w:rFonts w:ascii="Arial" w:cs="Arial" w:eastAsia="Arial" w:hAnsi="Arial"/>
                <w:sz w:val="18"/>
                <w:szCs w:val="18"/>
                <w:color w:val="auto"/>
              </w:rPr>
              <w:t>Core Business Pacifico</w:t>
            </w:r>
          </w:p>
        </w:tc>
        <w:tc>
          <w:tcPr>
            <w:tcW w:w="1220" w:type="dxa"/>
            <w:vAlign w:val="bottom"/>
          </w:tcPr>
          <w:p>
            <w:pPr>
              <w:jc w:val="right"/>
              <w:ind w:right="38"/>
              <w:spacing w:after="0"/>
              <w:rPr>
                <w:sz w:val="20"/>
                <w:szCs w:val="20"/>
                <w:color w:val="auto"/>
              </w:rPr>
            </w:pPr>
            <w:r>
              <w:rPr>
                <w:rFonts w:ascii="Arial" w:cs="Arial" w:eastAsia="Arial" w:hAnsi="Arial"/>
                <w:sz w:val="16"/>
                <w:szCs w:val="16"/>
                <w:color w:val="auto"/>
              </w:rPr>
              <w:t>59,968</w:t>
            </w:r>
          </w:p>
        </w:tc>
        <w:tc>
          <w:tcPr>
            <w:tcW w:w="1140" w:type="dxa"/>
            <w:vAlign w:val="bottom"/>
          </w:tcPr>
          <w:p>
            <w:pPr>
              <w:jc w:val="right"/>
              <w:ind w:right="98"/>
              <w:spacing w:after="0"/>
              <w:rPr>
                <w:sz w:val="20"/>
                <w:szCs w:val="20"/>
                <w:color w:val="auto"/>
              </w:rPr>
            </w:pPr>
            <w:r>
              <w:rPr>
                <w:rFonts w:ascii="Arial" w:cs="Arial" w:eastAsia="Arial" w:hAnsi="Arial"/>
                <w:sz w:val="16"/>
                <w:szCs w:val="16"/>
                <w:color w:val="auto"/>
              </w:rPr>
              <w:t>72,708</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79,355</w:t>
            </w:r>
          </w:p>
        </w:tc>
        <w:tc>
          <w:tcPr>
            <w:tcW w:w="1120" w:type="dxa"/>
            <w:vAlign w:val="bottom"/>
          </w:tcPr>
          <w:p>
            <w:pPr>
              <w:jc w:val="center"/>
              <w:spacing w:after="0" w:line="190" w:lineRule="exact"/>
              <w:rPr>
                <w:sz w:val="20"/>
                <w:szCs w:val="20"/>
                <w:color w:val="auto"/>
              </w:rPr>
            </w:pPr>
            <w:r>
              <w:rPr>
                <w:rFonts w:ascii="Arial" w:cs="Arial" w:eastAsia="Arial" w:hAnsi="Arial"/>
                <w:sz w:val="18"/>
                <w:szCs w:val="18"/>
                <w:color w:val="auto"/>
                <w:w w:val="97"/>
              </w:rPr>
              <w:t>9.1%</w:t>
            </w:r>
          </w:p>
        </w:tc>
        <w:tc>
          <w:tcPr>
            <w:tcW w:w="1120" w:type="dxa"/>
            <w:vAlign w:val="bottom"/>
            <w:tcBorders>
              <w:right w:val="single" w:sz="8" w:color="auto"/>
            </w:tcBorders>
          </w:tcPr>
          <w:p>
            <w:pPr>
              <w:jc w:val="center"/>
              <w:spacing w:after="0" w:line="190" w:lineRule="exact"/>
              <w:rPr>
                <w:sz w:val="20"/>
                <w:szCs w:val="20"/>
                <w:color w:val="auto"/>
              </w:rPr>
            </w:pPr>
            <w:r>
              <w:rPr>
                <w:rFonts w:ascii="Arial" w:cs="Arial" w:eastAsia="Arial" w:hAnsi="Arial"/>
                <w:sz w:val="18"/>
                <w:szCs w:val="18"/>
                <w:color w:val="auto"/>
              </w:rPr>
              <w:t>32.3%</w:t>
            </w:r>
          </w:p>
        </w:tc>
        <w:tc>
          <w:tcPr>
            <w:tcW w:w="1340" w:type="dxa"/>
            <w:vAlign w:val="bottom"/>
          </w:tcPr>
          <w:p>
            <w:pPr>
              <w:jc w:val="right"/>
              <w:ind w:right="158"/>
              <w:spacing w:after="0"/>
              <w:rPr>
                <w:sz w:val="20"/>
                <w:szCs w:val="20"/>
                <w:color w:val="auto"/>
              </w:rPr>
            </w:pPr>
            <w:r>
              <w:rPr>
                <w:rFonts w:ascii="Arial" w:cs="Arial" w:eastAsia="Arial" w:hAnsi="Arial"/>
                <w:sz w:val="16"/>
                <w:szCs w:val="16"/>
                <w:color w:val="auto"/>
              </w:rPr>
              <w:t>180,682</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216,331</w:t>
            </w:r>
          </w:p>
        </w:tc>
        <w:tc>
          <w:tcPr>
            <w:tcW w:w="1240" w:type="dxa"/>
            <w:vAlign w:val="bottom"/>
            <w:tcBorders>
              <w:right w:val="single" w:sz="8" w:color="auto"/>
            </w:tcBorders>
          </w:tcPr>
          <w:p>
            <w:pPr>
              <w:jc w:val="center"/>
              <w:spacing w:after="0" w:line="190" w:lineRule="exact"/>
              <w:rPr>
                <w:sz w:val="20"/>
                <w:szCs w:val="20"/>
                <w:color w:val="auto"/>
              </w:rPr>
            </w:pPr>
            <w:r>
              <w:rPr>
                <w:rFonts w:ascii="Arial" w:cs="Arial" w:eastAsia="Arial" w:hAnsi="Arial"/>
                <w:sz w:val="18"/>
                <w:szCs w:val="18"/>
                <w:color w:val="auto"/>
              </w:rPr>
              <w:t>19.7%</w:t>
            </w:r>
          </w:p>
        </w:tc>
      </w:tr>
      <w:tr>
        <w:trPr>
          <w:trHeight w:val="198"/>
        </w:trPr>
        <w:tc>
          <w:tcPr>
            <w:tcW w:w="2280" w:type="dxa"/>
            <w:vAlign w:val="bottom"/>
            <w:tcBorders>
              <w:left w:val="single" w:sz="8" w:color="auto"/>
              <w:right w:val="single" w:sz="8" w:color="auto"/>
            </w:tcBorders>
          </w:tcPr>
          <w:p>
            <w:pPr>
              <w:ind w:left="20"/>
              <w:spacing w:after="0" w:line="198" w:lineRule="exact"/>
              <w:rPr>
                <w:sz w:val="20"/>
                <w:szCs w:val="20"/>
                <w:color w:val="auto"/>
              </w:rPr>
            </w:pPr>
            <w:r>
              <w:rPr>
                <w:rFonts w:ascii="Arial" w:cs="Arial" w:eastAsia="Arial" w:hAnsi="Arial"/>
                <w:sz w:val="14"/>
                <w:szCs w:val="14"/>
                <w:color w:val="auto"/>
              </w:rPr>
              <w:t xml:space="preserve">Disruption </w:t>
            </w:r>
            <w:r>
              <w:rPr>
                <w:rFonts w:ascii="Arial" w:cs="Arial" w:eastAsia="Arial" w:hAnsi="Arial"/>
                <w:sz w:val="22"/>
                <w:szCs w:val="22"/>
                <w:color w:val="auto"/>
                <w:vertAlign w:val="superscript"/>
              </w:rPr>
              <w:t>(3)</w:t>
            </w:r>
          </w:p>
        </w:tc>
        <w:tc>
          <w:tcPr>
            <w:tcW w:w="1220" w:type="dxa"/>
            <w:vAlign w:val="bottom"/>
          </w:tcPr>
          <w:p>
            <w:pPr>
              <w:jc w:val="right"/>
              <w:ind w:right="38"/>
              <w:spacing w:after="0"/>
              <w:rPr>
                <w:sz w:val="20"/>
                <w:szCs w:val="20"/>
                <w:color w:val="auto"/>
              </w:rPr>
            </w:pPr>
            <w:r>
              <w:rPr>
                <w:rFonts w:ascii="Arial" w:cs="Arial" w:eastAsia="Arial" w:hAnsi="Arial"/>
                <w:sz w:val="16"/>
                <w:szCs w:val="16"/>
                <w:color w:val="auto"/>
              </w:rPr>
              <w:t>142,322</w:t>
            </w:r>
          </w:p>
        </w:tc>
        <w:tc>
          <w:tcPr>
            <w:tcW w:w="1140" w:type="dxa"/>
            <w:vAlign w:val="bottom"/>
          </w:tcPr>
          <w:p>
            <w:pPr>
              <w:jc w:val="right"/>
              <w:ind w:right="98"/>
              <w:spacing w:after="0"/>
              <w:rPr>
                <w:sz w:val="20"/>
                <w:szCs w:val="20"/>
                <w:color w:val="auto"/>
              </w:rPr>
            </w:pPr>
            <w:r>
              <w:rPr>
                <w:rFonts w:ascii="Arial" w:cs="Arial" w:eastAsia="Arial" w:hAnsi="Arial"/>
                <w:sz w:val="16"/>
                <w:szCs w:val="16"/>
                <w:color w:val="auto"/>
              </w:rPr>
              <w:t>186,994</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222,207</w:t>
            </w:r>
          </w:p>
        </w:tc>
        <w:tc>
          <w:tcPr>
            <w:tcW w:w="1120" w:type="dxa"/>
            <w:vAlign w:val="bottom"/>
          </w:tcPr>
          <w:p>
            <w:pPr>
              <w:jc w:val="center"/>
              <w:spacing w:after="0" w:line="198" w:lineRule="exact"/>
              <w:rPr>
                <w:sz w:val="20"/>
                <w:szCs w:val="20"/>
                <w:color w:val="auto"/>
              </w:rPr>
            </w:pPr>
            <w:r>
              <w:rPr>
                <w:rFonts w:ascii="Arial" w:cs="Arial" w:eastAsia="Arial" w:hAnsi="Arial"/>
                <w:sz w:val="18"/>
                <w:szCs w:val="18"/>
                <w:color w:val="auto"/>
              </w:rPr>
              <w:t>18.8%</w:t>
            </w:r>
          </w:p>
        </w:tc>
        <w:tc>
          <w:tcPr>
            <w:tcW w:w="1120" w:type="dxa"/>
            <w:vAlign w:val="bottom"/>
            <w:tcBorders>
              <w:right w:val="single" w:sz="8" w:color="auto"/>
            </w:tcBorders>
          </w:tcPr>
          <w:p>
            <w:pPr>
              <w:jc w:val="center"/>
              <w:spacing w:after="0" w:line="198" w:lineRule="exact"/>
              <w:rPr>
                <w:sz w:val="20"/>
                <w:szCs w:val="20"/>
                <w:color w:val="auto"/>
              </w:rPr>
            </w:pPr>
            <w:r>
              <w:rPr>
                <w:rFonts w:ascii="Arial" w:cs="Arial" w:eastAsia="Arial" w:hAnsi="Arial"/>
                <w:sz w:val="18"/>
                <w:szCs w:val="18"/>
                <w:color w:val="auto"/>
              </w:rPr>
              <w:t>56.1%</w:t>
            </w:r>
          </w:p>
        </w:tc>
        <w:tc>
          <w:tcPr>
            <w:tcW w:w="1340" w:type="dxa"/>
            <w:vAlign w:val="bottom"/>
          </w:tcPr>
          <w:p>
            <w:pPr>
              <w:jc w:val="right"/>
              <w:ind w:right="158"/>
              <w:spacing w:after="0"/>
              <w:rPr>
                <w:sz w:val="20"/>
                <w:szCs w:val="20"/>
                <w:color w:val="auto"/>
              </w:rPr>
            </w:pPr>
            <w:r>
              <w:rPr>
                <w:rFonts w:ascii="Arial" w:cs="Arial" w:eastAsia="Arial" w:hAnsi="Arial"/>
                <w:sz w:val="16"/>
                <w:szCs w:val="16"/>
                <w:color w:val="auto"/>
              </w:rPr>
              <w:t>361,813</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594,396</w:t>
            </w:r>
          </w:p>
        </w:tc>
        <w:tc>
          <w:tcPr>
            <w:tcW w:w="1240" w:type="dxa"/>
            <w:vAlign w:val="bottom"/>
            <w:tcBorders>
              <w:right w:val="single" w:sz="8" w:color="auto"/>
            </w:tcBorders>
          </w:tcPr>
          <w:p>
            <w:pPr>
              <w:jc w:val="center"/>
              <w:spacing w:after="0" w:line="198" w:lineRule="exact"/>
              <w:rPr>
                <w:sz w:val="20"/>
                <w:szCs w:val="20"/>
                <w:color w:val="auto"/>
              </w:rPr>
            </w:pPr>
            <w:r>
              <w:rPr>
                <w:rFonts w:ascii="Arial" w:cs="Arial" w:eastAsia="Arial" w:hAnsi="Arial"/>
                <w:sz w:val="18"/>
                <w:szCs w:val="18"/>
                <w:color w:val="auto"/>
              </w:rPr>
              <w:t>64.3%</w:t>
            </w:r>
          </w:p>
        </w:tc>
      </w:tr>
      <w:tr>
        <w:trPr>
          <w:trHeight w:val="221"/>
        </w:trPr>
        <w:tc>
          <w:tcPr>
            <w:tcW w:w="2280" w:type="dxa"/>
            <w:vAlign w:val="bottom"/>
            <w:tcBorders>
              <w:left w:val="single" w:sz="8" w:color="auto"/>
              <w:bottom w:val="single" w:sz="8" w:color="auto"/>
              <w:right w:val="single" w:sz="8" w:color="auto"/>
            </w:tcBorders>
          </w:tcPr>
          <w:p>
            <w:pPr>
              <w:ind w:left="20"/>
              <w:spacing w:after="0" w:line="221" w:lineRule="exact"/>
              <w:rPr>
                <w:sz w:val="20"/>
                <w:szCs w:val="20"/>
                <w:color w:val="auto"/>
              </w:rPr>
            </w:pPr>
            <w:r>
              <w:rPr>
                <w:rFonts w:ascii="Arial" w:cs="Arial" w:eastAsia="Arial" w:hAnsi="Arial"/>
                <w:sz w:val="16"/>
                <w:szCs w:val="16"/>
                <w:color w:val="auto"/>
              </w:rPr>
              <w:t xml:space="preserve">Others </w:t>
            </w:r>
            <w:r>
              <w:rPr>
                <w:rFonts w:ascii="Arial" w:cs="Arial" w:eastAsia="Arial" w:hAnsi="Arial"/>
                <w:sz w:val="25"/>
                <w:szCs w:val="25"/>
                <w:color w:val="auto"/>
                <w:vertAlign w:val="superscript"/>
              </w:rPr>
              <w:t>(2)</w:t>
            </w:r>
          </w:p>
        </w:tc>
        <w:tc>
          <w:tcPr>
            <w:tcW w:w="122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363,760</w:t>
            </w:r>
          </w:p>
        </w:tc>
        <w:tc>
          <w:tcPr>
            <w:tcW w:w="114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rPr>
              <w:t>347,627</w:t>
            </w:r>
          </w:p>
        </w:tc>
        <w:tc>
          <w:tcPr>
            <w:tcW w:w="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393,633</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13.2%</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8.2%</w:t>
            </w:r>
          </w:p>
        </w:tc>
        <w:tc>
          <w:tcPr>
            <w:tcW w:w="1340" w:type="dxa"/>
            <w:vAlign w:val="bottom"/>
            <w:tcBorders>
              <w:bottom w:val="single" w:sz="8" w:color="auto"/>
            </w:tcBorders>
          </w:tcPr>
          <w:p>
            <w:pPr>
              <w:jc w:val="right"/>
              <w:ind w:right="158"/>
              <w:spacing w:after="0"/>
              <w:rPr>
                <w:sz w:val="20"/>
                <w:szCs w:val="20"/>
                <w:color w:val="auto"/>
              </w:rPr>
            </w:pPr>
            <w:r>
              <w:rPr>
                <w:rFonts w:ascii="Arial" w:cs="Arial" w:eastAsia="Arial" w:hAnsi="Arial"/>
                <w:sz w:val="16"/>
                <w:szCs w:val="16"/>
                <w:color w:val="auto"/>
              </w:rPr>
              <w:t>1,016,100</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1,081,825</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6.5%</w:t>
            </w:r>
          </w:p>
        </w:tc>
      </w:tr>
      <w:tr>
        <w:trPr>
          <w:trHeight w:val="190"/>
        </w:trPr>
        <w:tc>
          <w:tcPr>
            <w:tcW w:w="2280" w:type="dxa"/>
            <w:vAlign w:val="bottom"/>
            <w:tcBorders>
              <w:left w:val="single" w:sz="8" w:color="auto"/>
              <w:bottom w:val="single" w:sz="8" w:color="auto"/>
              <w:right w:val="single" w:sz="8" w:color="auto"/>
            </w:tcBorders>
          </w:tcPr>
          <w:p>
            <w:pPr>
              <w:ind w:left="20"/>
              <w:spacing w:after="0" w:line="190" w:lineRule="exact"/>
              <w:rPr>
                <w:sz w:val="20"/>
                <w:szCs w:val="20"/>
                <w:color w:val="auto"/>
              </w:rPr>
            </w:pPr>
            <w:r>
              <w:rPr>
                <w:rFonts w:ascii="Arial" w:cs="Arial" w:eastAsia="Arial" w:hAnsi="Arial"/>
                <w:sz w:val="18"/>
                <w:szCs w:val="18"/>
                <w:b w:val="1"/>
                <w:bCs w:val="1"/>
                <w:color w:val="auto"/>
              </w:rPr>
              <w:t>Total</w:t>
            </w:r>
          </w:p>
        </w:tc>
        <w:tc>
          <w:tcPr>
            <w:tcW w:w="122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b w:val="1"/>
                <w:bCs w:val="1"/>
                <w:color w:val="auto"/>
              </w:rPr>
              <w:t>2,026,217</w:t>
            </w:r>
          </w:p>
        </w:tc>
        <w:tc>
          <w:tcPr>
            <w:tcW w:w="114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b w:val="1"/>
                <w:bCs w:val="1"/>
                <w:color w:val="auto"/>
              </w:rPr>
              <w:t>2,103,072</w:t>
            </w:r>
          </w:p>
        </w:tc>
        <w:tc>
          <w:tcPr>
            <w:tcW w:w="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2,243,691</w:t>
            </w:r>
          </w:p>
        </w:tc>
        <w:tc>
          <w:tcPr>
            <w:tcW w:w="1120" w:type="dxa"/>
            <w:vAlign w:val="bottom"/>
            <w:tcBorders>
              <w:bottom w:val="single" w:sz="8" w:color="auto"/>
            </w:tcBorders>
          </w:tcPr>
          <w:p>
            <w:pPr>
              <w:jc w:val="center"/>
              <w:spacing w:after="0" w:line="190" w:lineRule="exact"/>
              <w:rPr>
                <w:sz w:val="20"/>
                <w:szCs w:val="20"/>
                <w:color w:val="auto"/>
              </w:rPr>
            </w:pPr>
            <w:r>
              <w:rPr>
                <w:rFonts w:ascii="Arial" w:cs="Arial" w:eastAsia="Arial" w:hAnsi="Arial"/>
                <w:sz w:val="18"/>
                <w:szCs w:val="18"/>
                <w:b w:val="1"/>
                <w:bCs w:val="1"/>
                <w:color w:val="auto"/>
                <w:w w:val="97"/>
              </w:rPr>
              <w:t>6.7%</w:t>
            </w:r>
          </w:p>
        </w:tc>
        <w:tc>
          <w:tcPr>
            <w:tcW w:w="1120" w:type="dxa"/>
            <w:vAlign w:val="bottom"/>
            <w:tcBorders>
              <w:bottom w:val="single" w:sz="8" w:color="auto"/>
              <w:right w:val="single" w:sz="8" w:color="auto"/>
            </w:tcBorders>
          </w:tcPr>
          <w:p>
            <w:pPr>
              <w:jc w:val="center"/>
              <w:spacing w:after="0" w:line="190" w:lineRule="exact"/>
              <w:rPr>
                <w:sz w:val="20"/>
                <w:szCs w:val="20"/>
                <w:color w:val="auto"/>
              </w:rPr>
            </w:pPr>
            <w:r>
              <w:rPr>
                <w:rFonts w:ascii="Arial" w:cs="Arial" w:eastAsia="Arial" w:hAnsi="Arial"/>
                <w:sz w:val="18"/>
                <w:szCs w:val="18"/>
                <w:b w:val="1"/>
                <w:bCs w:val="1"/>
                <w:color w:val="auto"/>
              </w:rPr>
              <w:t>10.7%</w:t>
            </w:r>
          </w:p>
        </w:tc>
        <w:tc>
          <w:tcPr>
            <w:tcW w:w="1340" w:type="dxa"/>
            <w:vAlign w:val="bottom"/>
            <w:tcBorders>
              <w:bottom w:val="single" w:sz="8" w:color="auto"/>
            </w:tcBorders>
          </w:tcPr>
          <w:p>
            <w:pPr>
              <w:jc w:val="right"/>
              <w:ind w:right="158"/>
              <w:spacing w:after="0"/>
              <w:rPr>
                <w:sz w:val="20"/>
                <w:szCs w:val="20"/>
                <w:color w:val="auto"/>
              </w:rPr>
            </w:pPr>
            <w:r>
              <w:rPr>
                <w:rFonts w:ascii="Arial" w:cs="Arial" w:eastAsia="Arial" w:hAnsi="Arial"/>
                <w:sz w:val="16"/>
                <w:szCs w:val="16"/>
                <w:b w:val="1"/>
                <w:bCs w:val="1"/>
                <w:color w:val="auto"/>
              </w:rPr>
              <w:t>5,749,864</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6,385,072</w:t>
            </w:r>
          </w:p>
        </w:tc>
        <w:tc>
          <w:tcPr>
            <w:tcW w:w="1240" w:type="dxa"/>
            <w:vAlign w:val="bottom"/>
            <w:tcBorders>
              <w:bottom w:val="single" w:sz="8" w:color="auto"/>
              <w:right w:val="single" w:sz="8" w:color="auto"/>
            </w:tcBorders>
          </w:tcPr>
          <w:p>
            <w:pPr>
              <w:jc w:val="center"/>
              <w:spacing w:after="0" w:line="190" w:lineRule="exact"/>
              <w:rPr>
                <w:sz w:val="20"/>
                <w:szCs w:val="20"/>
                <w:color w:val="auto"/>
              </w:rPr>
            </w:pPr>
            <w:r>
              <w:rPr>
                <w:rFonts w:ascii="Arial" w:cs="Arial" w:eastAsia="Arial" w:hAnsi="Arial"/>
                <w:sz w:val="18"/>
                <w:szCs w:val="18"/>
                <w:b w:val="1"/>
                <w:bCs w:val="1"/>
                <w:color w:val="auto"/>
                <w:w w:val="97"/>
              </w:rPr>
              <w:t>11.0%</w:t>
            </w:r>
          </w:p>
        </w:tc>
      </w:tr>
    </w:tbl>
    <w:p>
      <w:pPr>
        <w:ind w:left="141" w:hanging="141"/>
        <w:spacing w:after="0"/>
        <w:tabs>
          <w:tab w:leader="none" w:pos="141" w:val="left"/>
        </w:tabs>
        <w:numPr>
          <w:ilvl w:val="0"/>
          <w:numId w:val="46"/>
        </w:numPr>
        <w:rPr>
          <w:rFonts w:ascii="Arial" w:cs="Arial" w:eastAsia="Arial" w:hAnsi="Arial"/>
          <w:sz w:val="11"/>
          <w:szCs w:val="11"/>
          <w:color w:val="auto"/>
        </w:rPr>
      </w:pPr>
      <w:r>
        <w:rPr>
          <w:rFonts w:ascii="Arial" w:cs="Arial" w:eastAsia="Arial" w:hAnsi="Arial"/>
          <w:sz w:val="11"/>
          <w:szCs w:val="11"/>
          <w:color w:val="auto"/>
        </w:rPr>
        <w:t>Management figures.</w:t>
      </w:r>
    </w:p>
    <w:p>
      <w:pPr>
        <w:ind w:left="141" w:hanging="141"/>
        <w:spacing w:after="0" w:line="234" w:lineRule="auto"/>
        <w:tabs>
          <w:tab w:leader="none" w:pos="141" w:val="left"/>
        </w:tabs>
        <w:numPr>
          <w:ilvl w:val="0"/>
          <w:numId w:val="46"/>
        </w:numPr>
        <w:rPr>
          <w:rFonts w:ascii="Arial" w:cs="Arial" w:eastAsia="Arial" w:hAnsi="Arial"/>
          <w:sz w:val="11"/>
          <w:szCs w:val="11"/>
          <w:color w:val="auto"/>
        </w:rPr>
      </w:pPr>
      <w:r>
        <w:rPr>
          <w:rFonts w:ascii="Arial" w:cs="Arial" w:eastAsia="Arial" w:hAnsi="Arial"/>
          <w:sz w:val="11"/>
          <w:szCs w:val="11"/>
          <w:color w:val="auto"/>
        </w:rPr>
        <w:t>Includes disruptive initiatives at the subsidiaries and Krealo.</w:t>
      </w:r>
    </w:p>
    <w:p>
      <w:pPr>
        <w:ind w:left="141" w:hanging="141"/>
        <w:spacing w:after="0"/>
        <w:tabs>
          <w:tab w:leader="none" w:pos="141" w:val="left"/>
        </w:tabs>
        <w:numPr>
          <w:ilvl w:val="0"/>
          <w:numId w:val="46"/>
        </w:numPr>
        <w:rPr>
          <w:rFonts w:ascii="Arial" w:cs="Arial" w:eastAsia="Arial" w:hAnsi="Arial"/>
          <w:sz w:val="11"/>
          <w:szCs w:val="11"/>
          <w:color w:val="auto"/>
        </w:rPr>
      </w:pPr>
      <w:r>
        <w:rPr>
          <w:rFonts w:ascii="Arial" w:cs="Arial" w:eastAsia="Arial" w:hAnsi="Arial"/>
          <w:sz w:val="11"/>
          <w:szCs w:val="11"/>
          <w:color w:val="auto"/>
        </w:rPr>
        <w:t>Includes Credicorp Capital, ASB, Prima, BCP Bolivia, Mibanco Colombia, and other entities within the Group.</w:t>
      </w:r>
    </w:p>
    <w:p>
      <w:pPr>
        <w:spacing w:after="0" w:line="230" w:lineRule="exact"/>
        <w:rPr>
          <w:sz w:val="20"/>
          <w:szCs w:val="20"/>
          <w:color w:val="auto"/>
        </w:rPr>
      </w:pPr>
    </w:p>
    <w:p>
      <w:pPr>
        <w:ind w:left="1"/>
        <w:spacing w:after="0" w:line="274" w:lineRule="auto"/>
        <w:rPr>
          <w:sz w:val="20"/>
          <w:szCs w:val="20"/>
          <w:color w:val="auto"/>
        </w:rPr>
      </w:pPr>
      <w:r>
        <w:rPr>
          <w:rFonts w:ascii="Arial" w:cs="Arial" w:eastAsia="Arial" w:hAnsi="Arial"/>
          <w:sz w:val="16"/>
          <w:szCs w:val="16"/>
          <w:color w:val="auto"/>
        </w:rPr>
        <w:t>The 11.0% increase in operating expenses at Credicorp can be broken down as follows: 40.1% are attributable to BCP core and 34.0% to our disruptive initiatives.</w:t>
      </w:r>
    </w:p>
    <w:p>
      <w:pPr>
        <w:spacing w:after="0" w:line="136" w:lineRule="exact"/>
        <w:rPr>
          <w:sz w:val="20"/>
          <w:szCs w:val="20"/>
          <w:color w:val="auto"/>
        </w:rPr>
      </w:pPr>
    </w:p>
    <w:p>
      <w:pPr>
        <w:ind w:left="1"/>
        <w:spacing w:after="0" w:line="274" w:lineRule="auto"/>
        <w:rPr>
          <w:sz w:val="20"/>
          <w:szCs w:val="20"/>
          <w:color w:val="auto"/>
        </w:rPr>
      </w:pPr>
      <w:r>
        <w:rPr>
          <w:rFonts w:ascii="Arial" w:cs="Arial" w:eastAsia="Arial" w:hAnsi="Arial"/>
          <w:sz w:val="16"/>
          <w:szCs w:val="16"/>
          <w:color w:val="auto"/>
        </w:rPr>
        <w:t>BCP reported a 7.6% increase in expenses YTD, which can be broken down into two categories: technology expenses and Core business expenses excluding technology.</w:t>
      </w:r>
    </w:p>
    <w:p>
      <w:pPr>
        <w:spacing w:after="0" w:line="116" w:lineRule="exact"/>
        <w:rPr>
          <w:sz w:val="20"/>
          <w:szCs w:val="20"/>
          <w:color w:val="auto"/>
        </w:rPr>
      </w:pPr>
    </w:p>
    <w:p>
      <w:pPr>
        <w:ind w:left="741" w:hanging="296"/>
        <w:spacing w:after="0"/>
        <w:tabs>
          <w:tab w:leader="none" w:pos="741"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color w:val="auto"/>
        </w:rPr>
        <w:t>Technology Expenses (IT)</w:t>
      </w:r>
    </w:p>
    <w:p>
      <w:pPr>
        <w:spacing w:after="0" w:line="21" w:lineRule="exact"/>
        <w:rPr>
          <w:rFonts w:ascii="Arial" w:cs="Arial" w:eastAsia="Arial" w:hAnsi="Arial"/>
          <w:sz w:val="16"/>
          <w:szCs w:val="16"/>
          <w:b w:val="1"/>
          <w:bCs w:val="1"/>
          <w:color w:val="auto"/>
        </w:rPr>
      </w:pPr>
    </w:p>
    <w:p>
      <w:pPr>
        <w:ind w:left="1341" w:right="220" w:hanging="303"/>
        <w:spacing w:after="0" w:line="241" w:lineRule="auto"/>
        <w:tabs>
          <w:tab w:leader="none" w:pos="1341" w:val="left"/>
        </w:tabs>
        <w:numPr>
          <w:ilvl w:val="1"/>
          <w:numId w:val="47"/>
        </w:numPr>
        <w:rPr>
          <w:rFonts w:ascii="Arial" w:cs="Arial" w:eastAsia="Arial" w:hAnsi="Arial"/>
          <w:sz w:val="16"/>
          <w:szCs w:val="16"/>
          <w:color w:val="auto"/>
        </w:rPr>
      </w:pPr>
      <w:r>
        <w:rPr>
          <w:rFonts w:ascii="Arial" w:cs="Arial" w:eastAsia="Arial" w:hAnsi="Arial"/>
          <w:sz w:val="16"/>
          <w:szCs w:val="16"/>
          <w:color w:val="auto"/>
        </w:rPr>
        <w:t>In line with the upward trend in volumes of monetary and non-monetary transactions among increasingly digitalized clients, expenses for the use of cloud servers have grown.</w:t>
      </w:r>
    </w:p>
    <w:p>
      <w:pPr>
        <w:spacing w:after="0" w:line="1" w:lineRule="exact"/>
        <w:rPr>
          <w:rFonts w:ascii="Arial" w:cs="Arial" w:eastAsia="Arial" w:hAnsi="Arial"/>
          <w:sz w:val="16"/>
          <w:szCs w:val="16"/>
          <w:color w:val="auto"/>
        </w:rPr>
      </w:pPr>
    </w:p>
    <w:p>
      <w:pPr>
        <w:ind w:left="1341" w:hanging="303"/>
        <w:spacing w:after="0"/>
        <w:tabs>
          <w:tab w:leader="none" w:pos="1341" w:val="left"/>
        </w:tabs>
        <w:numPr>
          <w:ilvl w:val="1"/>
          <w:numId w:val="47"/>
        </w:numPr>
        <w:rPr>
          <w:rFonts w:ascii="Arial" w:cs="Arial" w:eastAsia="Arial" w:hAnsi="Arial"/>
          <w:sz w:val="16"/>
          <w:szCs w:val="16"/>
          <w:color w:val="auto"/>
        </w:rPr>
      </w:pPr>
      <w:r>
        <w:rPr>
          <w:rFonts w:ascii="Arial" w:cs="Arial" w:eastAsia="Arial" w:hAnsi="Arial"/>
          <w:sz w:val="16"/>
          <w:szCs w:val="16"/>
          <w:color w:val="auto"/>
        </w:rPr>
        <w:t>Additionally, the bank has made significant investments in new capabilities.</w:t>
      </w:r>
    </w:p>
    <w:p>
      <w:pPr>
        <w:spacing w:after="0" w:line="1" w:lineRule="exact"/>
        <w:rPr>
          <w:rFonts w:ascii="Arial" w:cs="Arial" w:eastAsia="Arial" w:hAnsi="Arial"/>
          <w:sz w:val="16"/>
          <w:szCs w:val="16"/>
          <w:color w:val="auto"/>
        </w:rPr>
      </w:pPr>
    </w:p>
    <w:p>
      <w:pPr>
        <w:ind w:left="1341" w:hanging="303"/>
        <w:spacing w:after="0"/>
        <w:tabs>
          <w:tab w:leader="none" w:pos="1341" w:val="left"/>
        </w:tabs>
        <w:numPr>
          <w:ilvl w:val="1"/>
          <w:numId w:val="47"/>
        </w:numPr>
        <w:rPr>
          <w:rFonts w:ascii="Arial" w:cs="Arial" w:eastAsia="Arial" w:hAnsi="Arial"/>
          <w:sz w:val="16"/>
          <w:szCs w:val="16"/>
          <w:color w:val="auto"/>
        </w:rPr>
      </w:pPr>
      <w:r>
        <w:rPr>
          <w:rFonts w:ascii="Arial" w:cs="Arial" w:eastAsia="Arial" w:hAnsi="Arial"/>
          <w:sz w:val="16"/>
          <w:szCs w:val="16"/>
          <w:color w:val="auto"/>
        </w:rPr>
        <w:t>More digital experts have been hired and their average salaries have also risen.</w:t>
      </w:r>
    </w:p>
    <w:p>
      <w:pPr>
        <w:spacing w:after="0" w:line="154" w:lineRule="exact"/>
        <w:rPr>
          <w:rFonts w:ascii="Arial" w:cs="Arial" w:eastAsia="Arial" w:hAnsi="Arial"/>
          <w:sz w:val="16"/>
          <w:szCs w:val="16"/>
          <w:color w:val="auto"/>
        </w:rPr>
      </w:pPr>
    </w:p>
    <w:p>
      <w:pPr>
        <w:ind w:left="741" w:hanging="296"/>
        <w:spacing w:after="0"/>
        <w:tabs>
          <w:tab w:leader="none" w:pos="741"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color w:val="auto"/>
        </w:rPr>
        <w:t>Core business expenses excluding IT</w:t>
      </w:r>
    </w:p>
    <w:p>
      <w:pPr>
        <w:spacing w:after="0" w:line="21" w:lineRule="exact"/>
        <w:rPr>
          <w:rFonts w:ascii="Arial" w:cs="Arial" w:eastAsia="Arial" w:hAnsi="Arial"/>
          <w:sz w:val="16"/>
          <w:szCs w:val="16"/>
          <w:b w:val="1"/>
          <w:bCs w:val="1"/>
          <w:color w:val="auto"/>
        </w:rPr>
      </w:pPr>
    </w:p>
    <w:p>
      <w:pPr>
        <w:ind w:left="1341" w:hanging="303"/>
        <w:spacing w:after="0"/>
        <w:tabs>
          <w:tab w:leader="none" w:pos="1341" w:val="left"/>
        </w:tabs>
        <w:numPr>
          <w:ilvl w:val="1"/>
          <w:numId w:val="47"/>
        </w:numPr>
        <w:rPr>
          <w:rFonts w:ascii="Arial" w:cs="Arial" w:eastAsia="Arial" w:hAnsi="Arial"/>
          <w:sz w:val="16"/>
          <w:szCs w:val="16"/>
          <w:color w:val="auto"/>
        </w:rPr>
      </w:pPr>
      <w:r>
        <w:rPr>
          <w:rFonts w:ascii="Arial" w:cs="Arial" w:eastAsia="Arial" w:hAnsi="Arial"/>
          <w:sz w:val="16"/>
          <w:szCs w:val="16"/>
          <w:color w:val="auto"/>
        </w:rPr>
        <w:t>Expenses for marketing and advertising rose to attract more deposits and drive sales of digital products.</w:t>
      </w:r>
    </w:p>
    <w:p>
      <w:pPr>
        <w:spacing w:after="0" w:line="1" w:lineRule="exact"/>
        <w:rPr>
          <w:rFonts w:ascii="Arial" w:cs="Arial" w:eastAsia="Arial" w:hAnsi="Arial"/>
          <w:sz w:val="16"/>
          <w:szCs w:val="16"/>
          <w:color w:val="auto"/>
        </w:rPr>
      </w:pPr>
    </w:p>
    <w:p>
      <w:pPr>
        <w:ind w:left="1341" w:hanging="303"/>
        <w:spacing w:after="0"/>
        <w:tabs>
          <w:tab w:leader="none" w:pos="1341" w:val="left"/>
        </w:tabs>
        <w:numPr>
          <w:ilvl w:val="1"/>
          <w:numId w:val="47"/>
        </w:numPr>
        <w:rPr>
          <w:rFonts w:ascii="Arial" w:cs="Arial" w:eastAsia="Arial" w:hAnsi="Arial"/>
          <w:sz w:val="16"/>
          <w:szCs w:val="16"/>
          <w:color w:val="auto"/>
        </w:rPr>
      </w:pPr>
      <w:r>
        <w:rPr>
          <w:rFonts w:ascii="Arial" w:cs="Arial" w:eastAsia="Arial" w:hAnsi="Arial"/>
          <w:sz w:val="16"/>
          <w:szCs w:val="16"/>
          <w:color w:val="auto"/>
        </w:rPr>
        <w:t>More specialized personnel were hired for strategic projects.</w:t>
      </w:r>
    </w:p>
    <w:p>
      <w:pPr>
        <w:spacing w:after="0" w:line="163" w:lineRule="exact"/>
        <w:rPr>
          <w:sz w:val="20"/>
          <w:szCs w:val="20"/>
          <w:color w:val="auto"/>
        </w:rPr>
      </w:pPr>
    </w:p>
    <w:p>
      <w:pPr>
        <w:jc w:val="both"/>
        <w:ind w:left="1"/>
        <w:spacing w:after="0" w:line="258" w:lineRule="auto"/>
        <w:rPr>
          <w:sz w:val="20"/>
          <w:szCs w:val="20"/>
          <w:color w:val="auto"/>
        </w:rPr>
      </w:pPr>
      <w:r>
        <w:rPr>
          <w:rFonts w:ascii="Arial" w:cs="Arial" w:eastAsia="Arial" w:hAnsi="Arial"/>
          <w:sz w:val="16"/>
          <w:szCs w:val="16"/>
          <w:color w:val="auto"/>
        </w:rPr>
        <w:t>Growth in disruptive expenses stood at 59.8% YTD and represented 9.1% of total expenses as of the end of September 2023. These expenses were associated with investment in talent to develop functionalities for initiatives such as Yape, IO, Culqui, Tenpo to strengthen our competitive moats in the long-term.</w:t>
      </w:r>
    </w:p>
    <w:p>
      <w:pPr>
        <w:spacing w:after="0" w:line="29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43750" cy="1587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337" w:right="339" w:bottom="1440" w:gutter="0" w:footer="0" w:header="0"/>
        </w:sectPr>
      </w:pPr>
    </w:p>
    <w:bookmarkStart w:id="39" w:name="page40"/>
    <w:bookmarkEnd w:id="39"/>
    <w:p>
      <w:pPr>
        <w:ind w:left="2961"/>
        <w:spacing w:after="0"/>
        <w:tabs>
          <w:tab w:leader="none" w:pos="3141" w:val="left"/>
          <w:tab w:leader="none" w:pos="7701" w:val="left"/>
        </w:tabs>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202565</wp:posOffset>
            </wp:positionH>
            <wp:positionV relativeFrom="page">
              <wp:posOffset>88900</wp:posOffset>
            </wp:positionV>
            <wp:extent cx="7143750" cy="41592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3750" cy="415925"/>
                    </a:xfrm>
                    <a:prstGeom prst="rect">
                      <a:avLst/>
                    </a:prstGeom>
                    <a:noFill/>
                  </pic:spPr>
                </pic:pic>
              </a:graphicData>
            </a:graphic>
          </wp:anchor>
        </w:drawing>
        <w:t>|</w:t>
      </w:r>
      <w:r>
        <w:rPr>
          <w:sz w:val="20"/>
          <w:szCs w:val="20"/>
          <w:color w:val="auto"/>
        </w:rPr>
        <w:tab/>
      </w:r>
      <w:r>
        <w:rPr>
          <w:rFonts w:ascii="Arial" w:cs="Arial" w:eastAsia="Arial" w:hAnsi="Arial"/>
          <w:sz w:val="16"/>
          <w:szCs w:val="16"/>
          <w:b w:val="1"/>
          <w:bCs w:val="1"/>
          <w:color w:val="FFFFFF"/>
        </w:rPr>
        <w:t>Earnings Release 3Q / 2023</w:t>
      </w:r>
      <w:r>
        <w:rPr>
          <w:sz w:val="20"/>
          <w:szCs w:val="20"/>
          <w:color w:val="auto"/>
        </w:rPr>
        <w:tab/>
      </w:r>
      <w:r>
        <w:rPr>
          <w:rFonts w:ascii="Arial" w:cs="Arial" w:eastAsia="Arial" w:hAnsi="Arial"/>
          <w:sz w:val="18"/>
          <w:szCs w:val="18"/>
          <w:b w:val="1"/>
          <w:bCs w:val="1"/>
          <w:color w:val="E93CAC"/>
        </w:rPr>
        <w:t>Analysis of 3Q23 Consolidated Results</w:t>
      </w:r>
    </w:p>
    <w:p>
      <w:pPr>
        <w:spacing w:after="0" w:line="306" w:lineRule="exact"/>
        <w:rPr>
          <w:sz w:val="20"/>
          <w:szCs w:val="20"/>
          <w:color w:val="auto"/>
        </w:rPr>
      </w:pPr>
    </w:p>
    <w:p>
      <w:pPr>
        <w:ind w:left="1"/>
        <w:spacing w:after="0"/>
        <w:tabs>
          <w:tab w:leader="none" w:pos="881" w:val="left"/>
        </w:tabs>
        <w:rPr>
          <w:sz w:val="20"/>
          <w:szCs w:val="20"/>
          <w:color w:val="auto"/>
        </w:rPr>
      </w:pPr>
      <w:r>
        <w:rPr>
          <w:rFonts w:ascii="Arial" w:cs="Arial" w:eastAsia="Arial" w:hAnsi="Arial"/>
          <w:sz w:val="40"/>
          <w:szCs w:val="40"/>
          <w:b w:val="1"/>
          <w:bCs w:val="1"/>
          <w:color w:val="E93CAC"/>
        </w:rPr>
        <w:t>09</w:t>
      </w:r>
      <w:r>
        <w:rPr>
          <w:sz w:val="20"/>
          <w:szCs w:val="20"/>
          <w:color w:val="auto"/>
        </w:rPr>
        <w:tab/>
      </w:r>
      <w:r>
        <w:rPr>
          <w:rFonts w:ascii="Arial" w:cs="Arial" w:eastAsia="Arial" w:hAnsi="Arial"/>
          <w:sz w:val="30"/>
          <w:szCs w:val="30"/>
          <w:color w:val="E93CAC"/>
        </w:rPr>
        <w:t>Operating Efficiency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191135</wp:posOffset>
            </wp:positionV>
            <wp:extent cx="7143750" cy="5257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3750" cy="52578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both"/>
        <w:ind w:left="241" w:right="240"/>
        <w:spacing w:after="0" w:line="264" w:lineRule="auto"/>
        <w:rPr>
          <w:sz w:val="20"/>
          <w:szCs w:val="20"/>
          <w:color w:val="auto"/>
        </w:rPr>
      </w:pPr>
      <w:r>
        <w:rPr>
          <w:rFonts w:ascii="Arial" w:cs="Arial" w:eastAsia="Arial" w:hAnsi="Arial"/>
          <w:sz w:val="16"/>
          <w:szCs w:val="16"/>
          <w:color w:val="FFFFFF"/>
        </w:rPr>
        <w:t>The efficiency ratio improved 160 bps YTD. This evolution was driven by an uptick in core income, which was fueled by growth in net interest income at BCP, via all of Retail Banking’s segments and loan growth at Mibanco. If we exclude disruptive expenses, the efficiency ratio stands at 40.9%.</w:t>
      </w:r>
    </w:p>
    <w:p>
      <w:pPr>
        <w:spacing w:after="0" w:line="200" w:lineRule="exact"/>
        <w:rPr>
          <w:sz w:val="20"/>
          <w:szCs w:val="20"/>
          <w:color w:val="auto"/>
        </w:rPr>
      </w:pPr>
    </w:p>
    <w:p>
      <w:pPr>
        <w:spacing w:after="0" w:line="216" w:lineRule="exact"/>
        <w:rPr>
          <w:sz w:val="20"/>
          <w:szCs w:val="20"/>
          <w:color w:val="auto"/>
        </w:rPr>
      </w:pPr>
    </w:p>
    <w:tbl>
      <w:tblPr>
        <w:tblLayout w:type="fixed"/>
        <w:tblInd w:w="11" w:type="dxa"/>
        <w:tblCellMar>
          <w:top w:w="0" w:type="dxa"/>
          <w:left w:w="0" w:type="dxa"/>
          <w:bottom w:w="0" w:type="dxa"/>
          <w:right w:w="0" w:type="dxa"/>
        </w:tblCellMar>
      </w:tblPr>
      <w:tr>
        <w:trPr>
          <w:trHeight w:val="177"/>
        </w:trPr>
        <w:tc>
          <w:tcPr>
            <w:tcW w:w="2940" w:type="dxa"/>
            <w:vAlign w:val="bottom"/>
            <w:tcBorders>
              <w:top w:val="single" w:sz="8" w:color="auto"/>
              <w:left w:val="single" w:sz="8" w:color="auto"/>
              <w:right w:val="single" w:sz="8" w:color="auto"/>
            </w:tcBorders>
            <w:shd w:val="clear" w:color="auto" w:fill="2AD2C9"/>
          </w:tcPr>
          <w:p>
            <w:pPr>
              <w:ind w:left="20"/>
              <w:spacing w:after="0" w:line="177" w:lineRule="exact"/>
              <w:rPr>
                <w:sz w:val="20"/>
                <w:szCs w:val="20"/>
                <w:color w:val="auto"/>
              </w:rPr>
            </w:pPr>
            <w:r>
              <w:rPr>
                <w:rFonts w:ascii="Arial" w:cs="Arial" w:eastAsia="Arial" w:hAnsi="Arial"/>
                <w:sz w:val="16"/>
                <w:szCs w:val="16"/>
                <w:b w:val="1"/>
                <w:bCs w:val="1"/>
                <w:color w:val="FFFFFF"/>
              </w:rPr>
              <w:t>Operating efficiency</w:t>
            </w:r>
          </w:p>
        </w:tc>
        <w:tc>
          <w:tcPr>
            <w:tcW w:w="1100" w:type="dxa"/>
            <w:vAlign w:val="bottom"/>
            <w:tcBorders>
              <w:top w:val="single" w:sz="8" w:color="auto"/>
            </w:tcBorders>
            <w:shd w:val="clear" w:color="auto" w:fill="2AD2C9"/>
          </w:tcPr>
          <w:p>
            <w:pPr>
              <w:spacing w:after="0"/>
              <w:rPr>
                <w:sz w:val="15"/>
                <w:szCs w:val="15"/>
                <w:color w:val="auto"/>
              </w:rPr>
            </w:pPr>
          </w:p>
        </w:tc>
        <w:tc>
          <w:tcPr>
            <w:tcW w:w="1040" w:type="dxa"/>
            <w:vAlign w:val="bottom"/>
            <w:tcBorders>
              <w:top w:val="single" w:sz="8" w:color="auto"/>
            </w:tcBorders>
            <w:vMerge w:val="restart"/>
            <w:shd w:val="clear" w:color="auto" w:fill="2AD2C9"/>
          </w:tcPr>
          <w:p>
            <w:pPr>
              <w:jc w:val="right"/>
              <w:ind w:right="258"/>
              <w:spacing w:after="0"/>
              <w:rPr>
                <w:sz w:val="20"/>
                <w:szCs w:val="20"/>
                <w:color w:val="auto"/>
              </w:rPr>
            </w:pPr>
            <w:r>
              <w:rPr>
                <w:rFonts w:ascii="Arial" w:cs="Arial" w:eastAsia="Arial" w:hAnsi="Arial"/>
                <w:sz w:val="16"/>
                <w:szCs w:val="16"/>
                <w:b w:val="1"/>
                <w:bCs w:val="1"/>
                <w:color w:val="FFFFFF"/>
              </w:rPr>
              <w:t>Quarter</w:t>
            </w:r>
          </w:p>
        </w:tc>
        <w:tc>
          <w:tcPr>
            <w:tcW w:w="900" w:type="dxa"/>
            <w:vAlign w:val="bottom"/>
            <w:tcBorders>
              <w:top w:val="single" w:sz="8" w:color="auto"/>
              <w:right w:val="single" w:sz="8" w:color="auto"/>
            </w:tcBorders>
            <w:shd w:val="clear" w:color="auto" w:fill="2AD2C9"/>
          </w:tcPr>
          <w:p>
            <w:pPr>
              <w:spacing w:after="0"/>
              <w:rPr>
                <w:sz w:val="15"/>
                <w:szCs w:val="15"/>
                <w:color w:val="auto"/>
              </w:rPr>
            </w:pPr>
          </w:p>
        </w:tc>
        <w:tc>
          <w:tcPr>
            <w:tcW w:w="1960" w:type="dxa"/>
            <w:vAlign w:val="bottom"/>
            <w:tcBorders>
              <w:top w:val="single" w:sz="8" w:color="auto"/>
              <w:right w:val="single" w:sz="8" w:color="auto"/>
            </w:tcBorders>
            <w:gridSpan w:val="2"/>
            <w:vMerge w:val="restart"/>
            <w:shd w:val="clear" w:color="auto" w:fill="2AD2C9"/>
          </w:tcPr>
          <w:p>
            <w:pPr>
              <w:ind w:left="580"/>
              <w:spacing w:after="0"/>
              <w:rPr>
                <w:sz w:val="20"/>
                <w:szCs w:val="20"/>
                <w:color w:val="auto"/>
              </w:rPr>
            </w:pPr>
            <w:r>
              <w:rPr>
                <w:rFonts w:ascii="Arial" w:cs="Arial" w:eastAsia="Arial" w:hAnsi="Arial"/>
                <w:sz w:val="16"/>
                <w:szCs w:val="16"/>
                <w:b w:val="1"/>
                <w:bCs w:val="1"/>
                <w:color w:val="FFFFFF"/>
              </w:rPr>
              <w:t>% change</w:t>
            </w:r>
          </w:p>
        </w:tc>
        <w:tc>
          <w:tcPr>
            <w:tcW w:w="2060" w:type="dxa"/>
            <w:vAlign w:val="bottom"/>
            <w:tcBorders>
              <w:top w:val="single" w:sz="8" w:color="auto"/>
              <w:right w:val="single" w:sz="8" w:color="auto"/>
            </w:tcBorders>
            <w:gridSpan w:val="2"/>
            <w:vMerge w:val="restart"/>
            <w:shd w:val="clear" w:color="auto" w:fill="2AD2C9"/>
          </w:tcPr>
          <w:p>
            <w:pPr>
              <w:jc w:val="right"/>
              <w:ind w:right="758"/>
              <w:spacing w:after="0"/>
              <w:rPr>
                <w:sz w:val="20"/>
                <w:szCs w:val="20"/>
                <w:color w:val="auto"/>
              </w:rPr>
            </w:pPr>
            <w:r>
              <w:rPr>
                <w:rFonts w:ascii="Arial" w:cs="Arial" w:eastAsia="Arial" w:hAnsi="Arial"/>
                <w:sz w:val="16"/>
                <w:szCs w:val="16"/>
                <w:b w:val="1"/>
                <w:bCs w:val="1"/>
                <w:color w:val="FFFFFF"/>
              </w:rPr>
              <w:t>As of</w:t>
            </w:r>
          </w:p>
        </w:tc>
        <w:tc>
          <w:tcPr>
            <w:tcW w:w="1260" w:type="dxa"/>
            <w:vAlign w:val="bottom"/>
            <w:tcBorders>
              <w:top w:val="single" w:sz="8" w:color="auto"/>
              <w:right w:val="single" w:sz="8" w:color="auto"/>
            </w:tcBorders>
            <w:vMerge w:val="restart"/>
            <w:shd w:val="clear" w:color="auto" w:fill="2AD2C9"/>
          </w:tcPr>
          <w:p>
            <w:pPr>
              <w:jc w:val="center"/>
              <w:spacing w:after="0"/>
              <w:rPr>
                <w:sz w:val="20"/>
                <w:szCs w:val="20"/>
                <w:color w:val="auto"/>
              </w:rPr>
            </w:pPr>
            <w:r>
              <w:rPr>
                <w:rFonts w:ascii="Arial" w:cs="Arial" w:eastAsia="Arial" w:hAnsi="Arial"/>
                <w:sz w:val="16"/>
                <w:szCs w:val="16"/>
                <w:b w:val="1"/>
                <w:bCs w:val="1"/>
                <w:color w:val="FFFFFF"/>
              </w:rPr>
              <w:t>% change</w:t>
            </w:r>
          </w:p>
        </w:tc>
        <w:tc>
          <w:tcPr>
            <w:tcW w:w="0" w:type="dxa"/>
            <w:vAlign w:val="bottom"/>
          </w:tcPr>
          <w:p>
            <w:pPr>
              <w:spacing w:after="0"/>
              <w:rPr>
                <w:sz w:val="1"/>
                <w:szCs w:val="1"/>
                <w:color w:val="auto"/>
              </w:rPr>
            </w:pPr>
          </w:p>
        </w:tc>
      </w:tr>
      <w:tr>
        <w:trPr>
          <w:trHeight w:val="130"/>
        </w:trPr>
        <w:tc>
          <w:tcPr>
            <w:tcW w:w="2940" w:type="dxa"/>
            <w:vAlign w:val="bottom"/>
            <w:tcBorders>
              <w:left w:val="single" w:sz="8" w:color="auto"/>
              <w:right w:val="single" w:sz="8" w:color="auto"/>
            </w:tcBorders>
            <w:vMerge w:val="restart"/>
            <w:shd w:val="clear" w:color="auto" w:fill="2AD2C9"/>
          </w:tcPr>
          <w:p>
            <w:pPr>
              <w:ind w:left="20"/>
              <w:spacing w:after="0"/>
              <w:rPr>
                <w:sz w:val="20"/>
                <w:szCs w:val="20"/>
                <w:color w:val="auto"/>
              </w:rPr>
            </w:pPr>
            <w:r>
              <w:rPr>
                <w:rFonts w:ascii="Arial" w:cs="Arial" w:eastAsia="Arial" w:hAnsi="Arial"/>
                <w:sz w:val="16"/>
                <w:szCs w:val="16"/>
                <w:b w:val="1"/>
                <w:bCs w:val="1"/>
                <w:color w:val="FFFFFF"/>
              </w:rPr>
              <w:t>S/000</w:t>
            </w:r>
          </w:p>
        </w:tc>
        <w:tc>
          <w:tcPr>
            <w:tcW w:w="1100" w:type="dxa"/>
            <w:vAlign w:val="bottom"/>
            <w:shd w:val="clear" w:color="auto" w:fill="2AD2C9"/>
          </w:tcPr>
          <w:p>
            <w:pPr>
              <w:spacing w:after="0"/>
              <w:rPr>
                <w:sz w:val="11"/>
                <w:szCs w:val="11"/>
                <w:color w:val="auto"/>
              </w:rPr>
            </w:pPr>
          </w:p>
        </w:tc>
        <w:tc>
          <w:tcPr>
            <w:tcW w:w="1040" w:type="dxa"/>
            <w:vAlign w:val="bottom"/>
            <w:vMerge w:val="continue"/>
            <w:shd w:val="clear" w:color="auto" w:fill="2AD2C9"/>
          </w:tcPr>
          <w:p>
            <w:pPr>
              <w:spacing w:after="0"/>
              <w:rPr>
                <w:sz w:val="11"/>
                <w:szCs w:val="11"/>
                <w:color w:val="auto"/>
              </w:rPr>
            </w:pPr>
          </w:p>
        </w:tc>
        <w:tc>
          <w:tcPr>
            <w:tcW w:w="900" w:type="dxa"/>
            <w:vAlign w:val="bottom"/>
            <w:tcBorders>
              <w:right w:val="single" w:sz="8" w:color="auto"/>
            </w:tcBorders>
            <w:shd w:val="clear" w:color="auto" w:fill="2AD2C9"/>
          </w:tcPr>
          <w:p>
            <w:pPr>
              <w:spacing w:after="0"/>
              <w:rPr>
                <w:sz w:val="11"/>
                <w:szCs w:val="11"/>
                <w:color w:val="auto"/>
              </w:rPr>
            </w:pPr>
          </w:p>
        </w:tc>
        <w:tc>
          <w:tcPr>
            <w:tcW w:w="1960" w:type="dxa"/>
            <w:vAlign w:val="bottom"/>
            <w:tcBorders>
              <w:right w:val="single" w:sz="8" w:color="auto"/>
            </w:tcBorders>
            <w:gridSpan w:val="2"/>
            <w:vMerge w:val="continue"/>
            <w:shd w:val="clear" w:color="auto" w:fill="2AD2C9"/>
          </w:tcPr>
          <w:p>
            <w:pPr>
              <w:spacing w:after="0"/>
              <w:rPr>
                <w:sz w:val="11"/>
                <w:szCs w:val="11"/>
                <w:color w:val="auto"/>
              </w:rPr>
            </w:pPr>
          </w:p>
        </w:tc>
        <w:tc>
          <w:tcPr>
            <w:tcW w:w="2060" w:type="dxa"/>
            <w:vAlign w:val="bottom"/>
            <w:tcBorders>
              <w:right w:val="single" w:sz="8" w:color="auto"/>
            </w:tcBorders>
            <w:gridSpan w:val="2"/>
            <w:vMerge w:val="continue"/>
            <w:shd w:val="clear" w:color="auto" w:fill="2AD2C9"/>
          </w:tcPr>
          <w:p>
            <w:pPr>
              <w:spacing w:after="0"/>
              <w:rPr>
                <w:sz w:val="11"/>
                <w:szCs w:val="11"/>
                <w:color w:val="auto"/>
              </w:rPr>
            </w:pPr>
          </w:p>
        </w:tc>
        <w:tc>
          <w:tcPr>
            <w:tcW w:w="1260" w:type="dxa"/>
            <w:vAlign w:val="bottom"/>
            <w:tcBorders>
              <w:right w:val="single" w:sz="8" w:color="auto"/>
            </w:tcBorders>
            <w:vMerge w:val="continue"/>
            <w:shd w:val="clear" w:color="auto" w:fill="2AD2C9"/>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940" w:type="dxa"/>
            <w:vAlign w:val="bottom"/>
            <w:tcBorders>
              <w:left w:val="single" w:sz="8" w:color="auto"/>
              <w:right w:val="single" w:sz="8" w:color="auto"/>
            </w:tcBorders>
            <w:vMerge w:val="continue"/>
            <w:shd w:val="clear" w:color="auto" w:fill="2AD2C9"/>
          </w:tcPr>
          <w:p>
            <w:pPr>
              <w:spacing w:after="0"/>
              <w:rPr>
                <w:sz w:val="8"/>
                <w:szCs w:val="8"/>
                <w:color w:val="auto"/>
              </w:rPr>
            </w:pPr>
          </w:p>
        </w:tc>
        <w:tc>
          <w:tcPr>
            <w:tcW w:w="1100" w:type="dxa"/>
            <w:vAlign w:val="bottom"/>
            <w:vMerge w:val="restart"/>
            <w:shd w:val="clear" w:color="auto" w:fill="2AD2C9"/>
          </w:tcPr>
          <w:p>
            <w:pPr>
              <w:jc w:val="right"/>
              <w:ind w:right="318"/>
              <w:spacing w:after="0"/>
              <w:rPr>
                <w:sz w:val="20"/>
                <w:szCs w:val="20"/>
                <w:color w:val="auto"/>
              </w:rPr>
            </w:pPr>
            <w:r>
              <w:rPr>
                <w:rFonts w:ascii="Arial" w:cs="Arial" w:eastAsia="Arial" w:hAnsi="Arial"/>
                <w:sz w:val="16"/>
                <w:szCs w:val="16"/>
                <w:b w:val="1"/>
                <w:bCs w:val="1"/>
                <w:color w:val="FFFFFF"/>
              </w:rPr>
              <w:t>3Q22</w:t>
            </w:r>
          </w:p>
        </w:tc>
        <w:tc>
          <w:tcPr>
            <w:tcW w:w="1040" w:type="dxa"/>
            <w:vAlign w:val="bottom"/>
            <w:vMerge w:val="restart"/>
            <w:shd w:val="clear" w:color="auto" w:fill="2AD2C9"/>
          </w:tcPr>
          <w:p>
            <w:pPr>
              <w:jc w:val="right"/>
              <w:ind w:right="358"/>
              <w:spacing w:after="0"/>
              <w:rPr>
                <w:sz w:val="20"/>
                <w:szCs w:val="20"/>
                <w:color w:val="auto"/>
              </w:rPr>
            </w:pPr>
            <w:r>
              <w:rPr>
                <w:rFonts w:ascii="Arial" w:cs="Arial" w:eastAsia="Arial" w:hAnsi="Arial"/>
                <w:sz w:val="16"/>
                <w:szCs w:val="16"/>
                <w:b w:val="1"/>
                <w:bCs w:val="1"/>
                <w:color w:val="FFFFFF"/>
              </w:rPr>
              <w:t>2Q23</w:t>
            </w:r>
          </w:p>
        </w:tc>
        <w:tc>
          <w:tcPr>
            <w:tcW w:w="900" w:type="dxa"/>
            <w:vAlign w:val="bottom"/>
            <w:tcBorders>
              <w:right w:val="single" w:sz="8" w:color="auto"/>
            </w:tcBorders>
            <w:vMerge w:val="restart"/>
            <w:shd w:val="clear" w:color="auto" w:fill="2AD2C9"/>
          </w:tcPr>
          <w:p>
            <w:pPr>
              <w:jc w:val="right"/>
              <w:ind w:right="238"/>
              <w:spacing w:after="0"/>
              <w:rPr>
                <w:sz w:val="20"/>
                <w:szCs w:val="20"/>
                <w:color w:val="auto"/>
              </w:rPr>
            </w:pPr>
            <w:r>
              <w:rPr>
                <w:rFonts w:ascii="Arial" w:cs="Arial" w:eastAsia="Arial" w:hAnsi="Arial"/>
                <w:sz w:val="16"/>
                <w:szCs w:val="16"/>
                <w:b w:val="1"/>
                <w:bCs w:val="1"/>
                <w:color w:val="FFFFFF"/>
              </w:rPr>
              <w:t>3Q23</w:t>
            </w:r>
          </w:p>
        </w:tc>
        <w:tc>
          <w:tcPr>
            <w:tcW w:w="1020" w:type="dxa"/>
            <w:vAlign w:val="bottom"/>
            <w:vMerge w:val="restart"/>
            <w:shd w:val="clear" w:color="auto" w:fill="2AD2C9"/>
          </w:tcPr>
          <w:p>
            <w:pPr>
              <w:jc w:val="center"/>
              <w:spacing w:after="0"/>
              <w:rPr>
                <w:sz w:val="20"/>
                <w:szCs w:val="20"/>
                <w:color w:val="auto"/>
              </w:rPr>
            </w:pPr>
            <w:r>
              <w:rPr>
                <w:rFonts w:ascii="Arial" w:cs="Arial" w:eastAsia="Arial" w:hAnsi="Arial"/>
                <w:sz w:val="16"/>
                <w:szCs w:val="16"/>
                <w:b w:val="1"/>
                <w:bCs w:val="1"/>
                <w:color w:val="FFFFFF"/>
              </w:rPr>
              <w:t>QoQ</w:t>
            </w:r>
          </w:p>
        </w:tc>
        <w:tc>
          <w:tcPr>
            <w:tcW w:w="940" w:type="dxa"/>
            <w:vAlign w:val="bottom"/>
            <w:tcBorders>
              <w:right w:val="single" w:sz="8" w:color="auto"/>
            </w:tcBorders>
            <w:vMerge w:val="restart"/>
            <w:shd w:val="clear" w:color="auto" w:fill="2AD2C9"/>
          </w:tcPr>
          <w:p>
            <w:pPr>
              <w:jc w:val="center"/>
              <w:spacing w:after="0"/>
              <w:rPr>
                <w:sz w:val="20"/>
                <w:szCs w:val="20"/>
                <w:color w:val="auto"/>
              </w:rPr>
            </w:pPr>
            <w:r>
              <w:rPr>
                <w:rFonts w:ascii="Arial" w:cs="Arial" w:eastAsia="Arial" w:hAnsi="Arial"/>
                <w:sz w:val="16"/>
                <w:szCs w:val="16"/>
                <w:b w:val="1"/>
                <w:bCs w:val="1"/>
                <w:color w:val="FFFFFF"/>
                <w:w w:val="96"/>
              </w:rPr>
              <w:t>YoY</w:t>
            </w:r>
          </w:p>
        </w:tc>
        <w:tc>
          <w:tcPr>
            <w:tcW w:w="1120" w:type="dxa"/>
            <w:vAlign w:val="bottom"/>
            <w:vMerge w:val="restart"/>
            <w:shd w:val="clear" w:color="auto" w:fill="2AD2C9"/>
          </w:tcPr>
          <w:p>
            <w:pPr>
              <w:jc w:val="right"/>
              <w:ind w:right="278"/>
              <w:spacing w:after="0"/>
              <w:rPr>
                <w:sz w:val="20"/>
                <w:szCs w:val="20"/>
                <w:color w:val="auto"/>
              </w:rPr>
            </w:pPr>
            <w:r>
              <w:rPr>
                <w:rFonts w:ascii="Arial" w:cs="Arial" w:eastAsia="Arial" w:hAnsi="Arial"/>
                <w:sz w:val="16"/>
                <w:szCs w:val="16"/>
                <w:b w:val="1"/>
                <w:bCs w:val="1"/>
                <w:color w:val="FFFFFF"/>
              </w:rPr>
              <w:t>Sep 22</w:t>
            </w:r>
          </w:p>
        </w:tc>
        <w:tc>
          <w:tcPr>
            <w:tcW w:w="940" w:type="dxa"/>
            <w:vAlign w:val="bottom"/>
            <w:tcBorders>
              <w:right w:val="single" w:sz="8" w:color="auto"/>
            </w:tcBorders>
            <w:vMerge w:val="restart"/>
            <w:shd w:val="clear" w:color="auto" w:fill="2AD2C9"/>
          </w:tcPr>
          <w:p>
            <w:pPr>
              <w:jc w:val="right"/>
              <w:ind w:right="178"/>
              <w:spacing w:after="0"/>
              <w:rPr>
                <w:sz w:val="20"/>
                <w:szCs w:val="20"/>
                <w:color w:val="auto"/>
              </w:rPr>
            </w:pPr>
            <w:r>
              <w:rPr>
                <w:rFonts w:ascii="Arial" w:cs="Arial" w:eastAsia="Arial" w:hAnsi="Arial"/>
                <w:sz w:val="16"/>
                <w:szCs w:val="16"/>
                <w:b w:val="1"/>
                <w:bCs w:val="1"/>
                <w:color w:val="FFFFFF"/>
              </w:rPr>
              <w:t>Sep 23</w:t>
            </w:r>
          </w:p>
        </w:tc>
        <w:tc>
          <w:tcPr>
            <w:tcW w:w="1260" w:type="dxa"/>
            <w:vAlign w:val="bottom"/>
            <w:tcBorders>
              <w:right w:val="single" w:sz="8" w:color="auto"/>
            </w:tcBorders>
            <w:vMerge w:val="restart"/>
            <w:shd w:val="clear" w:color="auto" w:fill="2AD2C9"/>
          </w:tcPr>
          <w:p>
            <w:pPr>
              <w:jc w:val="center"/>
              <w:spacing w:after="0"/>
              <w:rPr>
                <w:sz w:val="20"/>
                <w:szCs w:val="20"/>
                <w:color w:val="auto"/>
              </w:rPr>
            </w:pPr>
            <w:r>
              <w:rPr>
                <w:rFonts w:ascii="Arial" w:cs="Arial" w:eastAsia="Arial" w:hAnsi="Arial"/>
                <w:sz w:val="16"/>
                <w:szCs w:val="16"/>
                <w:b w:val="1"/>
                <w:bCs w:val="1"/>
                <w:color w:val="FFFFFF"/>
              </w:rPr>
              <w:t>Sep 23 / Sep 22</w:t>
            </w:r>
          </w:p>
        </w:tc>
        <w:tc>
          <w:tcPr>
            <w:tcW w:w="0" w:type="dxa"/>
            <w:vAlign w:val="bottom"/>
          </w:tcPr>
          <w:p>
            <w:pPr>
              <w:spacing w:after="0"/>
              <w:rPr>
                <w:sz w:val="1"/>
                <w:szCs w:val="1"/>
                <w:color w:val="auto"/>
              </w:rPr>
            </w:pPr>
          </w:p>
        </w:tc>
      </w:tr>
      <w:tr>
        <w:trPr>
          <w:trHeight w:val="163"/>
        </w:trPr>
        <w:tc>
          <w:tcPr>
            <w:tcW w:w="2940" w:type="dxa"/>
            <w:vAlign w:val="bottom"/>
            <w:tcBorders>
              <w:left w:val="single" w:sz="8" w:color="auto"/>
              <w:bottom w:val="single" w:sz="8" w:color="auto"/>
              <w:right w:val="single" w:sz="8" w:color="auto"/>
            </w:tcBorders>
            <w:shd w:val="clear" w:color="auto" w:fill="2AD2C9"/>
          </w:tcPr>
          <w:p>
            <w:pPr>
              <w:spacing w:after="0"/>
              <w:rPr>
                <w:sz w:val="14"/>
                <w:szCs w:val="14"/>
                <w:color w:val="auto"/>
              </w:rPr>
            </w:pPr>
          </w:p>
        </w:tc>
        <w:tc>
          <w:tcPr>
            <w:tcW w:w="1100" w:type="dxa"/>
            <w:vAlign w:val="bottom"/>
            <w:tcBorders>
              <w:bottom w:val="single" w:sz="8" w:color="auto"/>
            </w:tcBorders>
            <w:vMerge w:val="continue"/>
            <w:shd w:val="clear" w:color="auto" w:fill="2AD2C9"/>
          </w:tcPr>
          <w:p>
            <w:pPr>
              <w:spacing w:after="0"/>
              <w:rPr>
                <w:sz w:val="14"/>
                <w:szCs w:val="14"/>
                <w:color w:val="auto"/>
              </w:rPr>
            </w:pPr>
          </w:p>
        </w:tc>
        <w:tc>
          <w:tcPr>
            <w:tcW w:w="1040" w:type="dxa"/>
            <w:vAlign w:val="bottom"/>
            <w:tcBorders>
              <w:bottom w:val="single" w:sz="8" w:color="auto"/>
            </w:tcBorders>
            <w:vMerge w:val="continue"/>
            <w:shd w:val="clear" w:color="auto" w:fill="2AD2C9"/>
          </w:tcPr>
          <w:p>
            <w:pPr>
              <w:spacing w:after="0"/>
              <w:rPr>
                <w:sz w:val="14"/>
                <w:szCs w:val="14"/>
                <w:color w:val="auto"/>
              </w:rPr>
            </w:pPr>
          </w:p>
        </w:tc>
        <w:tc>
          <w:tcPr>
            <w:tcW w:w="900" w:type="dxa"/>
            <w:vAlign w:val="bottom"/>
            <w:tcBorders>
              <w:bottom w:val="single" w:sz="8" w:color="auto"/>
              <w:right w:val="single" w:sz="8" w:color="auto"/>
            </w:tcBorders>
            <w:vMerge w:val="continue"/>
            <w:shd w:val="clear" w:color="auto" w:fill="2AD2C9"/>
          </w:tcPr>
          <w:p>
            <w:pPr>
              <w:spacing w:after="0"/>
              <w:rPr>
                <w:sz w:val="14"/>
                <w:szCs w:val="14"/>
                <w:color w:val="auto"/>
              </w:rPr>
            </w:pPr>
          </w:p>
        </w:tc>
        <w:tc>
          <w:tcPr>
            <w:tcW w:w="1020" w:type="dxa"/>
            <w:vAlign w:val="bottom"/>
            <w:tcBorders>
              <w:bottom w:val="single" w:sz="8" w:color="auto"/>
            </w:tcBorders>
            <w:vMerge w:val="continue"/>
            <w:shd w:val="clear" w:color="auto" w:fill="2AD2C9"/>
          </w:tcPr>
          <w:p>
            <w:pPr>
              <w:spacing w:after="0"/>
              <w:rPr>
                <w:sz w:val="14"/>
                <w:szCs w:val="14"/>
                <w:color w:val="auto"/>
              </w:rPr>
            </w:pPr>
          </w:p>
        </w:tc>
        <w:tc>
          <w:tcPr>
            <w:tcW w:w="940" w:type="dxa"/>
            <w:vAlign w:val="bottom"/>
            <w:tcBorders>
              <w:bottom w:val="single" w:sz="8" w:color="auto"/>
              <w:right w:val="single" w:sz="8" w:color="auto"/>
            </w:tcBorders>
            <w:vMerge w:val="continue"/>
            <w:shd w:val="clear" w:color="auto" w:fill="2AD2C9"/>
          </w:tcPr>
          <w:p>
            <w:pPr>
              <w:spacing w:after="0"/>
              <w:rPr>
                <w:sz w:val="14"/>
                <w:szCs w:val="14"/>
                <w:color w:val="auto"/>
              </w:rPr>
            </w:pPr>
          </w:p>
        </w:tc>
        <w:tc>
          <w:tcPr>
            <w:tcW w:w="1120" w:type="dxa"/>
            <w:vAlign w:val="bottom"/>
            <w:tcBorders>
              <w:bottom w:val="single" w:sz="8" w:color="auto"/>
            </w:tcBorders>
            <w:vMerge w:val="continue"/>
            <w:shd w:val="clear" w:color="auto" w:fill="2AD2C9"/>
          </w:tcPr>
          <w:p>
            <w:pPr>
              <w:spacing w:after="0"/>
              <w:rPr>
                <w:sz w:val="14"/>
                <w:szCs w:val="14"/>
                <w:color w:val="auto"/>
              </w:rPr>
            </w:pPr>
          </w:p>
        </w:tc>
        <w:tc>
          <w:tcPr>
            <w:tcW w:w="940" w:type="dxa"/>
            <w:vAlign w:val="bottom"/>
            <w:tcBorders>
              <w:bottom w:val="single" w:sz="8" w:color="auto"/>
              <w:right w:val="single" w:sz="8" w:color="auto"/>
            </w:tcBorders>
            <w:vMerge w:val="continue"/>
            <w:shd w:val="clear" w:color="auto" w:fill="2AD2C9"/>
          </w:tcPr>
          <w:p>
            <w:pPr>
              <w:spacing w:after="0"/>
              <w:rPr>
                <w:sz w:val="14"/>
                <w:szCs w:val="14"/>
                <w:color w:val="auto"/>
              </w:rPr>
            </w:pPr>
          </w:p>
        </w:tc>
        <w:tc>
          <w:tcPr>
            <w:tcW w:w="1260" w:type="dxa"/>
            <w:vAlign w:val="bottom"/>
            <w:tcBorders>
              <w:bottom w:val="single" w:sz="8" w:color="auto"/>
              <w:right w:val="single" w:sz="8" w:color="auto"/>
            </w:tcBorders>
            <w:vMerge w:val="continue"/>
            <w:shd w:val="clear" w:color="auto" w:fill="2AD2C9"/>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940" w:type="dxa"/>
            <w:vAlign w:val="bottom"/>
            <w:tcBorders>
              <w:left w:val="single" w:sz="8" w:color="auto"/>
              <w:right w:val="single" w:sz="8" w:color="auto"/>
            </w:tcBorders>
          </w:tcPr>
          <w:p>
            <w:pPr>
              <w:ind w:left="20"/>
              <w:spacing w:after="0" w:line="155" w:lineRule="exact"/>
              <w:rPr>
                <w:sz w:val="20"/>
                <w:szCs w:val="20"/>
                <w:color w:val="auto"/>
              </w:rPr>
            </w:pPr>
            <w:r>
              <w:rPr>
                <w:rFonts w:ascii="Arial" w:cs="Arial" w:eastAsia="Arial" w:hAnsi="Arial"/>
                <w:sz w:val="11"/>
                <w:szCs w:val="11"/>
                <w:color w:val="auto"/>
              </w:rPr>
              <w:t xml:space="preserve">Operating expenses </w:t>
            </w:r>
            <w:r>
              <w:rPr>
                <w:rFonts w:ascii="Arial" w:cs="Arial" w:eastAsia="Arial" w:hAnsi="Arial"/>
                <w:sz w:val="17"/>
                <w:szCs w:val="17"/>
                <w:color w:val="auto"/>
                <w:vertAlign w:val="superscript"/>
              </w:rPr>
              <w:t>(1)</w:t>
            </w:r>
          </w:p>
        </w:tc>
        <w:tc>
          <w:tcPr>
            <w:tcW w:w="1100" w:type="dxa"/>
            <w:vAlign w:val="bottom"/>
          </w:tcPr>
          <w:p>
            <w:pPr>
              <w:jc w:val="right"/>
              <w:ind w:right="18"/>
              <w:spacing w:after="0" w:line="155" w:lineRule="exact"/>
              <w:rPr>
                <w:sz w:val="20"/>
                <w:szCs w:val="20"/>
                <w:color w:val="auto"/>
              </w:rPr>
            </w:pPr>
            <w:r>
              <w:rPr>
                <w:rFonts w:ascii="Arial" w:cs="Arial" w:eastAsia="Arial" w:hAnsi="Arial"/>
                <w:sz w:val="16"/>
                <w:szCs w:val="16"/>
                <w:color w:val="auto"/>
              </w:rPr>
              <w:t>2,026,217</w:t>
            </w:r>
          </w:p>
        </w:tc>
        <w:tc>
          <w:tcPr>
            <w:tcW w:w="1040" w:type="dxa"/>
            <w:vAlign w:val="bottom"/>
          </w:tcPr>
          <w:p>
            <w:pPr>
              <w:jc w:val="right"/>
              <w:ind w:right="58"/>
              <w:spacing w:after="0" w:line="155" w:lineRule="exact"/>
              <w:rPr>
                <w:sz w:val="20"/>
                <w:szCs w:val="20"/>
                <w:color w:val="auto"/>
              </w:rPr>
            </w:pPr>
            <w:r>
              <w:rPr>
                <w:rFonts w:ascii="Arial" w:cs="Arial" w:eastAsia="Arial" w:hAnsi="Arial"/>
                <w:sz w:val="16"/>
                <w:szCs w:val="16"/>
                <w:color w:val="auto"/>
              </w:rPr>
              <w:t>2,103,072</w:t>
            </w:r>
          </w:p>
        </w:tc>
        <w:tc>
          <w:tcPr>
            <w:tcW w:w="900" w:type="dxa"/>
            <w:vAlign w:val="bottom"/>
            <w:tcBorders>
              <w:right w:val="single" w:sz="8" w:color="auto"/>
            </w:tcBorders>
          </w:tcPr>
          <w:p>
            <w:pPr>
              <w:jc w:val="right"/>
              <w:spacing w:after="0" w:line="155" w:lineRule="exact"/>
              <w:rPr>
                <w:sz w:val="20"/>
                <w:szCs w:val="20"/>
                <w:color w:val="auto"/>
              </w:rPr>
            </w:pPr>
            <w:r>
              <w:rPr>
                <w:rFonts w:ascii="Arial" w:cs="Arial" w:eastAsia="Arial" w:hAnsi="Arial"/>
                <w:sz w:val="16"/>
                <w:szCs w:val="16"/>
                <w:color w:val="auto"/>
              </w:rPr>
              <w:t>2,243,691</w:t>
            </w:r>
          </w:p>
        </w:tc>
        <w:tc>
          <w:tcPr>
            <w:tcW w:w="1020" w:type="dxa"/>
            <w:vAlign w:val="bottom"/>
          </w:tcPr>
          <w:p>
            <w:pPr>
              <w:jc w:val="center"/>
              <w:spacing w:after="0" w:line="155" w:lineRule="exact"/>
              <w:rPr>
                <w:sz w:val="20"/>
                <w:szCs w:val="20"/>
                <w:color w:val="auto"/>
              </w:rPr>
            </w:pPr>
            <w:r>
              <w:rPr>
                <w:rFonts w:ascii="Arial" w:cs="Arial" w:eastAsia="Arial" w:hAnsi="Arial"/>
                <w:sz w:val="16"/>
                <w:szCs w:val="16"/>
                <w:color w:val="auto"/>
              </w:rPr>
              <w:t>6.7%</w:t>
            </w:r>
          </w:p>
        </w:tc>
        <w:tc>
          <w:tcPr>
            <w:tcW w:w="940" w:type="dxa"/>
            <w:vAlign w:val="bottom"/>
            <w:tcBorders>
              <w:right w:val="single" w:sz="8" w:color="auto"/>
            </w:tcBorders>
          </w:tcPr>
          <w:p>
            <w:pPr>
              <w:jc w:val="right"/>
              <w:ind w:right="158"/>
              <w:spacing w:after="0" w:line="155" w:lineRule="exact"/>
              <w:rPr>
                <w:sz w:val="20"/>
                <w:szCs w:val="20"/>
                <w:color w:val="auto"/>
              </w:rPr>
            </w:pPr>
            <w:r>
              <w:rPr>
                <w:rFonts w:ascii="Arial" w:cs="Arial" w:eastAsia="Arial" w:hAnsi="Arial"/>
                <w:sz w:val="16"/>
                <w:szCs w:val="16"/>
                <w:color w:val="auto"/>
              </w:rPr>
              <w:t>10.7%</w:t>
            </w:r>
          </w:p>
        </w:tc>
        <w:tc>
          <w:tcPr>
            <w:tcW w:w="1120" w:type="dxa"/>
            <w:vAlign w:val="bottom"/>
          </w:tcPr>
          <w:p>
            <w:pPr>
              <w:jc w:val="right"/>
              <w:ind w:right="38"/>
              <w:spacing w:after="0" w:line="155" w:lineRule="exact"/>
              <w:rPr>
                <w:sz w:val="20"/>
                <w:szCs w:val="20"/>
                <w:color w:val="auto"/>
              </w:rPr>
            </w:pPr>
            <w:r>
              <w:rPr>
                <w:rFonts w:ascii="Arial" w:cs="Arial" w:eastAsia="Arial" w:hAnsi="Arial"/>
                <w:sz w:val="16"/>
                <w:szCs w:val="16"/>
                <w:color w:val="auto"/>
              </w:rPr>
              <w:t>5,749,865</w:t>
            </w:r>
          </w:p>
        </w:tc>
        <w:tc>
          <w:tcPr>
            <w:tcW w:w="940" w:type="dxa"/>
            <w:vAlign w:val="bottom"/>
            <w:tcBorders>
              <w:right w:val="single" w:sz="8" w:color="auto"/>
            </w:tcBorders>
          </w:tcPr>
          <w:p>
            <w:pPr>
              <w:jc w:val="right"/>
              <w:spacing w:after="0" w:line="155" w:lineRule="exact"/>
              <w:rPr>
                <w:sz w:val="20"/>
                <w:szCs w:val="20"/>
                <w:color w:val="auto"/>
              </w:rPr>
            </w:pPr>
            <w:r>
              <w:rPr>
                <w:rFonts w:ascii="Arial" w:cs="Arial" w:eastAsia="Arial" w:hAnsi="Arial"/>
                <w:sz w:val="16"/>
                <w:szCs w:val="16"/>
                <w:color w:val="auto"/>
              </w:rPr>
              <w:t>6,385,072</w:t>
            </w:r>
          </w:p>
        </w:tc>
        <w:tc>
          <w:tcPr>
            <w:tcW w:w="126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6"/>
                <w:szCs w:val="16"/>
                <w:color w:val="auto"/>
                <w:w w:val="96"/>
              </w:rPr>
              <w:t>11.0%</w:t>
            </w:r>
          </w:p>
        </w:tc>
        <w:tc>
          <w:tcPr>
            <w:tcW w:w="0" w:type="dxa"/>
            <w:vAlign w:val="bottom"/>
          </w:tcPr>
          <w:p>
            <w:pPr>
              <w:spacing w:after="0"/>
              <w:rPr>
                <w:sz w:val="1"/>
                <w:szCs w:val="1"/>
                <w:color w:val="auto"/>
              </w:rPr>
            </w:pPr>
          </w:p>
        </w:tc>
      </w:tr>
      <w:tr>
        <w:trPr>
          <w:trHeight w:val="208"/>
        </w:trPr>
        <w:tc>
          <w:tcPr>
            <w:tcW w:w="2940" w:type="dxa"/>
            <w:vAlign w:val="bottom"/>
            <w:tcBorders>
              <w:left w:val="single" w:sz="8" w:color="auto"/>
              <w:bottom w:val="single" w:sz="8" w:color="auto"/>
              <w:right w:val="single" w:sz="8" w:color="auto"/>
            </w:tcBorders>
          </w:tcPr>
          <w:p>
            <w:pPr>
              <w:ind w:left="20"/>
              <w:spacing w:after="0" w:line="209" w:lineRule="exact"/>
              <w:rPr>
                <w:sz w:val="20"/>
                <w:szCs w:val="20"/>
                <w:color w:val="auto"/>
              </w:rPr>
            </w:pPr>
            <w:r>
              <w:rPr>
                <w:rFonts w:ascii="Arial" w:cs="Arial" w:eastAsia="Arial" w:hAnsi="Arial"/>
                <w:sz w:val="15"/>
                <w:szCs w:val="15"/>
                <w:color w:val="auto"/>
              </w:rPr>
              <w:t xml:space="preserve">Operating income </w:t>
            </w:r>
            <w:r>
              <w:rPr>
                <w:rFonts w:ascii="Arial" w:cs="Arial" w:eastAsia="Arial" w:hAnsi="Arial"/>
                <w:sz w:val="24"/>
                <w:szCs w:val="24"/>
                <w:color w:val="auto"/>
                <w:vertAlign w:val="superscript"/>
              </w:rPr>
              <w:t>(2)</w:t>
            </w:r>
          </w:p>
        </w:tc>
        <w:tc>
          <w:tcPr>
            <w:tcW w:w="110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4,456,209</w:t>
            </w:r>
          </w:p>
        </w:tc>
        <w:tc>
          <w:tcPr>
            <w:tcW w:w="104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4,715,570</w:t>
            </w: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4,844,683</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2.7%</w:t>
            </w:r>
          </w:p>
        </w:tc>
        <w:tc>
          <w:tcPr>
            <w:tcW w:w="940" w:type="dxa"/>
            <w:vAlign w:val="bottom"/>
            <w:tcBorders>
              <w:bottom w:val="single" w:sz="8" w:color="auto"/>
              <w:right w:val="single" w:sz="8" w:color="auto"/>
            </w:tcBorders>
          </w:tcPr>
          <w:p>
            <w:pPr>
              <w:jc w:val="right"/>
              <w:ind w:right="198"/>
              <w:spacing w:after="0"/>
              <w:rPr>
                <w:sz w:val="20"/>
                <w:szCs w:val="20"/>
                <w:color w:val="auto"/>
              </w:rPr>
            </w:pPr>
            <w:r>
              <w:rPr>
                <w:rFonts w:ascii="Arial" w:cs="Arial" w:eastAsia="Arial" w:hAnsi="Arial"/>
                <w:sz w:val="16"/>
                <w:szCs w:val="16"/>
                <w:color w:val="auto"/>
              </w:rPr>
              <w:t>8.7%</w:t>
            </w:r>
          </w:p>
        </w:tc>
        <w:tc>
          <w:tcPr>
            <w:tcW w:w="112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12,299,984</w:t>
            </w:r>
          </w:p>
        </w:tc>
        <w:tc>
          <w:tcPr>
            <w:tcW w:w="9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14,162,584</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178"/>
        </w:trPr>
        <w:tc>
          <w:tcPr>
            <w:tcW w:w="2940" w:type="dxa"/>
            <w:vAlign w:val="bottom"/>
            <w:tcBorders>
              <w:left w:val="single" w:sz="8" w:color="auto"/>
              <w:bottom w:val="single" w:sz="8" w:color="auto"/>
              <w:right w:val="single" w:sz="8" w:color="auto"/>
            </w:tcBorders>
          </w:tcPr>
          <w:p>
            <w:pPr>
              <w:ind w:left="160"/>
              <w:spacing w:after="0" w:line="178" w:lineRule="exact"/>
              <w:rPr>
                <w:sz w:val="20"/>
                <w:szCs w:val="20"/>
                <w:color w:val="auto"/>
              </w:rPr>
            </w:pPr>
            <w:r>
              <w:rPr>
                <w:rFonts w:ascii="Arial" w:cs="Arial" w:eastAsia="Arial" w:hAnsi="Arial"/>
                <w:sz w:val="13"/>
                <w:szCs w:val="13"/>
                <w:color w:val="auto"/>
              </w:rPr>
              <w:t xml:space="preserve">Efficiency ratio </w:t>
            </w:r>
            <w:r>
              <w:rPr>
                <w:rFonts w:ascii="Arial" w:cs="Arial" w:eastAsia="Arial" w:hAnsi="Arial"/>
                <w:sz w:val="20"/>
                <w:szCs w:val="20"/>
                <w:color w:val="auto"/>
                <w:vertAlign w:val="superscript"/>
              </w:rPr>
              <w:t>(3)</w:t>
            </w:r>
          </w:p>
        </w:tc>
        <w:tc>
          <w:tcPr>
            <w:tcW w:w="1100" w:type="dxa"/>
            <w:vAlign w:val="bottom"/>
            <w:tcBorders>
              <w:bottom w:val="single" w:sz="8" w:color="auto"/>
            </w:tcBorders>
          </w:tcPr>
          <w:p>
            <w:pPr>
              <w:jc w:val="right"/>
              <w:ind w:right="18"/>
              <w:spacing w:after="0" w:line="178" w:lineRule="exact"/>
              <w:rPr>
                <w:sz w:val="20"/>
                <w:szCs w:val="20"/>
                <w:color w:val="auto"/>
              </w:rPr>
            </w:pPr>
            <w:r>
              <w:rPr>
                <w:rFonts w:ascii="Arial" w:cs="Arial" w:eastAsia="Arial" w:hAnsi="Arial"/>
                <w:sz w:val="16"/>
                <w:szCs w:val="16"/>
                <w:color w:val="auto"/>
              </w:rPr>
              <w:t>45.5%</w:t>
            </w:r>
          </w:p>
        </w:tc>
        <w:tc>
          <w:tcPr>
            <w:tcW w:w="1040" w:type="dxa"/>
            <w:vAlign w:val="bottom"/>
            <w:tcBorders>
              <w:bottom w:val="single" w:sz="8" w:color="auto"/>
            </w:tcBorders>
          </w:tcPr>
          <w:p>
            <w:pPr>
              <w:jc w:val="right"/>
              <w:ind w:right="58"/>
              <w:spacing w:after="0" w:line="178" w:lineRule="exact"/>
              <w:rPr>
                <w:sz w:val="20"/>
                <w:szCs w:val="20"/>
                <w:color w:val="auto"/>
              </w:rPr>
            </w:pPr>
            <w:r>
              <w:rPr>
                <w:rFonts w:ascii="Arial" w:cs="Arial" w:eastAsia="Arial" w:hAnsi="Arial"/>
                <w:sz w:val="16"/>
                <w:szCs w:val="16"/>
                <w:color w:val="auto"/>
              </w:rPr>
              <w:t>44.6%</w:t>
            </w:r>
          </w:p>
        </w:tc>
        <w:tc>
          <w:tcPr>
            <w:tcW w:w="900" w:type="dxa"/>
            <w:vAlign w:val="bottom"/>
            <w:tcBorders>
              <w:bottom w:val="single" w:sz="8" w:color="auto"/>
              <w:right w:val="single" w:sz="8" w:color="auto"/>
            </w:tcBorders>
          </w:tcPr>
          <w:p>
            <w:pPr>
              <w:jc w:val="right"/>
              <w:spacing w:after="0" w:line="178" w:lineRule="exact"/>
              <w:rPr>
                <w:sz w:val="20"/>
                <w:szCs w:val="20"/>
                <w:color w:val="auto"/>
              </w:rPr>
            </w:pPr>
            <w:r>
              <w:rPr>
                <w:rFonts w:ascii="Arial" w:cs="Arial" w:eastAsia="Arial" w:hAnsi="Arial"/>
                <w:sz w:val="16"/>
                <w:szCs w:val="16"/>
                <w:color w:val="auto"/>
              </w:rPr>
              <w:t>46.3%</w:t>
            </w:r>
          </w:p>
        </w:tc>
        <w:tc>
          <w:tcPr>
            <w:tcW w:w="1020" w:type="dxa"/>
            <w:vAlign w:val="bottom"/>
            <w:tcBorders>
              <w:bottom w:val="single" w:sz="8" w:color="auto"/>
            </w:tcBorders>
          </w:tcPr>
          <w:p>
            <w:pPr>
              <w:jc w:val="center"/>
              <w:spacing w:after="0" w:line="178" w:lineRule="exact"/>
              <w:rPr>
                <w:sz w:val="20"/>
                <w:szCs w:val="20"/>
                <w:color w:val="auto"/>
              </w:rPr>
            </w:pPr>
            <w:r>
              <w:rPr>
                <w:rFonts w:ascii="Arial" w:cs="Arial" w:eastAsia="Arial" w:hAnsi="Arial"/>
                <w:sz w:val="16"/>
                <w:szCs w:val="16"/>
                <w:color w:val="auto"/>
              </w:rPr>
              <w:t>170 pbs</w:t>
            </w:r>
          </w:p>
        </w:tc>
        <w:tc>
          <w:tcPr>
            <w:tcW w:w="940" w:type="dxa"/>
            <w:vAlign w:val="bottom"/>
            <w:tcBorders>
              <w:bottom w:val="single" w:sz="8" w:color="auto"/>
              <w:right w:val="single" w:sz="8" w:color="auto"/>
            </w:tcBorders>
          </w:tcPr>
          <w:p>
            <w:pPr>
              <w:jc w:val="center"/>
              <w:spacing w:after="0" w:line="178" w:lineRule="exact"/>
              <w:rPr>
                <w:sz w:val="20"/>
                <w:szCs w:val="20"/>
                <w:color w:val="auto"/>
              </w:rPr>
            </w:pPr>
            <w:r>
              <w:rPr>
                <w:rFonts w:ascii="Arial" w:cs="Arial" w:eastAsia="Arial" w:hAnsi="Arial"/>
                <w:sz w:val="16"/>
                <w:szCs w:val="16"/>
                <w:color w:val="auto"/>
              </w:rPr>
              <w:t>80 bps</w:t>
            </w:r>
          </w:p>
        </w:tc>
        <w:tc>
          <w:tcPr>
            <w:tcW w:w="1120" w:type="dxa"/>
            <w:vAlign w:val="bottom"/>
            <w:tcBorders>
              <w:bottom w:val="single" w:sz="8" w:color="auto"/>
            </w:tcBorders>
          </w:tcPr>
          <w:p>
            <w:pPr>
              <w:jc w:val="right"/>
              <w:ind w:right="38"/>
              <w:spacing w:after="0" w:line="178" w:lineRule="exact"/>
              <w:rPr>
                <w:sz w:val="20"/>
                <w:szCs w:val="20"/>
                <w:color w:val="auto"/>
              </w:rPr>
            </w:pPr>
            <w:r>
              <w:rPr>
                <w:rFonts w:ascii="Arial" w:cs="Arial" w:eastAsia="Arial" w:hAnsi="Arial"/>
                <w:sz w:val="16"/>
                <w:szCs w:val="16"/>
                <w:color w:val="auto"/>
              </w:rPr>
              <w:t>46.7%</w:t>
            </w:r>
          </w:p>
        </w:tc>
        <w:tc>
          <w:tcPr>
            <w:tcW w:w="940" w:type="dxa"/>
            <w:vAlign w:val="bottom"/>
            <w:tcBorders>
              <w:bottom w:val="single" w:sz="8" w:color="auto"/>
              <w:right w:val="single" w:sz="8" w:color="auto"/>
            </w:tcBorders>
          </w:tcPr>
          <w:p>
            <w:pPr>
              <w:jc w:val="right"/>
              <w:spacing w:after="0" w:line="178" w:lineRule="exact"/>
              <w:rPr>
                <w:sz w:val="20"/>
                <w:szCs w:val="20"/>
                <w:color w:val="auto"/>
              </w:rPr>
            </w:pPr>
            <w:r>
              <w:rPr>
                <w:rFonts w:ascii="Arial" w:cs="Arial" w:eastAsia="Arial" w:hAnsi="Arial"/>
                <w:sz w:val="16"/>
                <w:szCs w:val="16"/>
                <w:color w:val="auto"/>
              </w:rPr>
              <w:t>45.1%</w:t>
            </w:r>
          </w:p>
        </w:tc>
        <w:tc>
          <w:tcPr>
            <w:tcW w:w="1260" w:type="dxa"/>
            <w:vAlign w:val="bottom"/>
            <w:tcBorders>
              <w:bottom w:val="single" w:sz="8" w:color="auto"/>
              <w:right w:val="single" w:sz="8" w:color="auto"/>
            </w:tcBorders>
          </w:tcPr>
          <w:p>
            <w:pPr>
              <w:jc w:val="center"/>
              <w:spacing w:after="0" w:line="178" w:lineRule="exact"/>
              <w:rPr>
                <w:sz w:val="20"/>
                <w:szCs w:val="20"/>
                <w:color w:val="auto"/>
              </w:rPr>
            </w:pPr>
            <w:r>
              <w:rPr>
                <w:rFonts w:ascii="Arial" w:cs="Arial" w:eastAsia="Arial" w:hAnsi="Arial"/>
                <w:sz w:val="16"/>
                <w:szCs w:val="16"/>
                <w:color w:val="auto"/>
              </w:rPr>
              <w:t>-160 pbs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-391795</wp:posOffset>
            </wp:positionV>
            <wp:extent cx="29210" cy="76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9210" cy="7620"/>
                    </a:xfrm>
                    <a:prstGeom prst="rect">
                      <a:avLst/>
                    </a:prstGeom>
                    <a:noFill/>
                  </pic:spPr>
                </pic:pic>
              </a:graphicData>
            </a:graphic>
          </wp:anchor>
        </w:drawing>
      </w:r>
    </w:p>
    <w:p>
      <w:pPr>
        <w:ind w:left="1"/>
        <w:spacing w:after="0"/>
        <w:rPr>
          <w:sz w:val="20"/>
          <w:szCs w:val="20"/>
          <w:color w:val="auto"/>
        </w:rPr>
      </w:pPr>
      <w:r>
        <w:rPr>
          <w:rFonts w:ascii="Arial" w:cs="Arial" w:eastAsia="Arial" w:hAnsi="Arial"/>
          <w:sz w:val="12"/>
          <w:szCs w:val="12"/>
          <w:color w:val="auto"/>
        </w:rPr>
        <w:t>Operating income has been re-expressed with regard to previous reports to reflect the application of IFRS 17. This standard applies solely to the Insurance Business. For more details, review annex 12.1.8.</w:t>
      </w:r>
    </w:p>
    <w:p>
      <w:pPr>
        <w:spacing w:after="0" w:line="128" w:lineRule="exact"/>
        <w:rPr>
          <w:sz w:val="20"/>
          <w:szCs w:val="20"/>
          <w:color w:val="auto"/>
        </w:rPr>
      </w:pPr>
    </w:p>
    <w:p>
      <w:pPr>
        <w:ind w:left="181" w:hanging="181"/>
        <w:spacing w:after="0"/>
        <w:tabs>
          <w:tab w:leader="none" w:pos="181" w:val="left"/>
        </w:tabs>
        <w:numPr>
          <w:ilvl w:val="0"/>
          <w:numId w:val="48"/>
        </w:numPr>
        <w:rPr>
          <w:rFonts w:ascii="Arial" w:cs="Arial" w:eastAsia="Arial" w:hAnsi="Arial"/>
          <w:sz w:val="12"/>
          <w:szCs w:val="12"/>
          <w:color w:val="auto"/>
        </w:rPr>
      </w:pPr>
      <w:r>
        <w:rPr>
          <w:rFonts w:ascii="Arial" w:cs="Arial" w:eastAsia="Arial" w:hAnsi="Arial"/>
          <w:sz w:val="12"/>
          <w:szCs w:val="12"/>
          <w:color w:val="auto"/>
        </w:rPr>
        <w:t>Operating expenses = Salaries and employees benefits + Administrative expenses + Depreciation and amortization + Association in participation + Acquisition cost.</w:t>
      </w:r>
    </w:p>
    <w:p>
      <w:pPr>
        <w:ind w:left="1" w:right="460" w:hanging="1"/>
        <w:spacing w:after="0" w:line="215" w:lineRule="auto"/>
        <w:tabs>
          <w:tab w:leader="none" w:pos="214" w:val="left"/>
        </w:tabs>
        <w:numPr>
          <w:ilvl w:val="0"/>
          <w:numId w:val="48"/>
        </w:numPr>
        <w:rPr>
          <w:rFonts w:ascii="Arial" w:cs="Arial" w:eastAsia="Arial" w:hAnsi="Arial"/>
          <w:sz w:val="12"/>
          <w:szCs w:val="12"/>
          <w:color w:val="auto"/>
        </w:rPr>
      </w:pPr>
      <w:r>
        <w:rPr>
          <w:rFonts w:ascii="Arial" w:cs="Arial" w:eastAsia="Arial" w:hAnsi="Arial"/>
          <w:sz w:val="12"/>
          <w:szCs w:val="12"/>
          <w:color w:val="auto"/>
        </w:rPr>
        <w:t>Operating income = Net interest, similar income, and expenses + Fee income + Net gain on foreign exchange transactions + Net gain from associates + Net gain on derivatives held for trading + Net gain from exchange differences + Net Insurance Underwriting Results.</w:t>
      </w:r>
    </w:p>
    <w:p>
      <w:pPr>
        <w:ind w:left="181" w:hanging="181"/>
        <w:spacing w:after="0"/>
        <w:tabs>
          <w:tab w:leader="none" w:pos="181" w:val="left"/>
        </w:tabs>
        <w:numPr>
          <w:ilvl w:val="0"/>
          <w:numId w:val="48"/>
        </w:numPr>
        <w:rPr>
          <w:rFonts w:ascii="Arial" w:cs="Arial" w:eastAsia="Arial" w:hAnsi="Arial"/>
          <w:sz w:val="12"/>
          <w:szCs w:val="12"/>
          <w:color w:val="auto"/>
        </w:rPr>
      </w:pPr>
      <w:r>
        <w:rPr>
          <w:rFonts w:ascii="Arial" w:cs="Arial" w:eastAsia="Arial" w:hAnsi="Arial"/>
          <w:sz w:val="12"/>
          <w:szCs w:val="12"/>
          <w:color w:val="auto"/>
        </w:rPr>
        <w:t>Operating expenses / Operating income (under IFRS 17).</w:t>
      </w:r>
    </w:p>
    <w:p>
      <w:pPr>
        <w:spacing w:after="0" w:line="143"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Efficiency ratio reported by subsidiary</w:t>
      </w:r>
    </w:p>
    <w:p>
      <w:pPr>
        <w:spacing w:after="0" w:line="188" w:lineRule="exact"/>
        <w:rPr>
          <w:sz w:val="20"/>
          <w:szCs w:val="20"/>
          <w:color w:val="auto"/>
        </w:rPr>
      </w:pPr>
    </w:p>
    <w:tbl>
      <w:tblPr>
        <w:tblLayout w:type="fixed"/>
        <w:tblInd w:w="571" w:type="dxa"/>
        <w:tblCellMar>
          <w:top w:w="0" w:type="dxa"/>
          <w:left w:w="0" w:type="dxa"/>
          <w:bottom w:w="0" w:type="dxa"/>
          <w:right w:w="0" w:type="dxa"/>
        </w:tblCellMar>
      </w:tblPr>
      <w:tr>
        <w:trPr>
          <w:trHeight w:val="178"/>
        </w:trPr>
        <w:tc>
          <w:tcPr>
            <w:tcW w:w="1800" w:type="dxa"/>
            <w:vAlign w:val="bottom"/>
            <w:tcBorders>
              <w:top w:val="single" w:sz="8" w:color="auto"/>
              <w:left w:val="single" w:sz="8" w:color="auto"/>
              <w:bottom w:val="single" w:sz="8" w:color="auto"/>
              <w:right w:val="single" w:sz="8" w:color="auto"/>
            </w:tcBorders>
            <w:vMerge w:val="restart"/>
            <w:shd w:val="clear" w:color="auto" w:fill="2AD2C9"/>
          </w:tcPr>
          <w:p>
            <w:pPr>
              <w:ind w:left="280"/>
              <w:spacing w:after="0"/>
              <w:rPr>
                <w:sz w:val="20"/>
                <w:szCs w:val="20"/>
                <w:color w:val="auto"/>
              </w:rPr>
            </w:pPr>
            <w:r>
              <w:rPr>
                <w:rFonts w:ascii="Arial" w:cs="Arial" w:eastAsia="Arial" w:hAnsi="Arial"/>
                <w:sz w:val="16"/>
                <w:szCs w:val="16"/>
                <w:b w:val="1"/>
                <w:bCs w:val="1"/>
                <w:color w:val="FFFFFF"/>
              </w:rPr>
              <w:t>Efficiency Ratio</w:t>
            </w:r>
          </w:p>
        </w:tc>
        <w:tc>
          <w:tcPr>
            <w:tcW w:w="960" w:type="dxa"/>
            <w:vAlign w:val="bottom"/>
            <w:tcBorders>
              <w:top w:val="single" w:sz="8" w:color="auto"/>
              <w:bottom w:val="single" w:sz="8" w:color="2AD2C9"/>
            </w:tcBorders>
            <w:shd w:val="clear" w:color="auto" w:fill="2AD2C9"/>
          </w:tcPr>
          <w:p>
            <w:pPr>
              <w:spacing w:after="0"/>
              <w:rPr>
                <w:sz w:val="15"/>
                <w:szCs w:val="15"/>
                <w:color w:val="auto"/>
              </w:rPr>
            </w:pPr>
          </w:p>
        </w:tc>
        <w:tc>
          <w:tcPr>
            <w:tcW w:w="1040" w:type="dxa"/>
            <w:vAlign w:val="bottom"/>
            <w:tcBorders>
              <w:top w:val="single" w:sz="8" w:color="auto"/>
              <w:bottom w:val="single" w:sz="8" w:color="2AD2C9"/>
            </w:tcBorders>
            <w:shd w:val="clear" w:color="auto" w:fill="2AD2C9"/>
          </w:tcPr>
          <w:p>
            <w:pPr>
              <w:ind w:left="220"/>
              <w:spacing w:after="0" w:line="177" w:lineRule="exact"/>
              <w:rPr>
                <w:sz w:val="20"/>
                <w:szCs w:val="20"/>
                <w:color w:val="auto"/>
              </w:rPr>
            </w:pPr>
            <w:r>
              <w:rPr>
                <w:rFonts w:ascii="Arial" w:cs="Arial" w:eastAsia="Arial" w:hAnsi="Arial"/>
                <w:sz w:val="16"/>
                <w:szCs w:val="16"/>
                <w:b w:val="1"/>
                <w:bCs w:val="1"/>
                <w:color w:val="FFFFFF"/>
              </w:rPr>
              <w:t>Quarter</w:t>
            </w:r>
          </w:p>
        </w:tc>
        <w:tc>
          <w:tcPr>
            <w:tcW w:w="980" w:type="dxa"/>
            <w:vAlign w:val="bottom"/>
            <w:tcBorders>
              <w:top w:val="single" w:sz="8" w:color="auto"/>
              <w:bottom w:val="single" w:sz="8" w:color="2AD2C9"/>
              <w:right w:val="single" w:sz="8" w:color="auto"/>
            </w:tcBorders>
            <w:shd w:val="clear" w:color="auto" w:fill="2AD2C9"/>
          </w:tcPr>
          <w:p>
            <w:pPr>
              <w:spacing w:after="0"/>
              <w:rPr>
                <w:sz w:val="15"/>
                <w:szCs w:val="15"/>
                <w:color w:val="auto"/>
              </w:rPr>
            </w:pPr>
          </w:p>
        </w:tc>
        <w:tc>
          <w:tcPr>
            <w:tcW w:w="2000" w:type="dxa"/>
            <w:vAlign w:val="bottom"/>
            <w:tcBorders>
              <w:top w:val="single" w:sz="8" w:color="auto"/>
              <w:bottom w:val="single" w:sz="8" w:color="2AD2C9"/>
              <w:right w:val="single" w:sz="8" w:color="auto"/>
            </w:tcBorders>
            <w:gridSpan w:val="2"/>
            <w:shd w:val="clear" w:color="auto" w:fill="2AD2C9"/>
          </w:tcPr>
          <w:p>
            <w:pPr>
              <w:ind w:left="600"/>
              <w:spacing w:after="0" w:line="177" w:lineRule="exact"/>
              <w:rPr>
                <w:sz w:val="20"/>
                <w:szCs w:val="20"/>
                <w:color w:val="auto"/>
              </w:rPr>
            </w:pPr>
            <w:r>
              <w:rPr>
                <w:rFonts w:ascii="Arial" w:cs="Arial" w:eastAsia="Arial" w:hAnsi="Arial"/>
                <w:sz w:val="16"/>
                <w:szCs w:val="16"/>
                <w:b w:val="1"/>
                <w:bCs w:val="1"/>
                <w:color w:val="FFFFFF"/>
              </w:rPr>
              <w:t>% change</w:t>
            </w:r>
          </w:p>
        </w:tc>
        <w:tc>
          <w:tcPr>
            <w:tcW w:w="760" w:type="dxa"/>
            <w:vAlign w:val="bottom"/>
            <w:tcBorders>
              <w:top w:val="single" w:sz="8" w:color="auto"/>
              <w:bottom w:val="single" w:sz="8" w:color="2AD2C9"/>
            </w:tcBorders>
            <w:shd w:val="clear" w:color="auto" w:fill="2AD2C9"/>
          </w:tcPr>
          <w:p>
            <w:pPr>
              <w:spacing w:after="0"/>
              <w:rPr>
                <w:sz w:val="15"/>
                <w:szCs w:val="15"/>
                <w:color w:val="auto"/>
              </w:rPr>
            </w:pPr>
          </w:p>
        </w:tc>
        <w:tc>
          <w:tcPr>
            <w:tcW w:w="1240" w:type="dxa"/>
            <w:vAlign w:val="bottom"/>
            <w:tcBorders>
              <w:top w:val="single" w:sz="8" w:color="auto"/>
              <w:bottom w:val="single" w:sz="8" w:color="2AD2C9"/>
              <w:right w:val="single" w:sz="8" w:color="auto"/>
            </w:tcBorders>
            <w:shd w:val="clear" w:color="auto" w:fill="2AD2C9"/>
          </w:tcPr>
          <w:p>
            <w:pPr>
              <w:ind w:left="20"/>
              <w:spacing w:after="0" w:line="177" w:lineRule="exact"/>
              <w:rPr>
                <w:sz w:val="20"/>
                <w:szCs w:val="20"/>
                <w:color w:val="auto"/>
              </w:rPr>
            </w:pPr>
            <w:r>
              <w:rPr>
                <w:rFonts w:ascii="Arial" w:cs="Arial" w:eastAsia="Arial" w:hAnsi="Arial"/>
                <w:sz w:val="16"/>
                <w:szCs w:val="16"/>
                <w:b w:val="1"/>
                <w:bCs w:val="1"/>
                <w:color w:val="FFFFFF"/>
              </w:rPr>
              <w:t>As of</w:t>
            </w:r>
          </w:p>
        </w:tc>
        <w:tc>
          <w:tcPr>
            <w:tcW w:w="1360" w:type="dxa"/>
            <w:vAlign w:val="bottom"/>
            <w:tcBorders>
              <w:top w:val="single" w:sz="8" w:color="auto"/>
              <w:bottom w:val="single" w:sz="8" w:color="2AD2C9"/>
              <w:right w:val="single" w:sz="8" w:color="auto"/>
            </w:tcBorders>
            <w:shd w:val="clear" w:color="auto" w:fill="2AD2C9"/>
          </w:tcPr>
          <w:p>
            <w:pPr>
              <w:jc w:val="center"/>
              <w:spacing w:after="0" w:line="177" w:lineRule="exact"/>
              <w:rPr>
                <w:sz w:val="20"/>
                <w:szCs w:val="20"/>
                <w:color w:val="auto"/>
              </w:rPr>
            </w:pPr>
            <w:r>
              <w:rPr>
                <w:rFonts w:ascii="Arial" w:cs="Arial" w:eastAsia="Arial" w:hAnsi="Arial"/>
                <w:sz w:val="16"/>
                <w:szCs w:val="16"/>
                <w:b w:val="1"/>
                <w:bCs w:val="1"/>
                <w:color w:val="FFFFFF"/>
              </w:rPr>
              <w:t>% change</w:t>
            </w:r>
          </w:p>
        </w:tc>
        <w:tc>
          <w:tcPr>
            <w:tcW w:w="0" w:type="dxa"/>
            <w:vAlign w:val="bottom"/>
          </w:tcPr>
          <w:p>
            <w:pPr>
              <w:spacing w:after="0"/>
              <w:rPr>
                <w:sz w:val="1"/>
                <w:szCs w:val="1"/>
                <w:color w:val="auto"/>
              </w:rPr>
            </w:pPr>
          </w:p>
        </w:tc>
      </w:tr>
      <w:tr>
        <w:trPr>
          <w:trHeight w:val="109"/>
        </w:trPr>
        <w:tc>
          <w:tcPr>
            <w:tcW w:w="1800" w:type="dxa"/>
            <w:vAlign w:val="bottom"/>
            <w:tcBorders>
              <w:left w:val="single" w:sz="8" w:color="auto"/>
              <w:right w:val="single" w:sz="8" w:color="auto"/>
            </w:tcBorders>
            <w:vMerge w:val="continue"/>
            <w:shd w:val="clear" w:color="auto" w:fill="2AD2C9"/>
          </w:tcPr>
          <w:p>
            <w:pPr>
              <w:spacing w:after="0"/>
              <w:rPr>
                <w:sz w:val="9"/>
                <w:szCs w:val="9"/>
                <w:color w:val="auto"/>
              </w:rPr>
            </w:pPr>
          </w:p>
        </w:tc>
        <w:tc>
          <w:tcPr>
            <w:tcW w:w="960" w:type="dxa"/>
            <w:vAlign w:val="bottom"/>
            <w:vMerge w:val="restart"/>
            <w:shd w:val="clear" w:color="auto" w:fill="2AD2C9"/>
          </w:tcPr>
          <w:p>
            <w:pPr>
              <w:jc w:val="center"/>
              <w:spacing w:after="0"/>
              <w:rPr>
                <w:sz w:val="20"/>
                <w:szCs w:val="20"/>
                <w:color w:val="auto"/>
              </w:rPr>
            </w:pPr>
            <w:r>
              <w:rPr>
                <w:rFonts w:ascii="Arial" w:cs="Arial" w:eastAsia="Arial" w:hAnsi="Arial"/>
                <w:sz w:val="16"/>
                <w:szCs w:val="16"/>
                <w:b w:val="1"/>
                <w:bCs w:val="1"/>
                <w:color w:val="FFFFFF"/>
              </w:rPr>
              <w:t>3Q22</w:t>
            </w:r>
          </w:p>
        </w:tc>
        <w:tc>
          <w:tcPr>
            <w:tcW w:w="1040" w:type="dxa"/>
            <w:vAlign w:val="bottom"/>
            <w:vMerge w:val="restart"/>
            <w:shd w:val="clear" w:color="auto" w:fill="2AD2C9"/>
          </w:tcPr>
          <w:p>
            <w:pPr>
              <w:jc w:val="center"/>
              <w:spacing w:after="0"/>
              <w:rPr>
                <w:sz w:val="20"/>
                <w:szCs w:val="20"/>
                <w:color w:val="auto"/>
              </w:rPr>
            </w:pPr>
            <w:r>
              <w:rPr>
                <w:rFonts w:ascii="Arial" w:cs="Arial" w:eastAsia="Arial" w:hAnsi="Arial"/>
                <w:sz w:val="16"/>
                <w:szCs w:val="16"/>
                <w:b w:val="1"/>
                <w:bCs w:val="1"/>
                <w:color w:val="FFFFFF"/>
              </w:rPr>
              <w:t>2Q23</w:t>
            </w:r>
          </w:p>
        </w:tc>
        <w:tc>
          <w:tcPr>
            <w:tcW w:w="980" w:type="dxa"/>
            <w:vAlign w:val="bottom"/>
            <w:tcBorders>
              <w:right w:val="single" w:sz="8" w:color="2AD2C9"/>
            </w:tcBorders>
            <w:vMerge w:val="restart"/>
            <w:shd w:val="clear" w:color="auto" w:fill="2AD2C9"/>
          </w:tcPr>
          <w:p>
            <w:pPr>
              <w:jc w:val="center"/>
              <w:spacing w:after="0"/>
              <w:rPr>
                <w:sz w:val="20"/>
                <w:szCs w:val="20"/>
                <w:color w:val="auto"/>
              </w:rPr>
            </w:pPr>
            <w:r>
              <w:rPr>
                <w:rFonts w:ascii="Arial" w:cs="Arial" w:eastAsia="Arial" w:hAnsi="Arial"/>
                <w:sz w:val="16"/>
                <w:szCs w:val="16"/>
                <w:b w:val="1"/>
                <w:bCs w:val="1"/>
                <w:color w:val="FFFFFF"/>
              </w:rPr>
              <w:t>3Q23</w:t>
            </w:r>
          </w:p>
        </w:tc>
        <w:tc>
          <w:tcPr>
            <w:tcW w:w="1020" w:type="dxa"/>
            <w:vAlign w:val="bottom"/>
            <w:vMerge w:val="restart"/>
            <w:shd w:val="clear" w:color="auto" w:fill="2AD2C9"/>
          </w:tcPr>
          <w:p>
            <w:pPr>
              <w:jc w:val="center"/>
              <w:spacing w:after="0"/>
              <w:rPr>
                <w:sz w:val="20"/>
                <w:szCs w:val="20"/>
                <w:color w:val="auto"/>
              </w:rPr>
            </w:pPr>
            <w:r>
              <w:rPr>
                <w:rFonts w:ascii="Arial" w:cs="Arial" w:eastAsia="Arial" w:hAnsi="Arial"/>
                <w:sz w:val="16"/>
                <w:szCs w:val="16"/>
                <w:b w:val="1"/>
                <w:bCs w:val="1"/>
                <w:color w:val="FFFFFF"/>
              </w:rPr>
              <w:t>QoQ</w:t>
            </w:r>
          </w:p>
        </w:tc>
        <w:tc>
          <w:tcPr>
            <w:tcW w:w="980" w:type="dxa"/>
            <w:vAlign w:val="bottom"/>
            <w:tcBorders>
              <w:right w:val="single" w:sz="8" w:color="auto"/>
            </w:tcBorders>
            <w:vMerge w:val="restart"/>
            <w:shd w:val="clear" w:color="auto" w:fill="2AD2C9"/>
          </w:tcPr>
          <w:p>
            <w:pPr>
              <w:jc w:val="center"/>
              <w:spacing w:after="0"/>
              <w:rPr>
                <w:sz w:val="20"/>
                <w:szCs w:val="20"/>
                <w:color w:val="auto"/>
              </w:rPr>
            </w:pPr>
            <w:r>
              <w:rPr>
                <w:rFonts w:ascii="Arial" w:cs="Arial" w:eastAsia="Arial" w:hAnsi="Arial"/>
                <w:sz w:val="16"/>
                <w:szCs w:val="16"/>
                <w:b w:val="1"/>
                <w:bCs w:val="1"/>
                <w:color w:val="FFFFFF"/>
              </w:rPr>
              <w:t>YoY</w:t>
            </w:r>
          </w:p>
        </w:tc>
        <w:tc>
          <w:tcPr>
            <w:tcW w:w="760" w:type="dxa"/>
            <w:vAlign w:val="bottom"/>
            <w:vMerge w:val="restart"/>
            <w:shd w:val="clear" w:color="auto" w:fill="2AD2C9"/>
          </w:tcPr>
          <w:p>
            <w:pPr>
              <w:jc w:val="center"/>
              <w:ind w:left="118"/>
              <w:spacing w:after="0"/>
              <w:rPr>
                <w:sz w:val="20"/>
                <w:szCs w:val="20"/>
                <w:color w:val="auto"/>
              </w:rPr>
            </w:pPr>
            <w:r>
              <w:rPr>
                <w:rFonts w:ascii="Arial" w:cs="Arial" w:eastAsia="Arial" w:hAnsi="Arial"/>
                <w:sz w:val="16"/>
                <w:szCs w:val="16"/>
                <w:b w:val="1"/>
                <w:bCs w:val="1"/>
                <w:color w:val="FFFFFF"/>
              </w:rPr>
              <w:t>Sep 22</w:t>
            </w:r>
          </w:p>
        </w:tc>
        <w:tc>
          <w:tcPr>
            <w:tcW w:w="1240" w:type="dxa"/>
            <w:vAlign w:val="bottom"/>
            <w:tcBorders>
              <w:right w:val="single" w:sz="8" w:color="auto"/>
            </w:tcBorders>
            <w:vMerge w:val="restart"/>
            <w:shd w:val="clear" w:color="auto" w:fill="2AD2C9"/>
          </w:tcPr>
          <w:p>
            <w:pPr>
              <w:jc w:val="center"/>
              <w:ind w:left="98"/>
              <w:spacing w:after="0"/>
              <w:rPr>
                <w:sz w:val="20"/>
                <w:szCs w:val="20"/>
                <w:color w:val="auto"/>
              </w:rPr>
            </w:pPr>
            <w:r>
              <w:rPr>
                <w:rFonts w:ascii="Arial" w:cs="Arial" w:eastAsia="Arial" w:hAnsi="Arial"/>
                <w:sz w:val="16"/>
                <w:szCs w:val="16"/>
                <w:b w:val="1"/>
                <w:bCs w:val="1"/>
                <w:color w:val="FFFFFF"/>
              </w:rPr>
              <w:t>Sep 23</w:t>
            </w:r>
          </w:p>
        </w:tc>
        <w:tc>
          <w:tcPr>
            <w:tcW w:w="1360" w:type="dxa"/>
            <w:vAlign w:val="bottom"/>
            <w:tcBorders>
              <w:right w:val="single" w:sz="8" w:color="auto"/>
            </w:tcBorders>
            <w:vMerge w:val="restart"/>
            <w:shd w:val="clear" w:color="auto" w:fill="2AD2C9"/>
          </w:tcPr>
          <w:p>
            <w:pPr>
              <w:jc w:val="center"/>
              <w:spacing w:after="0"/>
              <w:rPr>
                <w:sz w:val="20"/>
                <w:szCs w:val="20"/>
                <w:color w:val="auto"/>
              </w:rPr>
            </w:pPr>
            <w:r>
              <w:rPr>
                <w:rFonts w:ascii="Arial" w:cs="Arial" w:eastAsia="Arial" w:hAnsi="Arial"/>
                <w:sz w:val="16"/>
                <w:szCs w:val="16"/>
                <w:b w:val="1"/>
                <w:bCs w:val="1"/>
                <w:color w:val="FFFFFF"/>
              </w:rPr>
              <w:t>Sep 23 / Sep 22</w:t>
            </w:r>
          </w:p>
        </w:tc>
        <w:tc>
          <w:tcPr>
            <w:tcW w:w="0" w:type="dxa"/>
            <w:vAlign w:val="bottom"/>
          </w:tcPr>
          <w:p>
            <w:pPr>
              <w:spacing w:after="0"/>
              <w:rPr>
                <w:sz w:val="1"/>
                <w:szCs w:val="1"/>
                <w:color w:val="auto"/>
              </w:rPr>
            </w:pPr>
          </w:p>
        </w:tc>
      </w:tr>
      <w:tr>
        <w:trPr>
          <w:trHeight w:val="76"/>
        </w:trPr>
        <w:tc>
          <w:tcPr>
            <w:tcW w:w="1800" w:type="dxa"/>
            <w:vAlign w:val="bottom"/>
            <w:tcBorders>
              <w:left w:val="single" w:sz="8" w:color="auto"/>
              <w:bottom w:val="single" w:sz="8" w:color="auto"/>
              <w:right w:val="single" w:sz="8" w:color="auto"/>
            </w:tcBorders>
            <w:shd w:val="clear" w:color="auto" w:fill="2AD2C9"/>
          </w:tcPr>
          <w:p>
            <w:pPr>
              <w:spacing w:after="0"/>
              <w:rPr>
                <w:sz w:val="6"/>
                <w:szCs w:val="6"/>
                <w:color w:val="auto"/>
              </w:rPr>
            </w:pPr>
          </w:p>
        </w:tc>
        <w:tc>
          <w:tcPr>
            <w:tcW w:w="960" w:type="dxa"/>
            <w:vAlign w:val="bottom"/>
            <w:tcBorders>
              <w:bottom w:val="single" w:sz="8" w:color="auto"/>
            </w:tcBorders>
            <w:vMerge w:val="continue"/>
            <w:shd w:val="clear" w:color="auto" w:fill="2AD2C9"/>
          </w:tcPr>
          <w:p>
            <w:pPr>
              <w:spacing w:after="0"/>
              <w:rPr>
                <w:sz w:val="6"/>
                <w:szCs w:val="6"/>
                <w:color w:val="auto"/>
              </w:rPr>
            </w:pPr>
          </w:p>
        </w:tc>
        <w:tc>
          <w:tcPr>
            <w:tcW w:w="1040" w:type="dxa"/>
            <w:vAlign w:val="bottom"/>
            <w:tcBorders>
              <w:bottom w:val="single" w:sz="8" w:color="auto"/>
            </w:tcBorders>
            <w:vMerge w:val="continue"/>
            <w:shd w:val="clear" w:color="auto" w:fill="2AD2C9"/>
          </w:tcPr>
          <w:p>
            <w:pPr>
              <w:spacing w:after="0"/>
              <w:rPr>
                <w:sz w:val="6"/>
                <w:szCs w:val="6"/>
                <w:color w:val="auto"/>
              </w:rPr>
            </w:pPr>
          </w:p>
        </w:tc>
        <w:tc>
          <w:tcPr>
            <w:tcW w:w="980" w:type="dxa"/>
            <w:vAlign w:val="bottom"/>
            <w:tcBorders>
              <w:bottom w:val="single" w:sz="8" w:color="auto"/>
              <w:right w:val="single" w:sz="8" w:color="2AD2C9"/>
            </w:tcBorders>
            <w:vMerge w:val="continue"/>
            <w:shd w:val="clear" w:color="auto" w:fill="2AD2C9"/>
          </w:tcPr>
          <w:p>
            <w:pPr>
              <w:spacing w:after="0"/>
              <w:rPr>
                <w:sz w:val="6"/>
                <w:szCs w:val="6"/>
                <w:color w:val="auto"/>
              </w:rPr>
            </w:pPr>
          </w:p>
        </w:tc>
        <w:tc>
          <w:tcPr>
            <w:tcW w:w="1020" w:type="dxa"/>
            <w:vAlign w:val="bottom"/>
            <w:tcBorders>
              <w:bottom w:val="single" w:sz="8" w:color="auto"/>
            </w:tcBorders>
            <w:vMerge w:val="continue"/>
            <w:shd w:val="clear" w:color="auto" w:fill="2AD2C9"/>
          </w:tcPr>
          <w:p>
            <w:pPr>
              <w:spacing w:after="0"/>
              <w:rPr>
                <w:sz w:val="6"/>
                <w:szCs w:val="6"/>
                <w:color w:val="auto"/>
              </w:rPr>
            </w:pPr>
          </w:p>
        </w:tc>
        <w:tc>
          <w:tcPr>
            <w:tcW w:w="980" w:type="dxa"/>
            <w:vAlign w:val="bottom"/>
            <w:tcBorders>
              <w:bottom w:val="single" w:sz="8" w:color="auto"/>
              <w:right w:val="single" w:sz="8" w:color="auto"/>
            </w:tcBorders>
            <w:vMerge w:val="continue"/>
            <w:shd w:val="clear" w:color="auto" w:fill="2AD2C9"/>
          </w:tcPr>
          <w:p>
            <w:pPr>
              <w:spacing w:after="0"/>
              <w:rPr>
                <w:sz w:val="6"/>
                <w:szCs w:val="6"/>
                <w:color w:val="auto"/>
              </w:rPr>
            </w:pPr>
          </w:p>
        </w:tc>
        <w:tc>
          <w:tcPr>
            <w:tcW w:w="760" w:type="dxa"/>
            <w:vAlign w:val="bottom"/>
            <w:tcBorders>
              <w:bottom w:val="single" w:sz="8" w:color="auto"/>
            </w:tcBorders>
            <w:vMerge w:val="continue"/>
            <w:shd w:val="clear" w:color="auto" w:fill="2AD2C9"/>
          </w:tcPr>
          <w:p>
            <w:pPr>
              <w:spacing w:after="0"/>
              <w:rPr>
                <w:sz w:val="6"/>
                <w:szCs w:val="6"/>
                <w:color w:val="auto"/>
              </w:rPr>
            </w:pPr>
          </w:p>
        </w:tc>
        <w:tc>
          <w:tcPr>
            <w:tcW w:w="1240" w:type="dxa"/>
            <w:vAlign w:val="bottom"/>
            <w:tcBorders>
              <w:bottom w:val="single" w:sz="8" w:color="auto"/>
              <w:right w:val="single" w:sz="8" w:color="auto"/>
            </w:tcBorders>
            <w:vMerge w:val="continue"/>
            <w:shd w:val="clear" w:color="auto" w:fill="2AD2C9"/>
          </w:tcPr>
          <w:p>
            <w:pPr>
              <w:spacing w:after="0"/>
              <w:rPr>
                <w:sz w:val="6"/>
                <w:szCs w:val="6"/>
                <w:color w:val="auto"/>
              </w:rPr>
            </w:pPr>
          </w:p>
        </w:tc>
        <w:tc>
          <w:tcPr>
            <w:tcW w:w="1360" w:type="dxa"/>
            <w:vAlign w:val="bottom"/>
            <w:tcBorders>
              <w:bottom w:val="single" w:sz="8" w:color="auto"/>
              <w:right w:val="single" w:sz="8" w:color="auto"/>
            </w:tcBorders>
            <w:vMerge w:val="continue"/>
            <w:shd w:val="clear" w:color="auto" w:fill="2AD2C9"/>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1800" w:type="dxa"/>
            <w:vAlign w:val="bottom"/>
            <w:tcBorders>
              <w:left w:val="single" w:sz="8" w:color="auto"/>
              <w:right w:val="single" w:sz="8" w:color="auto"/>
            </w:tcBorders>
          </w:tcPr>
          <w:p>
            <w:pPr>
              <w:ind w:left="20"/>
              <w:spacing w:after="0" w:line="165" w:lineRule="exact"/>
              <w:rPr>
                <w:sz w:val="20"/>
                <w:szCs w:val="20"/>
                <w:color w:val="auto"/>
              </w:rPr>
            </w:pPr>
            <w:r>
              <w:rPr>
                <w:rFonts w:ascii="Arial" w:cs="Arial" w:eastAsia="Arial" w:hAnsi="Arial"/>
                <w:sz w:val="16"/>
                <w:szCs w:val="16"/>
                <w:color w:val="auto"/>
              </w:rPr>
              <w:t>BCP</w:t>
            </w:r>
          </w:p>
        </w:tc>
        <w:tc>
          <w:tcPr>
            <w:tcW w:w="960" w:type="dxa"/>
            <w:vAlign w:val="bottom"/>
          </w:tcPr>
          <w:p>
            <w:pPr>
              <w:jc w:val="center"/>
              <w:spacing w:after="0" w:line="165" w:lineRule="exact"/>
              <w:rPr>
                <w:sz w:val="20"/>
                <w:szCs w:val="20"/>
                <w:color w:val="auto"/>
              </w:rPr>
            </w:pPr>
            <w:r>
              <w:rPr>
                <w:rFonts w:ascii="Arial" w:cs="Arial" w:eastAsia="Arial" w:hAnsi="Arial"/>
                <w:sz w:val="16"/>
                <w:szCs w:val="16"/>
                <w:color w:val="auto"/>
              </w:rPr>
              <w:t>38.8%</w:t>
            </w:r>
          </w:p>
        </w:tc>
        <w:tc>
          <w:tcPr>
            <w:tcW w:w="1040" w:type="dxa"/>
            <w:vAlign w:val="bottom"/>
          </w:tcPr>
          <w:p>
            <w:pPr>
              <w:jc w:val="center"/>
              <w:spacing w:after="0" w:line="165" w:lineRule="exact"/>
              <w:rPr>
                <w:sz w:val="20"/>
                <w:szCs w:val="20"/>
                <w:color w:val="auto"/>
              </w:rPr>
            </w:pPr>
            <w:r>
              <w:rPr>
                <w:rFonts w:ascii="Arial" w:cs="Arial" w:eastAsia="Arial" w:hAnsi="Arial"/>
                <w:sz w:val="16"/>
                <w:szCs w:val="16"/>
                <w:color w:val="auto"/>
              </w:rPr>
              <w:t>37.3%</w:t>
            </w:r>
          </w:p>
        </w:tc>
        <w:tc>
          <w:tcPr>
            <w:tcW w:w="980" w:type="dxa"/>
            <w:vAlign w:val="bottom"/>
          </w:tcPr>
          <w:p>
            <w:pPr>
              <w:jc w:val="center"/>
              <w:spacing w:after="0" w:line="165" w:lineRule="exact"/>
              <w:rPr>
                <w:sz w:val="20"/>
                <w:szCs w:val="20"/>
                <w:color w:val="auto"/>
              </w:rPr>
            </w:pPr>
            <w:r>
              <w:rPr>
                <w:rFonts w:ascii="Arial" w:cs="Arial" w:eastAsia="Arial" w:hAnsi="Arial"/>
                <w:sz w:val="16"/>
                <w:szCs w:val="16"/>
                <w:color w:val="auto"/>
              </w:rPr>
              <w:t>39.2%</w:t>
            </w:r>
          </w:p>
        </w:tc>
        <w:tc>
          <w:tcPr>
            <w:tcW w:w="1020" w:type="dxa"/>
            <w:vAlign w:val="bottom"/>
          </w:tcPr>
          <w:p>
            <w:pPr>
              <w:jc w:val="center"/>
              <w:spacing w:after="0" w:line="165" w:lineRule="exact"/>
              <w:rPr>
                <w:sz w:val="20"/>
                <w:szCs w:val="20"/>
                <w:color w:val="auto"/>
              </w:rPr>
            </w:pPr>
            <w:r>
              <w:rPr>
                <w:rFonts w:ascii="Arial" w:cs="Arial" w:eastAsia="Arial" w:hAnsi="Arial"/>
                <w:sz w:val="16"/>
                <w:szCs w:val="16"/>
                <w:color w:val="auto"/>
              </w:rPr>
              <w:t>190 pbs</w:t>
            </w:r>
          </w:p>
        </w:tc>
        <w:tc>
          <w:tcPr>
            <w:tcW w:w="98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6"/>
                <w:szCs w:val="16"/>
                <w:color w:val="auto"/>
                <w:w w:val="99"/>
              </w:rPr>
              <w:t>40 pbs</w:t>
            </w:r>
          </w:p>
        </w:tc>
        <w:tc>
          <w:tcPr>
            <w:tcW w:w="760" w:type="dxa"/>
            <w:vAlign w:val="bottom"/>
          </w:tcPr>
          <w:p>
            <w:pPr>
              <w:jc w:val="center"/>
              <w:ind w:left="118"/>
              <w:spacing w:after="0" w:line="165" w:lineRule="exact"/>
              <w:rPr>
                <w:sz w:val="20"/>
                <w:szCs w:val="20"/>
                <w:color w:val="auto"/>
              </w:rPr>
            </w:pPr>
            <w:r>
              <w:rPr>
                <w:rFonts w:ascii="Arial" w:cs="Arial" w:eastAsia="Arial" w:hAnsi="Arial"/>
                <w:sz w:val="16"/>
                <w:szCs w:val="16"/>
                <w:color w:val="auto"/>
              </w:rPr>
              <w:t>40.3%</w:t>
            </w:r>
          </w:p>
        </w:tc>
        <w:tc>
          <w:tcPr>
            <w:tcW w:w="1240" w:type="dxa"/>
            <w:vAlign w:val="bottom"/>
            <w:tcBorders>
              <w:right w:val="single" w:sz="8" w:color="auto"/>
            </w:tcBorders>
          </w:tcPr>
          <w:p>
            <w:pPr>
              <w:jc w:val="center"/>
              <w:ind w:left="98"/>
              <w:spacing w:after="0" w:line="165" w:lineRule="exact"/>
              <w:rPr>
                <w:sz w:val="20"/>
                <w:szCs w:val="20"/>
                <w:color w:val="auto"/>
              </w:rPr>
            </w:pPr>
            <w:r>
              <w:rPr>
                <w:rFonts w:ascii="Arial" w:cs="Arial" w:eastAsia="Arial" w:hAnsi="Arial"/>
                <w:sz w:val="16"/>
                <w:szCs w:val="16"/>
                <w:color w:val="auto"/>
              </w:rPr>
              <w:t>37.8%</w:t>
            </w:r>
          </w:p>
        </w:tc>
        <w:tc>
          <w:tcPr>
            <w:tcW w:w="1360" w:type="dxa"/>
            <w:vAlign w:val="bottom"/>
            <w:tcBorders>
              <w:right w:val="single" w:sz="8" w:color="auto"/>
            </w:tcBorders>
          </w:tcPr>
          <w:p>
            <w:pPr>
              <w:jc w:val="center"/>
              <w:spacing w:after="0" w:line="165" w:lineRule="exact"/>
              <w:rPr>
                <w:sz w:val="20"/>
                <w:szCs w:val="20"/>
                <w:color w:val="auto"/>
              </w:rPr>
            </w:pPr>
            <w:r>
              <w:rPr>
                <w:rFonts w:ascii="Arial" w:cs="Arial" w:eastAsia="Arial" w:hAnsi="Arial"/>
                <w:sz w:val="16"/>
                <w:szCs w:val="16"/>
                <w:color w:val="auto"/>
              </w:rPr>
              <w:t>-250 pbs</w:t>
            </w:r>
          </w:p>
        </w:tc>
        <w:tc>
          <w:tcPr>
            <w:tcW w:w="0" w:type="dxa"/>
            <w:vAlign w:val="bottom"/>
          </w:tcPr>
          <w:p>
            <w:pPr>
              <w:spacing w:after="0"/>
              <w:rPr>
                <w:sz w:val="1"/>
                <w:szCs w:val="1"/>
                <w:color w:val="auto"/>
              </w:rPr>
            </w:pPr>
          </w:p>
        </w:tc>
      </w:tr>
      <w:tr>
        <w:trPr>
          <w:trHeight w:val="185"/>
        </w:trPr>
        <w:tc>
          <w:tcPr>
            <w:tcW w:w="18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BCP Bolivia</w:t>
            </w:r>
          </w:p>
        </w:tc>
        <w:tc>
          <w:tcPr>
            <w:tcW w:w="960" w:type="dxa"/>
            <w:vAlign w:val="bottom"/>
          </w:tcPr>
          <w:p>
            <w:pPr>
              <w:jc w:val="center"/>
              <w:spacing w:after="0"/>
              <w:rPr>
                <w:sz w:val="20"/>
                <w:szCs w:val="20"/>
                <w:color w:val="auto"/>
              </w:rPr>
            </w:pPr>
            <w:r>
              <w:rPr>
                <w:rFonts w:ascii="Arial" w:cs="Arial" w:eastAsia="Arial" w:hAnsi="Arial"/>
                <w:sz w:val="16"/>
                <w:szCs w:val="16"/>
                <w:color w:val="auto"/>
              </w:rPr>
              <w:t>61.3%</w:t>
            </w:r>
          </w:p>
        </w:tc>
        <w:tc>
          <w:tcPr>
            <w:tcW w:w="1040" w:type="dxa"/>
            <w:vAlign w:val="bottom"/>
          </w:tcPr>
          <w:p>
            <w:pPr>
              <w:jc w:val="center"/>
              <w:spacing w:after="0"/>
              <w:rPr>
                <w:sz w:val="20"/>
                <w:szCs w:val="20"/>
                <w:color w:val="auto"/>
              </w:rPr>
            </w:pPr>
            <w:r>
              <w:rPr>
                <w:rFonts w:ascii="Arial" w:cs="Arial" w:eastAsia="Arial" w:hAnsi="Arial"/>
                <w:sz w:val="16"/>
                <w:szCs w:val="16"/>
                <w:color w:val="auto"/>
              </w:rPr>
              <w:t>60.7%</w:t>
            </w:r>
          </w:p>
        </w:tc>
        <w:tc>
          <w:tcPr>
            <w:tcW w:w="980" w:type="dxa"/>
            <w:vAlign w:val="bottom"/>
          </w:tcPr>
          <w:p>
            <w:pPr>
              <w:jc w:val="center"/>
              <w:spacing w:after="0"/>
              <w:rPr>
                <w:sz w:val="20"/>
                <w:szCs w:val="20"/>
                <w:color w:val="auto"/>
              </w:rPr>
            </w:pPr>
            <w:r>
              <w:rPr>
                <w:rFonts w:ascii="Arial" w:cs="Arial" w:eastAsia="Arial" w:hAnsi="Arial"/>
                <w:sz w:val="16"/>
                <w:szCs w:val="16"/>
                <w:color w:val="auto"/>
              </w:rPr>
              <w:t>65.3%</w:t>
            </w:r>
          </w:p>
        </w:tc>
        <w:tc>
          <w:tcPr>
            <w:tcW w:w="1020" w:type="dxa"/>
            <w:vAlign w:val="bottom"/>
          </w:tcPr>
          <w:p>
            <w:pPr>
              <w:jc w:val="center"/>
              <w:spacing w:after="0"/>
              <w:rPr>
                <w:sz w:val="20"/>
                <w:szCs w:val="20"/>
                <w:color w:val="auto"/>
              </w:rPr>
            </w:pPr>
            <w:r>
              <w:rPr>
                <w:rFonts w:ascii="Arial" w:cs="Arial" w:eastAsia="Arial" w:hAnsi="Arial"/>
                <w:sz w:val="16"/>
                <w:szCs w:val="16"/>
                <w:color w:val="auto"/>
              </w:rPr>
              <w:t>460 pbs</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400 pbs</w:t>
            </w:r>
          </w:p>
        </w:tc>
        <w:tc>
          <w:tcPr>
            <w:tcW w:w="760" w:type="dxa"/>
            <w:vAlign w:val="bottom"/>
          </w:tcPr>
          <w:p>
            <w:pPr>
              <w:jc w:val="center"/>
              <w:ind w:left="118"/>
              <w:spacing w:after="0"/>
              <w:rPr>
                <w:sz w:val="20"/>
                <w:szCs w:val="20"/>
                <w:color w:val="auto"/>
              </w:rPr>
            </w:pPr>
            <w:r>
              <w:rPr>
                <w:rFonts w:ascii="Arial" w:cs="Arial" w:eastAsia="Arial" w:hAnsi="Arial"/>
                <w:sz w:val="16"/>
                <w:szCs w:val="16"/>
                <w:color w:val="auto"/>
              </w:rPr>
              <w:t>59.7%</w:t>
            </w:r>
          </w:p>
        </w:tc>
        <w:tc>
          <w:tcPr>
            <w:tcW w:w="1240" w:type="dxa"/>
            <w:vAlign w:val="bottom"/>
            <w:tcBorders>
              <w:right w:val="single" w:sz="8" w:color="auto"/>
            </w:tcBorders>
          </w:tcPr>
          <w:p>
            <w:pPr>
              <w:jc w:val="center"/>
              <w:ind w:left="98"/>
              <w:spacing w:after="0"/>
              <w:rPr>
                <w:sz w:val="20"/>
                <w:szCs w:val="20"/>
                <w:color w:val="auto"/>
              </w:rPr>
            </w:pPr>
            <w:r>
              <w:rPr>
                <w:rFonts w:ascii="Arial" w:cs="Arial" w:eastAsia="Arial" w:hAnsi="Arial"/>
                <w:sz w:val="16"/>
                <w:szCs w:val="16"/>
                <w:color w:val="auto"/>
              </w:rPr>
              <w:t>62.1%</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240 pbs</w:t>
            </w:r>
          </w:p>
        </w:tc>
        <w:tc>
          <w:tcPr>
            <w:tcW w:w="0" w:type="dxa"/>
            <w:vAlign w:val="bottom"/>
          </w:tcPr>
          <w:p>
            <w:pPr>
              <w:spacing w:after="0"/>
              <w:rPr>
                <w:sz w:val="1"/>
                <w:szCs w:val="1"/>
                <w:color w:val="auto"/>
              </w:rPr>
            </w:pPr>
          </w:p>
        </w:tc>
      </w:tr>
      <w:tr>
        <w:trPr>
          <w:trHeight w:val="185"/>
        </w:trPr>
        <w:tc>
          <w:tcPr>
            <w:tcW w:w="18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Mibanco Perú</w:t>
            </w:r>
          </w:p>
        </w:tc>
        <w:tc>
          <w:tcPr>
            <w:tcW w:w="960" w:type="dxa"/>
            <w:vAlign w:val="bottom"/>
          </w:tcPr>
          <w:p>
            <w:pPr>
              <w:jc w:val="center"/>
              <w:spacing w:after="0"/>
              <w:rPr>
                <w:sz w:val="20"/>
                <w:szCs w:val="20"/>
                <w:color w:val="auto"/>
              </w:rPr>
            </w:pPr>
            <w:r>
              <w:rPr>
                <w:rFonts w:ascii="Arial" w:cs="Arial" w:eastAsia="Arial" w:hAnsi="Arial"/>
                <w:sz w:val="16"/>
                <w:szCs w:val="16"/>
                <w:color w:val="auto"/>
              </w:rPr>
              <w:t>49.6%</w:t>
            </w:r>
          </w:p>
        </w:tc>
        <w:tc>
          <w:tcPr>
            <w:tcW w:w="1040" w:type="dxa"/>
            <w:vAlign w:val="bottom"/>
          </w:tcPr>
          <w:p>
            <w:pPr>
              <w:jc w:val="center"/>
              <w:spacing w:after="0"/>
              <w:rPr>
                <w:sz w:val="20"/>
                <w:szCs w:val="20"/>
                <w:color w:val="auto"/>
              </w:rPr>
            </w:pPr>
            <w:r>
              <w:rPr>
                <w:rFonts w:ascii="Arial" w:cs="Arial" w:eastAsia="Arial" w:hAnsi="Arial"/>
                <w:sz w:val="16"/>
                <w:szCs w:val="16"/>
                <w:color w:val="auto"/>
              </w:rPr>
              <w:t>52.4%</w:t>
            </w:r>
          </w:p>
        </w:tc>
        <w:tc>
          <w:tcPr>
            <w:tcW w:w="980" w:type="dxa"/>
            <w:vAlign w:val="bottom"/>
          </w:tcPr>
          <w:p>
            <w:pPr>
              <w:jc w:val="center"/>
              <w:spacing w:after="0"/>
              <w:rPr>
                <w:sz w:val="20"/>
                <w:szCs w:val="20"/>
                <w:color w:val="auto"/>
              </w:rPr>
            </w:pPr>
            <w:r>
              <w:rPr>
                <w:rFonts w:ascii="Arial" w:cs="Arial" w:eastAsia="Arial" w:hAnsi="Arial"/>
                <w:sz w:val="16"/>
                <w:szCs w:val="16"/>
                <w:color w:val="auto"/>
              </w:rPr>
              <w:t>51.4%</w:t>
            </w:r>
          </w:p>
        </w:tc>
        <w:tc>
          <w:tcPr>
            <w:tcW w:w="1020" w:type="dxa"/>
            <w:vAlign w:val="bottom"/>
          </w:tcPr>
          <w:p>
            <w:pPr>
              <w:jc w:val="center"/>
              <w:spacing w:after="0"/>
              <w:rPr>
                <w:sz w:val="20"/>
                <w:szCs w:val="20"/>
                <w:color w:val="auto"/>
              </w:rPr>
            </w:pPr>
            <w:r>
              <w:rPr>
                <w:rFonts w:ascii="Arial" w:cs="Arial" w:eastAsia="Arial" w:hAnsi="Arial"/>
                <w:sz w:val="16"/>
                <w:szCs w:val="16"/>
                <w:color w:val="auto"/>
              </w:rPr>
              <w:t>-100 pbs</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180 pbs</w:t>
            </w:r>
          </w:p>
        </w:tc>
        <w:tc>
          <w:tcPr>
            <w:tcW w:w="760" w:type="dxa"/>
            <w:vAlign w:val="bottom"/>
          </w:tcPr>
          <w:p>
            <w:pPr>
              <w:jc w:val="center"/>
              <w:ind w:left="118"/>
              <w:spacing w:after="0"/>
              <w:rPr>
                <w:sz w:val="20"/>
                <w:szCs w:val="20"/>
                <w:color w:val="auto"/>
              </w:rPr>
            </w:pPr>
            <w:r>
              <w:rPr>
                <w:rFonts w:ascii="Arial" w:cs="Arial" w:eastAsia="Arial" w:hAnsi="Arial"/>
                <w:sz w:val="16"/>
                <w:szCs w:val="16"/>
                <w:color w:val="auto"/>
              </w:rPr>
              <w:t>50.9%</w:t>
            </w:r>
          </w:p>
        </w:tc>
        <w:tc>
          <w:tcPr>
            <w:tcW w:w="1240" w:type="dxa"/>
            <w:vAlign w:val="bottom"/>
            <w:tcBorders>
              <w:right w:val="single" w:sz="8" w:color="auto"/>
            </w:tcBorders>
          </w:tcPr>
          <w:p>
            <w:pPr>
              <w:jc w:val="center"/>
              <w:ind w:left="98"/>
              <w:spacing w:after="0"/>
              <w:rPr>
                <w:sz w:val="20"/>
                <w:szCs w:val="20"/>
                <w:color w:val="auto"/>
              </w:rPr>
            </w:pPr>
            <w:r>
              <w:rPr>
                <w:rFonts w:ascii="Arial" w:cs="Arial" w:eastAsia="Arial" w:hAnsi="Arial"/>
                <w:sz w:val="16"/>
                <w:szCs w:val="16"/>
                <w:color w:val="auto"/>
              </w:rPr>
              <w:t>52.6%</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170 pbs</w:t>
            </w:r>
          </w:p>
        </w:tc>
        <w:tc>
          <w:tcPr>
            <w:tcW w:w="0" w:type="dxa"/>
            <w:vAlign w:val="bottom"/>
          </w:tcPr>
          <w:p>
            <w:pPr>
              <w:spacing w:after="0"/>
              <w:rPr>
                <w:sz w:val="1"/>
                <w:szCs w:val="1"/>
                <w:color w:val="auto"/>
              </w:rPr>
            </w:pPr>
          </w:p>
        </w:tc>
      </w:tr>
      <w:tr>
        <w:trPr>
          <w:trHeight w:val="185"/>
        </w:trPr>
        <w:tc>
          <w:tcPr>
            <w:tcW w:w="18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Mibanco Colombia</w:t>
            </w:r>
          </w:p>
        </w:tc>
        <w:tc>
          <w:tcPr>
            <w:tcW w:w="960" w:type="dxa"/>
            <w:vAlign w:val="bottom"/>
          </w:tcPr>
          <w:p>
            <w:pPr>
              <w:jc w:val="center"/>
              <w:spacing w:after="0"/>
              <w:rPr>
                <w:sz w:val="20"/>
                <w:szCs w:val="20"/>
                <w:color w:val="auto"/>
              </w:rPr>
            </w:pPr>
            <w:r>
              <w:rPr>
                <w:rFonts w:ascii="Arial" w:cs="Arial" w:eastAsia="Arial" w:hAnsi="Arial"/>
                <w:sz w:val="16"/>
                <w:szCs w:val="16"/>
                <w:color w:val="auto"/>
              </w:rPr>
              <w:t>80.3%</w:t>
            </w:r>
          </w:p>
        </w:tc>
        <w:tc>
          <w:tcPr>
            <w:tcW w:w="1040" w:type="dxa"/>
            <w:vAlign w:val="bottom"/>
          </w:tcPr>
          <w:p>
            <w:pPr>
              <w:jc w:val="center"/>
              <w:spacing w:after="0"/>
              <w:rPr>
                <w:sz w:val="20"/>
                <w:szCs w:val="20"/>
                <w:color w:val="auto"/>
              </w:rPr>
            </w:pPr>
            <w:r>
              <w:rPr>
                <w:rFonts w:ascii="Arial" w:cs="Arial" w:eastAsia="Arial" w:hAnsi="Arial"/>
                <w:sz w:val="16"/>
                <w:szCs w:val="16"/>
                <w:color w:val="auto"/>
              </w:rPr>
              <w:t>88.8%</w:t>
            </w:r>
          </w:p>
        </w:tc>
        <w:tc>
          <w:tcPr>
            <w:tcW w:w="980" w:type="dxa"/>
            <w:vAlign w:val="bottom"/>
          </w:tcPr>
          <w:p>
            <w:pPr>
              <w:jc w:val="center"/>
              <w:spacing w:after="0"/>
              <w:rPr>
                <w:sz w:val="20"/>
                <w:szCs w:val="20"/>
                <w:color w:val="auto"/>
              </w:rPr>
            </w:pPr>
            <w:r>
              <w:rPr>
                <w:rFonts w:ascii="Arial" w:cs="Arial" w:eastAsia="Arial" w:hAnsi="Arial"/>
                <w:sz w:val="16"/>
                <w:szCs w:val="16"/>
                <w:color w:val="auto"/>
              </w:rPr>
              <w:t>86.0%</w:t>
            </w:r>
          </w:p>
        </w:tc>
        <w:tc>
          <w:tcPr>
            <w:tcW w:w="1020" w:type="dxa"/>
            <w:vAlign w:val="bottom"/>
          </w:tcPr>
          <w:p>
            <w:pPr>
              <w:jc w:val="center"/>
              <w:spacing w:after="0"/>
              <w:rPr>
                <w:sz w:val="20"/>
                <w:szCs w:val="20"/>
                <w:color w:val="auto"/>
              </w:rPr>
            </w:pPr>
            <w:r>
              <w:rPr>
                <w:rFonts w:ascii="Arial" w:cs="Arial" w:eastAsia="Arial" w:hAnsi="Arial"/>
                <w:sz w:val="16"/>
                <w:szCs w:val="16"/>
                <w:color w:val="auto"/>
              </w:rPr>
              <w:t>-280 pbs</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570 pbs</w:t>
            </w:r>
          </w:p>
        </w:tc>
        <w:tc>
          <w:tcPr>
            <w:tcW w:w="760" w:type="dxa"/>
            <w:vAlign w:val="bottom"/>
          </w:tcPr>
          <w:p>
            <w:pPr>
              <w:jc w:val="center"/>
              <w:ind w:left="118"/>
              <w:spacing w:after="0"/>
              <w:rPr>
                <w:sz w:val="20"/>
                <w:szCs w:val="20"/>
                <w:color w:val="auto"/>
              </w:rPr>
            </w:pPr>
            <w:r>
              <w:rPr>
                <w:rFonts w:ascii="Arial" w:cs="Arial" w:eastAsia="Arial" w:hAnsi="Arial"/>
                <w:sz w:val="16"/>
                <w:szCs w:val="16"/>
                <w:color w:val="auto"/>
              </w:rPr>
              <w:t>78.3%</w:t>
            </w:r>
          </w:p>
        </w:tc>
        <w:tc>
          <w:tcPr>
            <w:tcW w:w="1240" w:type="dxa"/>
            <w:vAlign w:val="bottom"/>
            <w:tcBorders>
              <w:right w:val="single" w:sz="8" w:color="auto"/>
            </w:tcBorders>
          </w:tcPr>
          <w:p>
            <w:pPr>
              <w:jc w:val="center"/>
              <w:ind w:left="98"/>
              <w:spacing w:after="0"/>
              <w:rPr>
                <w:sz w:val="20"/>
                <w:szCs w:val="20"/>
                <w:color w:val="auto"/>
              </w:rPr>
            </w:pPr>
            <w:r>
              <w:rPr>
                <w:rFonts w:ascii="Arial" w:cs="Arial" w:eastAsia="Arial" w:hAnsi="Arial"/>
                <w:sz w:val="16"/>
                <w:szCs w:val="16"/>
                <w:color w:val="auto"/>
              </w:rPr>
              <w:t>89.1%</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1080 pbs</w:t>
            </w:r>
          </w:p>
        </w:tc>
        <w:tc>
          <w:tcPr>
            <w:tcW w:w="0" w:type="dxa"/>
            <w:vAlign w:val="bottom"/>
          </w:tcPr>
          <w:p>
            <w:pPr>
              <w:spacing w:after="0"/>
              <w:rPr>
                <w:sz w:val="1"/>
                <w:szCs w:val="1"/>
                <w:color w:val="auto"/>
              </w:rPr>
            </w:pPr>
          </w:p>
        </w:tc>
      </w:tr>
      <w:tr>
        <w:trPr>
          <w:trHeight w:val="185"/>
        </w:trPr>
        <w:tc>
          <w:tcPr>
            <w:tcW w:w="18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Pacífico</w:t>
            </w:r>
          </w:p>
        </w:tc>
        <w:tc>
          <w:tcPr>
            <w:tcW w:w="960" w:type="dxa"/>
            <w:vAlign w:val="bottom"/>
          </w:tcPr>
          <w:p>
            <w:pPr>
              <w:jc w:val="center"/>
              <w:spacing w:after="0"/>
              <w:rPr>
                <w:sz w:val="20"/>
                <w:szCs w:val="20"/>
                <w:color w:val="auto"/>
              </w:rPr>
            </w:pPr>
            <w:r>
              <w:rPr>
                <w:rFonts w:ascii="Arial" w:cs="Arial" w:eastAsia="Arial" w:hAnsi="Arial"/>
                <w:sz w:val="16"/>
                <w:szCs w:val="16"/>
                <w:color w:val="auto"/>
              </w:rPr>
              <w:t>24.2%</w:t>
            </w:r>
          </w:p>
        </w:tc>
        <w:tc>
          <w:tcPr>
            <w:tcW w:w="1040" w:type="dxa"/>
            <w:vAlign w:val="bottom"/>
          </w:tcPr>
          <w:p>
            <w:pPr>
              <w:jc w:val="center"/>
              <w:spacing w:after="0"/>
              <w:rPr>
                <w:sz w:val="20"/>
                <w:szCs w:val="20"/>
                <w:color w:val="auto"/>
              </w:rPr>
            </w:pPr>
            <w:r>
              <w:rPr>
                <w:rFonts w:ascii="Arial" w:cs="Arial" w:eastAsia="Arial" w:hAnsi="Arial"/>
                <w:sz w:val="16"/>
                <w:szCs w:val="16"/>
                <w:color w:val="auto"/>
              </w:rPr>
              <w:t>26.3%</w:t>
            </w:r>
          </w:p>
        </w:tc>
        <w:tc>
          <w:tcPr>
            <w:tcW w:w="980" w:type="dxa"/>
            <w:vAlign w:val="bottom"/>
          </w:tcPr>
          <w:p>
            <w:pPr>
              <w:jc w:val="center"/>
              <w:spacing w:after="0"/>
              <w:rPr>
                <w:sz w:val="20"/>
                <w:szCs w:val="20"/>
                <w:color w:val="auto"/>
              </w:rPr>
            </w:pPr>
            <w:r>
              <w:rPr>
                <w:rFonts w:ascii="Arial" w:cs="Arial" w:eastAsia="Arial" w:hAnsi="Arial"/>
                <w:sz w:val="16"/>
                <w:szCs w:val="16"/>
                <w:color w:val="auto"/>
              </w:rPr>
              <w:t>24.7%</w:t>
            </w:r>
          </w:p>
        </w:tc>
        <w:tc>
          <w:tcPr>
            <w:tcW w:w="1020" w:type="dxa"/>
            <w:vAlign w:val="bottom"/>
          </w:tcPr>
          <w:p>
            <w:pPr>
              <w:jc w:val="center"/>
              <w:spacing w:after="0"/>
              <w:rPr>
                <w:sz w:val="20"/>
                <w:szCs w:val="20"/>
                <w:color w:val="auto"/>
              </w:rPr>
            </w:pPr>
            <w:r>
              <w:rPr>
                <w:rFonts w:ascii="Arial" w:cs="Arial" w:eastAsia="Arial" w:hAnsi="Arial"/>
                <w:sz w:val="16"/>
                <w:szCs w:val="16"/>
                <w:color w:val="auto"/>
              </w:rPr>
              <w:t>-160 pbs</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50 pbs</w:t>
            </w:r>
          </w:p>
        </w:tc>
        <w:tc>
          <w:tcPr>
            <w:tcW w:w="760" w:type="dxa"/>
            <w:vAlign w:val="bottom"/>
          </w:tcPr>
          <w:p>
            <w:pPr>
              <w:jc w:val="center"/>
              <w:ind w:left="118"/>
              <w:spacing w:after="0"/>
              <w:rPr>
                <w:sz w:val="20"/>
                <w:szCs w:val="20"/>
                <w:color w:val="auto"/>
              </w:rPr>
            </w:pPr>
            <w:r>
              <w:rPr>
                <w:rFonts w:ascii="Arial" w:cs="Arial" w:eastAsia="Arial" w:hAnsi="Arial"/>
                <w:sz w:val="16"/>
                <w:szCs w:val="16"/>
                <w:color w:val="auto"/>
              </w:rPr>
              <w:t>29.4%</w:t>
            </w:r>
          </w:p>
        </w:tc>
        <w:tc>
          <w:tcPr>
            <w:tcW w:w="1240" w:type="dxa"/>
            <w:vAlign w:val="bottom"/>
            <w:tcBorders>
              <w:right w:val="single" w:sz="8" w:color="auto"/>
            </w:tcBorders>
          </w:tcPr>
          <w:p>
            <w:pPr>
              <w:jc w:val="center"/>
              <w:ind w:left="98"/>
              <w:spacing w:after="0"/>
              <w:rPr>
                <w:sz w:val="20"/>
                <w:szCs w:val="20"/>
                <w:color w:val="auto"/>
              </w:rPr>
            </w:pPr>
            <w:r>
              <w:rPr>
                <w:rFonts w:ascii="Arial" w:cs="Arial" w:eastAsia="Arial" w:hAnsi="Arial"/>
                <w:sz w:val="16"/>
                <w:szCs w:val="16"/>
                <w:color w:val="auto"/>
              </w:rPr>
              <w:t>24.2%</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-520 pbs</w:t>
            </w:r>
          </w:p>
        </w:tc>
        <w:tc>
          <w:tcPr>
            <w:tcW w:w="0" w:type="dxa"/>
            <w:vAlign w:val="bottom"/>
          </w:tcPr>
          <w:p>
            <w:pPr>
              <w:spacing w:after="0"/>
              <w:rPr>
                <w:sz w:val="1"/>
                <w:szCs w:val="1"/>
                <w:color w:val="auto"/>
              </w:rPr>
            </w:pPr>
          </w:p>
        </w:tc>
      </w:tr>
      <w:tr>
        <w:trPr>
          <w:trHeight w:val="198"/>
        </w:trPr>
        <w:tc>
          <w:tcPr>
            <w:tcW w:w="18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Prima AFP</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50.2%</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49.8%</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51.6%</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180 pbs</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140 pbs</w:t>
            </w:r>
          </w:p>
        </w:tc>
        <w:tc>
          <w:tcPr>
            <w:tcW w:w="760" w:type="dxa"/>
            <w:vAlign w:val="bottom"/>
            <w:tcBorders>
              <w:bottom w:val="single" w:sz="8" w:color="auto"/>
            </w:tcBorders>
          </w:tcPr>
          <w:p>
            <w:pPr>
              <w:jc w:val="center"/>
              <w:ind w:left="118"/>
              <w:spacing w:after="0"/>
              <w:rPr>
                <w:sz w:val="20"/>
                <w:szCs w:val="20"/>
                <w:color w:val="auto"/>
              </w:rPr>
            </w:pPr>
            <w:r>
              <w:rPr>
                <w:rFonts w:ascii="Arial" w:cs="Arial" w:eastAsia="Arial" w:hAnsi="Arial"/>
                <w:sz w:val="16"/>
                <w:szCs w:val="16"/>
                <w:color w:val="auto"/>
              </w:rPr>
              <w:t>52.4%</w:t>
            </w:r>
          </w:p>
        </w:tc>
        <w:tc>
          <w:tcPr>
            <w:tcW w:w="1240" w:type="dxa"/>
            <w:vAlign w:val="bottom"/>
            <w:tcBorders>
              <w:bottom w:val="single" w:sz="8" w:color="auto"/>
              <w:right w:val="single" w:sz="8" w:color="auto"/>
            </w:tcBorders>
          </w:tcPr>
          <w:p>
            <w:pPr>
              <w:jc w:val="center"/>
              <w:ind w:left="98"/>
              <w:spacing w:after="0"/>
              <w:rPr>
                <w:sz w:val="20"/>
                <w:szCs w:val="20"/>
                <w:color w:val="auto"/>
              </w:rPr>
            </w:pPr>
            <w:r>
              <w:rPr>
                <w:rFonts w:ascii="Arial" w:cs="Arial" w:eastAsia="Arial" w:hAnsi="Arial"/>
                <w:sz w:val="16"/>
                <w:szCs w:val="16"/>
                <w:color w:val="auto"/>
              </w:rPr>
              <w:t>50.3%</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-210 pbs</w:t>
            </w:r>
          </w:p>
        </w:tc>
        <w:tc>
          <w:tcPr>
            <w:tcW w:w="0" w:type="dxa"/>
            <w:vAlign w:val="bottom"/>
          </w:tcPr>
          <w:p>
            <w:pPr>
              <w:spacing w:after="0"/>
              <w:rPr>
                <w:sz w:val="1"/>
                <w:szCs w:val="1"/>
                <w:color w:val="auto"/>
              </w:rPr>
            </w:pPr>
          </w:p>
        </w:tc>
      </w:tr>
      <w:tr>
        <w:trPr>
          <w:trHeight w:val="178"/>
        </w:trPr>
        <w:tc>
          <w:tcPr>
            <w:tcW w:w="1800" w:type="dxa"/>
            <w:vAlign w:val="bottom"/>
            <w:tcBorders>
              <w:left w:val="single" w:sz="8" w:color="auto"/>
              <w:bottom w:val="single" w:sz="8" w:color="auto"/>
              <w:right w:val="single" w:sz="8" w:color="auto"/>
            </w:tcBorders>
          </w:tcPr>
          <w:p>
            <w:pPr>
              <w:ind w:left="20"/>
              <w:spacing w:after="0" w:line="178" w:lineRule="exact"/>
              <w:rPr>
                <w:sz w:val="20"/>
                <w:szCs w:val="20"/>
                <w:color w:val="auto"/>
              </w:rPr>
            </w:pPr>
            <w:r>
              <w:rPr>
                <w:rFonts w:ascii="Arial" w:cs="Arial" w:eastAsia="Arial" w:hAnsi="Arial"/>
                <w:sz w:val="16"/>
                <w:szCs w:val="16"/>
                <w:b w:val="1"/>
                <w:bCs w:val="1"/>
                <w:color w:val="auto"/>
              </w:rPr>
              <w:t>Credicorp</w:t>
            </w:r>
          </w:p>
        </w:tc>
        <w:tc>
          <w:tcPr>
            <w:tcW w:w="960" w:type="dxa"/>
            <w:vAlign w:val="bottom"/>
            <w:tcBorders>
              <w:bottom w:val="single" w:sz="8" w:color="auto"/>
            </w:tcBorders>
          </w:tcPr>
          <w:p>
            <w:pPr>
              <w:jc w:val="center"/>
              <w:spacing w:after="0" w:line="178" w:lineRule="exact"/>
              <w:rPr>
                <w:sz w:val="20"/>
                <w:szCs w:val="20"/>
                <w:color w:val="auto"/>
              </w:rPr>
            </w:pPr>
            <w:r>
              <w:rPr>
                <w:rFonts w:ascii="Arial" w:cs="Arial" w:eastAsia="Arial" w:hAnsi="Arial"/>
                <w:sz w:val="16"/>
                <w:szCs w:val="16"/>
                <w:b w:val="1"/>
                <w:bCs w:val="1"/>
                <w:color w:val="auto"/>
              </w:rPr>
              <w:t>45.5%</w:t>
            </w:r>
          </w:p>
        </w:tc>
        <w:tc>
          <w:tcPr>
            <w:tcW w:w="1040" w:type="dxa"/>
            <w:vAlign w:val="bottom"/>
            <w:tcBorders>
              <w:bottom w:val="single" w:sz="8" w:color="auto"/>
            </w:tcBorders>
          </w:tcPr>
          <w:p>
            <w:pPr>
              <w:jc w:val="center"/>
              <w:spacing w:after="0" w:line="178" w:lineRule="exact"/>
              <w:rPr>
                <w:sz w:val="20"/>
                <w:szCs w:val="20"/>
                <w:color w:val="auto"/>
              </w:rPr>
            </w:pPr>
            <w:r>
              <w:rPr>
                <w:rFonts w:ascii="Arial" w:cs="Arial" w:eastAsia="Arial" w:hAnsi="Arial"/>
                <w:sz w:val="16"/>
                <w:szCs w:val="16"/>
                <w:b w:val="1"/>
                <w:bCs w:val="1"/>
                <w:color w:val="auto"/>
              </w:rPr>
              <w:t>44.6%</w:t>
            </w:r>
          </w:p>
        </w:tc>
        <w:tc>
          <w:tcPr>
            <w:tcW w:w="980" w:type="dxa"/>
            <w:vAlign w:val="bottom"/>
            <w:tcBorders>
              <w:bottom w:val="single" w:sz="8" w:color="auto"/>
            </w:tcBorders>
          </w:tcPr>
          <w:p>
            <w:pPr>
              <w:jc w:val="center"/>
              <w:spacing w:after="0" w:line="178" w:lineRule="exact"/>
              <w:rPr>
                <w:sz w:val="20"/>
                <w:szCs w:val="20"/>
                <w:color w:val="auto"/>
              </w:rPr>
            </w:pPr>
            <w:r>
              <w:rPr>
                <w:rFonts w:ascii="Arial" w:cs="Arial" w:eastAsia="Arial" w:hAnsi="Arial"/>
                <w:sz w:val="16"/>
                <w:szCs w:val="16"/>
                <w:b w:val="1"/>
                <w:bCs w:val="1"/>
                <w:color w:val="auto"/>
              </w:rPr>
              <w:t>46.3%</w:t>
            </w:r>
          </w:p>
        </w:tc>
        <w:tc>
          <w:tcPr>
            <w:tcW w:w="1020" w:type="dxa"/>
            <w:vAlign w:val="bottom"/>
            <w:tcBorders>
              <w:bottom w:val="single" w:sz="8" w:color="auto"/>
            </w:tcBorders>
          </w:tcPr>
          <w:p>
            <w:pPr>
              <w:jc w:val="center"/>
              <w:spacing w:after="0" w:line="178" w:lineRule="exact"/>
              <w:rPr>
                <w:sz w:val="20"/>
                <w:szCs w:val="20"/>
                <w:color w:val="auto"/>
              </w:rPr>
            </w:pPr>
            <w:r>
              <w:rPr>
                <w:rFonts w:ascii="Arial" w:cs="Arial" w:eastAsia="Arial" w:hAnsi="Arial"/>
                <w:sz w:val="16"/>
                <w:szCs w:val="16"/>
                <w:b w:val="1"/>
                <w:bCs w:val="1"/>
                <w:color w:val="auto"/>
              </w:rPr>
              <w:t>170 pbs</w:t>
            </w:r>
          </w:p>
        </w:tc>
        <w:tc>
          <w:tcPr>
            <w:tcW w:w="980" w:type="dxa"/>
            <w:vAlign w:val="bottom"/>
            <w:tcBorders>
              <w:bottom w:val="single" w:sz="8" w:color="auto"/>
              <w:right w:val="single" w:sz="8" w:color="auto"/>
            </w:tcBorders>
          </w:tcPr>
          <w:p>
            <w:pPr>
              <w:jc w:val="center"/>
              <w:spacing w:after="0" w:line="178" w:lineRule="exact"/>
              <w:rPr>
                <w:sz w:val="20"/>
                <w:szCs w:val="20"/>
                <w:color w:val="auto"/>
              </w:rPr>
            </w:pPr>
            <w:r>
              <w:rPr>
                <w:rFonts w:ascii="Arial" w:cs="Arial" w:eastAsia="Arial" w:hAnsi="Arial"/>
                <w:sz w:val="16"/>
                <w:szCs w:val="16"/>
                <w:b w:val="1"/>
                <w:bCs w:val="1"/>
                <w:color w:val="auto"/>
              </w:rPr>
              <w:t>80 pbs</w:t>
            </w:r>
          </w:p>
        </w:tc>
        <w:tc>
          <w:tcPr>
            <w:tcW w:w="760" w:type="dxa"/>
            <w:vAlign w:val="bottom"/>
            <w:tcBorders>
              <w:bottom w:val="single" w:sz="8" w:color="auto"/>
            </w:tcBorders>
          </w:tcPr>
          <w:p>
            <w:pPr>
              <w:jc w:val="center"/>
              <w:ind w:left="118"/>
              <w:spacing w:after="0" w:line="178" w:lineRule="exact"/>
              <w:rPr>
                <w:sz w:val="20"/>
                <w:szCs w:val="20"/>
                <w:color w:val="auto"/>
              </w:rPr>
            </w:pPr>
            <w:r>
              <w:rPr>
                <w:rFonts w:ascii="Arial" w:cs="Arial" w:eastAsia="Arial" w:hAnsi="Arial"/>
                <w:sz w:val="16"/>
                <w:szCs w:val="16"/>
                <w:b w:val="1"/>
                <w:bCs w:val="1"/>
                <w:color w:val="auto"/>
              </w:rPr>
              <w:t>46.7%</w:t>
            </w:r>
          </w:p>
        </w:tc>
        <w:tc>
          <w:tcPr>
            <w:tcW w:w="1240" w:type="dxa"/>
            <w:vAlign w:val="bottom"/>
            <w:tcBorders>
              <w:bottom w:val="single" w:sz="8" w:color="auto"/>
              <w:right w:val="single" w:sz="8" w:color="auto"/>
            </w:tcBorders>
          </w:tcPr>
          <w:p>
            <w:pPr>
              <w:jc w:val="center"/>
              <w:ind w:left="98"/>
              <w:spacing w:after="0" w:line="178" w:lineRule="exact"/>
              <w:rPr>
                <w:sz w:val="20"/>
                <w:szCs w:val="20"/>
                <w:color w:val="auto"/>
              </w:rPr>
            </w:pPr>
            <w:r>
              <w:rPr>
                <w:rFonts w:ascii="Arial" w:cs="Arial" w:eastAsia="Arial" w:hAnsi="Arial"/>
                <w:sz w:val="16"/>
                <w:szCs w:val="16"/>
                <w:b w:val="1"/>
                <w:bCs w:val="1"/>
                <w:color w:val="auto"/>
              </w:rPr>
              <w:t>45.1%</w:t>
            </w:r>
          </w:p>
        </w:tc>
        <w:tc>
          <w:tcPr>
            <w:tcW w:w="1360" w:type="dxa"/>
            <w:vAlign w:val="bottom"/>
            <w:tcBorders>
              <w:bottom w:val="single" w:sz="8" w:color="auto"/>
              <w:right w:val="single" w:sz="8" w:color="auto"/>
            </w:tcBorders>
          </w:tcPr>
          <w:p>
            <w:pPr>
              <w:jc w:val="center"/>
              <w:spacing w:after="0" w:line="178" w:lineRule="exact"/>
              <w:rPr>
                <w:sz w:val="20"/>
                <w:szCs w:val="20"/>
                <w:color w:val="auto"/>
              </w:rPr>
            </w:pPr>
            <w:r>
              <w:rPr>
                <w:rFonts w:ascii="Arial" w:cs="Arial" w:eastAsia="Arial" w:hAnsi="Arial"/>
                <w:sz w:val="16"/>
                <w:szCs w:val="16"/>
                <w:b w:val="1"/>
                <w:bCs w:val="1"/>
                <w:color w:val="auto"/>
              </w:rPr>
              <w:t>-160 pbs</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1"/>
        <w:spacing w:after="0"/>
        <w:rPr>
          <w:sz w:val="20"/>
          <w:szCs w:val="20"/>
          <w:color w:val="auto"/>
        </w:rPr>
      </w:pPr>
      <w:r>
        <w:rPr>
          <w:rFonts w:ascii="Arial" w:cs="Arial" w:eastAsia="Arial" w:hAnsi="Arial"/>
          <w:sz w:val="16"/>
          <w:szCs w:val="16"/>
          <w:color w:val="auto"/>
        </w:rPr>
        <w:t>Our analysis will focus on YTD movements to eliminate seasonality between quarters.</w:t>
      </w:r>
    </w:p>
    <w:p>
      <w:pPr>
        <w:spacing w:after="0" w:line="187" w:lineRule="exact"/>
        <w:rPr>
          <w:sz w:val="20"/>
          <w:szCs w:val="20"/>
          <w:color w:val="auto"/>
        </w:rPr>
      </w:pPr>
    </w:p>
    <w:p>
      <w:pPr>
        <w:ind w:left="1"/>
        <w:spacing w:after="0" w:line="274" w:lineRule="auto"/>
        <w:rPr>
          <w:sz w:val="20"/>
          <w:szCs w:val="20"/>
          <w:color w:val="auto"/>
        </w:rPr>
      </w:pPr>
      <w:r>
        <w:rPr>
          <w:rFonts w:ascii="Arial" w:cs="Arial" w:eastAsia="Arial" w:hAnsi="Arial"/>
          <w:sz w:val="16"/>
          <w:szCs w:val="16"/>
          <w:color w:val="auto"/>
        </w:rPr>
        <w:t>The efficiency ratio improved, which was driven primarily by growth in core income at BCP via an increase in the structural loan volume and secondarily by an uptick in the Insurance Underwriting Result at Pacifico.</w:t>
      </w:r>
    </w:p>
    <w:p>
      <w:pPr>
        <w:spacing w:after="0" w:line="124" w:lineRule="exact"/>
        <w:rPr>
          <w:sz w:val="20"/>
          <w:szCs w:val="20"/>
          <w:color w:val="auto"/>
        </w:rPr>
      </w:pPr>
    </w:p>
    <w:p>
      <w:pPr>
        <w:ind w:left="1"/>
        <w:spacing w:after="0"/>
        <w:rPr>
          <w:sz w:val="20"/>
          <w:szCs w:val="20"/>
          <w:color w:val="auto"/>
        </w:rPr>
      </w:pPr>
      <w:r>
        <w:rPr>
          <w:rFonts w:ascii="Arial" w:cs="Arial" w:eastAsia="Arial" w:hAnsi="Arial"/>
          <w:sz w:val="16"/>
          <w:szCs w:val="16"/>
          <w:color w:val="auto"/>
        </w:rPr>
        <w:t>If we exclude expenses related to disruptive initiatives at the Credicorp level, the YTD efficiency ratio at the end of September 2023 stands at 40.9%.</w:t>
      </w:r>
    </w:p>
    <w:p>
      <w:pPr>
        <w:spacing w:after="0" w:line="33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43750" cy="158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337" w:right="339" w:bottom="1440" w:gutter="0" w:footer="0" w:header="0"/>
        </w:sectPr>
      </w:pPr>
    </w:p>
    <w:bookmarkStart w:id="40" w:name="page41"/>
    <w:bookmarkEnd w:id="40"/>
    <w:p>
      <w:pPr>
        <w:ind w:left="2960"/>
        <w:spacing w:after="0"/>
        <w:tabs>
          <w:tab w:leader="none" w:pos="3140" w:val="left"/>
          <w:tab w:leader="none" w:pos="7700" w:val="left"/>
        </w:tabs>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202565</wp:posOffset>
            </wp:positionH>
            <wp:positionV relativeFrom="page">
              <wp:posOffset>88900</wp:posOffset>
            </wp:positionV>
            <wp:extent cx="7143750" cy="41592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3750" cy="415925"/>
                    </a:xfrm>
                    <a:prstGeom prst="rect">
                      <a:avLst/>
                    </a:prstGeom>
                    <a:noFill/>
                  </pic:spPr>
                </pic:pic>
              </a:graphicData>
            </a:graphic>
          </wp:anchor>
        </w:drawing>
        <w:t>|</w:t>
      </w:r>
      <w:r>
        <w:rPr>
          <w:sz w:val="20"/>
          <w:szCs w:val="20"/>
          <w:color w:val="auto"/>
        </w:rPr>
        <w:tab/>
      </w:r>
      <w:r>
        <w:rPr>
          <w:rFonts w:ascii="Arial" w:cs="Arial" w:eastAsia="Arial" w:hAnsi="Arial"/>
          <w:sz w:val="16"/>
          <w:szCs w:val="16"/>
          <w:b w:val="1"/>
          <w:bCs w:val="1"/>
          <w:color w:val="FFFFFF"/>
        </w:rPr>
        <w:t>Earnings Release 3Q / 2023</w:t>
      </w:r>
      <w:r>
        <w:rPr>
          <w:sz w:val="20"/>
          <w:szCs w:val="20"/>
          <w:color w:val="auto"/>
        </w:rPr>
        <w:tab/>
      </w:r>
      <w:r>
        <w:rPr>
          <w:rFonts w:ascii="Arial" w:cs="Arial" w:eastAsia="Arial" w:hAnsi="Arial"/>
          <w:sz w:val="18"/>
          <w:szCs w:val="18"/>
          <w:b w:val="1"/>
          <w:bCs w:val="1"/>
          <w:color w:val="E93CAC"/>
        </w:rPr>
        <w:t>Analysis of 3Q23 Consolidated Results</w:t>
      </w:r>
    </w:p>
    <w:p>
      <w:pPr>
        <w:spacing w:after="0" w:line="293" w:lineRule="exact"/>
        <w:rPr>
          <w:sz w:val="20"/>
          <w:szCs w:val="20"/>
          <w:color w:val="auto"/>
        </w:rPr>
      </w:pPr>
    </w:p>
    <w:p>
      <w:pPr>
        <w:spacing w:after="0"/>
        <w:tabs>
          <w:tab w:leader="none" w:pos="880" w:val="left"/>
        </w:tabs>
        <w:rPr>
          <w:sz w:val="20"/>
          <w:szCs w:val="20"/>
          <w:color w:val="auto"/>
        </w:rPr>
      </w:pPr>
      <w:r>
        <w:rPr>
          <w:rFonts w:ascii="Arial" w:cs="Arial" w:eastAsia="Arial" w:hAnsi="Arial"/>
          <w:sz w:val="40"/>
          <w:szCs w:val="40"/>
          <w:b w:val="1"/>
          <w:bCs w:val="1"/>
          <w:color w:val="E93CAC"/>
        </w:rPr>
        <w:t>10</w:t>
      </w:r>
      <w:r>
        <w:rPr>
          <w:sz w:val="20"/>
          <w:szCs w:val="20"/>
          <w:color w:val="auto"/>
        </w:rPr>
        <w:tab/>
      </w:r>
      <w:r>
        <w:rPr>
          <w:rFonts w:ascii="Arial" w:cs="Arial" w:eastAsia="Arial" w:hAnsi="Arial"/>
          <w:sz w:val="30"/>
          <w:szCs w:val="30"/>
          <w:color w:val="E93CAC"/>
        </w:rPr>
        <w:t>Regulatory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191135</wp:posOffset>
            </wp:positionV>
            <wp:extent cx="7143750" cy="9182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3750" cy="918210"/>
                    </a:xfrm>
                    <a:prstGeom prst="rect">
                      <a:avLst/>
                    </a:prstGeom>
                    <a:noFill/>
                  </pic:spPr>
                </pic:pic>
              </a:graphicData>
            </a:graphic>
          </wp:anchor>
        </w:drawing>
      </w:r>
    </w:p>
    <w:p>
      <w:pPr>
        <w:spacing w:after="0" w:line="368" w:lineRule="exact"/>
        <w:rPr>
          <w:sz w:val="20"/>
          <w:szCs w:val="20"/>
          <w:color w:val="auto"/>
        </w:rPr>
      </w:pPr>
    </w:p>
    <w:p>
      <w:pPr>
        <w:ind w:left="220"/>
        <w:spacing w:after="0"/>
        <w:rPr>
          <w:sz w:val="20"/>
          <w:szCs w:val="20"/>
          <w:color w:val="auto"/>
        </w:rPr>
      </w:pPr>
      <w:r>
        <w:rPr>
          <w:rFonts w:ascii="Arial" w:cs="Arial" w:eastAsia="Arial" w:hAnsi="Arial"/>
          <w:sz w:val="16"/>
          <w:szCs w:val="16"/>
          <w:color w:val="FFFFFF"/>
        </w:rPr>
        <w:t>Regulatory Capital at Credicorp was 1.44 times than the minimum requirement for Regulatory Capital.</w:t>
      </w:r>
    </w:p>
    <w:p>
      <w:pPr>
        <w:spacing w:after="0" w:line="187" w:lineRule="exact"/>
        <w:rPr>
          <w:sz w:val="20"/>
          <w:szCs w:val="20"/>
          <w:color w:val="auto"/>
        </w:rPr>
      </w:pPr>
    </w:p>
    <w:p>
      <w:pPr>
        <w:ind w:left="220" w:right="480"/>
        <w:spacing w:after="0" w:line="274" w:lineRule="auto"/>
        <w:rPr>
          <w:sz w:val="20"/>
          <w:szCs w:val="20"/>
          <w:color w:val="auto"/>
        </w:rPr>
      </w:pPr>
      <w:r>
        <w:rPr>
          <w:rFonts w:ascii="Arial" w:cs="Arial" w:eastAsia="Arial" w:hAnsi="Arial"/>
          <w:sz w:val="16"/>
          <w:szCs w:val="16"/>
          <w:color w:val="FFFFFF"/>
        </w:rPr>
        <w:t>The IFRS CET1 ratio at BCP Stand-alone increased 121 bps YoY to stand at 13.0%, which reflected the uptick reported in the YTD and Year-end Results (+21.9%) as well as a reduction in Unrealized Losses (-70.6%).</w:t>
      </w:r>
    </w:p>
    <w:p>
      <w:pPr>
        <w:spacing w:after="0" w:line="87" w:lineRule="exact"/>
        <w:rPr>
          <w:sz w:val="20"/>
          <w:szCs w:val="20"/>
          <w:color w:val="auto"/>
        </w:rPr>
      </w:pPr>
    </w:p>
    <w:p>
      <w:pPr>
        <w:ind w:left="220" w:right="600"/>
        <w:spacing w:after="0" w:line="274" w:lineRule="auto"/>
        <w:rPr>
          <w:sz w:val="20"/>
          <w:szCs w:val="20"/>
          <w:color w:val="auto"/>
        </w:rPr>
      </w:pPr>
      <w:r>
        <w:rPr>
          <w:rFonts w:ascii="Arial" w:cs="Arial" w:eastAsia="Arial" w:hAnsi="Arial"/>
          <w:sz w:val="16"/>
          <w:szCs w:val="16"/>
          <w:color w:val="FFFFFF"/>
        </w:rPr>
        <w:t>The IRFS CET1 Ratio at Mibanco rose 157 bps YoY to stand at 17.56%. A drop in RWAs (-1.6%) and an increase in YTD and Year- end results (+133.8%) drove this dynamic.</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10.1 Regulatory Capital</w:t>
      </w:r>
    </w:p>
    <w:p>
      <w:pPr>
        <w:sectPr>
          <w:pgSz w:w="11900" w:h="16838" w:orient="portrait"/>
          <w:cols w:equalWidth="0" w:num="1">
            <w:col w:w="11240"/>
          </w:cols>
          <w:pgMar w:left="320" w:top="337" w:right="339" w:bottom="1440" w:gutter="0" w:footer="0" w:header="0"/>
        </w:sectPr>
      </w:pPr>
    </w:p>
    <w:p>
      <w:pPr>
        <w:spacing w:after="0" w:line="18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Credicorp’s Regulatory Capital level stood at 1.44 at the end of 3Q23. In the QoQ analysis, the ratio dropped 2 bps. This evolution was driven by an increase in the regulatory capital requirement, which was partially offset by an uptick the Subordinated Debt balance. Both lines were affected by a higher exchange rate.</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color w:val="auto"/>
        </w:rPr>
        <w:t>Figures in millions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1905</wp:posOffset>
            </wp:positionV>
            <wp:extent cx="2386330" cy="182118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386330" cy="1821180"/>
                    </a:xfrm>
                    <a:prstGeom prst="rect">
                      <a:avLst/>
                    </a:prstGeom>
                    <a:noFill/>
                  </pic:spPr>
                </pic:pic>
              </a:graphicData>
            </a:graphic>
          </wp:anchor>
        </w:drawing>
      </w:r>
    </w:p>
    <w:p>
      <w:pPr>
        <w:spacing w:after="0" w:line="953" w:lineRule="exact"/>
        <w:rPr>
          <w:sz w:val="20"/>
          <w:szCs w:val="20"/>
          <w:color w:val="auto"/>
        </w:rPr>
      </w:pPr>
    </w:p>
    <w:p>
      <w:pPr>
        <w:sectPr>
          <w:pgSz w:w="11900" w:h="16838" w:orient="portrait"/>
          <w:cols w:equalWidth="0" w:num="2">
            <w:col w:w="5400" w:space="460"/>
            <w:col w:w="5380"/>
          </w:cols>
          <w:pgMar w:left="320" w:top="337" w:right="339" w:bottom="1440" w:gutter="0" w:footer="0" w:header="0"/>
          <w:type w:val="continuous"/>
        </w:sectPr>
      </w:pPr>
    </w:p>
    <w:p>
      <w:pPr>
        <w:jc w:val="both"/>
        <w:ind w:right="5840"/>
        <w:spacing w:after="0" w:line="252" w:lineRule="auto"/>
        <w:rPr>
          <w:sz w:val="20"/>
          <w:szCs w:val="20"/>
          <w:color w:val="auto"/>
        </w:rPr>
      </w:pPr>
      <w:r>
        <w:rPr>
          <w:rFonts w:ascii="Arial" w:cs="Arial" w:eastAsia="Arial" w:hAnsi="Arial"/>
          <w:sz w:val="16"/>
          <w:szCs w:val="16"/>
          <w:color w:val="auto"/>
        </w:rPr>
        <w:t>In the YoY analysis, the Regulatory Capital Ratio dropped 1bps due to an increase in the regulatory capital volume for portfolios at BCP Stand-alone and Mibanco. This growth was partially offset by an uptick in Discretinary and Restricted Reserves.</w:t>
      </w:r>
    </w:p>
    <w:p>
      <w:pPr>
        <w:sectPr>
          <w:pgSz w:w="11900" w:h="16838" w:orient="portrait"/>
          <w:cols w:equalWidth="0" w:num="1">
            <w:col w:w="11240"/>
          </w:cols>
          <w:pgMar w:left="320" w:top="33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Analysis of Capital at the Subsidiaries</w:t>
      </w:r>
    </w:p>
    <w:p>
      <w:pPr>
        <w:spacing w:after="0" w:line="195"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Under the current local regulation, which has been in effect since January 2023, three regulatory ratios exist: Common Equity Tier 1 (CET 1), Tier 1 Capital and Global Capital. For all effective purposes, Tier 1 Capital is equal to CET 1 Ratio in Credicorp’s case given that we possess no subordinated Tier 1 debt. Additionally, as has been our practice over the last few years, we use the IFRS CET 1 ratio, which differs slightly from CET 1 ratio (calculated under local accounting) primarily in the lines of Provisions and Unrealized Loss accounts. Accordingly, our analysis focuses solely on IFRS CET 1.</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10.2 Analysis of Capital at BCP Stand-alone</w:t>
      </w:r>
    </w:p>
    <w:p>
      <w:pPr>
        <w:spacing w:after="0" w:line="183" w:lineRule="exact"/>
        <w:rPr>
          <w:sz w:val="20"/>
          <w:szCs w:val="20"/>
          <w:color w:val="auto"/>
        </w:rPr>
      </w:pPr>
    </w:p>
    <w:p>
      <w:pPr>
        <w:jc w:val="both"/>
        <w:ind w:left="5860"/>
        <w:spacing w:after="0" w:line="247" w:lineRule="auto"/>
        <w:rPr>
          <w:sz w:val="20"/>
          <w:szCs w:val="20"/>
          <w:color w:val="auto"/>
        </w:rPr>
      </w:pPr>
      <w:r>
        <w:rPr>
          <w:rFonts w:ascii="Arial" w:cs="Arial" w:eastAsia="Arial" w:hAnsi="Arial"/>
          <w:sz w:val="16"/>
          <w:szCs w:val="16"/>
          <w:color w:val="auto"/>
        </w:rPr>
        <w:t>At the end of 3Q23, BCP IFRS CET 1 ratio reported growth of 25 bps QoQ to stand at 13.04% at the end of 3Q23. This evolution was driven by an uptick in YTD and Year-end Results and was partially offset by growth in balance for Unrealized Losses. RWA levels increased 2.7%, fueled by growth in BCP’s loan portfolio. YoY, BCP IFRS CET 1 ratio increased 121 bps, driven by (i) higher YTD and Year-end results and (ii) a drop in balance for Unrealized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-833120</wp:posOffset>
            </wp:positionV>
            <wp:extent cx="2088515" cy="22453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088515" cy="2245360"/>
                    </a:xfrm>
                    <a:prstGeom prst="rect">
                      <a:avLst/>
                    </a:prstGeom>
                    <a:noFill/>
                  </pic:spPr>
                </pic:pic>
              </a:graphicData>
            </a:graphic>
          </wp:anchor>
        </w:drawing>
      </w:r>
    </w:p>
    <w:p>
      <w:pPr>
        <w:spacing w:after="0" w:line="138" w:lineRule="exact"/>
        <w:rPr>
          <w:sz w:val="20"/>
          <w:szCs w:val="20"/>
          <w:color w:val="auto"/>
        </w:rPr>
      </w:pPr>
    </w:p>
    <w:p>
      <w:pPr>
        <w:ind w:left="5860" w:right="100"/>
        <w:spacing w:after="0" w:line="247" w:lineRule="auto"/>
        <w:rPr>
          <w:sz w:val="20"/>
          <w:szCs w:val="20"/>
          <w:color w:val="auto"/>
        </w:rPr>
      </w:pPr>
      <w:r>
        <w:rPr>
          <w:rFonts w:ascii="Arial" w:cs="Arial" w:eastAsia="Arial" w:hAnsi="Arial"/>
          <w:sz w:val="16"/>
          <w:szCs w:val="16"/>
          <w:color w:val="auto"/>
        </w:rPr>
        <w:t>Finally, under the parameters of current regulation, the Global Capital Ratio at BCP Stand-alone stood at 17.51% (+31 bps QoQ). The uptick in this ratio was due primarily to (i) an uptick in YTD and Year-end Results and (ii) an increase in the balance for Subordinated Debt, which was fueled by a higher exchange rate. This was partially offset by growth in Credit Risk-Weighted Assets, which was driven by loan growth at BCP and by a higher exchange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43750" cy="1587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41" w:name="page42"/>
    <w:bookmarkEnd w:id="41"/>
    <w:p>
      <w:pPr>
        <w:ind w:left="2960"/>
        <w:spacing w:after="0"/>
        <w:tabs>
          <w:tab w:leader="none" w:pos="3140" w:val="left"/>
          <w:tab w:leader="none" w:pos="7700" w:val="left"/>
        </w:tabs>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202565</wp:posOffset>
            </wp:positionH>
            <wp:positionV relativeFrom="page">
              <wp:posOffset>88900</wp:posOffset>
            </wp:positionV>
            <wp:extent cx="7143750" cy="41592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3750" cy="415925"/>
                    </a:xfrm>
                    <a:prstGeom prst="rect">
                      <a:avLst/>
                    </a:prstGeom>
                    <a:noFill/>
                  </pic:spPr>
                </pic:pic>
              </a:graphicData>
            </a:graphic>
          </wp:anchor>
        </w:drawing>
        <w:t>|</w:t>
      </w:r>
      <w:r>
        <w:rPr>
          <w:sz w:val="20"/>
          <w:szCs w:val="20"/>
          <w:color w:val="auto"/>
        </w:rPr>
        <w:tab/>
      </w:r>
      <w:r>
        <w:rPr>
          <w:rFonts w:ascii="Arial" w:cs="Arial" w:eastAsia="Arial" w:hAnsi="Arial"/>
          <w:sz w:val="16"/>
          <w:szCs w:val="16"/>
          <w:b w:val="1"/>
          <w:bCs w:val="1"/>
          <w:color w:val="FFFFFF"/>
        </w:rPr>
        <w:t>Earnings Release 3Q / 2023</w:t>
      </w:r>
      <w:r>
        <w:rPr>
          <w:sz w:val="20"/>
          <w:szCs w:val="20"/>
          <w:color w:val="auto"/>
        </w:rPr>
        <w:tab/>
      </w:r>
      <w:r>
        <w:rPr>
          <w:rFonts w:ascii="Arial" w:cs="Arial" w:eastAsia="Arial" w:hAnsi="Arial"/>
          <w:sz w:val="18"/>
          <w:szCs w:val="18"/>
          <w:b w:val="1"/>
          <w:bCs w:val="1"/>
          <w:color w:val="E93CAC"/>
        </w:rPr>
        <w:t>Analysis of 3Q23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167005</wp:posOffset>
            </wp:positionV>
            <wp:extent cx="7143750" cy="2038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3750" cy="203835"/>
                    </a:xfrm>
                    <a:prstGeom prst="rect">
                      <a:avLst/>
                    </a:prstGeom>
                    <a:noFill/>
                  </pic:spPr>
                </pic:pic>
              </a:graphicData>
            </a:graphic>
          </wp:anchor>
        </w:drawing>
      </w:r>
    </w:p>
    <w:p>
      <w:pPr>
        <w:spacing w:after="0" w:line="263"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FFFFFF"/>
        </w:rPr>
        <w:t>10. Regulatory Capital</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10.3 Analysis of Capital at Mibanco</w:t>
      </w:r>
    </w:p>
    <w:p>
      <w:pPr>
        <w:spacing w:after="0" w:line="183" w:lineRule="exact"/>
        <w:rPr>
          <w:sz w:val="20"/>
          <w:szCs w:val="20"/>
          <w:color w:val="auto"/>
        </w:rPr>
      </w:pPr>
    </w:p>
    <w:p>
      <w:pPr>
        <w:ind w:left="5860" w:right="20"/>
        <w:spacing w:after="0" w:line="247" w:lineRule="auto"/>
        <w:rPr>
          <w:sz w:val="20"/>
          <w:szCs w:val="20"/>
          <w:color w:val="auto"/>
        </w:rPr>
      </w:pPr>
      <w:r>
        <w:rPr>
          <w:rFonts w:ascii="Arial" w:cs="Arial" w:eastAsia="Arial" w:hAnsi="Arial"/>
          <w:sz w:val="16"/>
          <w:szCs w:val="16"/>
          <w:color w:val="auto"/>
        </w:rPr>
        <w:t>At the end of 3Q23, Mibanco IFRS CET 1 ratio rose 96 bps to stand at 17.56%. This rise was primarily driven by a drop in RWAs associated with credit risk and operating risk. Growth in YTD and Year-end results also contributed to the uptick in IFRS CET 1. This was partially offset by an uptick in balance for Unrealized Losses. YoY, this ratio rose 157 bps to stand at 19.75%, due to a drop in the RWA level; growth in YTD and Year-end Results; and a reduction in Unrealized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462280</wp:posOffset>
            </wp:positionH>
            <wp:positionV relativeFrom="paragraph">
              <wp:posOffset>-833120</wp:posOffset>
            </wp:positionV>
            <wp:extent cx="2472690" cy="19627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472690" cy="1962785"/>
                    </a:xfrm>
                    <a:prstGeom prst="rect">
                      <a:avLst/>
                    </a:prstGeom>
                    <a:noFill/>
                  </pic:spPr>
                </pic:pic>
              </a:graphicData>
            </a:graphic>
          </wp:anchor>
        </w:drawing>
      </w:r>
    </w:p>
    <w:p>
      <w:pPr>
        <w:spacing w:after="0" w:line="2" w:lineRule="exact"/>
        <w:rPr>
          <w:sz w:val="20"/>
          <w:szCs w:val="20"/>
          <w:color w:val="auto"/>
        </w:rPr>
      </w:pPr>
    </w:p>
    <w:p>
      <w:pPr>
        <w:jc w:val="both"/>
        <w:ind w:left="5860"/>
        <w:spacing w:after="0" w:line="258" w:lineRule="auto"/>
        <w:rPr>
          <w:sz w:val="20"/>
          <w:szCs w:val="20"/>
          <w:color w:val="auto"/>
        </w:rPr>
      </w:pPr>
      <w:r>
        <w:rPr>
          <w:rFonts w:ascii="Arial" w:cs="Arial" w:eastAsia="Arial" w:hAnsi="Arial"/>
          <w:sz w:val="16"/>
          <w:szCs w:val="16"/>
          <w:color w:val="auto"/>
        </w:rPr>
        <w:t>Under the new regulation, the Global Capital Ratio at Mibanco stood at 19.75% (+97 bps QoQ). This variation was driven by the same dynamics as those that drove the evolution of the CET 1 Ratio.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43750" cy="1587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2" w:name="page43"/>
    <w:bookmarkEnd w:id="42"/>
    <w:p>
      <w:pPr>
        <w:ind w:left="2961"/>
        <w:spacing w:after="0"/>
        <w:tabs>
          <w:tab w:leader="none" w:pos="3141" w:val="left"/>
          <w:tab w:leader="none" w:pos="7701" w:val="left"/>
        </w:tabs>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202565</wp:posOffset>
            </wp:positionH>
            <wp:positionV relativeFrom="page">
              <wp:posOffset>88900</wp:posOffset>
            </wp:positionV>
            <wp:extent cx="7143750" cy="41592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3750" cy="415925"/>
                    </a:xfrm>
                    <a:prstGeom prst="rect">
                      <a:avLst/>
                    </a:prstGeom>
                    <a:noFill/>
                  </pic:spPr>
                </pic:pic>
              </a:graphicData>
            </a:graphic>
          </wp:anchor>
        </w:drawing>
        <w:t>|</w:t>
      </w:r>
      <w:r>
        <w:rPr>
          <w:sz w:val="20"/>
          <w:szCs w:val="20"/>
          <w:color w:val="auto"/>
        </w:rPr>
        <w:tab/>
      </w:r>
      <w:r>
        <w:rPr>
          <w:rFonts w:ascii="Arial" w:cs="Arial" w:eastAsia="Arial" w:hAnsi="Arial"/>
          <w:sz w:val="16"/>
          <w:szCs w:val="16"/>
          <w:b w:val="1"/>
          <w:bCs w:val="1"/>
          <w:color w:val="FFFFFF"/>
        </w:rPr>
        <w:t>Earnings Release 3Q / 2023</w:t>
      </w:r>
      <w:r>
        <w:rPr>
          <w:sz w:val="20"/>
          <w:szCs w:val="20"/>
          <w:color w:val="auto"/>
        </w:rPr>
        <w:tab/>
      </w:r>
      <w:r>
        <w:rPr>
          <w:rFonts w:ascii="Arial" w:cs="Arial" w:eastAsia="Arial" w:hAnsi="Arial"/>
          <w:sz w:val="18"/>
          <w:szCs w:val="18"/>
          <w:b w:val="1"/>
          <w:bCs w:val="1"/>
          <w:color w:val="E93CAC"/>
        </w:rPr>
        <w:t>Analysis of 3Q23 Consolidated Results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
        <w:spacing w:after="0"/>
        <w:tabs>
          <w:tab w:leader="none" w:pos="881" w:val="left"/>
        </w:tabs>
        <w:rPr>
          <w:sz w:val="20"/>
          <w:szCs w:val="20"/>
          <w:color w:val="auto"/>
        </w:rPr>
      </w:pPr>
      <w:r>
        <w:rPr>
          <w:rFonts w:ascii="Arial" w:cs="Arial" w:eastAsia="Arial" w:hAnsi="Arial"/>
          <w:sz w:val="40"/>
          <w:szCs w:val="40"/>
          <w:b w:val="1"/>
          <w:bCs w:val="1"/>
          <w:color w:val="E93CAC"/>
        </w:rPr>
        <w:t>11</w:t>
      </w:r>
      <w:r>
        <w:rPr>
          <w:sz w:val="20"/>
          <w:szCs w:val="20"/>
          <w:color w:val="auto"/>
        </w:rPr>
        <w:tab/>
      </w:r>
      <w:r>
        <w:rPr>
          <w:rFonts w:ascii="Arial" w:cs="Arial" w:eastAsia="Arial" w:hAnsi="Arial"/>
          <w:sz w:val="30"/>
          <w:szCs w:val="30"/>
          <w:color w:val="E93CAC"/>
        </w:rPr>
        <w:t>Economic Outlook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191135</wp:posOffset>
            </wp:positionV>
            <wp:extent cx="7143750" cy="13112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3750" cy="1311275"/>
                    </a:xfrm>
                    <a:prstGeom prst="rect">
                      <a:avLst/>
                    </a:prstGeom>
                    <a:noFill/>
                  </pic:spPr>
                </pic:pic>
              </a:graphicData>
            </a:graphic>
          </wp:anchor>
        </w:drawing>
      </w:r>
    </w:p>
    <w:p>
      <w:pPr>
        <w:spacing w:after="0" w:line="368" w:lineRule="exact"/>
        <w:rPr>
          <w:sz w:val="20"/>
          <w:szCs w:val="20"/>
          <w:color w:val="auto"/>
        </w:rPr>
      </w:pPr>
    </w:p>
    <w:p>
      <w:pPr>
        <w:jc w:val="both"/>
        <w:ind w:left="141"/>
        <w:spacing w:after="0" w:line="250" w:lineRule="auto"/>
        <w:rPr>
          <w:sz w:val="20"/>
          <w:szCs w:val="20"/>
          <w:color w:val="auto"/>
        </w:rPr>
      </w:pPr>
      <w:r>
        <w:rPr>
          <w:rFonts w:ascii="Arial" w:cs="Arial" w:eastAsia="Arial" w:hAnsi="Arial"/>
          <w:sz w:val="16"/>
          <w:szCs w:val="16"/>
          <w:color w:val="FFFFFF"/>
        </w:rPr>
        <w:t>In 3Q23, the Peruvian economy is expected to have contracted around 0.9% YoY (-0.5% YoY in 2Q23), accumulating its third consecutive quarter of YoY decline. Non-primary sectors fell 1.6%, due to lower domestic demand, where the fall in the construction (-9.0% YoY), non-primary manufacturing (-8.5% YoY) and services sectors (-0.4% YoY) stands out. While primary sectors grew 3.0% due to the favorable performance of the mining sector (+11.1% YoY). This offset the decline in the agricultural (-3.1% YoY), fishing (-28.9% YoY) and primary manufacturing (-2.3% YoY) sectors due to the El Niño Costero, which reached a strong intensity this quarter.</w:t>
      </w:r>
    </w:p>
    <w:p>
      <w:pPr>
        <w:spacing w:after="0" w:line="68" w:lineRule="exact"/>
        <w:rPr>
          <w:sz w:val="20"/>
          <w:szCs w:val="20"/>
          <w:color w:val="auto"/>
        </w:rPr>
      </w:pPr>
    </w:p>
    <w:p>
      <w:pPr>
        <w:jc w:val="both"/>
        <w:ind w:left="141"/>
        <w:spacing w:after="0" w:line="274" w:lineRule="auto"/>
        <w:rPr>
          <w:sz w:val="20"/>
          <w:szCs w:val="20"/>
          <w:color w:val="auto"/>
        </w:rPr>
      </w:pPr>
      <w:r>
        <w:rPr>
          <w:rFonts w:ascii="Arial" w:cs="Arial" w:eastAsia="Arial" w:hAnsi="Arial"/>
          <w:sz w:val="16"/>
          <w:szCs w:val="16"/>
          <w:color w:val="FFFFFF"/>
        </w:rPr>
        <w:t>The annual inflation rate continued to decelerate, closing the quarter at 5.0% YoY (6.5% YoY in 2Q23). Real GDP, in turn, is expected to register no or slightly negative growth this year.</w:t>
      </w:r>
    </w:p>
    <w:p>
      <w:pPr>
        <w:spacing w:after="0" w:line="50" w:lineRule="exact"/>
        <w:rPr>
          <w:sz w:val="20"/>
          <w:szCs w:val="20"/>
          <w:color w:val="auto"/>
        </w:rPr>
      </w:pPr>
    </w:p>
    <w:p>
      <w:pPr>
        <w:jc w:val="both"/>
        <w:ind w:left="141"/>
        <w:spacing w:after="0" w:line="274" w:lineRule="auto"/>
        <w:rPr>
          <w:sz w:val="20"/>
          <w:szCs w:val="20"/>
          <w:color w:val="auto"/>
        </w:rPr>
      </w:pPr>
      <w:r>
        <w:rPr>
          <w:rFonts w:ascii="Arial" w:cs="Arial" w:eastAsia="Arial" w:hAnsi="Arial"/>
          <w:sz w:val="16"/>
          <w:szCs w:val="16"/>
          <w:color w:val="FFFFFF"/>
        </w:rPr>
        <w:t>According to BCRP, the exchange rate closed at USDPEN 3.792 in 3Q23, which represents an appreciation of 4.6% compared to the print at the end of 2Q23 and 4.8% compared to the figure registered one year ago.</w:t>
      </w:r>
    </w:p>
    <w:p>
      <w:pPr>
        <w:spacing w:after="0" w:line="104"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Peru: Economic Forecast</w:t>
      </w:r>
    </w:p>
    <w:p>
      <w:pPr>
        <w:spacing w:after="0" w:line="175" w:lineRule="exact"/>
        <w:rPr>
          <w:sz w:val="20"/>
          <w:szCs w:val="20"/>
          <w:color w:val="auto"/>
        </w:rPr>
      </w:pPr>
    </w:p>
    <w:tbl>
      <w:tblPr>
        <w:tblLayout w:type="fixed"/>
        <w:tblInd w:w="11" w:type="dxa"/>
        <w:tblCellMar>
          <w:top w:w="0" w:type="dxa"/>
          <w:left w:w="0" w:type="dxa"/>
          <w:bottom w:w="0" w:type="dxa"/>
          <w:right w:w="0" w:type="dxa"/>
        </w:tblCellMar>
      </w:tblPr>
      <w:tr>
        <w:trPr>
          <w:trHeight w:val="297"/>
        </w:trPr>
        <w:tc>
          <w:tcPr>
            <w:tcW w:w="4380" w:type="dxa"/>
            <w:vAlign w:val="bottom"/>
            <w:tcBorders>
              <w:top w:val="single" w:sz="8" w:color="auto"/>
              <w:left w:val="single" w:sz="8" w:color="auto"/>
              <w:bottom w:val="single" w:sz="8" w:color="auto"/>
            </w:tcBorders>
            <w:shd w:val="clear" w:color="auto" w:fill="2AD2C9"/>
          </w:tcPr>
          <w:p>
            <w:pPr>
              <w:ind w:left="2080"/>
              <w:spacing w:after="0"/>
              <w:rPr>
                <w:sz w:val="20"/>
                <w:szCs w:val="20"/>
                <w:color w:val="auto"/>
              </w:rPr>
            </w:pPr>
            <w:r>
              <w:rPr>
                <w:rFonts w:ascii="Arial" w:cs="Arial" w:eastAsia="Arial" w:hAnsi="Arial"/>
                <w:sz w:val="16"/>
                <w:szCs w:val="16"/>
                <w:b w:val="1"/>
                <w:bCs w:val="1"/>
                <w:color w:val="FFFFFF"/>
              </w:rPr>
              <w:t>Peru</w:t>
            </w:r>
          </w:p>
        </w:tc>
        <w:tc>
          <w:tcPr>
            <w:tcW w:w="1300" w:type="dxa"/>
            <w:vAlign w:val="bottom"/>
            <w:tcBorders>
              <w:top w:val="single" w:sz="8" w:color="auto"/>
              <w:bottom w:val="single" w:sz="8" w:color="auto"/>
            </w:tcBorders>
            <w:shd w:val="clear" w:color="auto" w:fill="2AD2C9"/>
          </w:tcPr>
          <w:p>
            <w:pPr>
              <w:jc w:val="center"/>
              <w:ind w:left="18"/>
              <w:spacing w:after="0"/>
              <w:rPr>
                <w:sz w:val="20"/>
                <w:szCs w:val="20"/>
                <w:color w:val="auto"/>
              </w:rPr>
            </w:pPr>
            <w:r>
              <w:rPr>
                <w:rFonts w:ascii="Arial" w:cs="Arial" w:eastAsia="Arial" w:hAnsi="Arial"/>
                <w:sz w:val="16"/>
                <w:szCs w:val="16"/>
                <w:b w:val="1"/>
                <w:bCs w:val="1"/>
                <w:color w:val="FFFFFF"/>
              </w:rPr>
              <w:t>2018</w:t>
            </w:r>
          </w:p>
        </w:tc>
        <w:tc>
          <w:tcPr>
            <w:tcW w:w="1160" w:type="dxa"/>
            <w:vAlign w:val="bottom"/>
            <w:tcBorders>
              <w:top w:val="single" w:sz="8" w:color="auto"/>
              <w:bottom w:val="single" w:sz="8" w:color="auto"/>
            </w:tcBorders>
            <w:shd w:val="clear" w:color="auto" w:fill="2AD2C9"/>
          </w:tcPr>
          <w:p>
            <w:pPr>
              <w:jc w:val="center"/>
              <w:spacing w:after="0"/>
              <w:rPr>
                <w:sz w:val="20"/>
                <w:szCs w:val="20"/>
                <w:color w:val="auto"/>
              </w:rPr>
            </w:pPr>
            <w:r>
              <w:rPr>
                <w:rFonts w:ascii="Arial" w:cs="Arial" w:eastAsia="Arial" w:hAnsi="Arial"/>
                <w:sz w:val="16"/>
                <w:szCs w:val="16"/>
                <w:b w:val="1"/>
                <w:bCs w:val="1"/>
                <w:color w:val="FFFFFF"/>
              </w:rPr>
              <w:t>2019</w:t>
            </w:r>
          </w:p>
        </w:tc>
        <w:tc>
          <w:tcPr>
            <w:tcW w:w="1160" w:type="dxa"/>
            <w:vAlign w:val="bottom"/>
            <w:tcBorders>
              <w:top w:val="single" w:sz="8" w:color="auto"/>
              <w:bottom w:val="single" w:sz="8" w:color="auto"/>
            </w:tcBorders>
            <w:shd w:val="clear" w:color="auto" w:fill="2AD2C9"/>
          </w:tcPr>
          <w:p>
            <w:pPr>
              <w:jc w:val="center"/>
              <w:spacing w:after="0"/>
              <w:rPr>
                <w:sz w:val="20"/>
                <w:szCs w:val="20"/>
                <w:color w:val="auto"/>
              </w:rPr>
            </w:pPr>
            <w:r>
              <w:rPr>
                <w:rFonts w:ascii="Arial" w:cs="Arial" w:eastAsia="Arial" w:hAnsi="Arial"/>
                <w:sz w:val="16"/>
                <w:szCs w:val="16"/>
                <w:b w:val="1"/>
                <w:bCs w:val="1"/>
                <w:color w:val="FFFFFF"/>
              </w:rPr>
              <w:t>2020</w:t>
            </w:r>
          </w:p>
        </w:tc>
        <w:tc>
          <w:tcPr>
            <w:tcW w:w="1160" w:type="dxa"/>
            <w:vAlign w:val="bottom"/>
            <w:tcBorders>
              <w:top w:val="single" w:sz="8" w:color="auto"/>
              <w:bottom w:val="single" w:sz="8" w:color="auto"/>
            </w:tcBorders>
            <w:shd w:val="clear" w:color="auto" w:fill="2AD2C9"/>
          </w:tcPr>
          <w:p>
            <w:pPr>
              <w:jc w:val="center"/>
              <w:spacing w:after="0"/>
              <w:rPr>
                <w:sz w:val="20"/>
                <w:szCs w:val="20"/>
                <w:color w:val="auto"/>
              </w:rPr>
            </w:pPr>
            <w:r>
              <w:rPr>
                <w:rFonts w:ascii="Arial" w:cs="Arial" w:eastAsia="Arial" w:hAnsi="Arial"/>
                <w:sz w:val="16"/>
                <w:szCs w:val="16"/>
                <w:b w:val="1"/>
                <w:bCs w:val="1"/>
                <w:color w:val="FFFFFF"/>
              </w:rPr>
              <w:t>2021</w:t>
            </w:r>
          </w:p>
        </w:tc>
        <w:tc>
          <w:tcPr>
            <w:tcW w:w="1160" w:type="dxa"/>
            <w:vAlign w:val="bottom"/>
            <w:tcBorders>
              <w:top w:val="single" w:sz="8" w:color="auto"/>
              <w:bottom w:val="single" w:sz="8" w:color="auto"/>
            </w:tcBorders>
            <w:shd w:val="clear" w:color="auto" w:fill="2AD2C9"/>
          </w:tcPr>
          <w:p>
            <w:pPr>
              <w:jc w:val="center"/>
              <w:spacing w:after="0"/>
              <w:rPr>
                <w:sz w:val="20"/>
                <w:szCs w:val="20"/>
                <w:color w:val="auto"/>
              </w:rPr>
            </w:pPr>
            <w:r>
              <w:rPr>
                <w:rFonts w:ascii="Arial" w:cs="Arial" w:eastAsia="Arial" w:hAnsi="Arial"/>
                <w:sz w:val="16"/>
                <w:szCs w:val="16"/>
                <w:b w:val="1"/>
                <w:bCs w:val="1"/>
                <w:color w:val="FFFFFF"/>
              </w:rPr>
              <w:t>2022</w:t>
            </w:r>
          </w:p>
        </w:tc>
        <w:tc>
          <w:tcPr>
            <w:tcW w:w="940" w:type="dxa"/>
            <w:vAlign w:val="bottom"/>
            <w:tcBorders>
              <w:top w:val="single" w:sz="8" w:color="auto"/>
              <w:bottom w:val="single" w:sz="8" w:color="auto"/>
              <w:right w:val="single" w:sz="8" w:color="auto"/>
            </w:tcBorders>
            <w:shd w:val="clear" w:color="auto" w:fill="2AD2C9"/>
          </w:tcPr>
          <w:p>
            <w:pPr>
              <w:jc w:val="center"/>
              <w:spacing w:after="0" w:line="297" w:lineRule="exact"/>
              <w:rPr>
                <w:sz w:val="20"/>
                <w:szCs w:val="20"/>
                <w:color w:val="auto"/>
              </w:rPr>
            </w:pPr>
            <w:r>
              <w:rPr>
                <w:rFonts w:ascii="Arial" w:cs="Arial" w:eastAsia="Arial" w:hAnsi="Arial"/>
                <w:sz w:val="16"/>
                <w:szCs w:val="16"/>
                <w:b w:val="1"/>
                <w:bCs w:val="1"/>
                <w:color w:val="FFFFFF"/>
                <w:w w:val="93"/>
              </w:rPr>
              <w:t xml:space="preserve">2023 </w:t>
            </w:r>
            <w:r>
              <w:rPr>
                <w:rFonts w:ascii="Arial" w:cs="Arial" w:eastAsia="Arial" w:hAnsi="Arial"/>
                <w:sz w:val="27"/>
                <w:szCs w:val="27"/>
                <w:b w:val="1"/>
                <w:bCs w:val="1"/>
                <w:color w:val="FFFFFF"/>
                <w:w w:val="93"/>
                <w:vertAlign w:val="superscript"/>
              </w:rPr>
              <w:t>(3)</w:t>
            </w:r>
          </w:p>
        </w:tc>
      </w:tr>
      <w:tr>
        <w:trPr>
          <w:trHeight w:val="165"/>
        </w:trPr>
        <w:tc>
          <w:tcPr>
            <w:tcW w:w="4380" w:type="dxa"/>
            <w:vAlign w:val="bottom"/>
            <w:tcBorders>
              <w:left w:val="single" w:sz="8" w:color="auto"/>
            </w:tcBorders>
          </w:tcPr>
          <w:p>
            <w:pPr>
              <w:ind w:left="20"/>
              <w:spacing w:after="0" w:line="165" w:lineRule="exact"/>
              <w:rPr>
                <w:sz w:val="20"/>
                <w:szCs w:val="20"/>
                <w:color w:val="auto"/>
              </w:rPr>
            </w:pPr>
            <w:r>
              <w:rPr>
                <w:rFonts w:ascii="Arial" w:cs="Arial" w:eastAsia="Arial" w:hAnsi="Arial"/>
                <w:sz w:val="16"/>
                <w:szCs w:val="16"/>
                <w:color w:val="auto"/>
              </w:rPr>
              <w:t>GDP (US$ Millions)</w:t>
            </w:r>
          </w:p>
        </w:tc>
        <w:tc>
          <w:tcPr>
            <w:tcW w:w="1300" w:type="dxa"/>
            <w:vAlign w:val="bottom"/>
          </w:tcPr>
          <w:p>
            <w:pPr>
              <w:jc w:val="center"/>
              <w:ind w:left="18"/>
              <w:spacing w:after="0" w:line="165" w:lineRule="exact"/>
              <w:rPr>
                <w:sz w:val="20"/>
                <w:szCs w:val="20"/>
                <w:color w:val="auto"/>
              </w:rPr>
            </w:pPr>
            <w:r>
              <w:rPr>
                <w:rFonts w:ascii="Arial" w:cs="Arial" w:eastAsia="Arial" w:hAnsi="Arial"/>
                <w:sz w:val="16"/>
                <w:szCs w:val="16"/>
                <w:color w:val="auto"/>
              </w:rPr>
              <w:t>226,919</w:t>
            </w:r>
          </w:p>
        </w:tc>
        <w:tc>
          <w:tcPr>
            <w:tcW w:w="1160" w:type="dxa"/>
            <w:vAlign w:val="bottom"/>
          </w:tcPr>
          <w:p>
            <w:pPr>
              <w:jc w:val="center"/>
              <w:spacing w:after="0" w:line="165" w:lineRule="exact"/>
              <w:rPr>
                <w:sz w:val="20"/>
                <w:szCs w:val="20"/>
                <w:color w:val="auto"/>
              </w:rPr>
            </w:pPr>
            <w:r>
              <w:rPr>
                <w:rFonts w:ascii="Arial" w:cs="Arial" w:eastAsia="Arial" w:hAnsi="Arial"/>
                <w:sz w:val="16"/>
                <w:szCs w:val="16"/>
                <w:color w:val="auto"/>
              </w:rPr>
              <w:t>232,519</w:t>
            </w:r>
          </w:p>
        </w:tc>
        <w:tc>
          <w:tcPr>
            <w:tcW w:w="1160" w:type="dxa"/>
            <w:vAlign w:val="bottom"/>
          </w:tcPr>
          <w:p>
            <w:pPr>
              <w:jc w:val="center"/>
              <w:spacing w:after="0" w:line="165" w:lineRule="exact"/>
              <w:rPr>
                <w:sz w:val="20"/>
                <w:szCs w:val="20"/>
                <w:color w:val="auto"/>
              </w:rPr>
            </w:pPr>
            <w:r>
              <w:rPr>
                <w:rFonts w:ascii="Arial" w:cs="Arial" w:eastAsia="Arial" w:hAnsi="Arial"/>
                <w:sz w:val="16"/>
                <w:szCs w:val="16"/>
                <w:color w:val="auto"/>
              </w:rPr>
              <w:t>205,755</w:t>
            </w:r>
          </w:p>
        </w:tc>
        <w:tc>
          <w:tcPr>
            <w:tcW w:w="1160" w:type="dxa"/>
            <w:vAlign w:val="bottom"/>
          </w:tcPr>
          <w:p>
            <w:pPr>
              <w:jc w:val="center"/>
              <w:spacing w:after="0" w:line="165" w:lineRule="exact"/>
              <w:rPr>
                <w:sz w:val="20"/>
                <w:szCs w:val="20"/>
                <w:color w:val="auto"/>
              </w:rPr>
            </w:pPr>
            <w:r>
              <w:rPr>
                <w:rFonts w:ascii="Arial" w:cs="Arial" w:eastAsia="Arial" w:hAnsi="Arial"/>
                <w:sz w:val="16"/>
                <w:szCs w:val="16"/>
                <w:color w:val="auto"/>
              </w:rPr>
              <w:t>225,803</w:t>
            </w:r>
          </w:p>
        </w:tc>
        <w:tc>
          <w:tcPr>
            <w:tcW w:w="1160" w:type="dxa"/>
            <w:vAlign w:val="bottom"/>
          </w:tcPr>
          <w:p>
            <w:pPr>
              <w:jc w:val="center"/>
              <w:spacing w:after="0" w:line="165" w:lineRule="exact"/>
              <w:rPr>
                <w:sz w:val="20"/>
                <w:szCs w:val="20"/>
                <w:color w:val="auto"/>
              </w:rPr>
            </w:pPr>
            <w:r>
              <w:rPr>
                <w:rFonts w:ascii="Arial" w:cs="Arial" w:eastAsia="Arial" w:hAnsi="Arial"/>
                <w:sz w:val="16"/>
                <w:szCs w:val="16"/>
                <w:color w:val="auto"/>
              </w:rPr>
              <w:t>244,789</w:t>
            </w:r>
          </w:p>
        </w:tc>
        <w:tc>
          <w:tcPr>
            <w:tcW w:w="940" w:type="dxa"/>
            <w:vAlign w:val="bottom"/>
            <w:tcBorders>
              <w:right w:val="single" w:sz="8" w:color="auto"/>
            </w:tcBorders>
            <w:shd w:val="clear" w:color="auto" w:fill="E7E6E6"/>
          </w:tcPr>
          <w:p>
            <w:pPr>
              <w:jc w:val="center"/>
              <w:spacing w:after="0" w:line="165" w:lineRule="exact"/>
              <w:rPr>
                <w:sz w:val="20"/>
                <w:szCs w:val="20"/>
                <w:color w:val="auto"/>
              </w:rPr>
            </w:pPr>
            <w:r>
              <w:rPr>
                <w:rFonts w:ascii="Arial" w:cs="Arial" w:eastAsia="Arial" w:hAnsi="Arial"/>
                <w:sz w:val="16"/>
                <w:szCs w:val="16"/>
                <w:color w:val="auto"/>
              </w:rPr>
              <w:t>267,500</w:t>
            </w:r>
          </w:p>
        </w:tc>
      </w:tr>
      <w:tr>
        <w:trPr>
          <w:trHeight w:val="185"/>
        </w:trPr>
        <w:tc>
          <w:tcPr>
            <w:tcW w:w="438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rPr>
              <w:t>Real GDP (% change)</w:t>
            </w:r>
          </w:p>
        </w:tc>
        <w:tc>
          <w:tcPr>
            <w:tcW w:w="1300" w:type="dxa"/>
            <w:vAlign w:val="bottom"/>
          </w:tcPr>
          <w:p>
            <w:pPr>
              <w:jc w:val="center"/>
              <w:ind w:left="38"/>
              <w:spacing w:after="0"/>
              <w:rPr>
                <w:sz w:val="20"/>
                <w:szCs w:val="20"/>
                <w:color w:val="auto"/>
              </w:rPr>
            </w:pPr>
            <w:r>
              <w:rPr>
                <w:rFonts w:ascii="Arial" w:cs="Arial" w:eastAsia="Arial" w:hAnsi="Arial"/>
                <w:sz w:val="16"/>
                <w:szCs w:val="16"/>
                <w:color w:val="auto"/>
                <w:w w:val="98"/>
              </w:rPr>
              <w:t>4.0</w:t>
            </w:r>
          </w:p>
        </w:tc>
        <w:tc>
          <w:tcPr>
            <w:tcW w:w="1160" w:type="dxa"/>
            <w:vAlign w:val="bottom"/>
          </w:tcPr>
          <w:p>
            <w:pPr>
              <w:jc w:val="center"/>
              <w:spacing w:after="0"/>
              <w:rPr>
                <w:sz w:val="20"/>
                <w:szCs w:val="20"/>
                <w:color w:val="auto"/>
              </w:rPr>
            </w:pPr>
            <w:r>
              <w:rPr>
                <w:rFonts w:ascii="Arial" w:cs="Arial" w:eastAsia="Arial" w:hAnsi="Arial"/>
                <w:sz w:val="16"/>
                <w:szCs w:val="16"/>
                <w:color w:val="auto"/>
                <w:w w:val="98"/>
              </w:rPr>
              <w:t>2.2</w:t>
            </w:r>
          </w:p>
        </w:tc>
        <w:tc>
          <w:tcPr>
            <w:tcW w:w="1160" w:type="dxa"/>
            <w:vAlign w:val="bottom"/>
          </w:tcPr>
          <w:p>
            <w:pPr>
              <w:jc w:val="center"/>
              <w:spacing w:after="0"/>
              <w:rPr>
                <w:sz w:val="20"/>
                <w:szCs w:val="20"/>
                <w:color w:val="auto"/>
              </w:rPr>
            </w:pPr>
            <w:r>
              <w:rPr>
                <w:rFonts w:ascii="Arial" w:cs="Arial" w:eastAsia="Arial" w:hAnsi="Arial"/>
                <w:sz w:val="16"/>
                <w:szCs w:val="16"/>
                <w:color w:val="auto"/>
                <w:w w:val="98"/>
              </w:rPr>
              <w:t>-11.0</w:t>
            </w:r>
          </w:p>
        </w:tc>
        <w:tc>
          <w:tcPr>
            <w:tcW w:w="1160" w:type="dxa"/>
            <w:vAlign w:val="bottom"/>
          </w:tcPr>
          <w:p>
            <w:pPr>
              <w:jc w:val="center"/>
              <w:spacing w:after="0"/>
              <w:rPr>
                <w:sz w:val="20"/>
                <w:szCs w:val="20"/>
                <w:color w:val="auto"/>
              </w:rPr>
            </w:pPr>
            <w:r>
              <w:rPr>
                <w:rFonts w:ascii="Arial" w:cs="Arial" w:eastAsia="Arial" w:hAnsi="Arial"/>
                <w:sz w:val="16"/>
                <w:szCs w:val="16"/>
                <w:color w:val="auto"/>
              </w:rPr>
              <w:t>13.3</w:t>
            </w:r>
          </w:p>
        </w:tc>
        <w:tc>
          <w:tcPr>
            <w:tcW w:w="1160" w:type="dxa"/>
            <w:vAlign w:val="bottom"/>
          </w:tcPr>
          <w:p>
            <w:pPr>
              <w:jc w:val="center"/>
              <w:spacing w:after="0"/>
              <w:rPr>
                <w:sz w:val="20"/>
                <w:szCs w:val="20"/>
                <w:color w:val="auto"/>
              </w:rPr>
            </w:pPr>
            <w:r>
              <w:rPr>
                <w:rFonts w:ascii="Arial" w:cs="Arial" w:eastAsia="Arial" w:hAnsi="Arial"/>
                <w:sz w:val="16"/>
                <w:szCs w:val="16"/>
                <w:color w:val="auto"/>
              </w:rPr>
              <w:t>2.7</w:t>
            </w:r>
          </w:p>
        </w:tc>
        <w:tc>
          <w:tcPr>
            <w:tcW w:w="940" w:type="dxa"/>
            <w:vAlign w:val="bottom"/>
            <w:tcBorders>
              <w:right w:val="single" w:sz="8" w:color="auto"/>
            </w:tcBorders>
            <w:shd w:val="clear" w:color="auto" w:fill="E7E6E6"/>
          </w:tcPr>
          <w:p>
            <w:pPr>
              <w:jc w:val="center"/>
              <w:spacing w:after="0"/>
              <w:rPr>
                <w:sz w:val="20"/>
                <w:szCs w:val="20"/>
                <w:color w:val="auto"/>
              </w:rPr>
            </w:pPr>
            <w:r>
              <w:rPr>
                <w:rFonts w:ascii="Arial" w:cs="Arial" w:eastAsia="Arial" w:hAnsi="Arial"/>
                <w:sz w:val="16"/>
                <w:szCs w:val="16"/>
                <w:color w:val="auto"/>
              </w:rPr>
              <w:t>0.0</w:t>
            </w:r>
          </w:p>
        </w:tc>
      </w:tr>
      <w:tr>
        <w:trPr>
          <w:trHeight w:val="185"/>
        </w:trPr>
        <w:tc>
          <w:tcPr>
            <w:tcW w:w="438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rPr>
              <w:t>GDP per capita (US$)</w:t>
            </w:r>
          </w:p>
        </w:tc>
        <w:tc>
          <w:tcPr>
            <w:tcW w:w="1300" w:type="dxa"/>
            <w:vAlign w:val="bottom"/>
          </w:tcPr>
          <w:p>
            <w:pPr>
              <w:jc w:val="center"/>
              <w:ind w:left="38"/>
              <w:spacing w:after="0"/>
              <w:rPr>
                <w:sz w:val="20"/>
                <w:szCs w:val="20"/>
                <w:color w:val="auto"/>
              </w:rPr>
            </w:pPr>
            <w:r>
              <w:rPr>
                <w:rFonts w:ascii="Arial" w:cs="Arial" w:eastAsia="Arial" w:hAnsi="Arial"/>
                <w:sz w:val="16"/>
                <w:szCs w:val="16"/>
                <w:color w:val="auto"/>
              </w:rPr>
              <w:t>7,190</w:t>
            </w:r>
          </w:p>
        </w:tc>
        <w:tc>
          <w:tcPr>
            <w:tcW w:w="1160" w:type="dxa"/>
            <w:vAlign w:val="bottom"/>
          </w:tcPr>
          <w:p>
            <w:pPr>
              <w:jc w:val="center"/>
              <w:spacing w:after="0"/>
              <w:rPr>
                <w:sz w:val="20"/>
                <w:szCs w:val="20"/>
                <w:color w:val="auto"/>
              </w:rPr>
            </w:pPr>
            <w:r>
              <w:rPr>
                <w:rFonts w:ascii="Arial" w:cs="Arial" w:eastAsia="Arial" w:hAnsi="Arial"/>
                <w:sz w:val="16"/>
                <w:szCs w:val="16"/>
                <w:color w:val="auto"/>
              </w:rPr>
              <w:t>7,237</w:t>
            </w:r>
          </w:p>
        </w:tc>
        <w:tc>
          <w:tcPr>
            <w:tcW w:w="1160" w:type="dxa"/>
            <w:vAlign w:val="bottom"/>
          </w:tcPr>
          <w:p>
            <w:pPr>
              <w:jc w:val="center"/>
              <w:spacing w:after="0"/>
              <w:rPr>
                <w:sz w:val="20"/>
                <w:szCs w:val="20"/>
                <w:color w:val="auto"/>
              </w:rPr>
            </w:pPr>
            <w:r>
              <w:rPr>
                <w:rFonts w:ascii="Arial" w:cs="Arial" w:eastAsia="Arial" w:hAnsi="Arial"/>
                <w:sz w:val="16"/>
                <w:szCs w:val="16"/>
                <w:color w:val="auto"/>
                <w:w w:val="99"/>
              </w:rPr>
              <w:t>6,306</w:t>
            </w:r>
          </w:p>
        </w:tc>
        <w:tc>
          <w:tcPr>
            <w:tcW w:w="1160" w:type="dxa"/>
            <w:vAlign w:val="bottom"/>
          </w:tcPr>
          <w:p>
            <w:pPr>
              <w:jc w:val="center"/>
              <w:spacing w:after="0"/>
              <w:rPr>
                <w:sz w:val="20"/>
                <w:szCs w:val="20"/>
                <w:color w:val="auto"/>
              </w:rPr>
            </w:pPr>
            <w:r>
              <w:rPr>
                <w:rFonts w:ascii="Arial" w:cs="Arial" w:eastAsia="Arial" w:hAnsi="Arial"/>
                <w:sz w:val="16"/>
                <w:szCs w:val="16"/>
                <w:color w:val="auto"/>
                <w:w w:val="99"/>
              </w:rPr>
              <w:t>6,835</w:t>
            </w:r>
          </w:p>
        </w:tc>
        <w:tc>
          <w:tcPr>
            <w:tcW w:w="1160" w:type="dxa"/>
            <w:vAlign w:val="bottom"/>
          </w:tcPr>
          <w:p>
            <w:pPr>
              <w:jc w:val="center"/>
              <w:spacing w:after="0"/>
              <w:rPr>
                <w:sz w:val="20"/>
                <w:szCs w:val="20"/>
                <w:color w:val="auto"/>
              </w:rPr>
            </w:pPr>
            <w:r>
              <w:rPr>
                <w:rFonts w:ascii="Arial" w:cs="Arial" w:eastAsia="Arial" w:hAnsi="Arial"/>
                <w:sz w:val="16"/>
                <w:szCs w:val="16"/>
                <w:color w:val="auto"/>
                <w:w w:val="99"/>
              </w:rPr>
              <w:t>7,330</w:t>
            </w:r>
          </w:p>
        </w:tc>
        <w:tc>
          <w:tcPr>
            <w:tcW w:w="940" w:type="dxa"/>
            <w:vAlign w:val="bottom"/>
            <w:tcBorders>
              <w:right w:val="single" w:sz="8" w:color="auto"/>
            </w:tcBorders>
            <w:shd w:val="clear" w:color="auto" w:fill="E7E6E6"/>
          </w:tcPr>
          <w:p>
            <w:pPr>
              <w:jc w:val="center"/>
              <w:spacing w:after="0"/>
              <w:rPr>
                <w:sz w:val="20"/>
                <w:szCs w:val="20"/>
                <w:color w:val="auto"/>
              </w:rPr>
            </w:pPr>
            <w:r>
              <w:rPr>
                <w:rFonts w:ascii="Arial" w:cs="Arial" w:eastAsia="Arial" w:hAnsi="Arial"/>
                <w:sz w:val="16"/>
                <w:szCs w:val="16"/>
                <w:color w:val="auto"/>
                <w:w w:val="99"/>
              </w:rPr>
              <w:t>7,894</w:t>
            </w:r>
          </w:p>
        </w:tc>
      </w:tr>
      <w:tr>
        <w:trPr>
          <w:trHeight w:val="185"/>
        </w:trPr>
        <w:tc>
          <w:tcPr>
            <w:tcW w:w="438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rPr>
              <w:t>Domestic demand (% change)</w:t>
            </w:r>
          </w:p>
        </w:tc>
        <w:tc>
          <w:tcPr>
            <w:tcW w:w="1300" w:type="dxa"/>
            <w:vAlign w:val="bottom"/>
          </w:tcPr>
          <w:p>
            <w:pPr>
              <w:jc w:val="center"/>
              <w:ind w:left="38"/>
              <w:spacing w:after="0"/>
              <w:rPr>
                <w:sz w:val="20"/>
                <w:szCs w:val="20"/>
                <w:color w:val="auto"/>
              </w:rPr>
            </w:pPr>
            <w:r>
              <w:rPr>
                <w:rFonts w:ascii="Arial" w:cs="Arial" w:eastAsia="Arial" w:hAnsi="Arial"/>
                <w:sz w:val="16"/>
                <w:szCs w:val="16"/>
                <w:color w:val="auto"/>
                <w:w w:val="98"/>
              </w:rPr>
              <w:t>4.1</w:t>
            </w:r>
          </w:p>
        </w:tc>
        <w:tc>
          <w:tcPr>
            <w:tcW w:w="1160" w:type="dxa"/>
            <w:vAlign w:val="bottom"/>
          </w:tcPr>
          <w:p>
            <w:pPr>
              <w:jc w:val="center"/>
              <w:spacing w:after="0"/>
              <w:rPr>
                <w:sz w:val="20"/>
                <w:szCs w:val="20"/>
                <w:color w:val="auto"/>
              </w:rPr>
            </w:pPr>
            <w:r>
              <w:rPr>
                <w:rFonts w:ascii="Arial" w:cs="Arial" w:eastAsia="Arial" w:hAnsi="Arial"/>
                <w:sz w:val="16"/>
                <w:szCs w:val="16"/>
                <w:color w:val="auto"/>
                <w:w w:val="98"/>
              </w:rPr>
              <w:t>2.2</w:t>
            </w:r>
          </w:p>
        </w:tc>
        <w:tc>
          <w:tcPr>
            <w:tcW w:w="1160" w:type="dxa"/>
            <w:vAlign w:val="bottom"/>
          </w:tcPr>
          <w:p>
            <w:pPr>
              <w:jc w:val="center"/>
              <w:spacing w:after="0"/>
              <w:rPr>
                <w:sz w:val="20"/>
                <w:szCs w:val="20"/>
                <w:color w:val="auto"/>
              </w:rPr>
            </w:pPr>
            <w:r>
              <w:rPr>
                <w:rFonts w:ascii="Arial" w:cs="Arial" w:eastAsia="Arial" w:hAnsi="Arial"/>
                <w:sz w:val="16"/>
                <w:szCs w:val="16"/>
                <w:color w:val="auto"/>
              </w:rPr>
              <w:t>-9.8</w:t>
            </w:r>
          </w:p>
        </w:tc>
        <w:tc>
          <w:tcPr>
            <w:tcW w:w="1160" w:type="dxa"/>
            <w:vAlign w:val="bottom"/>
          </w:tcPr>
          <w:p>
            <w:pPr>
              <w:jc w:val="center"/>
              <w:spacing w:after="0"/>
              <w:rPr>
                <w:sz w:val="20"/>
                <w:szCs w:val="20"/>
                <w:color w:val="auto"/>
              </w:rPr>
            </w:pPr>
            <w:r>
              <w:rPr>
                <w:rFonts w:ascii="Arial" w:cs="Arial" w:eastAsia="Arial" w:hAnsi="Arial"/>
                <w:sz w:val="16"/>
                <w:szCs w:val="16"/>
                <w:color w:val="auto"/>
              </w:rPr>
              <w:t>14.5</w:t>
            </w:r>
          </w:p>
        </w:tc>
        <w:tc>
          <w:tcPr>
            <w:tcW w:w="1160" w:type="dxa"/>
            <w:vAlign w:val="bottom"/>
          </w:tcPr>
          <w:p>
            <w:pPr>
              <w:jc w:val="center"/>
              <w:spacing w:after="0"/>
              <w:rPr>
                <w:sz w:val="20"/>
                <w:szCs w:val="20"/>
                <w:color w:val="auto"/>
              </w:rPr>
            </w:pPr>
            <w:r>
              <w:rPr>
                <w:rFonts w:ascii="Arial" w:cs="Arial" w:eastAsia="Arial" w:hAnsi="Arial"/>
                <w:sz w:val="16"/>
                <w:szCs w:val="16"/>
                <w:color w:val="auto"/>
              </w:rPr>
              <w:t>2.3</w:t>
            </w:r>
          </w:p>
        </w:tc>
        <w:tc>
          <w:tcPr>
            <w:tcW w:w="940" w:type="dxa"/>
            <w:vAlign w:val="bottom"/>
            <w:tcBorders>
              <w:right w:val="single" w:sz="8" w:color="auto"/>
            </w:tcBorders>
            <w:shd w:val="clear" w:color="auto" w:fill="E7E6E6"/>
          </w:tcPr>
          <w:p>
            <w:pPr>
              <w:jc w:val="center"/>
              <w:spacing w:after="0"/>
              <w:rPr>
                <w:sz w:val="20"/>
                <w:szCs w:val="20"/>
                <w:color w:val="auto"/>
              </w:rPr>
            </w:pPr>
            <w:r>
              <w:rPr>
                <w:rFonts w:ascii="Arial" w:cs="Arial" w:eastAsia="Arial" w:hAnsi="Arial"/>
                <w:sz w:val="16"/>
                <w:szCs w:val="16"/>
                <w:color w:val="auto"/>
              </w:rPr>
              <w:t>-2.0</w:t>
            </w:r>
          </w:p>
        </w:tc>
      </w:tr>
      <w:tr>
        <w:trPr>
          <w:trHeight w:val="185"/>
        </w:trPr>
        <w:tc>
          <w:tcPr>
            <w:tcW w:w="438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rPr>
              <w:t>Gross fixed investment (as % GDP)</w:t>
            </w:r>
          </w:p>
        </w:tc>
        <w:tc>
          <w:tcPr>
            <w:tcW w:w="1300" w:type="dxa"/>
            <w:vAlign w:val="bottom"/>
          </w:tcPr>
          <w:p>
            <w:pPr>
              <w:jc w:val="center"/>
              <w:ind w:left="18"/>
              <w:spacing w:after="0"/>
              <w:rPr>
                <w:sz w:val="20"/>
                <w:szCs w:val="20"/>
                <w:color w:val="auto"/>
              </w:rPr>
            </w:pPr>
            <w:r>
              <w:rPr>
                <w:rFonts w:ascii="Arial" w:cs="Arial" w:eastAsia="Arial" w:hAnsi="Arial"/>
                <w:sz w:val="16"/>
                <w:szCs w:val="16"/>
                <w:color w:val="auto"/>
              </w:rPr>
              <w:t>22.2</w:t>
            </w:r>
          </w:p>
        </w:tc>
        <w:tc>
          <w:tcPr>
            <w:tcW w:w="1160" w:type="dxa"/>
            <w:vAlign w:val="bottom"/>
          </w:tcPr>
          <w:p>
            <w:pPr>
              <w:jc w:val="center"/>
              <w:spacing w:after="0"/>
              <w:rPr>
                <w:sz w:val="20"/>
                <w:szCs w:val="20"/>
                <w:color w:val="auto"/>
              </w:rPr>
            </w:pPr>
            <w:r>
              <w:rPr>
                <w:rFonts w:ascii="Arial" w:cs="Arial" w:eastAsia="Arial" w:hAnsi="Arial"/>
                <w:sz w:val="16"/>
                <w:szCs w:val="16"/>
                <w:color w:val="auto"/>
              </w:rPr>
              <w:t>22.5</w:t>
            </w:r>
          </w:p>
        </w:tc>
        <w:tc>
          <w:tcPr>
            <w:tcW w:w="1160" w:type="dxa"/>
            <w:vAlign w:val="bottom"/>
          </w:tcPr>
          <w:p>
            <w:pPr>
              <w:jc w:val="center"/>
              <w:spacing w:after="0"/>
              <w:rPr>
                <w:sz w:val="20"/>
                <w:szCs w:val="20"/>
                <w:color w:val="auto"/>
              </w:rPr>
            </w:pPr>
            <w:r>
              <w:rPr>
                <w:rFonts w:ascii="Arial" w:cs="Arial" w:eastAsia="Arial" w:hAnsi="Arial"/>
                <w:sz w:val="16"/>
                <w:szCs w:val="16"/>
                <w:color w:val="auto"/>
              </w:rPr>
              <w:t>21.0</w:t>
            </w:r>
          </w:p>
        </w:tc>
        <w:tc>
          <w:tcPr>
            <w:tcW w:w="1160" w:type="dxa"/>
            <w:vAlign w:val="bottom"/>
          </w:tcPr>
          <w:p>
            <w:pPr>
              <w:jc w:val="center"/>
              <w:spacing w:after="0"/>
              <w:rPr>
                <w:sz w:val="20"/>
                <w:szCs w:val="20"/>
                <w:color w:val="auto"/>
              </w:rPr>
            </w:pPr>
            <w:r>
              <w:rPr>
                <w:rFonts w:ascii="Arial" w:cs="Arial" w:eastAsia="Arial" w:hAnsi="Arial"/>
                <w:sz w:val="16"/>
                <w:szCs w:val="16"/>
                <w:color w:val="auto"/>
              </w:rPr>
              <w:t>25.1</w:t>
            </w:r>
          </w:p>
        </w:tc>
        <w:tc>
          <w:tcPr>
            <w:tcW w:w="1160" w:type="dxa"/>
            <w:vAlign w:val="bottom"/>
          </w:tcPr>
          <w:p>
            <w:pPr>
              <w:jc w:val="center"/>
              <w:spacing w:after="0"/>
              <w:rPr>
                <w:sz w:val="20"/>
                <w:szCs w:val="20"/>
                <w:color w:val="auto"/>
              </w:rPr>
            </w:pPr>
            <w:r>
              <w:rPr>
                <w:rFonts w:ascii="Arial" w:cs="Arial" w:eastAsia="Arial" w:hAnsi="Arial"/>
                <w:sz w:val="16"/>
                <w:szCs w:val="16"/>
                <w:color w:val="auto"/>
              </w:rPr>
              <w:t>25.3</w:t>
            </w:r>
          </w:p>
        </w:tc>
        <w:tc>
          <w:tcPr>
            <w:tcW w:w="940" w:type="dxa"/>
            <w:vAlign w:val="bottom"/>
            <w:tcBorders>
              <w:right w:val="single" w:sz="8" w:color="auto"/>
            </w:tcBorders>
            <w:shd w:val="clear" w:color="auto" w:fill="E7E6E6"/>
          </w:tcPr>
          <w:p>
            <w:pPr>
              <w:jc w:val="center"/>
              <w:spacing w:after="0"/>
              <w:rPr>
                <w:sz w:val="20"/>
                <w:szCs w:val="20"/>
                <w:color w:val="auto"/>
              </w:rPr>
            </w:pPr>
            <w:r>
              <w:rPr>
                <w:rFonts w:ascii="Arial" w:cs="Arial" w:eastAsia="Arial" w:hAnsi="Arial"/>
                <w:sz w:val="16"/>
                <w:szCs w:val="16"/>
                <w:color w:val="auto"/>
              </w:rPr>
              <w:t>23.9</w:t>
            </w:r>
          </w:p>
        </w:tc>
      </w:tr>
      <w:tr>
        <w:trPr>
          <w:trHeight w:val="198"/>
        </w:trPr>
        <w:tc>
          <w:tcPr>
            <w:tcW w:w="438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Financial system loan without Reactiva (% change) (1)</w:t>
            </w:r>
          </w:p>
        </w:tc>
        <w:tc>
          <w:tcPr>
            <w:tcW w:w="1300" w:type="dxa"/>
            <w:vAlign w:val="bottom"/>
            <w:tcBorders>
              <w:bottom w:val="single" w:sz="8" w:color="auto"/>
            </w:tcBorders>
          </w:tcPr>
          <w:p>
            <w:pPr>
              <w:jc w:val="center"/>
              <w:ind w:left="18"/>
              <w:spacing w:after="0"/>
              <w:rPr>
                <w:sz w:val="20"/>
                <w:szCs w:val="20"/>
                <w:color w:val="auto"/>
              </w:rPr>
            </w:pPr>
            <w:r>
              <w:rPr>
                <w:rFonts w:ascii="Arial" w:cs="Arial" w:eastAsia="Arial" w:hAnsi="Arial"/>
                <w:sz w:val="16"/>
                <w:szCs w:val="16"/>
                <w:color w:val="auto"/>
              </w:rPr>
              <w:t>10.3</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6.4</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-4.3</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12.6</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9.7</w:t>
            </w:r>
          </w:p>
        </w:tc>
        <w:tc>
          <w:tcPr>
            <w:tcW w:w="940" w:type="dxa"/>
            <w:vAlign w:val="bottom"/>
            <w:tcBorders>
              <w:bottom w:val="single" w:sz="8" w:color="auto"/>
              <w:right w:val="single" w:sz="8" w:color="auto"/>
            </w:tcBorders>
            <w:shd w:val="clear" w:color="auto" w:fill="E7E6E6"/>
          </w:tcPr>
          <w:p>
            <w:pPr>
              <w:jc w:val="center"/>
              <w:spacing w:after="0"/>
              <w:rPr>
                <w:sz w:val="20"/>
                <w:szCs w:val="20"/>
                <w:color w:val="auto"/>
              </w:rPr>
            </w:pPr>
            <w:r>
              <w:rPr>
                <w:rFonts w:ascii="Arial" w:cs="Arial" w:eastAsia="Arial" w:hAnsi="Arial"/>
                <w:sz w:val="16"/>
                <w:szCs w:val="16"/>
                <w:color w:val="auto"/>
              </w:rPr>
              <w:t>2.6</w:t>
            </w:r>
          </w:p>
        </w:tc>
      </w:tr>
      <w:tr>
        <w:trPr>
          <w:trHeight w:val="178"/>
        </w:trPr>
        <w:tc>
          <w:tcPr>
            <w:tcW w:w="4380" w:type="dxa"/>
            <w:vAlign w:val="bottom"/>
            <w:tcBorders>
              <w:left w:val="single" w:sz="8" w:color="auto"/>
              <w:bottom w:val="single" w:sz="8" w:color="auto"/>
            </w:tcBorders>
          </w:tcPr>
          <w:p>
            <w:pPr>
              <w:ind w:left="20"/>
              <w:spacing w:after="0" w:line="178" w:lineRule="exact"/>
              <w:rPr>
                <w:sz w:val="20"/>
                <w:szCs w:val="20"/>
                <w:color w:val="auto"/>
              </w:rPr>
            </w:pPr>
            <w:r>
              <w:rPr>
                <w:rFonts w:ascii="Arial" w:cs="Arial" w:eastAsia="Arial" w:hAnsi="Arial"/>
                <w:sz w:val="16"/>
                <w:szCs w:val="16"/>
                <w:color w:val="auto"/>
              </w:rPr>
              <w:t>Inflation, end of period(2)</w:t>
            </w:r>
          </w:p>
        </w:tc>
        <w:tc>
          <w:tcPr>
            <w:tcW w:w="1300" w:type="dxa"/>
            <w:vAlign w:val="bottom"/>
            <w:tcBorders>
              <w:bottom w:val="single" w:sz="8" w:color="auto"/>
            </w:tcBorders>
          </w:tcPr>
          <w:p>
            <w:pPr>
              <w:jc w:val="center"/>
              <w:ind w:left="38"/>
              <w:spacing w:after="0" w:line="178" w:lineRule="exact"/>
              <w:rPr>
                <w:sz w:val="20"/>
                <w:szCs w:val="20"/>
                <w:color w:val="auto"/>
              </w:rPr>
            </w:pPr>
            <w:r>
              <w:rPr>
                <w:rFonts w:ascii="Arial" w:cs="Arial" w:eastAsia="Arial" w:hAnsi="Arial"/>
                <w:sz w:val="16"/>
                <w:szCs w:val="16"/>
                <w:color w:val="auto"/>
                <w:w w:val="98"/>
              </w:rPr>
              <w:t>2.2</w:t>
            </w:r>
          </w:p>
        </w:tc>
        <w:tc>
          <w:tcPr>
            <w:tcW w:w="1160" w:type="dxa"/>
            <w:vAlign w:val="bottom"/>
            <w:tcBorders>
              <w:bottom w:val="single" w:sz="8" w:color="auto"/>
            </w:tcBorders>
          </w:tcPr>
          <w:p>
            <w:pPr>
              <w:jc w:val="center"/>
              <w:spacing w:after="0" w:line="178" w:lineRule="exact"/>
              <w:rPr>
                <w:sz w:val="20"/>
                <w:szCs w:val="20"/>
                <w:color w:val="auto"/>
              </w:rPr>
            </w:pPr>
            <w:r>
              <w:rPr>
                <w:rFonts w:ascii="Arial" w:cs="Arial" w:eastAsia="Arial" w:hAnsi="Arial"/>
                <w:sz w:val="16"/>
                <w:szCs w:val="16"/>
                <w:color w:val="auto"/>
                <w:w w:val="98"/>
              </w:rPr>
              <w:t>1.9</w:t>
            </w:r>
          </w:p>
        </w:tc>
        <w:tc>
          <w:tcPr>
            <w:tcW w:w="1160" w:type="dxa"/>
            <w:vAlign w:val="bottom"/>
            <w:tcBorders>
              <w:bottom w:val="single" w:sz="8" w:color="auto"/>
            </w:tcBorders>
          </w:tcPr>
          <w:p>
            <w:pPr>
              <w:jc w:val="center"/>
              <w:spacing w:after="0" w:line="178" w:lineRule="exact"/>
              <w:rPr>
                <w:sz w:val="20"/>
                <w:szCs w:val="20"/>
                <w:color w:val="auto"/>
              </w:rPr>
            </w:pPr>
            <w:r>
              <w:rPr>
                <w:rFonts w:ascii="Arial" w:cs="Arial" w:eastAsia="Arial" w:hAnsi="Arial"/>
                <w:sz w:val="16"/>
                <w:szCs w:val="16"/>
                <w:color w:val="auto"/>
              </w:rPr>
              <w:t>2.0</w:t>
            </w:r>
          </w:p>
        </w:tc>
        <w:tc>
          <w:tcPr>
            <w:tcW w:w="1160" w:type="dxa"/>
            <w:vAlign w:val="bottom"/>
            <w:tcBorders>
              <w:bottom w:val="single" w:sz="8" w:color="auto"/>
            </w:tcBorders>
          </w:tcPr>
          <w:p>
            <w:pPr>
              <w:jc w:val="center"/>
              <w:spacing w:after="0" w:line="178" w:lineRule="exact"/>
              <w:rPr>
                <w:sz w:val="20"/>
                <w:szCs w:val="20"/>
                <w:color w:val="auto"/>
              </w:rPr>
            </w:pPr>
            <w:r>
              <w:rPr>
                <w:rFonts w:ascii="Arial" w:cs="Arial" w:eastAsia="Arial" w:hAnsi="Arial"/>
                <w:sz w:val="16"/>
                <w:szCs w:val="16"/>
                <w:color w:val="auto"/>
              </w:rPr>
              <w:t>6.4</w:t>
            </w:r>
          </w:p>
        </w:tc>
        <w:tc>
          <w:tcPr>
            <w:tcW w:w="1160" w:type="dxa"/>
            <w:vAlign w:val="bottom"/>
            <w:tcBorders>
              <w:bottom w:val="single" w:sz="8" w:color="auto"/>
            </w:tcBorders>
          </w:tcPr>
          <w:p>
            <w:pPr>
              <w:jc w:val="center"/>
              <w:spacing w:after="0" w:line="178" w:lineRule="exact"/>
              <w:rPr>
                <w:sz w:val="20"/>
                <w:szCs w:val="20"/>
                <w:color w:val="auto"/>
              </w:rPr>
            </w:pPr>
            <w:r>
              <w:rPr>
                <w:rFonts w:ascii="Arial" w:cs="Arial" w:eastAsia="Arial" w:hAnsi="Arial"/>
                <w:sz w:val="16"/>
                <w:szCs w:val="16"/>
                <w:color w:val="auto"/>
              </w:rPr>
              <w:t>8.5</w:t>
            </w:r>
          </w:p>
        </w:tc>
        <w:tc>
          <w:tcPr>
            <w:tcW w:w="940" w:type="dxa"/>
            <w:vAlign w:val="bottom"/>
            <w:tcBorders>
              <w:bottom w:val="single" w:sz="8" w:color="auto"/>
              <w:right w:val="single" w:sz="8" w:color="auto"/>
            </w:tcBorders>
            <w:shd w:val="clear" w:color="auto" w:fill="E7E6E6"/>
          </w:tcPr>
          <w:p>
            <w:pPr>
              <w:jc w:val="center"/>
              <w:spacing w:after="0" w:line="178" w:lineRule="exact"/>
              <w:rPr>
                <w:sz w:val="20"/>
                <w:szCs w:val="20"/>
                <w:color w:val="auto"/>
              </w:rPr>
            </w:pPr>
            <w:r>
              <w:rPr>
                <w:rFonts w:ascii="Arial" w:cs="Arial" w:eastAsia="Arial" w:hAnsi="Arial"/>
                <w:sz w:val="16"/>
                <w:szCs w:val="16"/>
                <w:color w:val="auto"/>
              </w:rPr>
              <w:t>4.0</w:t>
            </w:r>
          </w:p>
        </w:tc>
      </w:tr>
      <w:tr>
        <w:trPr>
          <w:trHeight w:val="178"/>
        </w:trPr>
        <w:tc>
          <w:tcPr>
            <w:tcW w:w="4380" w:type="dxa"/>
            <w:vAlign w:val="bottom"/>
            <w:tcBorders>
              <w:left w:val="single" w:sz="8" w:color="auto"/>
              <w:bottom w:val="single" w:sz="8" w:color="auto"/>
            </w:tcBorders>
          </w:tcPr>
          <w:p>
            <w:pPr>
              <w:ind w:left="20"/>
              <w:spacing w:after="0" w:line="178" w:lineRule="exact"/>
              <w:rPr>
                <w:sz w:val="20"/>
                <w:szCs w:val="20"/>
                <w:color w:val="auto"/>
              </w:rPr>
            </w:pPr>
            <w:r>
              <w:rPr>
                <w:rFonts w:ascii="Arial" w:cs="Arial" w:eastAsia="Arial" w:hAnsi="Arial"/>
                <w:sz w:val="16"/>
                <w:szCs w:val="16"/>
                <w:color w:val="auto"/>
              </w:rPr>
              <w:t>Reference Rate, end of period</w:t>
            </w:r>
          </w:p>
        </w:tc>
        <w:tc>
          <w:tcPr>
            <w:tcW w:w="1300" w:type="dxa"/>
            <w:vAlign w:val="bottom"/>
            <w:tcBorders>
              <w:bottom w:val="single" w:sz="8" w:color="auto"/>
            </w:tcBorders>
          </w:tcPr>
          <w:p>
            <w:pPr>
              <w:jc w:val="center"/>
              <w:ind w:left="18"/>
              <w:spacing w:after="0" w:line="178" w:lineRule="exact"/>
              <w:rPr>
                <w:sz w:val="20"/>
                <w:szCs w:val="20"/>
                <w:color w:val="auto"/>
              </w:rPr>
            </w:pPr>
            <w:r>
              <w:rPr>
                <w:rFonts w:ascii="Arial" w:cs="Arial" w:eastAsia="Arial" w:hAnsi="Arial"/>
                <w:sz w:val="16"/>
                <w:szCs w:val="16"/>
                <w:color w:val="auto"/>
              </w:rPr>
              <w:t>2.75</w:t>
            </w:r>
          </w:p>
        </w:tc>
        <w:tc>
          <w:tcPr>
            <w:tcW w:w="1160" w:type="dxa"/>
            <w:vAlign w:val="bottom"/>
            <w:tcBorders>
              <w:bottom w:val="single" w:sz="8" w:color="auto"/>
            </w:tcBorders>
          </w:tcPr>
          <w:p>
            <w:pPr>
              <w:jc w:val="center"/>
              <w:spacing w:after="0" w:line="178" w:lineRule="exact"/>
              <w:rPr>
                <w:sz w:val="20"/>
                <w:szCs w:val="20"/>
                <w:color w:val="auto"/>
              </w:rPr>
            </w:pPr>
            <w:r>
              <w:rPr>
                <w:rFonts w:ascii="Arial" w:cs="Arial" w:eastAsia="Arial" w:hAnsi="Arial"/>
                <w:sz w:val="16"/>
                <w:szCs w:val="16"/>
                <w:color w:val="auto"/>
              </w:rPr>
              <w:t>2.25</w:t>
            </w:r>
          </w:p>
        </w:tc>
        <w:tc>
          <w:tcPr>
            <w:tcW w:w="1160" w:type="dxa"/>
            <w:vAlign w:val="bottom"/>
            <w:tcBorders>
              <w:bottom w:val="single" w:sz="8" w:color="auto"/>
            </w:tcBorders>
          </w:tcPr>
          <w:p>
            <w:pPr>
              <w:jc w:val="center"/>
              <w:spacing w:after="0" w:line="178" w:lineRule="exact"/>
              <w:rPr>
                <w:sz w:val="20"/>
                <w:szCs w:val="20"/>
                <w:color w:val="auto"/>
              </w:rPr>
            </w:pPr>
            <w:r>
              <w:rPr>
                <w:rFonts w:ascii="Arial" w:cs="Arial" w:eastAsia="Arial" w:hAnsi="Arial"/>
                <w:sz w:val="16"/>
                <w:szCs w:val="16"/>
                <w:color w:val="auto"/>
              </w:rPr>
              <w:t>0.25</w:t>
            </w:r>
          </w:p>
        </w:tc>
        <w:tc>
          <w:tcPr>
            <w:tcW w:w="1160" w:type="dxa"/>
            <w:vAlign w:val="bottom"/>
            <w:tcBorders>
              <w:bottom w:val="single" w:sz="8" w:color="auto"/>
            </w:tcBorders>
          </w:tcPr>
          <w:p>
            <w:pPr>
              <w:jc w:val="center"/>
              <w:spacing w:after="0" w:line="178" w:lineRule="exact"/>
              <w:rPr>
                <w:sz w:val="20"/>
                <w:szCs w:val="20"/>
                <w:color w:val="auto"/>
              </w:rPr>
            </w:pPr>
            <w:r>
              <w:rPr>
                <w:rFonts w:ascii="Arial" w:cs="Arial" w:eastAsia="Arial" w:hAnsi="Arial"/>
                <w:sz w:val="16"/>
                <w:szCs w:val="16"/>
                <w:color w:val="auto"/>
              </w:rPr>
              <w:t>2.50</w:t>
            </w:r>
          </w:p>
        </w:tc>
        <w:tc>
          <w:tcPr>
            <w:tcW w:w="1160" w:type="dxa"/>
            <w:vAlign w:val="bottom"/>
            <w:tcBorders>
              <w:bottom w:val="single" w:sz="8" w:color="auto"/>
            </w:tcBorders>
          </w:tcPr>
          <w:p>
            <w:pPr>
              <w:jc w:val="center"/>
              <w:spacing w:after="0" w:line="178" w:lineRule="exact"/>
              <w:rPr>
                <w:sz w:val="20"/>
                <w:szCs w:val="20"/>
                <w:color w:val="auto"/>
              </w:rPr>
            </w:pPr>
            <w:r>
              <w:rPr>
                <w:rFonts w:ascii="Arial" w:cs="Arial" w:eastAsia="Arial" w:hAnsi="Arial"/>
                <w:sz w:val="16"/>
                <w:szCs w:val="16"/>
                <w:color w:val="auto"/>
              </w:rPr>
              <w:t>7.50</w:t>
            </w:r>
          </w:p>
        </w:tc>
        <w:tc>
          <w:tcPr>
            <w:tcW w:w="940" w:type="dxa"/>
            <w:vAlign w:val="bottom"/>
            <w:tcBorders>
              <w:bottom w:val="single" w:sz="8" w:color="auto"/>
              <w:right w:val="single" w:sz="8" w:color="auto"/>
            </w:tcBorders>
            <w:shd w:val="clear" w:color="auto" w:fill="E7E6E6"/>
          </w:tcPr>
          <w:p>
            <w:pPr>
              <w:jc w:val="center"/>
              <w:spacing w:after="0" w:line="178" w:lineRule="exact"/>
              <w:rPr>
                <w:sz w:val="20"/>
                <w:szCs w:val="20"/>
                <w:color w:val="auto"/>
              </w:rPr>
            </w:pPr>
            <w:r>
              <w:rPr>
                <w:rFonts w:ascii="Arial" w:cs="Arial" w:eastAsia="Arial" w:hAnsi="Arial"/>
                <w:sz w:val="16"/>
                <w:szCs w:val="16"/>
                <w:color w:val="auto"/>
              </w:rPr>
              <w:t>6.75</w:t>
            </w:r>
          </w:p>
        </w:tc>
      </w:tr>
      <w:tr>
        <w:trPr>
          <w:trHeight w:val="165"/>
        </w:trPr>
        <w:tc>
          <w:tcPr>
            <w:tcW w:w="4380" w:type="dxa"/>
            <w:vAlign w:val="bottom"/>
            <w:tcBorders>
              <w:left w:val="single" w:sz="8" w:color="auto"/>
            </w:tcBorders>
          </w:tcPr>
          <w:p>
            <w:pPr>
              <w:ind w:left="20"/>
              <w:spacing w:after="0" w:line="165" w:lineRule="exact"/>
              <w:rPr>
                <w:sz w:val="20"/>
                <w:szCs w:val="20"/>
                <w:color w:val="auto"/>
              </w:rPr>
            </w:pPr>
            <w:r>
              <w:rPr>
                <w:rFonts w:ascii="Arial" w:cs="Arial" w:eastAsia="Arial" w:hAnsi="Arial"/>
                <w:sz w:val="16"/>
                <w:szCs w:val="16"/>
                <w:color w:val="auto"/>
              </w:rPr>
              <w:t>Exchange rate, end of period</w:t>
            </w:r>
          </w:p>
        </w:tc>
        <w:tc>
          <w:tcPr>
            <w:tcW w:w="1300" w:type="dxa"/>
            <w:vAlign w:val="bottom"/>
          </w:tcPr>
          <w:p>
            <w:pPr>
              <w:jc w:val="center"/>
              <w:ind w:left="18"/>
              <w:spacing w:after="0" w:line="165" w:lineRule="exact"/>
              <w:rPr>
                <w:sz w:val="20"/>
                <w:szCs w:val="20"/>
                <w:color w:val="auto"/>
              </w:rPr>
            </w:pPr>
            <w:r>
              <w:rPr>
                <w:rFonts w:ascii="Arial" w:cs="Arial" w:eastAsia="Arial" w:hAnsi="Arial"/>
                <w:sz w:val="16"/>
                <w:szCs w:val="16"/>
                <w:color w:val="auto"/>
              </w:rPr>
              <w:t>3.37</w:t>
            </w:r>
          </w:p>
        </w:tc>
        <w:tc>
          <w:tcPr>
            <w:tcW w:w="1160" w:type="dxa"/>
            <w:vAlign w:val="bottom"/>
          </w:tcPr>
          <w:p>
            <w:pPr>
              <w:jc w:val="center"/>
              <w:spacing w:after="0" w:line="165" w:lineRule="exact"/>
              <w:rPr>
                <w:sz w:val="20"/>
                <w:szCs w:val="20"/>
                <w:color w:val="auto"/>
              </w:rPr>
            </w:pPr>
            <w:r>
              <w:rPr>
                <w:rFonts w:ascii="Arial" w:cs="Arial" w:eastAsia="Arial" w:hAnsi="Arial"/>
                <w:sz w:val="16"/>
                <w:szCs w:val="16"/>
                <w:color w:val="auto"/>
              </w:rPr>
              <w:t>3.31</w:t>
            </w:r>
          </w:p>
        </w:tc>
        <w:tc>
          <w:tcPr>
            <w:tcW w:w="1160" w:type="dxa"/>
            <w:vAlign w:val="bottom"/>
          </w:tcPr>
          <w:p>
            <w:pPr>
              <w:jc w:val="center"/>
              <w:spacing w:after="0" w:line="165" w:lineRule="exact"/>
              <w:rPr>
                <w:sz w:val="20"/>
                <w:szCs w:val="20"/>
                <w:color w:val="auto"/>
              </w:rPr>
            </w:pPr>
            <w:r>
              <w:rPr>
                <w:rFonts w:ascii="Arial" w:cs="Arial" w:eastAsia="Arial" w:hAnsi="Arial"/>
                <w:sz w:val="16"/>
                <w:szCs w:val="16"/>
                <w:color w:val="auto"/>
              </w:rPr>
              <w:t>3.62</w:t>
            </w:r>
          </w:p>
        </w:tc>
        <w:tc>
          <w:tcPr>
            <w:tcW w:w="1160" w:type="dxa"/>
            <w:vAlign w:val="bottom"/>
          </w:tcPr>
          <w:p>
            <w:pPr>
              <w:jc w:val="center"/>
              <w:spacing w:after="0" w:line="165" w:lineRule="exact"/>
              <w:rPr>
                <w:sz w:val="20"/>
                <w:szCs w:val="20"/>
                <w:color w:val="auto"/>
              </w:rPr>
            </w:pPr>
            <w:r>
              <w:rPr>
                <w:rFonts w:ascii="Arial" w:cs="Arial" w:eastAsia="Arial" w:hAnsi="Arial"/>
                <w:sz w:val="16"/>
                <w:szCs w:val="16"/>
                <w:color w:val="auto"/>
              </w:rPr>
              <w:t>3.99</w:t>
            </w:r>
          </w:p>
        </w:tc>
        <w:tc>
          <w:tcPr>
            <w:tcW w:w="1160" w:type="dxa"/>
            <w:vAlign w:val="bottom"/>
          </w:tcPr>
          <w:p>
            <w:pPr>
              <w:jc w:val="center"/>
              <w:spacing w:after="0" w:line="165" w:lineRule="exact"/>
              <w:rPr>
                <w:sz w:val="20"/>
                <w:szCs w:val="20"/>
                <w:color w:val="auto"/>
              </w:rPr>
            </w:pPr>
            <w:r>
              <w:rPr>
                <w:rFonts w:ascii="Arial" w:cs="Arial" w:eastAsia="Arial" w:hAnsi="Arial"/>
                <w:sz w:val="16"/>
                <w:szCs w:val="16"/>
                <w:color w:val="auto"/>
              </w:rPr>
              <w:t>3.81</w:t>
            </w:r>
          </w:p>
        </w:tc>
        <w:tc>
          <w:tcPr>
            <w:tcW w:w="940" w:type="dxa"/>
            <w:vAlign w:val="bottom"/>
            <w:tcBorders>
              <w:right w:val="single" w:sz="8" w:color="auto"/>
            </w:tcBorders>
            <w:shd w:val="clear" w:color="auto" w:fill="D9D9D9"/>
          </w:tcPr>
          <w:p>
            <w:pPr>
              <w:jc w:val="center"/>
              <w:spacing w:after="0" w:line="165" w:lineRule="exact"/>
              <w:rPr>
                <w:sz w:val="20"/>
                <w:szCs w:val="20"/>
                <w:color w:val="auto"/>
              </w:rPr>
            </w:pPr>
            <w:r>
              <w:rPr>
                <w:rFonts w:ascii="Arial" w:cs="Arial" w:eastAsia="Arial" w:hAnsi="Arial"/>
                <w:sz w:val="16"/>
                <w:szCs w:val="16"/>
                <w:color w:val="auto"/>
              </w:rPr>
              <w:t>3.80</w:t>
            </w:r>
          </w:p>
        </w:tc>
      </w:tr>
      <w:tr>
        <w:trPr>
          <w:trHeight w:val="198"/>
        </w:trPr>
        <w:tc>
          <w:tcPr>
            <w:tcW w:w="438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Exchange rate, (% change)</w:t>
            </w:r>
          </w:p>
        </w:tc>
        <w:tc>
          <w:tcPr>
            <w:tcW w:w="1300" w:type="dxa"/>
            <w:vAlign w:val="bottom"/>
            <w:tcBorders>
              <w:bottom w:val="single" w:sz="8" w:color="auto"/>
            </w:tcBorders>
          </w:tcPr>
          <w:p>
            <w:pPr>
              <w:jc w:val="center"/>
              <w:ind w:left="38"/>
              <w:spacing w:after="0"/>
              <w:rPr>
                <w:sz w:val="20"/>
                <w:szCs w:val="20"/>
                <w:color w:val="auto"/>
              </w:rPr>
            </w:pPr>
            <w:r>
              <w:rPr>
                <w:rFonts w:ascii="Arial" w:cs="Arial" w:eastAsia="Arial" w:hAnsi="Arial"/>
                <w:sz w:val="16"/>
                <w:szCs w:val="16"/>
                <w:color w:val="auto"/>
              </w:rPr>
              <w:t>4.0%</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-1.8%</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9.3%</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10.3%</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-4.5%</w:t>
            </w:r>
          </w:p>
        </w:tc>
        <w:tc>
          <w:tcPr>
            <w:tcW w:w="9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6"/>
                <w:szCs w:val="16"/>
                <w:color w:val="auto"/>
              </w:rPr>
              <w:t>-0.3%</w:t>
            </w:r>
          </w:p>
        </w:tc>
      </w:tr>
      <w:tr>
        <w:trPr>
          <w:trHeight w:val="178"/>
        </w:trPr>
        <w:tc>
          <w:tcPr>
            <w:tcW w:w="4380" w:type="dxa"/>
            <w:vAlign w:val="bottom"/>
            <w:tcBorders>
              <w:left w:val="single" w:sz="8" w:color="auto"/>
            </w:tcBorders>
          </w:tcPr>
          <w:p>
            <w:pPr>
              <w:ind w:left="20"/>
              <w:spacing w:after="0" w:line="173" w:lineRule="exact"/>
              <w:rPr>
                <w:sz w:val="20"/>
                <w:szCs w:val="20"/>
                <w:color w:val="auto"/>
              </w:rPr>
            </w:pPr>
            <w:r>
              <w:rPr>
                <w:rFonts w:ascii="Arial" w:cs="Arial" w:eastAsia="Arial" w:hAnsi="Arial"/>
                <w:sz w:val="16"/>
                <w:szCs w:val="16"/>
                <w:color w:val="auto"/>
              </w:rPr>
              <w:t>Fiscal balance (% GDP)</w:t>
            </w:r>
          </w:p>
        </w:tc>
        <w:tc>
          <w:tcPr>
            <w:tcW w:w="1300" w:type="dxa"/>
            <w:vAlign w:val="bottom"/>
          </w:tcPr>
          <w:p>
            <w:pPr>
              <w:jc w:val="center"/>
              <w:ind w:left="38"/>
              <w:spacing w:after="0" w:line="173" w:lineRule="exact"/>
              <w:rPr>
                <w:sz w:val="20"/>
                <w:szCs w:val="20"/>
                <w:color w:val="auto"/>
              </w:rPr>
            </w:pPr>
            <w:r>
              <w:rPr>
                <w:rFonts w:ascii="Arial" w:cs="Arial" w:eastAsia="Arial" w:hAnsi="Arial"/>
                <w:sz w:val="16"/>
                <w:szCs w:val="16"/>
                <w:color w:val="auto"/>
              </w:rPr>
              <w:t>(2.3)</w:t>
            </w:r>
          </w:p>
        </w:tc>
        <w:tc>
          <w:tcPr>
            <w:tcW w:w="1160" w:type="dxa"/>
            <w:vAlign w:val="bottom"/>
          </w:tcPr>
          <w:p>
            <w:pPr>
              <w:jc w:val="center"/>
              <w:spacing w:after="0" w:line="173" w:lineRule="exact"/>
              <w:rPr>
                <w:sz w:val="20"/>
                <w:szCs w:val="20"/>
                <w:color w:val="auto"/>
              </w:rPr>
            </w:pPr>
            <w:r>
              <w:rPr>
                <w:rFonts w:ascii="Arial" w:cs="Arial" w:eastAsia="Arial" w:hAnsi="Arial"/>
                <w:sz w:val="16"/>
                <w:szCs w:val="16"/>
                <w:color w:val="auto"/>
              </w:rPr>
              <w:t>(1.6)</w:t>
            </w:r>
          </w:p>
        </w:tc>
        <w:tc>
          <w:tcPr>
            <w:tcW w:w="1160" w:type="dxa"/>
            <w:vAlign w:val="bottom"/>
          </w:tcPr>
          <w:p>
            <w:pPr>
              <w:jc w:val="center"/>
              <w:spacing w:after="0" w:line="173" w:lineRule="exact"/>
              <w:rPr>
                <w:sz w:val="20"/>
                <w:szCs w:val="20"/>
                <w:color w:val="auto"/>
              </w:rPr>
            </w:pPr>
            <w:r>
              <w:rPr>
                <w:rFonts w:ascii="Arial" w:cs="Arial" w:eastAsia="Arial" w:hAnsi="Arial"/>
                <w:sz w:val="16"/>
                <w:szCs w:val="16"/>
                <w:color w:val="auto"/>
              </w:rPr>
              <w:t>(8.9)</w:t>
            </w:r>
          </w:p>
        </w:tc>
        <w:tc>
          <w:tcPr>
            <w:tcW w:w="1160" w:type="dxa"/>
            <w:vAlign w:val="bottom"/>
          </w:tcPr>
          <w:p>
            <w:pPr>
              <w:jc w:val="center"/>
              <w:spacing w:after="0" w:line="173" w:lineRule="exact"/>
              <w:rPr>
                <w:sz w:val="20"/>
                <w:szCs w:val="20"/>
                <w:color w:val="auto"/>
              </w:rPr>
            </w:pPr>
            <w:r>
              <w:rPr>
                <w:rFonts w:ascii="Arial" w:cs="Arial" w:eastAsia="Arial" w:hAnsi="Arial"/>
                <w:sz w:val="16"/>
                <w:szCs w:val="16"/>
                <w:color w:val="auto"/>
              </w:rPr>
              <w:t>(2.5)</w:t>
            </w:r>
          </w:p>
        </w:tc>
        <w:tc>
          <w:tcPr>
            <w:tcW w:w="1160" w:type="dxa"/>
            <w:vAlign w:val="bottom"/>
          </w:tcPr>
          <w:p>
            <w:pPr>
              <w:jc w:val="center"/>
              <w:spacing w:after="0" w:line="173" w:lineRule="exact"/>
              <w:rPr>
                <w:sz w:val="20"/>
                <w:szCs w:val="20"/>
                <w:color w:val="auto"/>
              </w:rPr>
            </w:pPr>
            <w:r>
              <w:rPr>
                <w:rFonts w:ascii="Arial" w:cs="Arial" w:eastAsia="Arial" w:hAnsi="Arial"/>
                <w:sz w:val="16"/>
                <w:szCs w:val="16"/>
                <w:color w:val="auto"/>
              </w:rPr>
              <w:t>(1.7)</w:t>
            </w:r>
          </w:p>
        </w:tc>
        <w:tc>
          <w:tcPr>
            <w:tcW w:w="940" w:type="dxa"/>
            <w:vAlign w:val="bottom"/>
            <w:tcBorders>
              <w:right w:val="single" w:sz="8" w:color="auto"/>
            </w:tcBorders>
            <w:shd w:val="clear" w:color="auto" w:fill="D9D9D9"/>
          </w:tcPr>
          <w:p>
            <w:pPr>
              <w:jc w:val="center"/>
              <w:spacing w:after="0" w:line="173" w:lineRule="exact"/>
              <w:rPr>
                <w:sz w:val="20"/>
                <w:szCs w:val="20"/>
                <w:color w:val="auto"/>
              </w:rPr>
            </w:pPr>
            <w:r>
              <w:rPr>
                <w:rFonts w:ascii="Arial" w:cs="Arial" w:eastAsia="Arial" w:hAnsi="Arial"/>
                <w:sz w:val="16"/>
                <w:szCs w:val="16"/>
                <w:color w:val="auto"/>
              </w:rPr>
              <w:t>(3.0)</w:t>
            </w:r>
          </w:p>
        </w:tc>
      </w:tr>
      <w:tr>
        <w:trPr>
          <w:trHeight w:val="185"/>
        </w:trPr>
        <w:tc>
          <w:tcPr>
            <w:tcW w:w="438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Public Debt (as % GDP)</w:t>
            </w:r>
          </w:p>
        </w:tc>
        <w:tc>
          <w:tcPr>
            <w:tcW w:w="1300" w:type="dxa"/>
            <w:vAlign w:val="bottom"/>
            <w:tcBorders>
              <w:bottom w:val="single" w:sz="8" w:color="auto"/>
            </w:tcBorders>
          </w:tcPr>
          <w:p>
            <w:pPr>
              <w:jc w:val="center"/>
              <w:ind w:left="18"/>
              <w:spacing w:after="0"/>
              <w:rPr>
                <w:sz w:val="20"/>
                <w:szCs w:val="20"/>
                <w:color w:val="auto"/>
              </w:rPr>
            </w:pPr>
            <w:r>
              <w:rPr>
                <w:rFonts w:ascii="Arial" w:cs="Arial" w:eastAsia="Arial" w:hAnsi="Arial"/>
                <w:sz w:val="16"/>
                <w:szCs w:val="16"/>
                <w:color w:val="auto"/>
              </w:rPr>
              <w:t>25.6</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26.6</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34.6</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35.9</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33.8</w:t>
            </w:r>
          </w:p>
        </w:tc>
        <w:tc>
          <w:tcPr>
            <w:tcW w:w="940" w:type="dxa"/>
            <w:vAlign w:val="bottom"/>
            <w:tcBorders>
              <w:bottom w:val="single" w:sz="8" w:color="auto"/>
              <w:right w:val="single" w:sz="8" w:color="auto"/>
            </w:tcBorders>
            <w:shd w:val="clear" w:color="auto" w:fill="E7E6E6"/>
          </w:tcPr>
          <w:p>
            <w:pPr>
              <w:jc w:val="center"/>
              <w:spacing w:after="0"/>
              <w:rPr>
                <w:sz w:val="20"/>
                <w:szCs w:val="20"/>
                <w:color w:val="auto"/>
              </w:rPr>
            </w:pPr>
            <w:r>
              <w:rPr>
                <w:rFonts w:ascii="Arial" w:cs="Arial" w:eastAsia="Arial" w:hAnsi="Arial"/>
                <w:sz w:val="16"/>
                <w:szCs w:val="16"/>
                <w:color w:val="auto"/>
              </w:rPr>
              <w:t>34.0</w:t>
            </w:r>
          </w:p>
        </w:tc>
      </w:tr>
      <w:tr>
        <w:trPr>
          <w:trHeight w:val="165"/>
        </w:trPr>
        <w:tc>
          <w:tcPr>
            <w:tcW w:w="4380" w:type="dxa"/>
            <w:vAlign w:val="bottom"/>
            <w:tcBorders>
              <w:left w:val="single" w:sz="8" w:color="auto"/>
            </w:tcBorders>
          </w:tcPr>
          <w:p>
            <w:pPr>
              <w:ind w:left="20"/>
              <w:spacing w:after="0" w:line="165" w:lineRule="exact"/>
              <w:rPr>
                <w:sz w:val="20"/>
                <w:szCs w:val="20"/>
                <w:color w:val="auto"/>
              </w:rPr>
            </w:pPr>
            <w:r>
              <w:rPr>
                <w:rFonts w:ascii="Arial" w:cs="Arial" w:eastAsia="Arial" w:hAnsi="Arial"/>
                <w:sz w:val="16"/>
                <w:szCs w:val="16"/>
                <w:color w:val="auto"/>
              </w:rPr>
              <w:t>Trade balance (US$ Millions)</w:t>
            </w:r>
          </w:p>
        </w:tc>
        <w:tc>
          <w:tcPr>
            <w:tcW w:w="1300" w:type="dxa"/>
            <w:vAlign w:val="bottom"/>
          </w:tcPr>
          <w:p>
            <w:pPr>
              <w:jc w:val="center"/>
              <w:ind w:left="38"/>
              <w:spacing w:after="0" w:line="165" w:lineRule="exact"/>
              <w:rPr>
                <w:sz w:val="20"/>
                <w:szCs w:val="20"/>
                <w:color w:val="auto"/>
              </w:rPr>
            </w:pPr>
            <w:r>
              <w:rPr>
                <w:rFonts w:ascii="Arial" w:cs="Arial" w:eastAsia="Arial" w:hAnsi="Arial"/>
                <w:sz w:val="16"/>
                <w:szCs w:val="16"/>
                <w:color w:val="auto"/>
              </w:rPr>
              <w:t>7,201</w:t>
            </w:r>
          </w:p>
        </w:tc>
        <w:tc>
          <w:tcPr>
            <w:tcW w:w="1160" w:type="dxa"/>
            <w:vAlign w:val="bottom"/>
          </w:tcPr>
          <w:p>
            <w:pPr>
              <w:jc w:val="center"/>
              <w:spacing w:after="0" w:line="165" w:lineRule="exact"/>
              <w:rPr>
                <w:sz w:val="20"/>
                <w:szCs w:val="20"/>
                <w:color w:val="auto"/>
              </w:rPr>
            </w:pPr>
            <w:r>
              <w:rPr>
                <w:rFonts w:ascii="Arial" w:cs="Arial" w:eastAsia="Arial" w:hAnsi="Arial"/>
                <w:sz w:val="16"/>
                <w:szCs w:val="16"/>
                <w:color w:val="auto"/>
              </w:rPr>
              <w:t>6,879</w:t>
            </w:r>
          </w:p>
        </w:tc>
        <w:tc>
          <w:tcPr>
            <w:tcW w:w="1160" w:type="dxa"/>
            <w:vAlign w:val="bottom"/>
          </w:tcPr>
          <w:p>
            <w:pPr>
              <w:jc w:val="center"/>
              <w:spacing w:after="0" w:line="165" w:lineRule="exact"/>
              <w:rPr>
                <w:sz w:val="20"/>
                <w:szCs w:val="20"/>
                <w:color w:val="auto"/>
              </w:rPr>
            </w:pPr>
            <w:r>
              <w:rPr>
                <w:rFonts w:ascii="Arial" w:cs="Arial" w:eastAsia="Arial" w:hAnsi="Arial"/>
                <w:sz w:val="16"/>
                <w:szCs w:val="16"/>
                <w:color w:val="auto"/>
                <w:w w:val="99"/>
              </w:rPr>
              <w:t>8,102</w:t>
            </w:r>
          </w:p>
        </w:tc>
        <w:tc>
          <w:tcPr>
            <w:tcW w:w="1160" w:type="dxa"/>
            <w:vAlign w:val="bottom"/>
          </w:tcPr>
          <w:p>
            <w:pPr>
              <w:jc w:val="center"/>
              <w:spacing w:after="0" w:line="165" w:lineRule="exact"/>
              <w:rPr>
                <w:sz w:val="20"/>
                <w:szCs w:val="20"/>
                <w:color w:val="auto"/>
              </w:rPr>
            </w:pPr>
            <w:r>
              <w:rPr>
                <w:rFonts w:ascii="Arial" w:cs="Arial" w:eastAsia="Arial" w:hAnsi="Arial"/>
                <w:sz w:val="16"/>
                <w:szCs w:val="16"/>
                <w:color w:val="auto"/>
              </w:rPr>
              <w:t>14,977</w:t>
            </w:r>
          </w:p>
        </w:tc>
        <w:tc>
          <w:tcPr>
            <w:tcW w:w="1160" w:type="dxa"/>
            <w:vAlign w:val="bottom"/>
          </w:tcPr>
          <w:p>
            <w:pPr>
              <w:jc w:val="center"/>
              <w:spacing w:after="0" w:line="165" w:lineRule="exact"/>
              <w:rPr>
                <w:sz w:val="20"/>
                <w:szCs w:val="20"/>
                <w:color w:val="auto"/>
              </w:rPr>
            </w:pPr>
            <w:r>
              <w:rPr>
                <w:rFonts w:ascii="Arial" w:cs="Arial" w:eastAsia="Arial" w:hAnsi="Arial"/>
                <w:sz w:val="16"/>
                <w:szCs w:val="16"/>
                <w:color w:val="auto"/>
              </w:rPr>
              <w:t>10,333</w:t>
            </w:r>
          </w:p>
        </w:tc>
        <w:tc>
          <w:tcPr>
            <w:tcW w:w="940" w:type="dxa"/>
            <w:vAlign w:val="bottom"/>
            <w:tcBorders>
              <w:right w:val="single" w:sz="8" w:color="auto"/>
            </w:tcBorders>
            <w:shd w:val="clear" w:color="auto" w:fill="E7E6E6"/>
          </w:tcPr>
          <w:p>
            <w:pPr>
              <w:jc w:val="center"/>
              <w:spacing w:after="0" w:line="165" w:lineRule="exact"/>
              <w:rPr>
                <w:sz w:val="20"/>
                <w:szCs w:val="20"/>
                <w:color w:val="auto"/>
              </w:rPr>
            </w:pPr>
            <w:r>
              <w:rPr>
                <w:rFonts w:ascii="Arial" w:cs="Arial" w:eastAsia="Arial" w:hAnsi="Arial"/>
                <w:sz w:val="16"/>
                <w:szCs w:val="16"/>
                <w:color w:val="auto"/>
              </w:rPr>
              <w:t>15,400</w:t>
            </w:r>
          </w:p>
        </w:tc>
      </w:tr>
      <w:tr>
        <w:trPr>
          <w:trHeight w:val="185"/>
        </w:trPr>
        <w:tc>
          <w:tcPr>
            <w:tcW w:w="438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rPr>
              <w:t>(As % GDP)</w:t>
            </w:r>
          </w:p>
        </w:tc>
        <w:tc>
          <w:tcPr>
            <w:tcW w:w="1300" w:type="dxa"/>
            <w:vAlign w:val="bottom"/>
          </w:tcPr>
          <w:p>
            <w:pPr>
              <w:jc w:val="center"/>
              <w:ind w:left="38"/>
              <w:spacing w:after="0"/>
              <w:rPr>
                <w:sz w:val="20"/>
                <w:szCs w:val="20"/>
                <w:color w:val="auto"/>
              </w:rPr>
            </w:pPr>
            <w:r>
              <w:rPr>
                <w:rFonts w:ascii="Arial" w:cs="Arial" w:eastAsia="Arial" w:hAnsi="Arial"/>
                <w:sz w:val="16"/>
                <w:szCs w:val="16"/>
                <w:color w:val="auto"/>
              </w:rPr>
              <w:t>3.2%</w:t>
            </w:r>
          </w:p>
        </w:tc>
        <w:tc>
          <w:tcPr>
            <w:tcW w:w="1160" w:type="dxa"/>
            <w:vAlign w:val="bottom"/>
          </w:tcPr>
          <w:p>
            <w:pPr>
              <w:jc w:val="center"/>
              <w:spacing w:after="0"/>
              <w:rPr>
                <w:sz w:val="20"/>
                <w:szCs w:val="20"/>
                <w:color w:val="auto"/>
              </w:rPr>
            </w:pPr>
            <w:r>
              <w:rPr>
                <w:rFonts w:ascii="Arial" w:cs="Arial" w:eastAsia="Arial" w:hAnsi="Arial"/>
                <w:sz w:val="16"/>
                <w:szCs w:val="16"/>
                <w:color w:val="auto"/>
              </w:rPr>
              <w:t>3.0%</w:t>
            </w:r>
          </w:p>
        </w:tc>
        <w:tc>
          <w:tcPr>
            <w:tcW w:w="1160" w:type="dxa"/>
            <w:vAlign w:val="bottom"/>
          </w:tcPr>
          <w:p>
            <w:pPr>
              <w:jc w:val="center"/>
              <w:spacing w:after="0"/>
              <w:rPr>
                <w:sz w:val="20"/>
                <w:szCs w:val="20"/>
                <w:color w:val="auto"/>
              </w:rPr>
            </w:pPr>
            <w:r>
              <w:rPr>
                <w:rFonts w:ascii="Arial" w:cs="Arial" w:eastAsia="Arial" w:hAnsi="Arial"/>
                <w:sz w:val="16"/>
                <w:szCs w:val="16"/>
                <w:color w:val="auto"/>
              </w:rPr>
              <w:t>3.9%</w:t>
            </w:r>
          </w:p>
        </w:tc>
        <w:tc>
          <w:tcPr>
            <w:tcW w:w="1160" w:type="dxa"/>
            <w:vAlign w:val="bottom"/>
          </w:tcPr>
          <w:p>
            <w:pPr>
              <w:jc w:val="center"/>
              <w:spacing w:after="0"/>
              <w:rPr>
                <w:sz w:val="20"/>
                <w:szCs w:val="20"/>
                <w:color w:val="auto"/>
              </w:rPr>
            </w:pPr>
            <w:r>
              <w:rPr>
                <w:rFonts w:ascii="Arial" w:cs="Arial" w:eastAsia="Arial" w:hAnsi="Arial"/>
                <w:sz w:val="16"/>
                <w:szCs w:val="16"/>
                <w:color w:val="auto"/>
                <w:w w:val="98"/>
              </w:rPr>
              <w:t>6.6%</w:t>
            </w:r>
          </w:p>
        </w:tc>
        <w:tc>
          <w:tcPr>
            <w:tcW w:w="1160" w:type="dxa"/>
            <w:vAlign w:val="bottom"/>
          </w:tcPr>
          <w:p>
            <w:pPr>
              <w:jc w:val="center"/>
              <w:spacing w:after="0"/>
              <w:rPr>
                <w:sz w:val="20"/>
                <w:szCs w:val="20"/>
                <w:color w:val="auto"/>
              </w:rPr>
            </w:pPr>
            <w:r>
              <w:rPr>
                <w:rFonts w:ascii="Arial" w:cs="Arial" w:eastAsia="Arial" w:hAnsi="Arial"/>
                <w:sz w:val="16"/>
                <w:szCs w:val="16"/>
                <w:color w:val="auto"/>
                <w:w w:val="98"/>
              </w:rPr>
              <w:t>4.2%</w:t>
            </w:r>
          </w:p>
        </w:tc>
        <w:tc>
          <w:tcPr>
            <w:tcW w:w="940" w:type="dxa"/>
            <w:vAlign w:val="bottom"/>
            <w:tcBorders>
              <w:right w:val="single" w:sz="8" w:color="auto"/>
            </w:tcBorders>
            <w:shd w:val="clear" w:color="auto" w:fill="E7E6E6"/>
          </w:tcPr>
          <w:p>
            <w:pPr>
              <w:jc w:val="center"/>
              <w:spacing w:after="0"/>
              <w:rPr>
                <w:sz w:val="20"/>
                <w:szCs w:val="20"/>
                <w:color w:val="auto"/>
              </w:rPr>
            </w:pPr>
            <w:r>
              <w:rPr>
                <w:rFonts w:ascii="Arial" w:cs="Arial" w:eastAsia="Arial" w:hAnsi="Arial"/>
                <w:sz w:val="16"/>
                <w:szCs w:val="16"/>
                <w:color w:val="auto"/>
                <w:w w:val="98"/>
              </w:rPr>
              <w:t>5.8%</w:t>
            </w:r>
          </w:p>
        </w:tc>
      </w:tr>
      <w:tr>
        <w:trPr>
          <w:trHeight w:val="185"/>
        </w:trPr>
        <w:tc>
          <w:tcPr>
            <w:tcW w:w="438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rPr>
              <w:t>Exports</w:t>
            </w:r>
          </w:p>
        </w:tc>
        <w:tc>
          <w:tcPr>
            <w:tcW w:w="1300" w:type="dxa"/>
            <w:vAlign w:val="bottom"/>
          </w:tcPr>
          <w:p>
            <w:pPr>
              <w:jc w:val="center"/>
              <w:ind w:left="38"/>
              <w:spacing w:after="0"/>
              <w:rPr>
                <w:sz w:val="20"/>
                <w:szCs w:val="20"/>
                <w:color w:val="auto"/>
              </w:rPr>
            </w:pPr>
            <w:r>
              <w:rPr>
                <w:rFonts w:ascii="Arial" w:cs="Arial" w:eastAsia="Arial" w:hAnsi="Arial"/>
                <w:sz w:val="16"/>
                <w:szCs w:val="16"/>
                <w:color w:val="auto"/>
              </w:rPr>
              <w:t>49,066</w:t>
            </w:r>
          </w:p>
        </w:tc>
        <w:tc>
          <w:tcPr>
            <w:tcW w:w="1160" w:type="dxa"/>
            <w:vAlign w:val="bottom"/>
          </w:tcPr>
          <w:p>
            <w:pPr>
              <w:jc w:val="center"/>
              <w:spacing w:after="0"/>
              <w:rPr>
                <w:sz w:val="20"/>
                <w:szCs w:val="20"/>
                <w:color w:val="auto"/>
              </w:rPr>
            </w:pPr>
            <w:r>
              <w:rPr>
                <w:rFonts w:ascii="Arial" w:cs="Arial" w:eastAsia="Arial" w:hAnsi="Arial"/>
                <w:sz w:val="16"/>
                <w:szCs w:val="16"/>
                <w:color w:val="auto"/>
              </w:rPr>
              <w:t>47,980</w:t>
            </w:r>
          </w:p>
        </w:tc>
        <w:tc>
          <w:tcPr>
            <w:tcW w:w="1160" w:type="dxa"/>
            <w:vAlign w:val="bottom"/>
          </w:tcPr>
          <w:p>
            <w:pPr>
              <w:jc w:val="center"/>
              <w:spacing w:after="0"/>
              <w:rPr>
                <w:sz w:val="20"/>
                <w:szCs w:val="20"/>
                <w:color w:val="auto"/>
              </w:rPr>
            </w:pPr>
            <w:r>
              <w:rPr>
                <w:rFonts w:ascii="Arial" w:cs="Arial" w:eastAsia="Arial" w:hAnsi="Arial"/>
                <w:sz w:val="16"/>
                <w:szCs w:val="16"/>
                <w:color w:val="auto"/>
              </w:rPr>
              <w:t>42,826</w:t>
            </w:r>
          </w:p>
        </w:tc>
        <w:tc>
          <w:tcPr>
            <w:tcW w:w="1160" w:type="dxa"/>
            <w:vAlign w:val="bottom"/>
          </w:tcPr>
          <w:p>
            <w:pPr>
              <w:jc w:val="center"/>
              <w:spacing w:after="0"/>
              <w:rPr>
                <w:sz w:val="20"/>
                <w:szCs w:val="20"/>
                <w:color w:val="auto"/>
              </w:rPr>
            </w:pPr>
            <w:r>
              <w:rPr>
                <w:rFonts w:ascii="Arial" w:cs="Arial" w:eastAsia="Arial" w:hAnsi="Arial"/>
                <w:sz w:val="16"/>
                <w:szCs w:val="16"/>
                <w:color w:val="auto"/>
              </w:rPr>
              <w:t>62,967</w:t>
            </w:r>
          </w:p>
        </w:tc>
        <w:tc>
          <w:tcPr>
            <w:tcW w:w="1160" w:type="dxa"/>
            <w:vAlign w:val="bottom"/>
          </w:tcPr>
          <w:p>
            <w:pPr>
              <w:jc w:val="center"/>
              <w:spacing w:after="0"/>
              <w:rPr>
                <w:sz w:val="20"/>
                <w:szCs w:val="20"/>
                <w:color w:val="auto"/>
              </w:rPr>
            </w:pPr>
            <w:r>
              <w:rPr>
                <w:rFonts w:ascii="Arial" w:cs="Arial" w:eastAsia="Arial" w:hAnsi="Arial"/>
                <w:sz w:val="16"/>
                <w:szCs w:val="16"/>
                <w:color w:val="auto"/>
              </w:rPr>
              <w:t>66,235</w:t>
            </w:r>
          </w:p>
        </w:tc>
        <w:tc>
          <w:tcPr>
            <w:tcW w:w="940" w:type="dxa"/>
            <w:vAlign w:val="bottom"/>
            <w:tcBorders>
              <w:right w:val="single" w:sz="8" w:color="auto"/>
            </w:tcBorders>
            <w:shd w:val="clear" w:color="auto" w:fill="E7E6E6"/>
          </w:tcPr>
          <w:p>
            <w:pPr>
              <w:jc w:val="center"/>
              <w:spacing w:after="0"/>
              <w:rPr>
                <w:sz w:val="20"/>
                <w:szCs w:val="20"/>
                <w:color w:val="auto"/>
              </w:rPr>
            </w:pPr>
            <w:r>
              <w:rPr>
                <w:rFonts w:ascii="Arial" w:cs="Arial" w:eastAsia="Arial" w:hAnsi="Arial"/>
                <w:sz w:val="16"/>
                <w:szCs w:val="16"/>
                <w:color w:val="auto"/>
              </w:rPr>
              <w:t>65,000</w:t>
            </w:r>
          </w:p>
        </w:tc>
      </w:tr>
      <w:tr>
        <w:trPr>
          <w:trHeight w:val="185"/>
        </w:trPr>
        <w:tc>
          <w:tcPr>
            <w:tcW w:w="438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rPr>
              <w:t>Imports</w:t>
            </w:r>
          </w:p>
        </w:tc>
        <w:tc>
          <w:tcPr>
            <w:tcW w:w="1300" w:type="dxa"/>
            <w:vAlign w:val="bottom"/>
          </w:tcPr>
          <w:p>
            <w:pPr>
              <w:jc w:val="center"/>
              <w:ind w:left="38"/>
              <w:spacing w:after="0"/>
              <w:rPr>
                <w:sz w:val="20"/>
                <w:szCs w:val="20"/>
                <w:color w:val="auto"/>
              </w:rPr>
            </w:pPr>
            <w:r>
              <w:rPr>
                <w:rFonts w:ascii="Arial" w:cs="Arial" w:eastAsia="Arial" w:hAnsi="Arial"/>
                <w:sz w:val="16"/>
                <w:szCs w:val="16"/>
                <w:color w:val="auto"/>
              </w:rPr>
              <w:t>41,866</w:t>
            </w:r>
          </w:p>
        </w:tc>
        <w:tc>
          <w:tcPr>
            <w:tcW w:w="1160" w:type="dxa"/>
            <w:vAlign w:val="bottom"/>
          </w:tcPr>
          <w:p>
            <w:pPr>
              <w:jc w:val="center"/>
              <w:spacing w:after="0"/>
              <w:rPr>
                <w:sz w:val="20"/>
                <w:szCs w:val="20"/>
                <w:color w:val="auto"/>
              </w:rPr>
            </w:pPr>
            <w:r>
              <w:rPr>
                <w:rFonts w:ascii="Arial" w:cs="Arial" w:eastAsia="Arial" w:hAnsi="Arial"/>
                <w:sz w:val="16"/>
                <w:szCs w:val="16"/>
                <w:color w:val="auto"/>
              </w:rPr>
              <w:t>41,101</w:t>
            </w:r>
          </w:p>
        </w:tc>
        <w:tc>
          <w:tcPr>
            <w:tcW w:w="1160" w:type="dxa"/>
            <w:vAlign w:val="bottom"/>
          </w:tcPr>
          <w:p>
            <w:pPr>
              <w:jc w:val="center"/>
              <w:spacing w:after="0"/>
              <w:rPr>
                <w:sz w:val="20"/>
                <w:szCs w:val="20"/>
                <w:color w:val="auto"/>
              </w:rPr>
            </w:pPr>
            <w:r>
              <w:rPr>
                <w:rFonts w:ascii="Arial" w:cs="Arial" w:eastAsia="Arial" w:hAnsi="Arial"/>
                <w:sz w:val="16"/>
                <w:szCs w:val="16"/>
                <w:color w:val="auto"/>
              </w:rPr>
              <w:t>34,724</w:t>
            </w:r>
          </w:p>
        </w:tc>
        <w:tc>
          <w:tcPr>
            <w:tcW w:w="1160" w:type="dxa"/>
            <w:vAlign w:val="bottom"/>
          </w:tcPr>
          <w:p>
            <w:pPr>
              <w:jc w:val="center"/>
              <w:spacing w:after="0"/>
              <w:rPr>
                <w:sz w:val="20"/>
                <w:szCs w:val="20"/>
                <w:color w:val="auto"/>
              </w:rPr>
            </w:pPr>
            <w:r>
              <w:rPr>
                <w:rFonts w:ascii="Arial" w:cs="Arial" w:eastAsia="Arial" w:hAnsi="Arial"/>
                <w:sz w:val="16"/>
                <w:szCs w:val="16"/>
                <w:color w:val="auto"/>
              </w:rPr>
              <w:t>47,990</w:t>
            </w:r>
          </w:p>
        </w:tc>
        <w:tc>
          <w:tcPr>
            <w:tcW w:w="1160" w:type="dxa"/>
            <w:vAlign w:val="bottom"/>
          </w:tcPr>
          <w:p>
            <w:pPr>
              <w:jc w:val="center"/>
              <w:spacing w:after="0"/>
              <w:rPr>
                <w:sz w:val="20"/>
                <w:szCs w:val="20"/>
                <w:color w:val="auto"/>
              </w:rPr>
            </w:pPr>
            <w:r>
              <w:rPr>
                <w:rFonts w:ascii="Arial" w:cs="Arial" w:eastAsia="Arial" w:hAnsi="Arial"/>
                <w:sz w:val="16"/>
                <w:szCs w:val="16"/>
                <w:color w:val="auto"/>
              </w:rPr>
              <w:t>55,902</w:t>
            </w:r>
          </w:p>
        </w:tc>
        <w:tc>
          <w:tcPr>
            <w:tcW w:w="940" w:type="dxa"/>
            <w:vAlign w:val="bottom"/>
            <w:tcBorders>
              <w:right w:val="single" w:sz="8" w:color="auto"/>
            </w:tcBorders>
            <w:shd w:val="clear" w:color="auto" w:fill="E7E6E6"/>
          </w:tcPr>
          <w:p>
            <w:pPr>
              <w:jc w:val="center"/>
              <w:spacing w:after="0"/>
              <w:rPr>
                <w:sz w:val="20"/>
                <w:szCs w:val="20"/>
                <w:color w:val="auto"/>
              </w:rPr>
            </w:pPr>
            <w:r>
              <w:rPr>
                <w:rFonts w:ascii="Arial" w:cs="Arial" w:eastAsia="Arial" w:hAnsi="Arial"/>
                <w:sz w:val="16"/>
                <w:szCs w:val="16"/>
                <w:color w:val="auto"/>
              </w:rPr>
              <w:t>49,600</w:t>
            </w:r>
          </w:p>
        </w:tc>
      </w:tr>
      <w:tr>
        <w:trPr>
          <w:trHeight w:val="185"/>
        </w:trPr>
        <w:tc>
          <w:tcPr>
            <w:tcW w:w="438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rPr>
              <w:t>Current account balance (As % GDP)</w:t>
            </w:r>
          </w:p>
        </w:tc>
        <w:tc>
          <w:tcPr>
            <w:tcW w:w="1300" w:type="dxa"/>
            <w:vAlign w:val="bottom"/>
          </w:tcPr>
          <w:p>
            <w:pPr>
              <w:jc w:val="center"/>
              <w:ind w:left="38"/>
              <w:spacing w:after="0"/>
              <w:rPr>
                <w:sz w:val="20"/>
                <w:szCs w:val="20"/>
                <w:color w:val="auto"/>
              </w:rPr>
            </w:pPr>
            <w:r>
              <w:rPr>
                <w:rFonts w:ascii="Arial" w:cs="Arial" w:eastAsia="Arial" w:hAnsi="Arial"/>
                <w:sz w:val="16"/>
                <w:szCs w:val="16"/>
                <w:color w:val="auto"/>
              </w:rPr>
              <w:t>-1.2%</w:t>
            </w:r>
          </w:p>
        </w:tc>
        <w:tc>
          <w:tcPr>
            <w:tcW w:w="1160" w:type="dxa"/>
            <w:vAlign w:val="bottom"/>
          </w:tcPr>
          <w:p>
            <w:pPr>
              <w:jc w:val="center"/>
              <w:spacing w:after="0"/>
              <w:rPr>
                <w:sz w:val="20"/>
                <w:szCs w:val="20"/>
                <w:color w:val="auto"/>
              </w:rPr>
            </w:pPr>
            <w:r>
              <w:rPr>
                <w:rFonts w:ascii="Arial" w:cs="Arial" w:eastAsia="Arial" w:hAnsi="Arial"/>
                <w:sz w:val="16"/>
                <w:szCs w:val="16"/>
                <w:color w:val="auto"/>
              </w:rPr>
              <w:t>-0.6%</w:t>
            </w:r>
          </w:p>
        </w:tc>
        <w:tc>
          <w:tcPr>
            <w:tcW w:w="1160" w:type="dxa"/>
            <w:vAlign w:val="bottom"/>
          </w:tcPr>
          <w:p>
            <w:pPr>
              <w:jc w:val="center"/>
              <w:spacing w:after="0"/>
              <w:rPr>
                <w:sz w:val="20"/>
                <w:szCs w:val="20"/>
                <w:color w:val="auto"/>
              </w:rPr>
            </w:pPr>
            <w:r>
              <w:rPr>
                <w:rFonts w:ascii="Arial" w:cs="Arial" w:eastAsia="Arial" w:hAnsi="Arial"/>
                <w:sz w:val="16"/>
                <w:szCs w:val="16"/>
                <w:color w:val="auto"/>
              </w:rPr>
              <w:t>1.1%</w:t>
            </w:r>
          </w:p>
        </w:tc>
        <w:tc>
          <w:tcPr>
            <w:tcW w:w="1160" w:type="dxa"/>
            <w:vAlign w:val="bottom"/>
          </w:tcPr>
          <w:p>
            <w:pPr>
              <w:jc w:val="center"/>
              <w:spacing w:after="0"/>
              <w:rPr>
                <w:sz w:val="20"/>
                <w:szCs w:val="20"/>
                <w:color w:val="auto"/>
              </w:rPr>
            </w:pPr>
            <w:r>
              <w:rPr>
                <w:rFonts w:ascii="Arial" w:cs="Arial" w:eastAsia="Arial" w:hAnsi="Arial"/>
                <w:sz w:val="16"/>
                <w:szCs w:val="16"/>
                <w:color w:val="auto"/>
              </w:rPr>
              <w:t>-2.2%</w:t>
            </w:r>
          </w:p>
        </w:tc>
        <w:tc>
          <w:tcPr>
            <w:tcW w:w="1160" w:type="dxa"/>
            <w:vAlign w:val="bottom"/>
          </w:tcPr>
          <w:p>
            <w:pPr>
              <w:jc w:val="center"/>
              <w:spacing w:after="0"/>
              <w:rPr>
                <w:sz w:val="20"/>
                <w:szCs w:val="20"/>
                <w:color w:val="auto"/>
              </w:rPr>
            </w:pPr>
            <w:r>
              <w:rPr>
                <w:rFonts w:ascii="Arial" w:cs="Arial" w:eastAsia="Arial" w:hAnsi="Arial"/>
                <w:sz w:val="16"/>
                <w:szCs w:val="16"/>
                <w:color w:val="auto"/>
              </w:rPr>
              <w:t>-4.0%</w:t>
            </w:r>
          </w:p>
        </w:tc>
        <w:tc>
          <w:tcPr>
            <w:tcW w:w="940" w:type="dxa"/>
            <w:vAlign w:val="bottom"/>
            <w:tcBorders>
              <w:right w:val="single" w:sz="8" w:color="auto"/>
            </w:tcBorders>
            <w:shd w:val="clear" w:color="auto" w:fill="E7E6E6"/>
          </w:tcPr>
          <w:p>
            <w:pPr>
              <w:jc w:val="center"/>
              <w:spacing w:after="0"/>
              <w:rPr>
                <w:sz w:val="20"/>
                <w:szCs w:val="20"/>
                <w:color w:val="auto"/>
              </w:rPr>
            </w:pPr>
            <w:r>
              <w:rPr>
                <w:rFonts w:ascii="Arial" w:cs="Arial" w:eastAsia="Arial" w:hAnsi="Arial"/>
                <w:sz w:val="16"/>
                <w:szCs w:val="16"/>
                <w:color w:val="auto"/>
              </w:rPr>
              <w:t>-1.0%</w:t>
            </w:r>
          </w:p>
        </w:tc>
      </w:tr>
      <w:tr>
        <w:trPr>
          <w:trHeight w:val="185"/>
        </w:trPr>
        <w:tc>
          <w:tcPr>
            <w:tcW w:w="438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rPr>
              <w:t>Net international reserves (US$ Millions)</w:t>
            </w:r>
          </w:p>
        </w:tc>
        <w:tc>
          <w:tcPr>
            <w:tcW w:w="1300" w:type="dxa"/>
            <w:vAlign w:val="bottom"/>
          </w:tcPr>
          <w:p>
            <w:pPr>
              <w:jc w:val="center"/>
              <w:ind w:left="38"/>
              <w:spacing w:after="0"/>
              <w:rPr>
                <w:sz w:val="20"/>
                <w:szCs w:val="20"/>
                <w:color w:val="auto"/>
              </w:rPr>
            </w:pPr>
            <w:r>
              <w:rPr>
                <w:rFonts w:ascii="Arial" w:cs="Arial" w:eastAsia="Arial" w:hAnsi="Arial"/>
                <w:sz w:val="16"/>
                <w:szCs w:val="16"/>
                <w:color w:val="auto"/>
              </w:rPr>
              <w:t>60,121</w:t>
            </w:r>
          </w:p>
        </w:tc>
        <w:tc>
          <w:tcPr>
            <w:tcW w:w="1160" w:type="dxa"/>
            <w:vAlign w:val="bottom"/>
          </w:tcPr>
          <w:p>
            <w:pPr>
              <w:jc w:val="center"/>
              <w:spacing w:after="0"/>
              <w:rPr>
                <w:sz w:val="20"/>
                <w:szCs w:val="20"/>
                <w:color w:val="auto"/>
              </w:rPr>
            </w:pPr>
            <w:r>
              <w:rPr>
                <w:rFonts w:ascii="Arial" w:cs="Arial" w:eastAsia="Arial" w:hAnsi="Arial"/>
                <w:sz w:val="16"/>
                <w:szCs w:val="16"/>
                <w:color w:val="auto"/>
              </w:rPr>
              <w:t>68,316</w:t>
            </w:r>
          </w:p>
        </w:tc>
        <w:tc>
          <w:tcPr>
            <w:tcW w:w="1160" w:type="dxa"/>
            <w:vAlign w:val="bottom"/>
          </w:tcPr>
          <w:p>
            <w:pPr>
              <w:jc w:val="center"/>
              <w:spacing w:after="0"/>
              <w:rPr>
                <w:sz w:val="20"/>
                <w:szCs w:val="20"/>
                <w:color w:val="auto"/>
              </w:rPr>
            </w:pPr>
            <w:r>
              <w:rPr>
                <w:rFonts w:ascii="Arial" w:cs="Arial" w:eastAsia="Arial" w:hAnsi="Arial"/>
                <w:sz w:val="16"/>
                <w:szCs w:val="16"/>
                <w:color w:val="auto"/>
              </w:rPr>
              <w:t>74,707</w:t>
            </w:r>
          </w:p>
        </w:tc>
        <w:tc>
          <w:tcPr>
            <w:tcW w:w="1160" w:type="dxa"/>
            <w:vAlign w:val="bottom"/>
          </w:tcPr>
          <w:p>
            <w:pPr>
              <w:jc w:val="center"/>
              <w:spacing w:after="0"/>
              <w:rPr>
                <w:sz w:val="20"/>
                <w:szCs w:val="20"/>
                <w:color w:val="auto"/>
              </w:rPr>
            </w:pPr>
            <w:r>
              <w:rPr>
                <w:rFonts w:ascii="Arial" w:cs="Arial" w:eastAsia="Arial" w:hAnsi="Arial"/>
                <w:sz w:val="16"/>
                <w:szCs w:val="16"/>
                <w:color w:val="auto"/>
              </w:rPr>
              <w:t>78,495</w:t>
            </w:r>
          </w:p>
        </w:tc>
        <w:tc>
          <w:tcPr>
            <w:tcW w:w="1160" w:type="dxa"/>
            <w:vAlign w:val="bottom"/>
          </w:tcPr>
          <w:p>
            <w:pPr>
              <w:jc w:val="center"/>
              <w:spacing w:after="0"/>
              <w:rPr>
                <w:sz w:val="20"/>
                <w:szCs w:val="20"/>
                <w:color w:val="auto"/>
              </w:rPr>
            </w:pPr>
            <w:r>
              <w:rPr>
                <w:rFonts w:ascii="Arial" w:cs="Arial" w:eastAsia="Arial" w:hAnsi="Arial"/>
                <w:sz w:val="16"/>
                <w:szCs w:val="16"/>
                <w:color w:val="auto"/>
              </w:rPr>
              <w:t>71,883</w:t>
            </w:r>
          </w:p>
        </w:tc>
        <w:tc>
          <w:tcPr>
            <w:tcW w:w="940" w:type="dxa"/>
            <w:vAlign w:val="bottom"/>
            <w:tcBorders>
              <w:right w:val="single" w:sz="8" w:color="auto"/>
            </w:tcBorders>
            <w:shd w:val="clear" w:color="auto" w:fill="E7E6E6"/>
          </w:tcPr>
          <w:p>
            <w:pPr>
              <w:jc w:val="center"/>
              <w:spacing w:after="0"/>
              <w:rPr>
                <w:sz w:val="20"/>
                <w:szCs w:val="20"/>
                <w:color w:val="auto"/>
              </w:rPr>
            </w:pPr>
            <w:r>
              <w:rPr>
                <w:rFonts w:ascii="Arial" w:cs="Arial" w:eastAsia="Arial" w:hAnsi="Arial"/>
                <w:sz w:val="16"/>
                <w:szCs w:val="16"/>
                <w:color w:val="auto"/>
              </w:rPr>
              <w:t>74,000</w:t>
            </w:r>
          </w:p>
        </w:tc>
      </w:tr>
      <w:tr>
        <w:trPr>
          <w:trHeight w:val="185"/>
        </w:trPr>
        <w:tc>
          <w:tcPr>
            <w:tcW w:w="4380" w:type="dxa"/>
            <w:vAlign w:val="bottom"/>
            <w:tcBorders>
              <w:left w:val="single" w:sz="8" w:color="auto"/>
            </w:tcBorders>
          </w:tcPr>
          <w:p>
            <w:pPr>
              <w:ind w:left="20"/>
              <w:spacing w:after="0"/>
              <w:rPr>
                <w:sz w:val="20"/>
                <w:szCs w:val="20"/>
                <w:color w:val="auto"/>
              </w:rPr>
            </w:pPr>
            <w:r>
              <w:rPr>
                <w:rFonts w:ascii="Arial" w:cs="Arial" w:eastAsia="Arial" w:hAnsi="Arial"/>
                <w:sz w:val="16"/>
                <w:szCs w:val="16"/>
                <w:color w:val="auto"/>
              </w:rPr>
              <w:t>(As % GDP)</w:t>
            </w:r>
          </w:p>
        </w:tc>
        <w:tc>
          <w:tcPr>
            <w:tcW w:w="1300" w:type="dxa"/>
            <w:vAlign w:val="bottom"/>
          </w:tcPr>
          <w:p>
            <w:pPr>
              <w:jc w:val="center"/>
              <w:ind w:left="38"/>
              <w:spacing w:after="0"/>
              <w:rPr>
                <w:sz w:val="20"/>
                <w:szCs w:val="20"/>
                <w:color w:val="auto"/>
              </w:rPr>
            </w:pPr>
            <w:r>
              <w:rPr>
                <w:rFonts w:ascii="Arial" w:cs="Arial" w:eastAsia="Arial" w:hAnsi="Arial"/>
                <w:sz w:val="16"/>
                <w:szCs w:val="16"/>
                <w:color w:val="auto"/>
              </w:rPr>
              <w:t>26.5%</w:t>
            </w:r>
          </w:p>
        </w:tc>
        <w:tc>
          <w:tcPr>
            <w:tcW w:w="1160" w:type="dxa"/>
            <w:vAlign w:val="bottom"/>
          </w:tcPr>
          <w:p>
            <w:pPr>
              <w:jc w:val="center"/>
              <w:spacing w:after="0"/>
              <w:rPr>
                <w:sz w:val="20"/>
                <w:szCs w:val="20"/>
                <w:color w:val="auto"/>
              </w:rPr>
            </w:pPr>
            <w:r>
              <w:rPr>
                <w:rFonts w:ascii="Arial" w:cs="Arial" w:eastAsia="Arial" w:hAnsi="Arial"/>
                <w:sz w:val="16"/>
                <w:szCs w:val="16"/>
                <w:color w:val="auto"/>
              </w:rPr>
              <w:t>29.4%</w:t>
            </w:r>
          </w:p>
        </w:tc>
        <w:tc>
          <w:tcPr>
            <w:tcW w:w="1160" w:type="dxa"/>
            <w:vAlign w:val="bottom"/>
          </w:tcPr>
          <w:p>
            <w:pPr>
              <w:jc w:val="center"/>
              <w:spacing w:after="0"/>
              <w:rPr>
                <w:sz w:val="20"/>
                <w:szCs w:val="20"/>
                <w:color w:val="auto"/>
              </w:rPr>
            </w:pPr>
            <w:r>
              <w:rPr>
                <w:rFonts w:ascii="Arial" w:cs="Arial" w:eastAsia="Arial" w:hAnsi="Arial"/>
                <w:sz w:val="16"/>
                <w:szCs w:val="16"/>
                <w:color w:val="auto"/>
              </w:rPr>
              <w:t>36.3%</w:t>
            </w:r>
          </w:p>
        </w:tc>
        <w:tc>
          <w:tcPr>
            <w:tcW w:w="1160" w:type="dxa"/>
            <w:vAlign w:val="bottom"/>
          </w:tcPr>
          <w:p>
            <w:pPr>
              <w:jc w:val="center"/>
              <w:spacing w:after="0"/>
              <w:rPr>
                <w:sz w:val="20"/>
                <w:szCs w:val="20"/>
                <w:color w:val="auto"/>
              </w:rPr>
            </w:pPr>
            <w:r>
              <w:rPr>
                <w:rFonts w:ascii="Arial" w:cs="Arial" w:eastAsia="Arial" w:hAnsi="Arial"/>
                <w:sz w:val="16"/>
                <w:szCs w:val="16"/>
                <w:color w:val="auto"/>
              </w:rPr>
              <w:t>34.8%</w:t>
            </w:r>
          </w:p>
        </w:tc>
        <w:tc>
          <w:tcPr>
            <w:tcW w:w="1160" w:type="dxa"/>
            <w:vAlign w:val="bottom"/>
          </w:tcPr>
          <w:p>
            <w:pPr>
              <w:jc w:val="center"/>
              <w:spacing w:after="0"/>
              <w:rPr>
                <w:sz w:val="20"/>
                <w:szCs w:val="20"/>
                <w:color w:val="auto"/>
              </w:rPr>
            </w:pPr>
            <w:r>
              <w:rPr>
                <w:rFonts w:ascii="Arial" w:cs="Arial" w:eastAsia="Arial" w:hAnsi="Arial"/>
                <w:sz w:val="16"/>
                <w:szCs w:val="16"/>
                <w:color w:val="auto"/>
              </w:rPr>
              <w:t>29.4%</w:t>
            </w:r>
          </w:p>
        </w:tc>
        <w:tc>
          <w:tcPr>
            <w:tcW w:w="940" w:type="dxa"/>
            <w:vAlign w:val="bottom"/>
            <w:tcBorders>
              <w:right w:val="single" w:sz="8" w:color="auto"/>
            </w:tcBorders>
            <w:shd w:val="clear" w:color="auto" w:fill="E7E6E6"/>
          </w:tcPr>
          <w:p>
            <w:pPr>
              <w:jc w:val="center"/>
              <w:spacing w:after="0"/>
              <w:rPr>
                <w:sz w:val="20"/>
                <w:szCs w:val="20"/>
                <w:color w:val="auto"/>
              </w:rPr>
            </w:pPr>
            <w:r>
              <w:rPr>
                <w:rFonts w:ascii="Arial" w:cs="Arial" w:eastAsia="Arial" w:hAnsi="Arial"/>
                <w:sz w:val="16"/>
                <w:szCs w:val="16"/>
                <w:color w:val="auto"/>
              </w:rPr>
              <w:t>27.7%</w:t>
            </w:r>
          </w:p>
        </w:tc>
      </w:tr>
      <w:tr>
        <w:trPr>
          <w:trHeight w:val="198"/>
        </w:trPr>
        <w:tc>
          <w:tcPr>
            <w:tcW w:w="438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(As months of imports)</w:t>
            </w:r>
          </w:p>
        </w:tc>
        <w:tc>
          <w:tcPr>
            <w:tcW w:w="1300" w:type="dxa"/>
            <w:vAlign w:val="bottom"/>
            <w:tcBorders>
              <w:bottom w:val="single" w:sz="8" w:color="auto"/>
            </w:tcBorders>
          </w:tcPr>
          <w:p>
            <w:pPr>
              <w:jc w:val="center"/>
              <w:ind w:left="38"/>
              <w:spacing w:after="0"/>
              <w:rPr>
                <w:sz w:val="20"/>
                <w:szCs w:val="20"/>
                <w:color w:val="auto"/>
              </w:rPr>
            </w:pPr>
            <w:r>
              <w:rPr>
                <w:rFonts w:ascii="Arial" w:cs="Arial" w:eastAsia="Arial" w:hAnsi="Arial"/>
                <w:sz w:val="16"/>
                <w:szCs w:val="16"/>
                <w:color w:val="auto"/>
              </w:rPr>
              <w:t>17</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20</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26</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20</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15</w:t>
            </w:r>
          </w:p>
        </w:tc>
        <w:tc>
          <w:tcPr>
            <w:tcW w:w="940" w:type="dxa"/>
            <w:vAlign w:val="bottom"/>
            <w:tcBorders>
              <w:bottom w:val="single" w:sz="8" w:color="auto"/>
              <w:right w:val="single" w:sz="8" w:color="auto"/>
            </w:tcBorders>
            <w:shd w:val="clear" w:color="auto" w:fill="E7E6E6"/>
          </w:tcPr>
          <w:p>
            <w:pPr>
              <w:jc w:val="center"/>
              <w:spacing w:after="0"/>
              <w:rPr>
                <w:sz w:val="20"/>
                <w:szCs w:val="20"/>
                <w:color w:val="auto"/>
              </w:rPr>
            </w:pPr>
            <w:r>
              <w:rPr>
                <w:rFonts w:ascii="Arial" w:cs="Arial" w:eastAsia="Arial" w:hAnsi="Arial"/>
                <w:sz w:val="16"/>
                <w:szCs w:val="16"/>
                <w:color w:val="auto"/>
              </w:rPr>
              <w:t>18</w:t>
            </w:r>
          </w:p>
        </w:tc>
      </w:tr>
    </w:tbl>
    <w:p>
      <w:pPr>
        <w:spacing w:after="0" w:line="153" w:lineRule="exact"/>
        <w:rPr>
          <w:sz w:val="20"/>
          <w:szCs w:val="20"/>
          <w:color w:val="auto"/>
        </w:rPr>
      </w:pPr>
    </w:p>
    <w:p>
      <w:pPr>
        <w:ind w:left="1"/>
        <w:spacing w:after="0"/>
        <w:rPr>
          <w:sz w:val="20"/>
          <w:szCs w:val="20"/>
          <w:color w:val="auto"/>
        </w:rPr>
      </w:pPr>
      <w:r>
        <w:rPr>
          <w:rFonts w:ascii="Arial" w:cs="Arial" w:eastAsia="Arial" w:hAnsi="Arial"/>
          <w:sz w:val="12"/>
          <w:szCs w:val="12"/>
          <w:i w:val="1"/>
          <w:iCs w:val="1"/>
          <w:color w:val="auto"/>
        </w:rPr>
        <w:t>Sources: INEI, BCRP y SBS.</w:t>
      </w:r>
    </w:p>
    <w:p>
      <w:pPr>
        <w:ind w:left="181" w:hanging="181"/>
        <w:spacing w:after="0" w:line="215" w:lineRule="auto"/>
        <w:tabs>
          <w:tab w:leader="none" w:pos="181" w:val="left"/>
        </w:tabs>
        <w:numPr>
          <w:ilvl w:val="0"/>
          <w:numId w:val="49"/>
        </w:numPr>
        <w:rPr>
          <w:rFonts w:ascii="Arial" w:cs="Arial" w:eastAsia="Arial" w:hAnsi="Arial"/>
          <w:sz w:val="12"/>
          <w:szCs w:val="12"/>
          <w:color w:val="auto"/>
        </w:rPr>
      </w:pPr>
      <w:r>
        <w:rPr>
          <w:rFonts w:ascii="Arial" w:cs="Arial" w:eastAsia="Arial" w:hAnsi="Arial"/>
          <w:sz w:val="12"/>
          <w:szCs w:val="12"/>
          <w:color w:val="auto"/>
        </w:rPr>
        <w:t>Financial System, Current Exchange Rate</w:t>
      </w:r>
    </w:p>
    <w:p>
      <w:pPr>
        <w:ind w:left="181" w:hanging="181"/>
        <w:spacing w:after="0" w:line="215" w:lineRule="auto"/>
        <w:tabs>
          <w:tab w:leader="none" w:pos="181" w:val="left"/>
        </w:tabs>
        <w:numPr>
          <w:ilvl w:val="0"/>
          <w:numId w:val="49"/>
        </w:numPr>
        <w:rPr>
          <w:rFonts w:ascii="Arial" w:cs="Arial" w:eastAsia="Arial" w:hAnsi="Arial"/>
          <w:sz w:val="12"/>
          <w:szCs w:val="12"/>
          <w:color w:val="auto"/>
        </w:rPr>
      </w:pPr>
      <w:r>
        <w:rPr>
          <w:rFonts w:ascii="Arial" w:cs="Arial" w:eastAsia="Arial" w:hAnsi="Arial"/>
          <w:sz w:val="12"/>
          <w:szCs w:val="12"/>
          <w:color w:val="auto"/>
        </w:rPr>
        <w:t>Inflation target: 1% - 3%</w:t>
      </w:r>
    </w:p>
    <w:p>
      <w:pPr>
        <w:ind w:left="181" w:hanging="181"/>
        <w:spacing w:after="0"/>
        <w:tabs>
          <w:tab w:leader="none" w:pos="181" w:val="left"/>
        </w:tabs>
        <w:numPr>
          <w:ilvl w:val="0"/>
          <w:numId w:val="49"/>
        </w:numPr>
        <w:rPr>
          <w:rFonts w:ascii="Arial" w:cs="Arial" w:eastAsia="Arial" w:hAnsi="Arial"/>
          <w:sz w:val="12"/>
          <w:szCs w:val="12"/>
          <w:color w:val="auto"/>
        </w:rPr>
      </w:pPr>
      <w:r>
        <w:rPr>
          <w:rFonts w:ascii="Arial" w:cs="Arial" w:eastAsia="Arial" w:hAnsi="Arial"/>
          <w:sz w:val="12"/>
          <w:szCs w:val="12"/>
          <w:color w:val="auto"/>
        </w:rPr>
        <w:t>Grey area indicate estimates by BCP Economic Research as of october 2023</w:t>
      </w:r>
    </w:p>
    <w:p>
      <w:pPr>
        <w:spacing w:after="0" w:line="30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43750" cy="1587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337" w:right="339" w:bottom="1440" w:gutter="0" w:footer="0" w:header="0"/>
        </w:sectPr>
      </w:pPr>
    </w:p>
    <w:bookmarkStart w:id="43" w:name="page44"/>
    <w:bookmarkEnd w:id="43"/>
    <w:p>
      <w:pPr>
        <w:ind w:left="2960"/>
        <w:spacing w:after="0"/>
        <w:tabs>
          <w:tab w:leader="none" w:pos="3140" w:val="left"/>
          <w:tab w:leader="none" w:pos="7700" w:val="left"/>
        </w:tabs>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202565</wp:posOffset>
            </wp:positionH>
            <wp:positionV relativeFrom="page">
              <wp:posOffset>88900</wp:posOffset>
            </wp:positionV>
            <wp:extent cx="7143750" cy="41592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3750" cy="415925"/>
                    </a:xfrm>
                    <a:prstGeom prst="rect">
                      <a:avLst/>
                    </a:prstGeom>
                    <a:noFill/>
                  </pic:spPr>
                </pic:pic>
              </a:graphicData>
            </a:graphic>
          </wp:anchor>
        </w:drawing>
        <w:t>|</w:t>
      </w:r>
      <w:r>
        <w:rPr>
          <w:sz w:val="20"/>
          <w:szCs w:val="20"/>
          <w:color w:val="auto"/>
        </w:rPr>
        <w:tab/>
      </w:r>
      <w:r>
        <w:rPr>
          <w:rFonts w:ascii="Arial" w:cs="Arial" w:eastAsia="Arial" w:hAnsi="Arial"/>
          <w:sz w:val="16"/>
          <w:szCs w:val="16"/>
          <w:b w:val="1"/>
          <w:bCs w:val="1"/>
          <w:color w:val="FFFFFF"/>
        </w:rPr>
        <w:t>Earnings Release 3Q / 2023</w:t>
      </w:r>
      <w:r>
        <w:rPr>
          <w:sz w:val="20"/>
          <w:szCs w:val="20"/>
          <w:color w:val="auto"/>
        </w:rPr>
        <w:tab/>
      </w:r>
      <w:r>
        <w:rPr>
          <w:rFonts w:ascii="Arial" w:cs="Arial" w:eastAsia="Arial" w:hAnsi="Arial"/>
          <w:sz w:val="18"/>
          <w:szCs w:val="18"/>
          <w:b w:val="1"/>
          <w:bCs w:val="1"/>
          <w:color w:val="E93CAC"/>
        </w:rPr>
        <w:t>Analysis of 3Q23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159385</wp:posOffset>
            </wp:positionV>
            <wp:extent cx="7143750" cy="2038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3750" cy="203835"/>
                    </a:xfrm>
                    <a:prstGeom prst="rect">
                      <a:avLst/>
                    </a:prstGeom>
                    <a:noFill/>
                  </pic:spPr>
                </pic:pic>
              </a:graphicData>
            </a:graphic>
          </wp:anchor>
        </w:drawing>
      </w:r>
    </w:p>
    <w:p>
      <w:pPr>
        <w:spacing w:after="0" w:line="251"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FFFFFF"/>
        </w:rPr>
        <w:t>11. Economic Outlook</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Main Macroeconomic Variables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Gross Domestic Product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(Annual Real Variations, % YoY)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1584960</wp:posOffset>
            </wp:positionH>
            <wp:positionV relativeFrom="paragraph">
              <wp:posOffset>1270</wp:posOffset>
            </wp:positionV>
            <wp:extent cx="3980180" cy="17900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980180" cy="1790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160"/>
        <w:spacing w:after="0"/>
        <w:rPr>
          <w:sz w:val="20"/>
          <w:szCs w:val="20"/>
          <w:color w:val="auto"/>
        </w:rPr>
      </w:pPr>
      <w:r>
        <w:rPr>
          <w:rFonts w:ascii="Arial" w:cs="Arial" w:eastAsia="Arial" w:hAnsi="Arial"/>
          <w:sz w:val="12"/>
          <w:szCs w:val="12"/>
          <w:color w:val="auto"/>
        </w:rPr>
        <w:t>Source: BCRP</w:t>
      </w:r>
    </w:p>
    <w:p>
      <w:pPr>
        <w:spacing w:after="0" w:line="6" w:lineRule="exact"/>
        <w:rPr>
          <w:sz w:val="20"/>
          <w:szCs w:val="20"/>
          <w:color w:val="auto"/>
        </w:rPr>
      </w:pPr>
    </w:p>
    <w:p>
      <w:pPr>
        <w:ind w:left="3160"/>
        <w:spacing w:after="0"/>
        <w:rPr>
          <w:sz w:val="20"/>
          <w:szCs w:val="20"/>
          <w:color w:val="auto"/>
        </w:rPr>
      </w:pPr>
      <w:r>
        <w:rPr>
          <w:rFonts w:ascii="Arial" w:cs="Arial" w:eastAsia="Arial" w:hAnsi="Arial"/>
          <w:sz w:val="12"/>
          <w:szCs w:val="12"/>
          <w:i w:val="1"/>
          <w:iCs w:val="1"/>
          <w:color w:val="auto"/>
        </w:rPr>
        <w:t>Estimate: BCP</w:t>
      </w:r>
    </w:p>
    <w:p>
      <w:pPr>
        <w:spacing w:after="0" w:line="159"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In 3Q23, Peruvian economy is expected to have contracted 0.9% YoY, its third consecutive quarterly decline. The economic activity gauge fell 1.3% YoY in July and 0.6% YoY in August.</w:t>
      </w:r>
    </w:p>
    <w:p>
      <w:pPr>
        <w:spacing w:after="0" w:line="136"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In the first eight months of the year, GDP fell 0.6% YoY. The primary sectors grew 3.0% YoY due to the favorable performance of the mining sector (11.1% YoY), which has offset the decline in the agricultural (-3.1% YoY), fishing (-28.9% YoY) and primary manufacturing (-2.3% YoY) sectors. Regarding the non-primary sectors, the 1.6% YoY contraction is attributable to weak domestic demand, where the negative prints for the construction sector (-9.0% YoY), non-primary manufacturing (-8.5% YoY) and services (-0.4% YoY) stand out.</w:t>
      </w:r>
    </w:p>
    <w:p>
      <w:pPr>
        <w:spacing w:after="0" w:line="14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According to the multisectoral committee in charge of the study of the El Niño phenomenon in Perú (ENFEN for its acronym in Spanish), the “El Niño Costero”, which has been developing since March, reached a “Strong” intensity in 3Q23 and considerably affected the fishing, agricultural and primary manufacturing sectors as well as textile production for the domestic market. YTD, these sectors have reported their worst accumulated performance in more than two decades. The expectation that “El Niño Costero” will continue until 1Q24 more than likely led agents to exercise greater caution with regard to private consumption and investment decisions, which were already affected by an environment of on-going food inflation; political uncertainty; and a slow normalization process after the post-pandemic rebound.</w:t>
      </w:r>
    </w:p>
    <w:p>
      <w:pPr>
        <w:spacing w:after="0" w:line="149" w:lineRule="exact"/>
        <w:rPr>
          <w:sz w:val="20"/>
          <w:szCs w:val="20"/>
          <w:color w:val="auto"/>
        </w:rPr>
      </w:pPr>
    </w:p>
    <w:p>
      <w:pPr>
        <w:ind w:left="3680"/>
        <w:spacing w:after="0"/>
        <w:rPr>
          <w:sz w:val="20"/>
          <w:szCs w:val="20"/>
          <w:color w:val="auto"/>
        </w:rPr>
      </w:pPr>
      <w:r>
        <w:rPr>
          <w:rFonts w:ascii="Arial" w:cs="Arial" w:eastAsia="Arial" w:hAnsi="Arial"/>
          <w:sz w:val="16"/>
          <w:szCs w:val="16"/>
          <w:b w:val="1"/>
          <w:bCs w:val="1"/>
          <w:color w:val="auto"/>
        </w:rPr>
        <w:t>Annual Inflation and Central Bank Reference Rate</w:t>
      </w:r>
    </w:p>
    <w:p>
      <w:pPr>
        <w:spacing w:after="0" w:line="21" w:lineRule="exact"/>
        <w:rPr>
          <w:sz w:val="20"/>
          <w:szCs w:val="20"/>
          <w:color w:val="auto"/>
        </w:rPr>
      </w:pPr>
    </w:p>
    <w:p>
      <w:pPr>
        <w:ind w:left="53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1694815</wp:posOffset>
            </wp:positionH>
            <wp:positionV relativeFrom="paragraph">
              <wp:posOffset>119380</wp:posOffset>
            </wp:positionV>
            <wp:extent cx="3760470" cy="17430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760470" cy="1743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220"/>
        <w:spacing w:after="0"/>
        <w:rPr>
          <w:sz w:val="20"/>
          <w:szCs w:val="20"/>
          <w:color w:val="auto"/>
        </w:rPr>
      </w:pPr>
      <w:r>
        <w:rPr>
          <w:rFonts w:ascii="Arial" w:cs="Arial" w:eastAsia="Arial" w:hAnsi="Arial"/>
          <w:sz w:val="12"/>
          <w:szCs w:val="12"/>
          <w:color w:val="auto"/>
        </w:rPr>
        <w:t>Source: BCRP and INEI</w:t>
      </w:r>
    </w:p>
    <w:p>
      <w:pPr>
        <w:spacing w:after="0" w:line="287" w:lineRule="exact"/>
        <w:rPr>
          <w:sz w:val="20"/>
          <w:szCs w:val="20"/>
          <w:color w:val="auto"/>
        </w:rPr>
      </w:pPr>
    </w:p>
    <w:p>
      <w:pPr>
        <w:jc w:val="right"/>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43750" cy="1587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4" w:name="page45"/>
    <w:bookmarkEnd w:id="44"/>
    <w:p>
      <w:pPr>
        <w:ind w:left="2960"/>
        <w:spacing w:after="0"/>
        <w:tabs>
          <w:tab w:leader="none" w:pos="3140" w:val="left"/>
          <w:tab w:leader="none" w:pos="7700" w:val="left"/>
        </w:tabs>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202565</wp:posOffset>
            </wp:positionH>
            <wp:positionV relativeFrom="page">
              <wp:posOffset>88900</wp:posOffset>
            </wp:positionV>
            <wp:extent cx="7143750" cy="41592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3750" cy="415925"/>
                    </a:xfrm>
                    <a:prstGeom prst="rect">
                      <a:avLst/>
                    </a:prstGeom>
                    <a:noFill/>
                  </pic:spPr>
                </pic:pic>
              </a:graphicData>
            </a:graphic>
          </wp:anchor>
        </w:drawing>
        <w:t>|</w:t>
      </w:r>
      <w:r>
        <w:rPr>
          <w:sz w:val="20"/>
          <w:szCs w:val="20"/>
          <w:color w:val="auto"/>
        </w:rPr>
        <w:tab/>
      </w:r>
      <w:r>
        <w:rPr>
          <w:rFonts w:ascii="Arial" w:cs="Arial" w:eastAsia="Arial" w:hAnsi="Arial"/>
          <w:sz w:val="16"/>
          <w:szCs w:val="16"/>
          <w:b w:val="1"/>
          <w:bCs w:val="1"/>
          <w:color w:val="FFFFFF"/>
        </w:rPr>
        <w:t>Earnings Release 3Q / 2023</w:t>
      </w:r>
      <w:r>
        <w:rPr>
          <w:sz w:val="20"/>
          <w:szCs w:val="20"/>
          <w:color w:val="auto"/>
        </w:rPr>
        <w:tab/>
      </w:r>
      <w:r>
        <w:rPr>
          <w:rFonts w:ascii="Arial" w:cs="Arial" w:eastAsia="Arial" w:hAnsi="Arial"/>
          <w:sz w:val="18"/>
          <w:szCs w:val="18"/>
          <w:b w:val="1"/>
          <w:bCs w:val="1"/>
          <w:color w:val="E93CAC"/>
        </w:rPr>
        <w:t>Analysis of 3Q23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159385</wp:posOffset>
            </wp:positionV>
            <wp:extent cx="7143750" cy="2038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3750" cy="203835"/>
                    </a:xfrm>
                    <a:prstGeom prst="rect">
                      <a:avLst/>
                    </a:prstGeom>
                    <a:noFill/>
                  </pic:spPr>
                </pic:pic>
              </a:graphicData>
            </a:graphic>
          </wp:anchor>
        </w:drawing>
      </w:r>
    </w:p>
    <w:p>
      <w:pPr>
        <w:spacing w:after="0" w:line="251"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FFFFFF"/>
        </w:rPr>
        <w:t>11. Economic Outlook</w:t>
      </w:r>
    </w:p>
    <w:p>
      <w:pPr>
        <w:spacing w:after="0" w:line="294"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Inflation measured using the Consumer Price index of Metropolitan Lima closed 3Q23 at 5.0% YoY, its lowest level since August 2021, after remaining above or close to 8.0% YoY between April 2022 and May 2023 (peak of 8.8% YoY in June 2022, highest in 26 years). In September 2023, monthly inflation rose 0.02%, the second lowest print of the year (June 2023: -0.15%); this evolution was mainly attributable to a drop in inflation for food and beverages. In the same period, core inflation (excluding food and energy) slowed to 3.6% YoY, an 18-month low.</w:t>
      </w:r>
    </w:p>
    <w:p>
      <w:pPr>
        <w:spacing w:after="0" w:line="142"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After having maintained the rate at an all-time high of 7.75% since January, the Central Reserve Bank of Peru (BCRP) cut its monetary policy rate 25 basis points to 7.50% in September 2023. In October, the rate was cut to 7.25%.</w:t>
      </w:r>
    </w:p>
    <w:p>
      <w:pPr>
        <w:spacing w:after="0" w:line="128" w:lineRule="exact"/>
        <w:rPr>
          <w:sz w:val="20"/>
          <w:szCs w:val="20"/>
          <w:color w:val="auto"/>
        </w:rPr>
      </w:pPr>
    </w:p>
    <w:p>
      <w:pPr>
        <w:ind w:left="1640"/>
        <w:spacing w:after="0"/>
        <w:rPr>
          <w:sz w:val="20"/>
          <w:szCs w:val="20"/>
          <w:color w:val="auto"/>
        </w:rPr>
      </w:pPr>
      <w:r>
        <w:rPr>
          <w:rFonts w:ascii="Arial" w:cs="Arial" w:eastAsia="Arial" w:hAnsi="Arial"/>
          <w:sz w:val="16"/>
          <w:szCs w:val="16"/>
          <w:b w:val="1"/>
          <w:bCs w:val="1"/>
          <w:color w:val="auto"/>
        </w:rPr>
        <w:t>Fiscal Balance and Current Account Balance</w:t>
      </w:r>
    </w:p>
    <w:p>
      <w:pPr>
        <w:spacing w:after="0" w:line="21" w:lineRule="exact"/>
        <w:rPr>
          <w:sz w:val="20"/>
          <w:szCs w:val="20"/>
          <w:color w:val="auto"/>
        </w:rPr>
      </w:pPr>
    </w:p>
    <w:p>
      <w:pPr>
        <w:ind w:left="2200"/>
        <w:spacing w:after="0"/>
        <w:rPr>
          <w:sz w:val="20"/>
          <w:szCs w:val="20"/>
          <w:color w:val="auto"/>
        </w:rPr>
      </w:pPr>
      <w:r>
        <w:rPr>
          <w:rFonts w:ascii="Arial" w:cs="Arial" w:eastAsia="Arial" w:hAnsi="Arial"/>
          <w:sz w:val="16"/>
          <w:szCs w:val="16"/>
          <w:color w:val="auto"/>
        </w:rPr>
        <w:t>(% of GDP, Quarter)</w:t>
      </w:r>
    </w:p>
    <w:p>
      <w:pPr>
        <w:spacing w:after="0" w:line="163" w:lineRule="exact"/>
        <w:rPr>
          <w:sz w:val="20"/>
          <w:szCs w:val="20"/>
          <w:color w:val="auto"/>
        </w:rPr>
      </w:pPr>
    </w:p>
    <w:p>
      <w:pPr>
        <w:ind w:left="5860" w:right="240"/>
        <w:spacing w:after="0" w:line="248" w:lineRule="auto"/>
        <w:rPr>
          <w:sz w:val="20"/>
          <w:szCs w:val="20"/>
          <w:color w:val="auto"/>
        </w:rPr>
      </w:pPr>
      <w:r>
        <w:rPr>
          <w:rFonts w:ascii="Arial" w:cs="Arial" w:eastAsia="Arial" w:hAnsi="Arial"/>
          <w:sz w:val="16"/>
          <w:szCs w:val="16"/>
          <w:color w:val="auto"/>
        </w:rPr>
        <w:t>The annualized fiscal deficit in the last 12 months to September 2023 rose to 2.8% of GDP. In 3Q23 tax revenues fell 10.5% YoY (revenues from income tax and sales tax fell 7.0% and 10.6%, respectively) while non-financial spending dropped 3.0% over the same period, dragged down by a 12.6% contraction in capital spending, which was driven primarily by local governments (current spending: +0.4% YoY).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509270</wp:posOffset>
            </wp:positionH>
            <wp:positionV relativeFrom="paragraph">
              <wp:posOffset>-715645</wp:posOffset>
            </wp:positionV>
            <wp:extent cx="2386330" cy="143637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386330" cy="1436370"/>
                    </a:xfrm>
                    <a:prstGeom prst="rect">
                      <a:avLst/>
                    </a:prstGeom>
                    <a:noFill/>
                  </pic:spPr>
                </pic:pic>
              </a:graphicData>
            </a:graphic>
          </wp:anchor>
        </w:drawing>
      </w:r>
    </w:p>
    <w:p>
      <w:pPr>
        <w:spacing w:after="0" w:line="137" w:lineRule="exact"/>
        <w:rPr>
          <w:sz w:val="20"/>
          <w:szCs w:val="20"/>
          <w:color w:val="auto"/>
        </w:rPr>
      </w:pPr>
    </w:p>
    <w:p>
      <w:pPr>
        <w:jc w:val="both"/>
        <w:ind w:left="5860"/>
        <w:spacing w:after="0" w:line="258" w:lineRule="auto"/>
        <w:rPr>
          <w:sz w:val="20"/>
          <w:szCs w:val="20"/>
          <w:color w:val="auto"/>
        </w:rPr>
      </w:pPr>
      <w:r>
        <w:rPr>
          <w:rFonts w:ascii="Arial" w:cs="Arial" w:eastAsia="Arial" w:hAnsi="Arial"/>
          <w:sz w:val="16"/>
          <w:szCs w:val="16"/>
          <w:color w:val="auto"/>
        </w:rPr>
        <w:t>In 3Q23, there were no changes to Peru’s sovereign debt credit rating (Moody’s: Baa1, Fitch and Standard &amp; Poor´s: BBB, all of them with negative outlook).</w:t>
      </w:r>
    </w:p>
    <w:p>
      <w:pPr>
        <w:spacing w:after="0" w:line="148" w:lineRule="exact"/>
        <w:rPr>
          <w:sz w:val="20"/>
          <w:szCs w:val="20"/>
          <w:color w:val="auto"/>
        </w:rPr>
      </w:pPr>
    </w:p>
    <w:p>
      <w:pPr>
        <w:jc w:val="both"/>
        <w:ind w:left="5860" w:right="60"/>
        <w:spacing w:after="0" w:line="258" w:lineRule="auto"/>
        <w:rPr>
          <w:sz w:val="20"/>
          <w:szCs w:val="20"/>
          <w:color w:val="auto"/>
        </w:rPr>
      </w:pPr>
      <w:r>
        <w:rPr>
          <w:rFonts w:ascii="Arial" w:cs="Arial" w:eastAsia="Arial" w:hAnsi="Arial"/>
          <w:sz w:val="16"/>
          <w:szCs w:val="16"/>
          <w:color w:val="auto"/>
        </w:rPr>
        <w:t>Regarding external accounts, the current account deficit fell from 2.9% of GDP in 1Q23 to 1.9% of GDP in 2Q23 (in cumulative terms for the last 4 quarters).</w:t>
      </w:r>
    </w:p>
    <w:p>
      <w:pPr>
        <w:spacing w:after="0" w:line="235"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12-month accumulated trade balance surplus to August 2023 rose to USD 14.6 billion, which although higher than the USD 13.0 billion registered in June, was still far from the record high of USD 16.1 billion reached in March 2022. In the same period, exports fell 4.1% YoY to USD 65.3 billion, driven by a drop in prices but partially offset by higher volumes. Imports fell 7.2% YoY to USD 50.7 billion due to weak domestic demand.</w:t>
      </w:r>
    </w:p>
    <w:p>
      <w:pPr>
        <w:spacing w:after="0" w:line="6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Terms of trade grew 5.2% YoY in August 2023, which reflected the fact that the reduction registered for import prices (-8.3% YoY) outpaced the drop registered in export prices, which fell 3.5% YoY (due to lower prices for copper, zinc and hydrocarbons). In August, terms of trade rose 2.6% compared to the end of 2022.</w:t>
      </w:r>
    </w:p>
    <w:p>
      <w:pPr>
        <w:spacing w:after="0" w:line="128" w:lineRule="exact"/>
        <w:rPr>
          <w:sz w:val="20"/>
          <w:szCs w:val="20"/>
          <w:color w:val="auto"/>
        </w:rPr>
      </w:pPr>
    </w:p>
    <w:p>
      <w:pPr>
        <w:ind w:left="2580"/>
        <w:spacing w:after="0"/>
        <w:rPr>
          <w:sz w:val="20"/>
          <w:szCs w:val="20"/>
          <w:color w:val="auto"/>
        </w:rPr>
      </w:pPr>
      <w:r>
        <w:rPr>
          <w:rFonts w:ascii="Arial" w:cs="Arial" w:eastAsia="Arial" w:hAnsi="Arial"/>
          <w:sz w:val="16"/>
          <w:szCs w:val="16"/>
          <w:b w:val="1"/>
          <w:bCs w:val="1"/>
          <w:color w:val="auto"/>
        </w:rPr>
        <w:t>Exchange Rate</w:t>
      </w:r>
    </w:p>
    <w:p>
      <w:pPr>
        <w:spacing w:after="0" w:line="21" w:lineRule="exact"/>
        <w:rPr>
          <w:sz w:val="20"/>
          <w:szCs w:val="20"/>
          <w:color w:val="auto"/>
        </w:rPr>
      </w:pPr>
    </w:p>
    <w:p>
      <w:pPr>
        <w:ind w:left="2580"/>
        <w:spacing w:after="0"/>
        <w:rPr>
          <w:sz w:val="20"/>
          <w:szCs w:val="20"/>
          <w:color w:val="auto"/>
        </w:rPr>
      </w:pPr>
      <w:r>
        <w:rPr>
          <w:rFonts w:ascii="Arial" w:cs="Arial" w:eastAsia="Arial" w:hAnsi="Arial"/>
          <w:sz w:val="16"/>
          <w:szCs w:val="16"/>
          <w:color w:val="auto"/>
        </w:rPr>
        <w:t>(PEN per USD)</w:t>
      </w:r>
    </w:p>
    <w:p>
      <w:pPr>
        <w:spacing w:after="0" w:line="175" w:lineRule="exact"/>
        <w:rPr>
          <w:sz w:val="20"/>
          <w:szCs w:val="20"/>
          <w:color w:val="auto"/>
        </w:rPr>
      </w:pPr>
    </w:p>
    <w:p>
      <w:pPr>
        <w:ind w:left="5860"/>
        <w:spacing w:after="0" w:line="247" w:lineRule="auto"/>
        <w:rPr>
          <w:sz w:val="20"/>
          <w:szCs w:val="20"/>
          <w:color w:val="auto"/>
        </w:rPr>
      </w:pPr>
      <w:r>
        <w:rPr>
          <w:rFonts w:ascii="Arial" w:cs="Arial" w:eastAsia="Arial" w:hAnsi="Arial"/>
          <w:sz w:val="16"/>
          <w:szCs w:val="16"/>
          <w:color w:val="auto"/>
        </w:rPr>
        <w:t>According to BCRP, the exchange rate closed 3Q23 at USDPEN 3.79, depreciation of 4.6% compared to the end of 2Q23 and an appreciation of 4.8% compared to a year ago. In July, the exchange rate appreciated to USDPEN 3.56, the lowest level since September 2020. Towards the end of 3Q23, with the exchange rate around USDPEN 3.80, the BCRP intervened, for the second time in the year, in the spot market selling USD 13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-712470</wp:posOffset>
            </wp:positionV>
            <wp:extent cx="2637790" cy="17272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637790" cy="1727200"/>
                    </a:xfrm>
                    <a:prstGeom prst="rect">
                      <a:avLst/>
                    </a:prstGeom>
                    <a:noFill/>
                  </pic:spPr>
                </pic:pic>
              </a:graphicData>
            </a:graphic>
          </wp:anchor>
        </w:drawing>
      </w:r>
    </w:p>
    <w:p>
      <w:pPr>
        <w:spacing w:after="0" w:line="327" w:lineRule="exact"/>
        <w:rPr>
          <w:sz w:val="20"/>
          <w:szCs w:val="20"/>
          <w:color w:val="auto"/>
        </w:rPr>
      </w:pPr>
    </w:p>
    <w:p>
      <w:pPr>
        <w:jc w:val="both"/>
        <w:ind w:left="5860"/>
        <w:spacing w:after="0" w:line="250" w:lineRule="auto"/>
        <w:rPr>
          <w:sz w:val="20"/>
          <w:szCs w:val="20"/>
          <w:color w:val="auto"/>
        </w:rPr>
      </w:pPr>
      <w:r>
        <w:rPr>
          <w:rFonts w:ascii="Arial" w:cs="Arial" w:eastAsia="Arial" w:hAnsi="Arial"/>
          <w:sz w:val="16"/>
          <w:szCs w:val="16"/>
          <w:color w:val="auto"/>
        </w:rPr>
        <w:t>In the same period, Latam main currencies also depreciated compared to the previous quarter due to the strengthening of the global dollar. The Chilean peso weakened 11.3%, the Brazilian real 5.1% and the Mexican peso 1.7%. On the other hand, the Colombian peso, slightly appreciated 2.3%.</w:t>
      </w:r>
    </w:p>
    <w:p>
      <w:pPr>
        <w:spacing w:after="0" w:line="204"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Net international reserves closed 3Q23 at USD 71.2 billion, below</w:t>
      </w:r>
    </w:p>
    <w:p>
      <w:pPr>
        <w:spacing w:after="0" w:line="1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2Q23’s level (USD 72.9 billion).</w:t>
      </w:r>
    </w:p>
    <w:p>
      <w:pPr>
        <w:spacing w:after="0" w:line="33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43750" cy="1587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5" w:name="page46"/>
    <w:bookmarkEnd w:id="45"/>
    <w:p>
      <w:pPr>
        <w:ind w:left="2961"/>
        <w:spacing w:after="0"/>
        <w:tabs>
          <w:tab w:leader="none" w:pos="3141" w:val="left"/>
          <w:tab w:leader="none" w:pos="7701" w:val="left"/>
        </w:tabs>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202565</wp:posOffset>
            </wp:positionH>
            <wp:positionV relativeFrom="page">
              <wp:posOffset>88900</wp:posOffset>
            </wp:positionV>
            <wp:extent cx="7143750" cy="41592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3750" cy="415925"/>
                    </a:xfrm>
                    <a:prstGeom prst="rect">
                      <a:avLst/>
                    </a:prstGeom>
                    <a:noFill/>
                  </pic:spPr>
                </pic:pic>
              </a:graphicData>
            </a:graphic>
          </wp:anchor>
        </w:drawing>
        <w:t>|</w:t>
      </w:r>
      <w:r>
        <w:rPr>
          <w:sz w:val="20"/>
          <w:szCs w:val="20"/>
          <w:color w:val="auto"/>
        </w:rPr>
        <w:tab/>
      </w:r>
      <w:r>
        <w:rPr>
          <w:rFonts w:ascii="Arial" w:cs="Arial" w:eastAsia="Arial" w:hAnsi="Arial"/>
          <w:sz w:val="16"/>
          <w:szCs w:val="16"/>
          <w:b w:val="1"/>
          <w:bCs w:val="1"/>
          <w:color w:val="FFFFFF"/>
        </w:rPr>
        <w:t>Earnings Release 3Q / 2023</w:t>
      </w:r>
      <w:r>
        <w:rPr>
          <w:sz w:val="20"/>
          <w:szCs w:val="20"/>
          <w:color w:val="auto"/>
        </w:rPr>
        <w:tab/>
      </w:r>
      <w:r>
        <w:rPr>
          <w:rFonts w:ascii="Arial" w:cs="Arial" w:eastAsia="Arial" w:hAnsi="Arial"/>
          <w:sz w:val="18"/>
          <w:szCs w:val="18"/>
          <w:b w:val="1"/>
          <w:bCs w:val="1"/>
          <w:color w:val="E93CAC"/>
        </w:rPr>
        <w:t>Analysis of 3Q23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159385</wp:posOffset>
            </wp:positionV>
            <wp:extent cx="7143750" cy="2038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3750" cy="203835"/>
                    </a:xfrm>
                    <a:prstGeom prst="rect">
                      <a:avLst/>
                    </a:prstGeom>
                    <a:noFill/>
                  </pic:spPr>
                </pic:pic>
              </a:graphicData>
            </a:graphic>
          </wp:anchor>
        </w:drawing>
      </w:r>
    </w:p>
    <w:p>
      <w:pPr>
        <w:spacing w:after="0" w:line="251" w:lineRule="exact"/>
        <w:rPr>
          <w:sz w:val="20"/>
          <w:szCs w:val="20"/>
          <w:color w:val="auto"/>
        </w:rPr>
      </w:pPr>
    </w:p>
    <w:p>
      <w:pPr>
        <w:ind w:left="41"/>
        <w:spacing w:after="0"/>
        <w:rPr>
          <w:sz w:val="20"/>
          <w:szCs w:val="20"/>
          <w:color w:val="auto"/>
        </w:rPr>
      </w:pPr>
      <w:r>
        <w:rPr>
          <w:rFonts w:ascii="Arial" w:cs="Arial" w:eastAsia="Arial" w:hAnsi="Arial"/>
          <w:sz w:val="20"/>
          <w:szCs w:val="20"/>
          <w:b w:val="1"/>
          <w:bCs w:val="1"/>
          <w:color w:val="FFFFFF"/>
        </w:rPr>
        <w:t>Safe Harbor for Forward-Looking Statements</w:t>
      </w:r>
    </w:p>
    <w:p>
      <w:pPr>
        <w:spacing w:after="0" w:line="282" w:lineRule="exact"/>
        <w:rPr>
          <w:sz w:val="20"/>
          <w:szCs w:val="20"/>
          <w:color w:val="auto"/>
        </w:rPr>
      </w:pPr>
    </w:p>
    <w:p>
      <w:pPr>
        <w:jc w:val="both"/>
        <w:ind w:left="1"/>
        <w:spacing w:after="0" w:line="250" w:lineRule="auto"/>
        <w:rPr>
          <w:sz w:val="20"/>
          <w:szCs w:val="20"/>
          <w:color w:val="auto"/>
        </w:rPr>
      </w:pPr>
      <w:r>
        <w:rPr>
          <w:rFonts w:ascii="Arial" w:cs="Arial" w:eastAsia="Arial" w:hAnsi="Arial"/>
          <w:sz w:val="16"/>
          <w:szCs w:val="16"/>
          <w:color w:val="auto"/>
        </w:rPr>
        <w:t>This material includes “forward-looking statements” within the meaning of Section 27A of the U.S. Securities Act of 1933 and Section 21E of the U.S. Securities Exchange Act of 1934. All statements other than statements of historical fact are forward-looking and may contain information about financial results, economic conditions, trends and known uncertainties. Forward-looking statements are not assurances of future performance. Instead, they are based only on our management’s current views, beliefs, expectations and assumptions regarding the future of our business, future plans and strategies, projections, anticipated events and trends, the economy and other future conditions.</w:t>
      </w:r>
    </w:p>
    <w:p>
      <w:pPr>
        <w:spacing w:after="0" w:line="154" w:lineRule="exact"/>
        <w:rPr>
          <w:sz w:val="20"/>
          <w:szCs w:val="20"/>
          <w:color w:val="auto"/>
        </w:rPr>
      </w:pPr>
    </w:p>
    <w:p>
      <w:pPr>
        <w:jc w:val="both"/>
        <w:ind w:left="1"/>
        <w:spacing w:after="0" w:line="246" w:lineRule="auto"/>
        <w:rPr>
          <w:sz w:val="20"/>
          <w:szCs w:val="20"/>
          <w:color w:val="auto"/>
        </w:rPr>
      </w:pPr>
      <w:r>
        <w:rPr>
          <w:rFonts w:ascii="Arial" w:cs="Arial" w:eastAsia="Arial" w:hAnsi="Arial"/>
          <w:sz w:val="16"/>
          <w:szCs w:val="16"/>
          <w:color w:val="auto"/>
        </w:rPr>
        <w:t>Many forward-looking statements can be identified by words such as: “anticipate”, “intend”, “plan”, “goal”, “seek”, “believe”, “project”, “estimate”, “expect”, “strategy”, “future”, “likely”, “would”, “may”, “should”, “will”, “see” and similar references to future periods. Examples of forward-looking statements include, among others, statements or estimates we make regarding guidance relating to losses in our credit portfolio, efficiency ratio, provisions and non-performing loans, current or future market risk and future market conditions, expected macroeconomic events and conditions, our belief that we have sufficient capital and liquidity to fund our business operations, expectations of the effect on our financial condition of claims, legal actions, environmental costs, contingent liabilities and governmental and regulatory investigations and proceedings, strategy for customer retention, growth, governmental programs and regulatory initiatives, credit administration, product development, market position, financial results and reserves and strategy for risk management.</w:t>
      </w:r>
    </w:p>
    <w:p>
      <w:pPr>
        <w:spacing w:after="0" w:line="337" w:lineRule="exact"/>
        <w:rPr>
          <w:sz w:val="20"/>
          <w:szCs w:val="20"/>
          <w:color w:val="auto"/>
        </w:rPr>
      </w:pPr>
    </w:p>
    <w:p>
      <w:pPr>
        <w:jc w:val="both"/>
        <w:ind w:left="1"/>
        <w:spacing w:after="0" w:line="258" w:lineRule="auto"/>
        <w:rPr>
          <w:sz w:val="20"/>
          <w:szCs w:val="20"/>
          <w:color w:val="auto"/>
        </w:rPr>
      </w:pPr>
      <w:r>
        <w:rPr>
          <w:rFonts w:ascii="Arial" w:cs="Arial" w:eastAsia="Arial" w:hAnsi="Arial"/>
          <w:sz w:val="16"/>
          <w:szCs w:val="16"/>
          <w:color w:val="auto"/>
        </w:rPr>
        <w:t>We caution readers that forward-looking statements involve known and unknown risks and uncertainties that could cause actual results, performance, or events to differ materially from those that we expect or that are expressed or implied in the forward-looking statements, depending on the outcome of certain factors, including, without limitation, adverse changes in:</w:t>
      </w:r>
    </w:p>
    <w:p>
      <w:pPr>
        <w:spacing w:after="0" w:line="136" w:lineRule="exact"/>
        <w:rPr>
          <w:sz w:val="20"/>
          <w:szCs w:val="20"/>
          <w:color w:val="auto"/>
        </w:rPr>
      </w:pPr>
    </w:p>
    <w:p>
      <w:pPr>
        <w:ind w:left="141" w:hanging="141"/>
        <w:spacing w:after="0"/>
        <w:tabs>
          <w:tab w:leader="none" w:pos="141"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occurrence of natural disasters or political or social instability in Peru;</w:t>
      </w:r>
    </w:p>
    <w:p>
      <w:pPr>
        <w:spacing w:after="0" w:line="13" w:lineRule="exact"/>
        <w:rPr>
          <w:rFonts w:ascii="Arial" w:cs="Arial" w:eastAsia="Arial" w:hAnsi="Arial"/>
          <w:sz w:val="16"/>
          <w:szCs w:val="16"/>
          <w:color w:val="auto"/>
        </w:rPr>
      </w:pPr>
    </w:p>
    <w:p>
      <w:pPr>
        <w:ind w:left="141" w:right="240" w:hanging="141"/>
        <w:spacing w:after="0" w:line="241" w:lineRule="auto"/>
        <w:tabs>
          <w:tab w:leader="none" w:pos="141"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adequacy of the dividends that our subsidiaries are able to pay to us, which may affect our ability to pay dividends to shareholders and corporate expenses;</w:t>
      </w:r>
    </w:p>
    <w:p>
      <w:pPr>
        <w:spacing w:after="0" w:line="1" w:lineRule="exact"/>
        <w:rPr>
          <w:rFonts w:ascii="Arial" w:cs="Arial" w:eastAsia="Arial" w:hAnsi="Arial"/>
          <w:sz w:val="16"/>
          <w:szCs w:val="16"/>
          <w:color w:val="auto"/>
        </w:rPr>
      </w:pPr>
    </w:p>
    <w:p>
      <w:pPr>
        <w:ind w:left="141" w:hanging="141"/>
        <w:spacing w:after="0"/>
        <w:tabs>
          <w:tab w:leader="none" w:pos="141" w:val="left"/>
        </w:tabs>
        <w:numPr>
          <w:ilvl w:val="0"/>
          <w:numId w:val="50"/>
        </w:numPr>
        <w:rPr>
          <w:rFonts w:ascii="Arial" w:cs="Arial" w:eastAsia="Arial" w:hAnsi="Arial"/>
          <w:sz w:val="16"/>
          <w:szCs w:val="16"/>
          <w:color w:val="auto"/>
        </w:rPr>
      </w:pPr>
      <w:r>
        <w:rPr>
          <w:rFonts w:ascii="Arial" w:cs="Arial" w:eastAsia="Arial" w:hAnsi="Arial"/>
          <w:sz w:val="16"/>
          <w:szCs w:val="16"/>
          <w:color w:val="auto"/>
        </w:rPr>
        <w:t>Performance of, and volatility in, financial markets, including Latin-American and other markets;</w:t>
      </w:r>
    </w:p>
    <w:p>
      <w:pPr>
        <w:spacing w:after="0" w:line="1" w:lineRule="exact"/>
        <w:rPr>
          <w:rFonts w:ascii="Arial" w:cs="Arial" w:eastAsia="Arial" w:hAnsi="Arial"/>
          <w:sz w:val="16"/>
          <w:szCs w:val="16"/>
          <w:color w:val="auto"/>
        </w:rPr>
      </w:pPr>
    </w:p>
    <w:p>
      <w:pPr>
        <w:ind w:left="141" w:hanging="141"/>
        <w:spacing w:after="0"/>
        <w:tabs>
          <w:tab w:leader="none" w:pos="141"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frequency, severity and types of insured loss events;</w:t>
      </w:r>
    </w:p>
    <w:p>
      <w:pPr>
        <w:spacing w:after="0" w:line="1" w:lineRule="exact"/>
        <w:rPr>
          <w:rFonts w:ascii="Arial" w:cs="Arial" w:eastAsia="Arial" w:hAnsi="Arial"/>
          <w:sz w:val="16"/>
          <w:szCs w:val="16"/>
          <w:color w:val="auto"/>
        </w:rPr>
      </w:pPr>
    </w:p>
    <w:p>
      <w:pPr>
        <w:ind w:left="141" w:hanging="141"/>
        <w:spacing w:after="0"/>
        <w:tabs>
          <w:tab w:leader="none" w:pos="141" w:val="left"/>
        </w:tabs>
        <w:numPr>
          <w:ilvl w:val="0"/>
          <w:numId w:val="50"/>
        </w:numPr>
        <w:rPr>
          <w:rFonts w:ascii="Arial" w:cs="Arial" w:eastAsia="Arial" w:hAnsi="Arial"/>
          <w:sz w:val="16"/>
          <w:szCs w:val="16"/>
          <w:color w:val="auto"/>
        </w:rPr>
      </w:pPr>
      <w:r>
        <w:rPr>
          <w:rFonts w:ascii="Arial" w:cs="Arial" w:eastAsia="Arial" w:hAnsi="Arial"/>
          <w:sz w:val="16"/>
          <w:szCs w:val="16"/>
          <w:color w:val="auto"/>
        </w:rPr>
        <w:t>Fluctuations in interest rate levels;</w:t>
      </w:r>
    </w:p>
    <w:p>
      <w:pPr>
        <w:spacing w:after="0" w:line="1" w:lineRule="exact"/>
        <w:rPr>
          <w:rFonts w:ascii="Arial" w:cs="Arial" w:eastAsia="Arial" w:hAnsi="Arial"/>
          <w:sz w:val="16"/>
          <w:szCs w:val="16"/>
          <w:color w:val="auto"/>
        </w:rPr>
      </w:pPr>
    </w:p>
    <w:p>
      <w:pPr>
        <w:ind w:left="141" w:hanging="141"/>
        <w:spacing w:after="0"/>
        <w:tabs>
          <w:tab w:leader="none" w:pos="141" w:val="left"/>
        </w:tabs>
        <w:numPr>
          <w:ilvl w:val="0"/>
          <w:numId w:val="50"/>
        </w:numPr>
        <w:rPr>
          <w:rFonts w:ascii="Arial" w:cs="Arial" w:eastAsia="Arial" w:hAnsi="Arial"/>
          <w:sz w:val="16"/>
          <w:szCs w:val="16"/>
          <w:color w:val="auto"/>
        </w:rPr>
      </w:pPr>
      <w:r>
        <w:rPr>
          <w:rFonts w:ascii="Arial" w:cs="Arial" w:eastAsia="Arial" w:hAnsi="Arial"/>
          <w:sz w:val="16"/>
          <w:szCs w:val="16"/>
          <w:color w:val="auto"/>
        </w:rPr>
        <w:t>Foreign currency exchange rates, including the Sol/US Dollar exchange rate;</w:t>
      </w:r>
    </w:p>
    <w:p>
      <w:pPr>
        <w:spacing w:after="0" w:line="1" w:lineRule="exact"/>
        <w:rPr>
          <w:rFonts w:ascii="Arial" w:cs="Arial" w:eastAsia="Arial" w:hAnsi="Arial"/>
          <w:sz w:val="16"/>
          <w:szCs w:val="16"/>
          <w:color w:val="auto"/>
        </w:rPr>
      </w:pPr>
    </w:p>
    <w:p>
      <w:pPr>
        <w:ind w:left="141" w:hanging="141"/>
        <w:spacing w:after="0"/>
        <w:tabs>
          <w:tab w:leader="none" w:pos="141" w:val="left"/>
        </w:tabs>
        <w:numPr>
          <w:ilvl w:val="0"/>
          <w:numId w:val="50"/>
        </w:numPr>
        <w:rPr>
          <w:rFonts w:ascii="Arial" w:cs="Arial" w:eastAsia="Arial" w:hAnsi="Arial"/>
          <w:sz w:val="16"/>
          <w:szCs w:val="16"/>
          <w:color w:val="auto"/>
        </w:rPr>
      </w:pPr>
      <w:r>
        <w:rPr>
          <w:rFonts w:ascii="Arial" w:cs="Arial" w:eastAsia="Arial" w:hAnsi="Arial"/>
          <w:sz w:val="16"/>
          <w:szCs w:val="16"/>
          <w:color w:val="auto"/>
        </w:rPr>
        <w:t>Deterioration in the quality of our loan portfolio;</w:t>
      </w:r>
    </w:p>
    <w:p>
      <w:pPr>
        <w:spacing w:after="0" w:line="1" w:lineRule="exact"/>
        <w:rPr>
          <w:rFonts w:ascii="Arial" w:cs="Arial" w:eastAsia="Arial" w:hAnsi="Arial"/>
          <w:sz w:val="16"/>
          <w:szCs w:val="16"/>
          <w:color w:val="auto"/>
        </w:rPr>
      </w:pPr>
    </w:p>
    <w:p>
      <w:pPr>
        <w:ind w:left="141" w:hanging="141"/>
        <w:spacing w:after="0"/>
        <w:tabs>
          <w:tab w:leader="none" w:pos="141"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Increasing levels of competition in Peru and other markets in which we operate;</w:t>
      </w:r>
    </w:p>
    <w:p>
      <w:pPr>
        <w:spacing w:after="0" w:line="1" w:lineRule="exact"/>
        <w:rPr>
          <w:rFonts w:ascii="Arial" w:cs="Arial" w:eastAsia="Arial" w:hAnsi="Arial"/>
          <w:sz w:val="16"/>
          <w:szCs w:val="16"/>
          <w:color w:val="auto"/>
        </w:rPr>
      </w:pPr>
    </w:p>
    <w:p>
      <w:pPr>
        <w:ind w:left="141" w:hanging="141"/>
        <w:spacing w:after="0"/>
        <w:tabs>
          <w:tab w:leader="none" w:pos="141" w:val="left"/>
        </w:tabs>
        <w:numPr>
          <w:ilvl w:val="0"/>
          <w:numId w:val="50"/>
        </w:numPr>
        <w:rPr>
          <w:rFonts w:ascii="Arial" w:cs="Arial" w:eastAsia="Arial" w:hAnsi="Arial"/>
          <w:sz w:val="16"/>
          <w:szCs w:val="16"/>
          <w:color w:val="auto"/>
        </w:rPr>
      </w:pPr>
      <w:r>
        <w:rPr>
          <w:rFonts w:ascii="Arial" w:cs="Arial" w:eastAsia="Arial" w:hAnsi="Arial"/>
          <w:sz w:val="16"/>
          <w:szCs w:val="16"/>
          <w:color w:val="auto"/>
        </w:rPr>
        <w:t>Developments and changes in laws and regulations affecting the financial sector and adoption of new international guidelines;</w:t>
      </w:r>
    </w:p>
    <w:p>
      <w:pPr>
        <w:spacing w:after="0" w:line="1" w:lineRule="exact"/>
        <w:rPr>
          <w:rFonts w:ascii="Arial" w:cs="Arial" w:eastAsia="Arial" w:hAnsi="Arial"/>
          <w:sz w:val="16"/>
          <w:szCs w:val="16"/>
          <w:color w:val="auto"/>
        </w:rPr>
      </w:pPr>
    </w:p>
    <w:p>
      <w:pPr>
        <w:ind w:left="141" w:hanging="141"/>
        <w:spacing w:after="0"/>
        <w:tabs>
          <w:tab w:leader="none" w:pos="141" w:val="left"/>
        </w:tabs>
        <w:numPr>
          <w:ilvl w:val="0"/>
          <w:numId w:val="50"/>
        </w:numPr>
        <w:rPr>
          <w:rFonts w:ascii="Arial" w:cs="Arial" w:eastAsia="Arial" w:hAnsi="Arial"/>
          <w:sz w:val="16"/>
          <w:szCs w:val="16"/>
          <w:color w:val="auto"/>
        </w:rPr>
      </w:pPr>
      <w:r>
        <w:rPr>
          <w:rFonts w:ascii="Arial" w:cs="Arial" w:eastAsia="Arial" w:hAnsi="Arial"/>
          <w:sz w:val="16"/>
          <w:szCs w:val="16"/>
          <w:color w:val="auto"/>
        </w:rPr>
        <w:t>Changes in the policies of central banks and/or foreign governments;</w:t>
      </w:r>
    </w:p>
    <w:p>
      <w:pPr>
        <w:spacing w:after="0" w:line="1" w:lineRule="exact"/>
        <w:rPr>
          <w:rFonts w:ascii="Arial" w:cs="Arial" w:eastAsia="Arial" w:hAnsi="Arial"/>
          <w:sz w:val="16"/>
          <w:szCs w:val="16"/>
          <w:color w:val="auto"/>
        </w:rPr>
      </w:pPr>
    </w:p>
    <w:p>
      <w:pPr>
        <w:ind w:left="141" w:hanging="141"/>
        <w:spacing w:after="0"/>
        <w:tabs>
          <w:tab w:leader="none" w:pos="141" w:val="left"/>
        </w:tabs>
        <w:numPr>
          <w:ilvl w:val="0"/>
          <w:numId w:val="50"/>
        </w:numPr>
        <w:rPr>
          <w:rFonts w:ascii="Arial" w:cs="Arial" w:eastAsia="Arial" w:hAnsi="Arial"/>
          <w:sz w:val="16"/>
          <w:szCs w:val="16"/>
          <w:color w:val="auto"/>
        </w:rPr>
      </w:pPr>
      <w:r>
        <w:rPr>
          <w:rFonts w:ascii="Arial" w:cs="Arial" w:eastAsia="Arial" w:hAnsi="Arial"/>
          <w:sz w:val="16"/>
          <w:szCs w:val="16"/>
          <w:color w:val="auto"/>
        </w:rPr>
        <w:t>Effectiveness of our risk management policies and of our operational and security systems;</w:t>
      </w:r>
    </w:p>
    <w:p>
      <w:pPr>
        <w:spacing w:after="0" w:line="1" w:lineRule="exact"/>
        <w:rPr>
          <w:rFonts w:ascii="Arial" w:cs="Arial" w:eastAsia="Arial" w:hAnsi="Arial"/>
          <w:sz w:val="16"/>
          <w:szCs w:val="16"/>
          <w:color w:val="auto"/>
        </w:rPr>
      </w:pPr>
    </w:p>
    <w:p>
      <w:pPr>
        <w:ind w:left="141" w:hanging="141"/>
        <w:spacing w:after="0"/>
        <w:tabs>
          <w:tab w:leader="none" w:pos="141" w:val="left"/>
        </w:tabs>
        <w:numPr>
          <w:ilvl w:val="0"/>
          <w:numId w:val="50"/>
        </w:numPr>
        <w:rPr>
          <w:rFonts w:ascii="Arial" w:cs="Arial" w:eastAsia="Arial" w:hAnsi="Arial"/>
          <w:sz w:val="16"/>
          <w:szCs w:val="16"/>
          <w:color w:val="auto"/>
        </w:rPr>
      </w:pPr>
      <w:r>
        <w:rPr>
          <w:rFonts w:ascii="Arial" w:cs="Arial" w:eastAsia="Arial" w:hAnsi="Arial"/>
          <w:sz w:val="16"/>
          <w:szCs w:val="16"/>
          <w:color w:val="auto"/>
        </w:rPr>
        <w:t>Losses associated with counterparty exposures;</w:t>
      </w:r>
    </w:p>
    <w:p>
      <w:pPr>
        <w:spacing w:after="0" w:line="1" w:lineRule="exact"/>
        <w:rPr>
          <w:rFonts w:ascii="Arial" w:cs="Arial" w:eastAsia="Arial" w:hAnsi="Arial"/>
          <w:sz w:val="16"/>
          <w:szCs w:val="16"/>
          <w:color w:val="auto"/>
        </w:rPr>
      </w:pPr>
    </w:p>
    <w:p>
      <w:pPr>
        <w:ind w:left="141" w:right="260" w:hanging="141"/>
        <w:spacing w:after="0" w:line="241" w:lineRule="auto"/>
        <w:tabs>
          <w:tab w:leader="none" w:pos="141"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scope of the coronavirus (“COVID-19”) outbreak, actions taken to contain the COVID-19 and related economic effects from such actions and our ability to maintain adequate staffing; and</w:t>
      </w:r>
    </w:p>
    <w:p>
      <w:pPr>
        <w:spacing w:after="0" w:line="1" w:lineRule="exact"/>
        <w:rPr>
          <w:rFonts w:ascii="Arial" w:cs="Arial" w:eastAsia="Arial" w:hAnsi="Arial"/>
          <w:sz w:val="16"/>
          <w:szCs w:val="16"/>
          <w:color w:val="auto"/>
        </w:rPr>
      </w:pPr>
    </w:p>
    <w:p>
      <w:pPr>
        <w:ind w:left="141" w:hanging="141"/>
        <w:spacing w:after="0"/>
        <w:tabs>
          <w:tab w:leader="none" w:pos="141" w:val="left"/>
        </w:tabs>
        <w:numPr>
          <w:ilvl w:val="0"/>
          <w:numId w:val="50"/>
        </w:numPr>
        <w:rPr>
          <w:rFonts w:ascii="Arial" w:cs="Arial" w:eastAsia="Arial" w:hAnsi="Arial"/>
          <w:sz w:val="16"/>
          <w:szCs w:val="16"/>
          <w:color w:val="auto"/>
        </w:rPr>
      </w:pPr>
      <w:r>
        <w:rPr>
          <w:rFonts w:ascii="Arial" w:cs="Arial" w:eastAsia="Arial" w:hAnsi="Arial"/>
          <w:sz w:val="16"/>
          <w:szCs w:val="16"/>
          <w:color w:val="auto"/>
        </w:rPr>
        <w:t>Changes in Bermuda laws and regulations applicable to so-called non-resident entities.</w:t>
      </w:r>
    </w:p>
    <w:p>
      <w:pPr>
        <w:spacing w:after="0" w:line="163" w:lineRule="exact"/>
        <w:rPr>
          <w:sz w:val="20"/>
          <w:szCs w:val="20"/>
          <w:color w:val="auto"/>
        </w:rPr>
      </w:pPr>
    </w:p>
    <w:p>
      <w:pPr>
        <w:jc w:val="both"/>
        <w:ind w:left="1"/>
        <w:spacing w:after="0" w:line="252" w:lineRule="auto"/>
        <w:rPr>
          <w:sz w:val="20"/>
          <w:szCs w:val="20"/>
          <w:color w:val="auto"/>
        </w:rPr>
      </w:pPr>
      <w:r>
        <w:rPr>
          <w:rFonts w:ascii="Arial" w:cs="Arial" w:eastAsia="Arial" w:hAnsi="Arial"/>
          <w:sz w:val="16"/>
          <w:szCs w:val="16"/>
          <w:color w:val="auto"/>
        </w:rPr>
        <w:t>See “Item 3. Key Information—3. D Risk Factors” and “Item 5. Operating and Financial Review and Prospects” in our most recent Annual Report on Form 20-F filed with the U.S. Securities and Exchange Commission for additional information and other such factors. You are cautioned not to place undue reliance on these forward-looking statements, which speak only as of the date hereof and are based only on information currently available to us. Therefore, you should not rely on any of these forward-looking statements.</w:t>
      </w:r>
    </w:p>
    <w:p>
      <w:pPr>
        <w:spacing w:after="0" w:line="154" w:lineRule="exact"/>
        <w:rPr>
          <w:sz w:val="20"/>
          <w:szCs w:val="20"/>
          <w:color w:val="auto"/>
        </w:rPr>
      </w:pPr>
    </w:p>
    <w:p>
      <w:pPr>
        <w:jc w:val="both"/>
        <w:ind w:left="1"/>
        <w:spacing w:after="0" w:line="258" w:lineRule="auto"/>
        <w:rPr>
          <w:sz w:val="20"/>
          <w:szCs w:val="20"/>
          <w:color w:val="auto"/>
        </w:rPr>
      </w:pPr>
      <w:r>
        <w:rPr>
          <w:rFonts w:ascii="Arial" w:cs="Arial" w:eastAsia="Arial" w:hAnsi="Arial"/>
          <w:sz w:val="16"/>
          <w:szCs w:val="16"/>
          <w:color w:val="auto"/>
        </w:rPr>
        <w:t>We undertake no obligation to publicly update or revise these or any other forward-looking statements that may be made to reflect events or circumstances after the date hereof, whether as a result of changes in our business strategy or new information, to reflect the occurrence of unanticipated events or otherwise.</w:t>
      </w:r>
    </w:p>
    <w:p>
      <w:pPr>
        <w:spacing w:after="0" w:line="30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43750" cy="158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337"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449"/>
        </w:trPr>
        <w:tc>
          <w:tcPr>
            <w:tcW w:w="600" w:type="dxa"/>
            <w:vAlign w:val="bottom"/>
            <w:shd w:val="clear" w:color="auto" w:fill="000000"/>
          </w:tcPr>
          <w:p>
            <w:pPr>
              <w:spacing w:after="0"/>
              <w:rPr>
                <w:sz w:val="24"/>
                <w:szCs w:val="24"/>
                <w:color w:val="auto"/>
              </w:rPr>
            </w:pPr>
          </w:p>
        </w:tc>
        <w:tc>
          <w:tcPr>
            <w:tcW w:w="6740" w:type="dxa"/>
            <w:vAlign w:val="bottom"/>
            <w:shd w:val="clear" w:color="auto" w:fill="000000"/>
          </w:tcPr>
          <w:p>
            <w:pPr>
              <w:ind w:left="2360"/>
              <w:spacing w:after="0"/>
              <w:rPr>
                <w:sz w:val="20"/>
                <w:szCs w:val="20"/>
                <w:color w:val="auto"/>
              </w:rPr>
            </w:pPr>
            <w:r>
              <w:rPr>
                <w:rFonts w:ascii="Arial" w:cs="Arial" w:eastAsia="Arial" w:hAnsi="Arial"/>
                <w:sz w:val="16"/>
                <w:szCs w:val="16"/>
                <w:color w:val="FFFFFF"/>
              </w:rPr>
              <w:t xml:space="preserve">|  </w:t>
            </w:r>
            <w:r>
              <w:rPr>
                <w:rFonts w:ascii="Arial" w:cs="Arial" w:eastAsia="Arial" w:hAnsi="Arial"/>
                <w:sz w:val="16"/>
                <w:szCs w:val="16"/>
                <w:b w:val="1"/>
                <w:bCs w:val="1"/>
                <w:color w:val="FFFFFF"/>
              </w:rPr>
              <w:t>Earnings Release 3Q / 2023</w:t>
            </w:r>
          </w:p>
        </w:tc>
        <w:tc>
          <w:tcPr>
            <w:tcW w:w="3900" w:type="dxa"/>
            <w:vAlign w:val="bottom"/>
            <w:gridSpan w:val="2"/>
            <w:shd w:val="clear" w:color="auto" w:fill="000000"/>
          </w:tcPr>
          <w:p>
            <w:pPr>
              <w:jc w:val="right"/>
              <w:ind w:right="70"/>
              <w:spacing w:after="0"/>
              <w:rPr>
                <w:sz w:val="20"/>
                <w:szCs w:val="20"/>
                <w:color w:val="auto"/>
              </w:rPr>
            </w:pPr>
            <w:r>
              <w:rPr>
                <w:rFonts w:ascii="Arial" w:cs="Arial" w:eastAsia="Arial" w:hAnsi="Arial"/>
                <w:sz w:val="18"/>
                <w:szCs w:val="18"/>
                <w:b w:val="1"/>
                <w:bCs w:val="1"/>
                <w:color w:val="E93CAC"/>
              </w:rPr>
              <w:t>Analysis of 3Q23 Consolidated Results</w:t>
            </w:r>
          </w:p>
        </w:tc>
      </w:tr>
      <w:tr>
        <w:trPr>
          <w:trHeight w:val="206"/>
        </w:trPr>
        <w:tc>
          <w:tcPr>
            <w:tcW w:w="600" w:type="dxa"/>
            <w:vAlign w:val="bottom"/>
            <w:shd w:val="clear" w:color="auto" w:fill="000000"/>
          </w:tcPr>
          <w:p>
            <w:pPr>
              <w:spacing w:after="0"/>
              <w:rPr>
                <w:sz w:val="17"/>
                <w:szCs w:val="17"/>
                <w:color w:val="auto"/>
              </w:rPr>
            </w:pPr>
          </w:p>
        </w:tc>
        <w:tc>
          <w:tcPr>
            <w:tcW w:w="6740" w:type="dxa"/>
            <w:vAlign w:val="bottom"/>
            <w:shd w:val="clear" w:color="auto" w:fill="000000"/>
          </w:tcPr>
          <w:p>
            <w:pPr>
              <w:spacing w:after="0"/>
              <w:rPr>
                <w:sz w:val="17"/>
                <w:szCs w:val="17"/>
                <w:color w:val="auto"/>
              </w:rPr>
            </w:pPr>
          </w:p>
        </w:tc>
        <w:tc>
          <w:tcPr>
            <w:tcW w:w="3120" w:type="dxa"/>
            <w:vAlign w:val="bottom"/>
            <w:shd w:val="clear" w:color="auto" w:fill="000000"/>
          </w:tcPr>
          <w:p>
            <w:pPr>
              <w:spacing w:after="0"/>
              <w:rPr>
                <w:sz w:val="17"/>
                <w:szCs w:val="17"/>
                <w:color w:val="auto"/>
              </w:rPr>
            </w:pPr>
          </w:p>
        </w:tc>
        <w:tc>
          <w:tcPr>
            <w:tcW w:w="780" w:type="dxa"/>
            <w:vAlign w:val="bottom"/>
            <w:shd w:val="clear" w:color="auto" w:fill="000000"/>
          </w:tcPr>
          <w:p>
            <w:pPr>
              <w:spacing w:after="0"/>
              <w:rPr>
                <w:sz w:val="17"/>
                <w:szCs w:val="17"/>
                <w:color w:val="auto"/>
              </w:rPr>
            </w:pPr>
          </w:p>
        </w:tc>
      </w:tr>
      <w:tr>
        <w:trPr>
          <w:trHeight w:val="680"/>
        </w:trPr>
        <w:tc>
          <w:tcPr>
            <w:tcW w:w="600" w:type="dxa"/>
            <w:vAlign w:val="bottom"/>
          </w:tcPr>
          <w:p>
            <w:pPr>
              <w:spacing w:after="0"/>
              <w:rPr>
                <w:sz w:val="20"/>
                <w:szCs w:val="20"/>
                <w:color w:val="auto"/>
              </w:rPr>
            </w:pPr>
            <w:r>
              <w:rPr>
                <w:rFonts w:ascii="Arial" w:cs="Arial" w:eastAsia="Arial" w:hAnsi="Arial"/>
                <w:sz w:val="40"/>
                <w:szCs w:val="40"/>
                <w:b w:val="1"/>
                <w:bCs w:val="1"/>
                <w:color w:val="E93CAC"/>
              </w:rPr>
              <w:t>12</w:t>
            </w:r>
          </w:p>
        </w:tc>
        <w:tc>
          <w:tcPr>
            <w:tcW w:w="6740" w:type="dxa"/>
            <w:vAlign w:val="bottom"/>
          </w:tcPr>
          <w:p>
            <w:pPr>
              <w:ind w:left="300"/>
              <w:spacing w:after="0"/>
              <w:rPr>
                <w:sz w:val="20"/>
                <w:szCs w:val="20"/>
                <w:color w:val="auto"/>
              </w:rPr>
            </w:pPr>
            <w:r>
              <w:rPr>
                <w:rFonts w:ascii="Arial" w:cs="Arial" w:eastAsia="Arial" w:hAnsi="Arial"/>
                <w:sz w:val="30"/>
                <w:szCs w:val="30"/>
                <w:color w:val="E93CAC"/>
              </w:rPr>
              <w:t>Appendix</w:t>
            </w:r>
          </w:p>
        </w:tc>
        <w:tc>
          <w:tcPr>
            <w:tcW w:w="31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51"/>
        </w:trPr>
        <w:tc>
          <w:tcPr>
            <w:tcW w:w="600" w:type="dxa"/>
            <w:vAlign w:val="bottom"/>
          </w:tcPr>
          <w:p>
            <w:pPr>
              <w:ind w:left="180"/>
              <w:spacing w:after="0"/>
              <w:rPr>
                <w:sz w:val="20"/>
                <w:szCs w:val="20"/>
                <w:color w:val="auto"/>
              </w:rPr>
            </w:pPr>
            <w:r>
              <w:rPr>
                <w:rFonts w:ascii="Arial" w:cs="Arial" w:eastAsia="Arial" w:hAnsi="Arial"/>
                <w:sz w:val="18"/>
                <w:szCs w:val="18"/>
                <w:b w:val="1"/>
                <w:bCs w:val="1"/>
                <w:color w:val="auto"/>
                <w:w w:val="99"/>
              </w:rPr>
              <w:t>12.1.</w:t>
            </w:r>
          </w:p>
        </w:tc>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Implementation of IFRS 17 – Restatement of figures and ratios for 2022</w:t>
            </w:r>
          </w:p>
        </w:tc>
        <w:tc>
          <w:tcPr>
            <w:tcW w:w="3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2"/>
        </w:trPr>
        <w:tc>
          <w:tcPr>
            <w:tcW w:w="7340" w:type="dxa"/>
            <w:vAlign w:val="bottom"/>
            <w:gridSpan w:val="2"/>
          </w:tcPr>
          <w:p>
            <w:pPr>
              <w:ind w:left="380"/>
              <w:spacing w:after="0"/>
              <w:rPr>
                <w:sz w:val="20"/>
                <w:szCs w:val="20"/>
                <w:color w:val="auto"/>
              </w:rPr>
            </w:pPr>
            <w:r>
              <w:rPr>
                <w:rFonts w:ascii="Arial" w:cs="Arial" w:eastAsia="Arial" w:hAnsi="Arial"/>
                <w:sz w:val="18"/>
                <w:szCs w:val="18"/>
                <w:b w:val="1"/>
                <w:bCs w:val="1"/>
                <w:color w:val="auto"/>
              </w:rPr>
              <w:t>12.1.1. Introduction to the new standards IFRS 17</w:t>
            </w:r>
          </w:p>
        </w:tc>
        <w:tc>
          <w:tcPr>
            <w:tcW w:w="3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2"/>
        </w:trPr>
        <w:tc>
          <w:tcPr>
            <w:tcW w:w="7340" w:type="dxa"/>
            <w:vAlign w:val="bottom"/>
            <w:gridSpan w:val="2"/>
          </w:tcPr>
          <w:p>
            <w:pPr>
              <w:ind w:left="380"/>
              <w:spacing w:after="0"/>
              <w:rPr>
                <w:sz w:val="20"/>
                <w:szCs w:val="20"/>
                <w:color w:val="auto"/>
              </w:rPr>
            </w:pPr>
            <w:r>
              <w:rPr>
                <w:rFonts w:ascii="Arial" w:cs="Arial" w:eastAsia="Arial" w:hAnsi="Arial"/>
                <w:sz w:val="18"/>
                <w:szCs w:val="18"/>
                <w:b w:val="1"/>
                <w:bCs w:val="1"/>
                <w:color w:val="auto"/>
              </w:rPr>
              <w:t>12.1.2. Conceptual Framework</w:t>
            </w:r>
          </w:p>
        </w:tc>
        <w:tc>
          <w:tcPr>
            <w:tcW w:w="3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2"/>
        </w:trPr>
        <w:tc>
          <w:tcPr>
            <w:tcW w:w="7340" w:type="dxa"/>
            <w:vAlign w:val="bottom"/>
            <w:gridSpan w:val="2"/>
          </w:tcPr>
          <w:p>
            <w:pPr>
              <w:ind w:left="380"/>
              <w:spacing w:after="0"/>
              <w:rPr>
                <w:sz w:val="20"/>
                <w:szCs w:val="20"/>
                <w:color w:val="auto"/>
              </w:rPr>
            </w:pPr>
            <w:r>
              <w:rPr>
                <w:rFonts w:ascii="Arial" w:cs="Arial" w:eastAsia="Arial" w:hAnsi="Arial"/>
                <w:sz w:val="18"/>
                <w:szCs w:val="18"/>
                <w:b w:val="1"/>
                <w:bCs w:val="1"/>
                <w:color w:val="auto"/>
              </w:rPr>
              <w:t>12.1.3. Recognition of Profit and Loss</w:t>
            </w:r>
          </w:p>
        </w:tc>
        <w:tc>
          <w:tcPr>
            <w:tcW w:w="3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2"/>
        </w:trPr>
        <w:tc>
          <w:tcPr>
            <w:tcW w:w="7340" w:type="dxa"/>
            <w:vAlign w:val="bottom"/>
            <w:gridSpan w:val="2"/>
          </w:tcPr>
          <w:p>
            <w:pPr>
              <w:ind w:left="380"/>
              <w:spacing w:after="0"/>
              <w:rPr>
                <w:sz w:val="20"/>
                <w:szCs w:val="20"/>
                <w:color w:val="auto"/>
              </w:rPr>
            </w:pPr>
            <w:r>
              <w:rPr>
                <w:rFonts w:ascii="Arial" w:cs="Arial" w:eastAsia="Arial" w:hAnsi="Arial"/>
                <w:sz w:val="18"/>
                <w:szCs w:val="18"/>
                <w:b w:val="1"/>
                <w:bCs w:val="1"/>
                <w:color w:val="auto"/>
              </w:rPr>
              <w:t>12.1.4. Valuation Methods</w:t>
            </w:r>
          </w:p>
        </w:tc>
        <w:tc>
          <w:tcPr>
            <w:tcW w:w="3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2"/>
        </w:trPr>
        <w:tc>
          <w:tcPr>
            <w:tcW w:w="7340" w:type="dxa"/>
            <w:vAlign w:val="bottom"/>
            <w:gridSpan w:val="2"/>
          </w:tcPr>
          <w:p>
            <w:pPr>
              <w:ind w:left="380"/>
              <w:spacing w:after="0"/>
              <w:rPr>
                <w:sz w:val="20"/>
                <w:szCs w:val="20"/>
                <w:color w:val="auto"/>
              </w:rPr>
            </w:pPr>
            <w:r>
              <w:rPr>
                <w:rFonts w:ascii="Arial" w:cs="Arial" w:eastAsia="Arial" w:hAnsi="Arial"/>
                <w:sz w:val="18"/>
                <w:szCs w:val="18"/>
                <w:b w:val="1"/>
                <w:bCs w:val="1"/>
                <w:color w:val="auto"/>
              </w:rPr>
              <w:t>12.1.5. Impact on Equity Under IFRS 17</w:t>
            </w:r>
          </w:p>
        </w:tc>
        <w:tc>
          <w:tcPr>
            <w:tcW w:w="3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2"/>
        </w:trPr>
        <w:tc>
          <w:tcPr>
            <w:tcW w:w="10460" w:type="dxa"/>
            <w:vAlign w:val="bottom"/>
            <w:gridSpan w:val="3"/>
          </w:tcPr>
          <w:p>
            <w:pPr>
              <w:ind w:left="380"/>
              <w:spacing w:after="0"/>
              <w:rPr>
                <w:sz w:val="20"/>
                <w:szCs w:val="20"/>
                <w:color w:val="auto"/>
              </w:rPr>
            </w:pPr>
            <w:r>
              <w:rPr>
                <w:rFonts w:ascii="Arial" w:cs="Arial" w:eastAsia="Arial" w:hAnsi="Arial"/>
                <w:sz w:val="18"/>
                <w:szCs w:val="18"/>
                <w:b w:val="1"/>
                <w:bCs w:val="1"/>
                <w:color w:val="auto"/>
              </w:rPr>
              <w:t>12.1.6. Reformulation of Profit and Loss Statement at Pacífico Grupo Asegurador for year 2022</w:t>
            </w:r>
          </w:p>
        </w:tc>
        <w:tc>
          <w:tcPr>
            <w:tcW w:w="7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2"/>
        </w:trPr>
        <w:tc>
          <w:tcPr>
            <w:tcW w:w="7340" w:type="dxa"/>
            <w:vAlign w:val="bottom"/>
            <w:gridSpan w:val="2"/>
          </w:tcPr>
          <w:p>
            <w:pPr>
              <w:ind w:left="380"/>
              <w:spacing w:after="0"/>
              <w:rPr>
                <w:sz w:val="20"/>
                <w:szCs w:val="20"/>
                <w:color w:val="auto"/>
              </w:rPr>
            </w:pPr>
            <w:r>
              <w:rPr>
                <w:rFonts w:ascii="Arial" w:cs="Arial" w:eastAsia="Arial" w:hAnsi="Arial"/>
                <w:sz w:val="18"/>
                <w:szCs w:val="18"/>
                <w:b w:val="1"/>
                <w:bCs w:val="1"/>
                <w:color w:val="auto"/>
              </w:rPr>
              <w:t>12.1.7. Reformulation of Credicorp’s Profit and Loss Statement for year 2022</w:t>
            </w:r>
          </w:p>
        </w:tc>
        <w:tc>
          <w:tcPr>
            <w:tcW w:w="3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2"/>
        </w:trPr>
        <w:tc>
          <w:tcPr>
            <w:tcW w:w="10460" w:type="dxa"/>
            <w:vAlign w:val="bottom"/>
            <w:gridSpan w:val="3"/>
          </w:tcPr>
          <w:p>
            <w:pPr>
              <w:ind w:left="380"/>
              <w:spacing w:after="0"/>
              <w:rPr>
                <w:sz w:val="20"/>
                <w:szCs w:val="20"/>
                <w:color w:val="auto"/>
              </w:rPr>
            </w:pPr>
            <w:r>
              <w:rPr>
                <w:rFonts w:ascii="Arial" w:cs="Arial" w:eastAsia="Arial" w:hAnsi="Arial"/>
                <w:sz w:val="18"/>
                <w:szCs w:val="18"/>
                <w:b w:val="1"/>
                <w:bCs w:val="1"/>
                <w:color w:val="auto"/>
              </w:rPr>
              <w:t>12.1.8. Changes in the Methodology to Calculate Financial Indicators and their Reformulation for the year 2022</w:t>
            </w:r>
          </w:p>
        </w:tc>
        <w:tc>
          <w:tcPr>
            <w:tcW w:w="7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2"/>
        </w:trPr>
        <w:tc>
          <w:tcPr>
            <w:tcW w:w="7340" w:type="dxa"/>
            <w:vAlign w:val="bottom"/>
            <w:gridSpan w:val="2"/>
          </w:tcPr>
          <w:p>
            <w:pPr>
              <w:ind w:left="380"/>
              <w:spacing w:after="0"/>
              <w:rPr>
                <w:sz w:val="20"/>
                <w:szCs w:val="20"/>
                <w:color w:val="auto"/>
              </w:rPr>
            </w:pPr>
            <w:r>
              <w:rPr>
                <w:rFonts w:ascii="Arial" w:cs="Arial" w:eastAsia="Arial" w:hAnsi="Arial"/>
                <w:sz w:val="18"/>
                <w:szCs w:val="18"/>
                <w:b w:val="1"/>
                <w:bCs w:val="1"/>
                <w:color w:val="auto"/>
              </w:rPr>
              <w:t>12.1.9. Glossary of Terms Under IFRS 17</w:t>
            </w:r>
          </w:p>
        </w:tc>
        <w:tc>
          <w:tcPr>
            <w:tcW w:w="3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2"/>
        </w:trPr>
        <w:tc>
          <w:tcPr>
            <w:tcW w:w="600" w:type="dxa"/>
            <w:vAlign w:val="bottom"/>
          </w:tcPr>
          <w:p>
            <w:pPr>
              <w:ind w:left="180"/>
              <w:spacing w:after="0"/>
              <w:rPr>
                <w:sz w:val="20"/>
                <w:szCs w:val="20"/>
                <w:color w:val="auto"/>
              </w:rPr>
            </w:pPr>
            <w:r>
              <w:rPr>
                <w:rFonts w:ascii="Arial" w:cs="Arial" w:eastAsia="Arial" w:hAnsi="Arial"/>
                <w:sz w:val="18"/>
                <w:szCs w:val="18"/>
                <w:b w:val="1"/>
                <w:bCs w:val="1"/>
                <w:color w:val="auto"/>
                <w:w w:val="99"/>
              </w:rPr>
              <w:t>12.2.</w:t>
            </w:r>
          </w:p>
        </w:tc>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Physical Point of contact</w:t>
            </w:r>
          </w:p>
        </w:tc>
        <w:tc>
          <w:tcPr>
            <w:tcW w:w="3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2"/>
        </w:trPr>
        <w:tc>
          <w:tcPr>
            <w:tcW w:w="600" w:type="dxa"/>
            <w:vAlign w:val="bottom"/>
          </w:tcPr>
          <w:p>
            <w:pPr>
              <w:ind w:left="180"/>
              <w:spacing w:after="0"/>
              <w:rPr>
                <w:sz w:val="20"/>
                <w:szCs w:val="20"/>
                <w:color w:val="auto"/>
              </w:rPr>
            </w:pPr>
            <w:r>
              <w:rPr>
                <w:rFonts w:ascii="Arial" w:cs="Arial" w:eastAsia="Arial" w:hAnsi="Arial"/>
                <w:sz w:val="18"/>
                <w:szCs w:val="18"/>
                <w:b w:val="1"/>
                <w:bCs w:val="1"/>
                <w:color w:val="auto"/>
                <w:w w:val="99"/>
              </w:rPr>
              <w:t>12.3.</w:t>
            </w:r>
          </w:p>
        </w:tc>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Loan Portfolio Quality</w:t>
            </w:r>
          </w:p>
        </w:tc>
        <w:tc>
          <w:tcPr>
            <w:tcW w:w="3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2"/>
        </w:trPr>
        <w:tc>
          <w:tcPr>
            <w:tcW w:w="7340" w:type="dxa"/>
            <w:vAlign w:val="bottom"/>
            <w:gridSpan w:val="2"/>
          </w:tcPr>
          <w:p>
            <w:pPr>
              <w:ind w:left="180"/>
              <w:spacing w:after="0"/>
              <w:rPr>
                <w:sz w:val="20"/>
                <w:szCs w:val="20"/>
                <w:color w:val="auto"/>
              </w:rPr>
            </w:pPr>
            <w:r>
              <w:rPr>
                <w:rFonts w:ascii="Arial" w:cs="Arial" w:eastAsia="Arial" w:hAnsi="Arial"/>
                <w:sz w:val="18"/>
                <w:szCs w:val="18"/>
                <w:b w:val="1"/>
                <w:bCs w:val="1"/>
                <w:color w:val="auto"/>
              </w:rPr>
              <w:t>12.4 Net Interest Income (NII)</w:t>
            </w:r>
          </w:p>
        </w:tc>
        <w:tc>
          <w:tcPr>
            <w:tcW w:w="3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2"/>
        </w:trPr>
        <w:tc>
          <w:tcPr>
            <w:tcW w:w="600" w:type="dxa"/>
            <w:vAlign w:val="bottom"/>
          </w:tcPr>
          <w:p>
            <w:pPr>
              <w:ind w:left="180"/>
              <w:spacing w:after="0"/>
              <w:rPr>
                <w:sz w:val="20"/>
                <w:szCs w:val="20"/>
                <w:color w:val="auto"/>
              </w:rPr>
            </w:pPr>
            <w:r>
              <w:rPr>
                <w:rFonts w:ascii="Arial" w:cs="Arial" w:eastAsia="Arial" w:hAnsi="Arial"/>
                <w:sz w:val="18"/>
                <w:szCs w:val="18"/>
                <w:b w:val="1"/>
                <w:bCs w:val="1"/>
                <w:color w:val="auto"/>
                <w:w w:val="99"/>
              </w:rPr>
              <w:t>12.5.</w:t>
            </w:r>
          </w:p>
        </w:tc>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Regulatory Capital</w:t>
            </w:r>
          </w:p>
        </w:tc>
        <w:tc>
          <w:tcPr>
            <w:tcW w:w="3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2"/>
        </w:trPr>
        <w:tc>
          <w:tcPr>
            <w:tcW w:w="600" w:type="dxa"/>
            <w:vAlign w:val="bottom"/>
          </w:tcPr>
          <w:p>
            <w:pPr>
              <w:ind w:left="180"/>
              <w:spacing w:after="0"/>
              <w:rPr>
                <w:sz w:val="20"/>
                <w:szCs w:val="20"/>
                <w:color w:val="auto"/>
              </w:rPr>
            </w:pPr>
            <w:r>
              <w:rPr>
                <w:rFonts w:ascii="Arial" w:cs="Arial" w:eastAsia="Arial" w:hAnsi="Arial"/>
                <w:sz w:val="18"/>
                <w:szCs w:val="18"/>
                <w:b w:val="1"/>
                <w:bCs w:val="1"/>
                <w:color w:val="auto"/>
                <w:w w:val="99"/>
              </w:rPr>
              <w:t>12.6.</w:t>
            </w:r>
          </w:p>
        </w:tc>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Financial Statements and Ratios by Business</w:t>
            </w:r>
          </w:p>
        </w:tc>
        <w:tc>
          <w:tcPr>
            <w:tcW w:w="3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72"/>
        </w:trPr>
        <w:tc>
          <w:tcPr>
            <w:tcW w:w="7340" w:type="dxa"/>
            <w:vAlign w:val="bottom"/>
            <w:gridSpan w:val="2"/>
          </w:tcPr>
          <w:p>
            <w:pPr>
              <w:ind w:left="180"/>
              <w:spacing w:after="0"/>
              <w:rPr>
                <w:sz w:val="20"/>
                <w:szCs w:val="20"/>
                <w:color w:val="auto"/>
              </w:rPr>
            </w:pPr>
            <w:r>
              <w:rPr>
                <w:rFonts w:ascii="Arial" w:cs="Arial" w:eastAsia="Arial" w:hAnsi="Arial"/>
                <w:sz w:val="18"/>
                <w:szCs w:val="18"/>
                <w:b w:val="1"/>
                <w:bCs w:val="1"/>
                <w:color w:val="auto"/>
              </w:rPr>
              <w:t>12.6.1. Credicorp Consolidated</w:t>
            </w:r>
          </w:p>
        </w:tc>
        <w:tc>
          <w:tcPr>
            <w:tcW w:w="3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72"/>
        </w:trPr>
        <w:tc>
          <w:tcPr>
            <w:tcW w:w="7340" w:type="dxa"/>
            <w:vAlign w:val="bottom"/>
            <w:gridSpan w:val="2"/>
          </w:tcPr>
          <w:p>
            <w:pPr>
              <w:ind w:left="360"/>
              <w:spacing w:after="0"/>
              <w:rPr>
                <w:sz w:val="20"/>
                <w:szCs w:val="20"/>
                <w:color w:val="auto"/>
              </w:rPr>
            </w:pPr>
            <w:r>
              <w:rPr>
                <w:rFonts w:ascii="Arial" w:cs="Arial" w:eastAsia="Arial" w:hAnsi="Arial"/>
                <w:sz w:val="18"/>
                <w:szCs w:val="18"/>
                <w:b w:val="1"/>
                <w:bCs w:val="1"/>
                <w:color w:val="auto"/>
              </w:rPr>
              <w:t>12.6.2. Credicorp Stand-alone</w:t>
            </w:r>
          </w:p>
        </w:tc>
        <w:tc>
          <w:tcPr>
            <w:tcW w:w="3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2"/>
        </w:trPr>
        <w:tc>
          <w:tcPr>
            <w:tcW w:w="7340" w:type="dxa"/>
            <w:vAlign w:val="bottom"/>
            <w:gridSpan w:val="2"/>
          </w:tcPr>
          <w:p>
            <w:pPr>
              <w:ind w:left="360"/>
              <w:spacing w:after="0"/>
              <w:rPr>
                <w:sz w:val="20"/>
                <w:szCs w:val="20"/>
                <w:color w:val="auto"/>
              </w:rPr>
            </w:pPr>
            <w:r>
              <w:rPr>
                <w:rFonts w:ascii="Arial" w:cs="Arial" w:eastAsia="Arial" w:hAnsi="Arial"/>
                <w:sz w:val="18"/>
                <w:szCs w:val="18"/>
                <w:b w:val="1"/>
                <w:bCs w:val="1"/>
                <w:color w:val="auto"/>
              </w:rPr>
              <w:t>12.6.4. BCP Stand-alone</w:t>
            </w:r>
          </w:p>
        </w:tc>
        <w:tc>
          <w:tcPr>
            <w:tcW w:w="3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2"/>
        </w:trPr>
        <w:tc>
          <w:tcPr>
            <w:tcW w:w="7340" w:type="dxa"/>
            <w:vAlign w:val="bottom"/>
            <w:gridSpan w:val="2"/>
          </w:tcPr>
          <w:p>
            <w:pPr>
              <w:ind w:left="360"/>
              <w:spacing w:after="0"/>
              <w:rPr>
                <w:sz w:val="20"/>
                <w:szCs w:val="20"/>
                <w:color w:val="auto"/>
              </w:rPr>
            </w:pPr>
            <w:r>
              <w:rPr>
                <w:rFonts w:ascii="Arial" w:cs="Arial" w:eastAsia="Arial" w:hAnsi="Arial"/>
                <w:sz w:val="18"/>
                <w:szCs w:val="18"/>
                <w:b w:val="1"/>
                <w:bCs w:val="1"/>
                <w:color w:val="auto"/>
              </w:rPr>
              <w:t>12.6.5. BCP Bolivia</w:t>
            </w:r>
          </w:p>
        </w:tc>
        <w:tc>
          <w:tcPr>
            <w:tcW w:w="3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2"/>
        </w:trPr>
        <w:tc>
          <w:tcPr>
            <w:tcW w:w="7340" w:type="dxa"/>
            <w:vAlign w:val="bottom"/>
            <w:gridSpan w:val="2"/>
          </w:tcPr>
          <w:p>
            <w:pPr>
              <w:ind w:left="360"/>
              <w:spacing w:after="0"/>
              <w:rPr>
                <w:sz w:val="20"/>
                <w:szCs w:val="20"/>
                <w:color w:val="auto"/>
              </w:rPr>
            </w:pPr>
            <w:r>
              <w:rPr>
                <w:rFonts w:ascii="Arial" w:cs="Arial" w:eastAsia="Arial" w:hAnsi="Arial"/>
                <w:sz w:val="18"/>
                <w:szCs w:val="18"/>
                <w:b w:val="1"/>
                <w:bCs w:val="1"/>
                <w:color w:val="auto"/>
              </w:rPr>
              <w:t>12.6.6. Mibanco</w:t>
            </w:r>
          </w:p>
        </w:tc>
        <w:tc>
          <w:tcPr>
            <w:tcW w:w="3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2"/>
        </w:trPr>
        <w:tc>
          <w:tcPr>
            <w:tcW w:w="7340" w:type="dxa"/>
            <w:vAlign w:val="bottom"/>
            <w:gridSpan w:val="2"/>
          </w:tcPr>
          <w:p>
            <w:pPr>
              <w:ind w:left="360"/>
              <w:spacing w:after="0"/>
              <w:rPr>
                <w:sz w:val="20"/>
                <w:szCs w:val="20"/>
                <w:color w:val="auto"/>
              </w:rPr>
            </w:pPr>
            <w:r>
              <w:rPr>
                <w:rFonts w:ascii="Arial" w:cs="Arial" w:eastAsia="Arial" w:hAnsi="Arial"/>
                <w:sz w:val="18"/>
                <w:szCs w:val="18"/>
                <w:b w:val="1"/>
                <w:bCs w:val="1"/>
                <w:color w:val="auto"/>
              </w:rPr>
              <w:t>12.6.7. Prima AFP</w:t>
            </w:r>
          </w:p>
        </w:tc>
        <w:tc>
          <w:tcPr>
            <w:tcW w:w="3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72"/>
        </w:trPr>
        <w:tc>
          <w:tcPr>
            <w:tcW w:w="7340" w:type="dxa"/>
            <w:vAlign w:val="bottom"/>
            <w:gridSpan w:val="2"/>
          </w:tcPr>
          <w:p>
            <w:pPr>
              <w:ind w:left="360"/>
              <w:spacing w:after="0"/>
              <w:rPr>
                <w:sz w:val="20"/>
                <w:szCs w:val="20"/>
                <w:color w:val="auto"/>
              </w:rPr>
            </w:pPr>
            <w:r>
              <w:rPr>
                <w:rFonts w:ascii="Arial" w:cs="Arial" w:eastAsia="Arial" w:hAnsi="Arial"/>
                <w:sz w:val="18"/>
                <w:szCs w:val="18"/>
                <w:b w:val="1"/>
                <w:bCs w:val="1"/>
                <w:color w:val="auto"/>
              </w:rPr>
              <w:t>12.6.8. Grupo Pacifico</w:t>
            </w:r>
          </w:p>
        </w:tc>
        <w:tc>
          <w:tcPr>
            <w:tcW w:w="3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2"/>
        </w:trPr>
        <w:tc>
          <w:tcPr>
            <w:tcW w:w="600" w:type="dxa"/>
            <w:vAlign w:val="bottom"/>
          </w:tcPr>
          <w:p>
            <w:pPr>
              <w:ind w:left="180"/>
              <w:spacing w:after="0"/>
              <w:rPr>
                <w:sz w:val="20"/>
                <w:szCs w:val="20"/>
                <w:color w:val="auto"/>
              </w:rPr>
            </w:pPr>
            <w:r>
              <w:rPr>
                <w:rFonts w:ascii="Arial" w:cs="Arial" w:eastAsia="Arial" w:hAnsi="Arial"/>
                <w:sz w:val="18"/>
                <w:szCs w:val="18"/>
                <w:b w:val="1"/>
                <w:bCs w:val="1"/>
                <w:color w:val="auto"/>
                <w:w w:val="99"/>
              </w:rPr>
              <w:t>12.7.</w:t>
            </w:r>
          </w:p>
        </w:tc>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Table of calculations</w:t>
            </w:r>
          </w:p>
        </w:tc>
        <w:tc>
          <w:tcPr>
            <w:tcW w:w="3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72"/>
        </w:trPr>
        <w:tc>
          <w:tcPr>
            <w:tcW w:w="600" w:type="dxa"/>
            <w:vAlign w:val="bottom"/>
          </w:tcPr>
          <w:p>
            <w:pPr>
              <w:ind w:left="180"/>
              <w:spacing w:after="0"/>
              <w:rPr>
                <w:sz w:val="20"/>
                <w:szCs w:val="20"/>
                <w:color w:val="auto"/>
              </w:rPr>
            </w:pPr>
            <w:r>
              <w:rPr>
                <w:rFonts w:ascii="Arial" w:cs="Arial" w:eastAsia="Arial" w:hAnsi="Arial"/>
                <w:sz w:val="18"/>
                <w:szCs w:val="18"/>
                <w:b w:val="1"/>
                <w:bCs w:val="1"/>
                <w:color w:val="auto"/>
                <w:w w:val="99"/>
              </w:rPr>
              <w:t>12.8.</w:t>
            </w:r>
          </w:p>
        </w:tc>
        <w:tc>
          <w:tcPr>
            <w:tcW w:w="6740" w:type="dxa"/>
            <w:vAlign w:val="bottom"/>
          </w:tcPr>
          <w:p>
            <w:pPr>
              <w:ind w:left="40"/>
              <w:spacing w:after="0"/>
              <w:rPr>
                <w:sz w:val="20"/>
                <w:szCs w:val="20"/>
                <w:color w:val="auto"/>
              </w:rPr>
            </w:pPr>
            <w:r>
              <w:rPr>
                <w:rFonts w:ascii="Arial" w:cs="Arial" w:eastAsia="Arial" w:hAnsi="Arial"/>
                <w:sz w:val="18"/>
                <w:szCs w:val="18"/>
                <w:b w:val="1"/>
                <w:bCs w:val="1"/>
                <w:color w:val="auto"/>
              </w:rPr>
              <w:t>Glossary of terms</w:t>
            </w:r>
          </w:p>
        </w:tc>
        <w:tc>
          <w:tcPr>
            <w:tcW w:w="3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528"/>
        </w:trPr>
        <w:tc>
          <w:tcPr>
            <w:tcW w:w="60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45</w:t>
            </w:r>
          </w:p>
        </w:tc>
      </w:tr>
      <w:tr>
        <w:trPr>
          <w:trHeight w:val="41"/>
        </w:trPr>
        <w:tc>
          <w:tcPr>
            <w:tcW w:w="600" w:type="dxa"/>
            <w:vAlign w:val="bottom"/>
            <w:tcBorders>
              <w:bottom w:val="single" w:sz="8" w:color="auto"/>
            </w:tcBorders>
          </w:tcPr>
          <w:p>
            <w:pPr>
              <w:spacing w:after="0"/>
              <w:rPr>
                <w:sz w:val="3"/>
                <w:szCs w:val="3"/>
                <w:color w:val="auto"/>
              </w:rPr>
            </w:pPr>
          </w:p>
        </w:tc>
        <w:tc>
          <w:tcPr>
            <w:tcW w:w="6740" w:type="dxa"/>
            <w:vAlign w:val="bottom"/>
            <w:tcBorders>
              <w:bottom w:val="single" w:sz="8" w:color="auto"/>
            </w:tcBorders>
          </w:tcPr>
          <w:p>
            <w:pPr>
              <w:spacing w:after="0"/>
              <w:rPr>
                <w:sz w:val="3"/>
                <w:szCs w:val="3"/>
                <w:color w:val="auto"/>
              </w:rPr>
            </w:pPr>
          </w:p>
        </w:tc>
        <w:tc>
          <w:tcPr>
            <w:tcW w:w="3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-5298440</wp:posOffset>
            </wp:positionV>
            <wp:extent cx="989330" cy="1803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989330" cy="180340"/>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47" w:name="page48"/>
    <w:bookmarkEnd w:id="47"/>
    <w:p>
      <w:pPr>
        <w:ind w:left="2960"/>
        <w:spacing w:after="0"/>
        <w:tabs>
          <w:tab w:leader="none" w:pos="3140" w:val="left"/>
          <w:tab w:leader="none" w:pos="7700" w:val="left"/>
        </w:tabs>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202565</wp:posOffset>
            </wp:positionH>
            <wp:positionV relativeFrom="page">
              <wp:posOffset>96520</wp:posOffset>
            </wp:positionV>
            <wp:extent cx="7143750" cy="41592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3750" cy="415925"/>
                    </a:xfrm>
                    <a:prstGeom prst="rect">
                      <a:avLst/>
                    </a:prstGeom>
                    <a:noFill/>
                  </pic:spPr>
                </pic:pic>
              </a:graphicData>
            </a:graphic>
          </wp:anchor>
        </w:drawing>
        <w:t>|</w:t>
      </w:r>
      <w:r>
        <w:rPr>
          <w:sz w:val="20"/>
          <w:szCs w:val="20"/>
          <w:color w:val="auto"/>
        </w:rPr>
        <w:tab/>
      </w:r>
      <w:r>
        <w:rPr>
          <w:rFonts w:ascii="Arial" w:cs="Arial" w:eastAsia="Arial" w:hAnsi="Arial"/>
          <w:sz w:val="16"/>
          <w:szCs w:val="16"/>
          <w:b w:val="1"/>
          <w:bCs w:val="1"/>
          <w:color w:val="FFFFFF"/>
        </w:rPr>
        <w:t>Earnings Release 3Q / 2023</w:t>
      </w:r>
      <w:r>
        <w:rPr>
          <w:sz w:val="20"/>
          <w:szCs w:val="20"/>
          <w:color w:val="auto"/>
        </w:rPr>
        <w:tab/>
      </w:r>
      <w:r>
        <w:rPr>
          <w:rFonts w:ascii="Arial" w:cs="Arial" w:eastAsia="Arial" w:hAnsi="Arial"/>
          <w:sz w:val="18"/>
          <w:szCs w:val="18"/>
          <w:b w:val="1"/>
          <w:bCs w:val="1"/>
          <w:color w:val="E93CAC"/>
        </w:rPr>
        <w:t>Analysis of 3Q23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159385</wp:posOffset>
            </wp:positionV>
            <wp:extent cx="7143750" cy="2038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3750" cy="203835"/>
                    </a:xfrm>
                    <a:prstGeom prst="rect">
                      <a:avLst/>
                    </a:prstGeom>
                    <a:noFill/>
                  </pic:spPr>
                </pic:pic>
              </a:graphicData>
            </a:graphic>
          </wp:anchor>
        </w:drawing>
      </w:r>
    </w:p>
    <w:p>
      <w:pPr>
        <w:spacing w:after="0" w:line="251"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FFFFFF"/>
        </w:rPr>
        <w:t>12. Appendix</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12.1. Implementation of IFRS 17 – Restatement of figures and ratios for 2022</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12.1.1. Introduction to the new standards IFRS 17</w:t>
      </w:r>
    </w:p>
    <w:p>
      <w:pPr>
        <w:spacing w:after="0" w:line="183"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IFRS 17 was published in May 2017 as a replacement to IFRS 4 “Insurance Contracts.” The aim of this change is to ensure that consistent measurement criteria are applied to improve transparency and the comparability of Financial Statements. The new standard became effective in January 2023.</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The primary objectives of this standard include:</w:t>
      </w:r>
    </w:p>
    <w:p>
      <w:pPr>
        <w:spacing w:after="0" w:line="311" w:lineRule="exact"/>
        <w:rPr>
          <w:sz w:val="20"/>
          <w:szCs w:val="20"/>
          <w:color w:val="auto"/>
        </w:rPr>
      </w:pPr>
    </w:p>
    <w:p>
      <w:pPr>
        <w:ind w:left="740" w:right="40" w:hanging="444"/>
        <w:spacing w:after="0" w:line="249" w:lineRule="auto"/>
        <w:tabs>
          <w:tab w:leader="none" w:pos="7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Improving comparability between insurers at the global level. IFRS 4 allowed entities to use a wide variety of accounting practices with regard to insurance contracts.</w:t>
      </w:r>
    </w:p>
    <w:p>
      <w:pPr>
        <w:spacing w:after="0" w:line="1" w:lineRule="exact"/>
        <w:rPr>
          <w:rFonts w:ascii="Arial" w:cs="Arial" w:eastAsia="Arial" w:hAnsi="Arial"/>
          <w:sz w:val="16"/>
          <w:szCs w:val="16"/>
          <w:color w:val="auto"/>
        </w:rPr>
      </w:pPr>
    </w:p>
    <w:p>
      <w:pPr>
        <w:ind w:left="740" w:right="140" w:hanging="444"/>
        <w:spacing w:after="0" w:line="241" w:lineRule="auto"/>
        <w:tabs>
          <w:tab w:leader="none" w:pos="7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Adequately reflecting the economic value of insurance contracts. Some previous accounting practices allowed under IFRS failed to adequately reflect real underlying financial situations or the financial yields on insurance contracts.</w:t>
      </w:r>
    </w:p>
    <w:p>
      <w:pPr>
        <w:spacing w:after="0" w:line="1" w:lineRule="exact"/>
        <w:rPr>
          <w:rFonts w:ascii="Arial" w:cs="Arial" w:eastAsia="Arial" w:hAnsi="Arial"/>
          <w:sz w:val="16"/>
          <w:szCs w:val="16"/>
          <w:color w:val="auto"/>
        </w:rPr>
      </w:pPr>
    </w:p>
    <w:p>
      <w:pPr>
        <w:ind w:left="740" w:hanging="444"/>
        <w:spacing w:after="0"/>
        <w:tabs>
          <w:tab w:leader="none" w:pos="7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Providing more useful information to users of financial statements.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12.1.2. Conceptual Framework</w:t>
      </w:r>
    </w:p>
    <w:p>
      <w:pPr>
        <w:spacing w:after="0" w:line="183"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Insurance contracts combine attributes of risk coverage, provision of services and instruments of investments and by nature, generate cash flows (outflows such as claims payments, redemptios, expirations, pensions, attributable expenses, income such as premiums) during their term.</w:t>
      </w:r>
    </w:p>
    <w:p>
      <w:pPr>
        <w:spacing w:after="0" w:line="8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The difference between expected outflows and inflows (fulfillment cashflows), combined with recognition of cash value over time, constitute the best estimate of the company’s obligations. Due to potential underwriting deviations relative to expected flows, an additional reserve, known as </w:t>
      </w:r>
      <w:r>
        <w:rPr>
          <w:rFonts w:ascii="Arial" w:cs="Arial" w:eastAsia="Arial" w:hAnsi="Arial"/>
          <w:sz w:val="16"/>
          <w:szCs w:val="16"/>
          <w:b w:val="1"/>
          <w:bCs w:val="1"/>
          <w:color w:val="auto"/>
        </w:rPr>
        <w:t>Risk</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Adjustment (RA) </w:t>
      </w:r>
      <w:r>
        <w:rPr>
          <w:rFonts w:ascii="Arial" w:cs="Arial" w:eastAsia="Arial" w:hAnsi="Arial"/>
          <w:sz w:val="16"/>
          <w:szCs w:val="16"/>
          <w:color w:val="auto"/>
        </w:rPr>
        <w:t>must be set aside and the underwriting income that the company expects to obtain from its current product portfolio constitutes the</w:t>
      </w:r>
      <w:r>
        <w:rPr>
          <w:rFonts w:ascii="Arial" w:cs="Arial" w:eastAsia="Arial" w:hAnsi="Arial"/>
          <w:sz w:val="16"/>
          <w:szCs w:val="16"/>
          <w:b w:val="1"/>
          <w:bCs w:val="1"/>
          <w:color w:val="auto"/>
        </w:rPr>
        <w:t xml:space="preserve"> Contractual Service Margin (CSM). </w:t>
      </w:r>
      <w:r>
        <w:rPr>
          <w:rFonts w:ascii="Arial" w:cs="Arial" w:eastAsia="Arial" w:hAnsi="Arial"/>
          <w:sz w:val="16"/>
          <w:szCs w:val="16"/>
          <w:color w:val="auto"/>
        </w:rPr>
        <w:t>These 3 concepts, combined with the claims reserves (including reserves for pending claims, IBNR reserves and</w:t>
      </w:r>
      <w:r>
        <w:rPr>
          <w:rFonts w:ascii="Arial" w:cs="Arial" w:eastAsia="Arial" w:hAnsi="Arial"/>
          <w:sz w:val="16"/>
          <w:szCs w:val="16"/>
          <w:b w:val="1"/>
          <w:bCs w:val="1"/>
          <w:color w:val="auto"/>
        </w:rPr>
        <w:t xml:space="preserve"> </w:t>
      </w:r>
      <w:r>
        <w:rPr>
          <w:rFonts w:ascii="Arial" w:cs="Arial" w:eastAsia="Arial" w:hAnsi="Arial"/>
          <w:sz w:val="16"/>
          <w:szCs w:val="16"/>
          <w:color w:val="auto"/>
        </w:rPr>
        <w:t>liquidation expenses) constitute the company’s liabilities.</w:t>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12.1.3. Recognition of Profit and Loss</w:t>
      </w:r>
    </w:p>
    <w:p>
      <w:pPr>
        <w:spacing w:after="0" w:line="183"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The P &amp; L under IFRS shows the difference between a company’s expected cash flows (valued in liabilities) and real flows that occur. Anticipated flows must be based on realistic parameters that reflect the company’s actual experience and current market interest rates.</w:t>
      </w:r>
    </w:p>
    <w:p>
      <w:pPr>
        <w:spacing w:after="0" w:line="87" w:lineRule="exact"/>
        <w:rPr>
          <w:sz w:val="20"/>
          <w:szCs w:val="20"/>
          <w:color w:val="auto"/>
        </w:rPr>
      </w:pPr>
    </w:p>
    <w:p>
      <w:pPr>
        <w:ind w:right="1540"/>
        <w:spacing w:after="0" w:line="274" w:lineRule="auto"/>
        <w:rPr>
          <w:sz w:val="20"/>
          <w:szCs w:val="20"/>
          <w:color w:val="auto"/>
        </w:rPr>
      </w:pPr>
      <w:r>
        <w:rPr>
          <w:rFonts w:ascii="Arial" w:cs="Arial" w:eastAsia="Arial" w:hAnsi="Arial"/>
          <w:sz w:val="16"/>
          <w:szCs w:val="16"/>
          <w:color w:val="auto"/>
        </w:rPr>
        <w:t>The standard also requires that results be separated into 3 blocks: (i) Insurance service (or direct insurance), (ii) Reinsurance and (iii) Financial Results. This structure allows users to visualize the company’s sources of income.</w:t>
      </w:r>
    </w:p>
    <w:p>
      <w:pPr>
        <w:spacing w:after="0" w:line="87"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Unlike IFRS4, which recognized profit and losses on products during their term, IFRS17 stipulates that expected losses must be recognized at a single moment, meaning upon issuance of policies, while recognition of underwriting income (CSM) must be made gradually over the effective period of products.</w:t>
      </w:r>
    </w:p>
    <w:p>
      <w:pPr>
        <w:spacing w:after="0" w:line="288"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company chose the Other Comprehensive Income (OCI) option, which recognizes movements of reserves generated by underwriting issues within the Profit and Loss Statement (changes in mortality, expenses, redemptions, etc.) while within Equity, only variations in liabilities generated by changes in interest rates are recognized. This variation produces an offset to that generated by investments that back reserves and lends stability to the Balance Sheet and the Profit and Loss Statement.</w:t>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12.1.4. Valuation Methods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IFRS 17 introduces different approaches to valuate underwriting provisions based on the product’s characteristics (contract duration, cash flow).</w:t>
      </w:r>
    </w:p>
    <w:p>
      <w:pPr>
        <w:spacing w:after="0" w:line="179" w:lineRule="exact"/>
        <w:rPr>
          <w:sz w:val="20"/>
          <w:szCs w:val="20"/>
          <w:color w:val="auto"/>
        </w:rPr>
      </w:pPr>
    </w:p>
    <w:p>
      <w:pPr>
        <w:ind w:left="600" w:hanging="304"/>
        <w:spacing w:after="0"/>
        <w:tabs>
          <w:tab w:leader="none" w:pos="600" w:val="left"/>
        </w:tabs>
        <w:numPr>
          <w:ilvl w:val="0"/>
          <w:numId w:val="52"/>
        </w:numPr>
        <w:rPr>
          <w:rFonts w:ascii="Arial" w:cs="Arial" w:eastAsia="Arial" w:hAnsi="Arial"/>
          <w:sz w:val="16"/>
          <w:szCs w:val="16"/>
          <w:color w:val="auto"/>
        </w:rPr>
      </w:pPr>
      <w:r>
        <w:rPr>
          <w:rFonts w:ascii="Arial" w:cs="Arial" w:eastAsia="Arial" w:hAnsi="Arial"/>
          <w:sz w:val="16"/>
          <w:szCs w:val="16"/>
          <w:b w:val="1"/>
          <w:bCs w:val="1"/>
          <w:color w:val="auto"/>
        </w:rPr>
        <w:t xml:space="preserve">General Method (GM) or Building Block Approach (BBA): </w:t>
      </w:r>
      <w:r>
        <w:rPr>
          <w:rFonts w:ascii="Arial" w:cs="Arial" w:eastAsia="Arial" w:hAnsi="Arial"/>
          <w:sz w:val="16"/>
          <w:szCs w:val="16"/>
          <w:color w:val="auto"/>
        </w:rPr>
        <w:t>general default model valuation of insurance contracts.</w:t>
      </w:r>
    </w:p>
    <w:p>
      <w:pPr>
        <w:spacing w:after="0" w:line="21" w:lineRule="exact"/>
        <w:rPr>
          <w:rFonts w:ascii="Arial" w:cs="Arial" w:eastAsia="Arial" w:hAnsi="Arial"/>
          <w:sz w:val="16"/>
          <w:szCs w:val="16"/>
          <w:color w:val="auto"/>
        </w:rPr>
      </w:pPr>
    </w:p>
    <w:p>
      <w:pPr>
        <w:ind w:left="600" w:right="420" w:hanging="304"/>
        <w:spacing w:after="0" w:line="241" w:lineRule="auto"/>
        <w:tabs>
          <w:tab w:leader="none" w:pos="600" w:val="left"/>
        </w:tabs>
        <w:numPr>
          <w:ilvl w:val="0"/>
          <w:numId w:val="52"/>
        </w:numPr>
        <w:rPr>
          <w:rFonts w:ascii="Arial" w:cs="Arial" w:eastAsia="Arial" w:hAnsi="Arial"/>
          <w:sz w:val="16"/>
          <w:szCs w:val="16"/>
          <w:color w:val="auto"/>
        </w:rPr>
      </w:pPr>
      <w:r>
        <w:rPr>
          <w:rFonts w:ascii="Arial" w:cs="Arial" w:eastAsia="Arial" w:hAnsi="Arial"/>
          <w:sz w:val="16"/>
          <w:szCs w:val="16"/>
          <w:b w:val="1"/>
          <w:bCs w:val="1"/>
          <w:color w:val="auto"/>
        </w:rPr>
        <w:t xml:space="preserve">Variable Fee Approach (VFA): </w:t>
      </w:r>
      <w:r>
        <w:rPr>
          <w:rFonts w:ascii="Arial" w:cs="Arial" w:eastAsia="Arial" w:hAnsi="Arial"/>
          <w:sz w:val="16"/>
          <w:szCs w:val="16"/>
          <w:color w:val="auto"/>
        </w:rPr>
        <w:t>model for contract valuation in which cash flows depend on the value of the underlying assets that back said</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contracts</w:t>
      </w:r>
    </w:p>
    <w:p>
      <w:pPr>
        <w:spacing w:after="0" w:line="1" w:lineRule="exact"/>
        <w:rPr>
          <w:rFonts w:ascii="Arial" w:cs="Arial" w:eastAsia="Arial" w:hAnsi="Arial"/>
          <w:sz w:val="16"/>
          <w:szCs w:val="16"/>
          <w:color w:val="auto"/>
        </w:rPr>
      </w:pPr>
    </w:p>
    <w:p>
      <w:pPr>
        <w:ind w:left="600" w:hanging="304"/>
        <w:spacing w:after="0"/>
        <w:tabs>
          <w:tab w:leader="none" w:pos="600" w:val="left"/>
        </w:tabs>
        <w:numPr>
          <w:ilvl w:val="0"/>
          <w:numId w:val="52"/>
        </w:numPr>
        <w:rPr>
          <w:rFonts w:ascii="Arial" w:cs="Arial" w:eastAsia="Arial" w:hAnsi="Arial"/>
          <w:sz w:val="16"/>
          <w:szCs w:val="16"/>
          <w:color w:val="auto"/>
        </w:rPr>
      </w:pPr>
      <w:r>
        <w:rPr>
          <w:rFonts w:ascii="Arial" w:cs="Arial" w:eastAsia="Arial" w:hAnsi="Arial"/>
          <w:sz w:val="16"/>
          <w:szCs w:val="16"/>
          <w:b w:val="1"/>
          <w:bCs w:val="1"/>
          <w:color w:val="auto"/>
        </w:rPr>
        <w:t xml:space="preserve">Premium Allocation Approach (PAA): </w:t>
      </w:r>
      <w:r>
        <w:rPr>
          <w:rFonts w:ascii="Arial" w:cs="Arial" w:eastAsia="Arial" w:hAnsi="Arial"/>
          <w:sz w:val="16"/>
          <w:szCs w:val="16"/>
          <w:color w:val="auto"/>
        </w:rPr>
        <w:t>simplification of the general model.</w:t>
      </w:r>
    </w:p>
    <w:p>
      <w:pPr>
        <w:spacing w:after="0" w:line="32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43750" cy="1587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349" w:right="339" w:bottom="1440" w:gutter="0" w:footer="0" w:header="0"/>
        </w:sectPr>
      </w:pPr>
    </w:p>
    <w:bookmarkStart w:id="48" w:name="page49"/>
    <w:bookmarkEnd w:id="48"/>
    <w:p>
      <w:pPr>
        <w:ind w:left="2961"/>
        <w:spacing w:after="0"/>
        <w:tabs>
          <w:tab w:leader="none" w:pos="3141" w:val="left"/>
          <w:tab w:leader="none" w:pos="7701" w:val="left"/>
        </w:tabs>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202565</wp:posOffset>
            </wp:positionH>
            <wp:positionV relativeFrom="page">
              <wp:posOffset>96520</wp:posOffset>
            </wp:positionV>
            <wp:extent cx="7143750" cy="41592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3750" cy="415925"/>
                    </a:xfrm>
                    <a:prstGeom prst="rect">
                      <a:avLst/>
                    </a:prstGeom>
                    <a:noFill/>
                  </pic:spPr>
                </pic:pic>
              </a:graphicData>
            </a:graphic>
          </wp:anchor>
        </w:drawing>
        <w:t>|</w:t>
      </w:r>
      <w:r>
        <w:rPr>
          <w:sz w:val="20"/>
          <w:szCs w:val="20"/>
          <w:color w:val="auto"/>
        </w:rPr>
        <w:tab/>
      </w:r>
      <w:r>
        <w:rPr>
          <w:rFonts w:ascii="Arial" w:cs="Arial" w:eastAsia="Arial" w:hAnsi="Arial"/>
          <w:sz w:val="16"/>
          <w:szCs w:val="16"/>
          <w:b w:val="1"/>
          <w:bCs w:val="1"/>
          <w:color w:val="FFFFFF"/>
        </w:rPr>
        <w:t>Earnings Release 3Q / 2023</w:t>
      </w:r>
      <w:r>
        <w:rPr>
          <w:sz w:val="20"/>
          <w:szCs w:val="20"/>
          <w:color w:val="auto"/>
        </w:rPr>
        <w:tab/>
      </w:r>
      <w:r>
        <w:rPr>
          <w:rFonts w:ascii="Arial" w:cs="Arial" w:eastAsia="Arial" w:hAnsi="Arial"/>
          <w:sz w:val="18"/>
          <w:szCs w:val="18"/>
          <w:b w:val="1"/>
          <w:bCs w:val="1"/>
          <w:color w:val="E93CAC"/>
        </w:rPr>
        <w:t>Analysis of 3Q23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159385</wp:posOffset>
            </wp:positionV>
            <wp:extent cx="7143750" cy="2038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3750" cy="203835"/>
                    </a:xfrm>
                    <a:prstGeom prst="rect">
                      <a:avLst/>
                    </a:prstGeom>
                    <a:noFill/>
                  </pic:spPr>
                </pic:pic>
              </a:graphicData>
            </a:graphic>
          </wp:anchor>
        </w:drawing>
      </w:r>
    </w:p>
    <w:p>
      <w:pPr>
        <w:spacing w:after="0" w:line="251" w:lineRule="exact"/>
        <w:rPr>
          <w:sz w:val="20"/>
          <w:szCs w:val="20"/>
          <w:color w:val="auto"/>
        </w:rPr>
      </w:pPr>
    </w:p>
    <w:p>
      <w:pPr>
        <w:ind w:left="41"/>
        <w:spacing w:after="0"/>
        <w:rPr>
          <w:sz w:val="20"/>
          <w:szCs w:val="20"/>
          <w:color w:val="auto"/>
        </w:rPr>
      </w:pPr>
      <w:r>
        <w:rPr>
          <w:rFonts w:ascii="Arial" w:cs="Arial" w:eastAsia="Arial" w:hAnsi="Arial"/>
          <w:sz w:val="20"/>
          <w:szCs w:val="20"/>
          <w:b w:val="1"/>
          <w:bCs w:val="1"/>
          <w:color w:val="FFFFFF"/>
        </w:rPr>
        <w:t>12. Appendix</w:t>
      </w:r>
    </w:p>
    <w:p>
      <w:pPr>
        <w:spacing w:after="0" w:line="224"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12.1.5. Impact on Equity Under IFRS 17</w:t>
      </w:r>
    </w:p>
    <w:p>
      <w:pPr>
        <w:spacing w:after="0" w:line="183" w:lineRule="exact"/>
        <w:rPr>
          <w:sz w:val="20"/>
          <w:szCs w:val="20"/>
          <w:color w:val="auto"/>
        </w:rPr>
      </w:pPr>
    </w:p>
    <w:p>
      <w:pPr>
        <w:ind w:left="1" w:right="760"/>
        <w:spacing w:after="0" w:line="274" w:lineRule="auto"/>
        <w:rPr>
          <w:sz w:val="20"/>
          <w:szCs w:val="20"/>
          <w:color w:val="auto"/>
        </w:rPr>
      </w:pPr>
      <w:r>
        <w:rPr>
          <w:rFonts w:ascii="Arial" w:cs="Arial" w:eastAsia="Arial" w:hAnsi="Arial"/>
          <w:sz w:val="16"/>
          <w:szCs w:val="16"/>
          <w:color w:val="auto"/>
        </w:rPr>
        <w:t>The impact of the implementation of the IFRS 17 standard on the net equity balance of Pacífico Seguros is not material, registering at the end of December 2022 a net equity under IFRS 17 which is S/ 10 million greater than the net equity calculated under IFRS 4.</w:t>
      </w:r>
    </w:p>
    <w:p>
      <w:pPr>
        <w:spacing w:after="0" w:line="87" w:lineRule="exact"/>
        <w:rPr>
          <w:sz w:val="20"/>
          <w:szCs w:val="20"/>
          <w:color w:val="auto"/>
        </w:rPr>
      </w:pPr>
    </w:p>
    <w:p>
      <w:pPr>
        <w:ind w:left="1" w:right="80"/>
        <w:spacing w:after="0" w:line="258" w:lineRule="auto"/>
        <w:rPr>
          <w:sz w:val="20"/>
          <w:szCs w:val="20"/>
          <w:color w:val="auto"/>
        </w:rPr>
      </w:pPr>
      <w:r>
        <w:rPr>
          <w:rFonts w:ascii="Arial" w:cs="Arial" w:eastAsia="Arial" w:hAnsi="Arial"/>
          <w:sz w:val="16"/>
          <w:szCs w:val="16"/>
          <w:color w:val="auto"/>
        </w:rPr>
        <w:t>It should be mentioned that as of the end of December 2021 (date of the “first application” of the standard), the net equity of Pacífico Seguros under IFRS 17 was S/ 211 million less than the net equity registered under IFRS 4. This initial gap narrowed during 2022 as a result of a contraction in the value of liabilities under IFRS 17, associated with the interest rates increases.</w:t>
      </w:r>
    </w:p>
    <w:p>
      <w:pPr>
        <w:spacing w:after="0" w:line="276"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12.1.6.Reformulation of Profit and Loss Statement at Pacífico Grupo Asegurador for year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123825</wp:posOffset>
            </wp:positionV>
            <wp:extent cx="6672580" cy="32264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672580" cy="3226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left="601" w:hanging="601"/>
        <w:spacing w:after="0" w:line="242" w:lineRule="auto"/>
        <w:tabs>
          <w:tab w:leader="none" w:pos="601" w:val="left"/>
        </w:tabs>
        <w:numPr>
          <w:ilvl w:val="0"/>
          <w:numId w:val="53"/>
        </w:numPr>
        <w:rPr>
          <w:rFonts w:ascii="Arial" w:cs="Arial" w:eastAsia="Arial" w:hAnsi="Arial"/>
          <w:sz w:val="18"/>
          <w:szCs w:val="18"/>
          <w:b w:val="1"/>
          <w:bCs w:val="1"/>
          <w:color w:val="auto"/>
        </w:rPr>
      </w:pPr>
      <w:r>
        <w:rPr>
          <w:rFonts w:ascii="Arial" w:cs="Arial" w:eastAsia="Arial" w:hAnsi="Arial"/>
          <w:sz w:val="16"/>
          <w:szCs w:val="16"/>
          <w:color w:val="auto"/>
        </w:rPr>
        <w:t>A new sub-account, “Financial Expenses associated with insurance and reinsurance activities, net” is included in the account for Interest Expenses at Pacifico Seguros. This concept corresponds to interest accredited to reserves. This interest is attributable to an update of the present value of said reserves to the date of the close of the period. This concept was previously presented as part of reserves adjustment included in the underwriting result under IFRS4. IFRS17 separates the financial component from the underwriting component.</w:t>
      </w:r>
    </w:p>
    <w:p>
      <w:pPr>
        <w:spacing w:after="0" w:line="162" w:lineRule="exact"/>
        <w:rPr>
          <w:sz w:val="20"/>
          <w:szCs w:val="20"/>
          <w:color w:val="auto"/>
        </w:rPr>
      </w:pPr>
    </w:p>
    <w:p>
      <w:pPr>
        <w:jc w:val="both"/>
        <w:ind w:left="601" w:hanging="601"/>
        <w:spacing w:after="0" w:line="243" w:lineRule="auto"/>
        <w:tabs>
          <w:tab w:leader="none" w:pos="601" w:val="left"/>
        </w:tabs>
        <w:numPr>
          <w:ilvl w:val="0"/>
          <w:numId w:val="54"/>
        </w:numPr>
        <w:rPr>
          <w:rFonts w:ascii="Arial" w:cs="Arial" w:eastAsia="Arial" w:hAnsi="Arial"/>
          <w:sz w:val="18"/>
          <w:szCs w:val="18"/>
          <w:b w:val="1"/>
          <w:bCs w:val="1"/>
          <w:color w:val="auto"/>
        </w:rPr>
      </w:pPr>
      <w:r>
        <w:rPr>
          <w:rFonts w:ascii="Arial" w:cs="Arial" w:eastAsia="Arial" w:hAnsi="Arial"/>
          <w:sz w:val="16"/>
          <w:szCs w:val="16"/>
          <w:color w:val="auto"/>
        </w:rPr>
        <w:t>An impact is registered in the “Gain on exchange rate difference” line because the structure of the assets and liabilities related to insurance activities has been modified. The monetary position of these assets and liabilities changes due to the way that assets and liabilities are recognized under IFRS17.</w:t>
      </w:r>
    </w:p>
    <w:p>
      <w:pPr>
        <w:spacing w:after="0" w:line="147" w:lineRule="exact"/>
        <w:rPr>
          <w:sz w:val="20"/>
          <w:szCs w:val="20"/>
          <w:color w:val="auto"/>
        </w:rPr>
      </w:pPr>
    </w:p>
    <w:p>
      <w:pPr>
        <w:ind w:left="581" w:hanging="581"/>
        <w:spacing w:after="0" w:line="244" w:lineRule="auto"/>
        <w:tabs>
          <w:tab w:leader="none" w:pos="581" w:val="left"/>
        </w:tabs>
        <w:numPr>
          <w:ilvl w:val="0"/>
          <w:numId w:val="55"/>
        </w:numPr>
        <w:rPr>
          <w:rFonts w:ascii="Arial" w:cs="Arial" w:eastAsia="Arial" w:hAnsi="Arial"/>
          <w:sz w:val="18"/>
          <w:szCs w:val="18"/>
          <w:b w:val="1"/>
          <w:bCs w:val="1"/>
          <w:color w:val="auto"/>
        </w:rPr>
      </w:pPr>
      <w:r>
        <w:rPr>
          <w:rFonts w:ascii="Arial" w:cs="Arial" w:eastAsia="Arial" w:hAnsi="Arial"/>
          <w:sz w:val="16"/>
          <w:szCs w:val="16"/>
          <w:color w:val="auto"/>
        </w:rPr>
        <w:t>Some concepts of income that were previously registered (under IFRS 4) as “Non-Operating Income” are now (under IFRS 17) reclassified and included in the cash flows associated with insurance contracts. As such, these concepts are now part of the Insurance Underwriting Result.</w:t>
      </w:r>
    </w:p>
    <w:p>
      <w:pPr>
        <w:spacing w:after="0" w:line="134" w:lineRule="exact"/>
        <w:rPr>
          <w:sz w:val="20"/>
          <w:szCs w:val="20"/>
          <w:color w:val="auto"/>
        </w:rPr>
      </w:pPr>
    </w:p>
    <w:p>
      <w:pPr>
        <w:jc w:val="both"/>
        <w:ind w:left="581" w:hanging="579"/>
        <w:spacing w:after="0" w:line="242" w:lineRule="auto"/>
        <w:tabs>
          <w:tab w:leader="none" w:pos="561"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6"/>
          <w:szCs w:val="16"/>
          <w:color w:val="auto"/>
        </w:rPr>
        <w:t>Recognition of insurance underwriting income is completely different under IFRS 17. IFRS 17 recognizes that insurance contracts combine financial and service characteristics, and in many cases generate variable cash flows in the long-term. To adequately reflect these characteristics, IFRS combines measurements of future cash flows with recognition of the results of the insurance contract throughout the period in which the service is provided. IFRS 17 requires present value measurements of insurance obligations where estimates are recalculated in each reporting period. Contracts are measured using the components of: (i) Fulfilment Cash Flows, (ii) An explicit adjustment for risk or uncertainty of flows, or “Risk Adjustment” and (iii) a Contractual Service Margin, which represents unaccrued underwriting income associated with the contract. This Contractual Service Margin is recognized as income during the coverage term. Insurance contracts combine</w:t>
      </w:r>
    </w:p>
    <w:p>
      <w:pPr>
        <w:spacing w:after="0" w:line="31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43750" cy="1587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349" w:right="339" w:bottom="1440" w:gutter="0" w:footer="0" w:header="0"/>
        </w:sectPr>
      </w:pPr>
    </w:p>
    <w:bookmarkStart w:id="49" w:name="page50"/>
    <w:bookmarkEnd w:id="49"/>
    <w:p>
      <w:pPr>
        <w:ind w:left="2961"/>
        <w:spacing w:after="0"/>
        <w:tabs>
          <w:tab w:leader="none" w:pos="3141" w:val="left"/>
          <w:tab w:leader="none" w:pos="7701" w:val="left"/>
        </w:tabs>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202565</wp:posOffset>
            </wp:positionH>
            <wp:positionV relativeFrom="page">
              <wp:posOffset>104775</wp:posOffset>
            </wp:positionV>
            <wp:extent cx="7143750" cy="41592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3750" cy="415925"/>
                    </a:xfrm>
                    <a:prstGeom prst="rect">
                      <a:avLst/>
                    </a:prstGeom>
                    <a:noFill/>
                  </pic:spPr>
                </pic:pic>
              </a:graphicData>
            </a:graphic>
          </wp:anchor>
        </w:drawing>
        <w:t>|</w:t>
      </w:r>
      <w:r>
        <w:rPr>
          <w:sz w:val="20"/>
          <w:szCs w:val="20"/>
          <w:color w:val="auto"/>
        </w:rPr>
        <w:tab/>
      </w:r>
      <w:r>
        <w:rPr>
          <w:rFonts w:ascii="Arial" w:cs="Arial" w:eastAsia="Arial" w:hAnsi="Arial"/>
          <w:sz w:val="16"/>
          <w:szCs w:val="16"/>
          <w:b w:val="1"/>
          <w:bCs w:val="1"/>
          <w:color w:val="FFFFFF"/>
        </w:rPr>
        <w:t>Earnings Release 3Q / 2023</w:t>
      </w:r>
      <w:r>
        <w:rPr>
          <w:sz w:val="20"/>
          <w:szCs w:val="20"/>
          <w:color w:val="auto"/>
        </w:rPr>
        <w:tab/>
      </w:r>
      <w:r>
        <w:rPr>
          <w:rFonts w:ascii="Arial" w:cs="Arial" w:eastAsia="Arial" w:hAnsi="Arial"/>
          <w:sz w:val="18"/>
          <w:szCs w:val="18"/>
          <w:b w:val="1"/>
          <w:bCs w:val="1"/>
          <w:color w:val="E93CAC"/>
        </w:rPr>
        <w:t>Analysis of 3Q23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175260</wp:posOffset>
            </wp:positionV>
            <wp:extent cx="7143750" cy="2038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3750" cy="203835"/>
                    </a:xfrm>
                    <a:prstGeom prst="rect">
                      <a:avLst/>
                    </a:prstGeom>
                    <a:noFill/>
                  </pic:spPr>
                </pic:pic>
              </a:graphicData>
            </a:graphic>
          </wp:anchor>
        </w:drawing>
      </w:r>
    </w:p>
    <w:p>
      <w:pPr>
        <w:spacing w:after="0" w:line="275" w:lineRule="exact"/>
        <w:rPr>
          <w:sz w:val="20"/>
          <w:szCs w:val="20"/>
          <w:color w:val="auto"/>
        </w:rPr>
      </w:pPr>
    </w:p>
    <w:p>
      <w:pPr>
        <w:ind w:left="41"/>
        <w:spacing w:after="0"/>
        <w:rPr>
          <w:sz w:val="20"/>
          <w:szCs w:val="20"/>
          <w:color w:val="auto"/>
        </w:rPr>
      </w:pPr>
      <w:r>
        <w:rPr>
          <w:rFonts w:ascii="Arial" w:cs="Arial" w:eastAsia="Arial" w:hAnsi="Arial"/>
          <w:sz w:val="20"/>
          <w:szCs w:val="20"/>
          <w:b w:val="1"/>
          <w:bCs w:val="1"/>
          <w:color w:val="FFFFFF"/>
        </w:rPr>
        <w:t>12. Appendix</w:t>
      </w:r>
    </w:p>
    <w:p>
      <w:pPr>
        <w:spacing w:after="0" w:line="294" w:lineRule="exact"/>
        <w:rPr>
          <w:sz w:val="20"/>
          <w:szCs w:val="20"/>
          <w:color w:val="auto"/>
        </w:rPr>
      </w:pPr>
    </w:p>
    <w:p>
      <w:pPr>
        <w:ind w:left="1" w:right="340" w:firstLine="593"/>
        <w:spacing w:after="0" w:line="274" w:lineRule="auto"/>
        <w:rPr>
          <w:sz w:val="20"/>
          <w:szCs w:val="20"/>
          <w:color w:val="auto"/>
        </w:rPr>
      </w:pPr>
      <w:r>
        <w:rPr>
          <w:rFonts w:ascii="Arial" w:cs="Arial" w:eastAsia="Arial" w:hAnsi="Arial"/>
          <w:sz w:val="16"/>
          <w:szCs w:val="16"/>
          <w:color w:val="auto"/>
        </w:rPr>
        <w:t>financial and service characteristics, whereas IFRS combines future cash flows with registry of the results of the insurance contract during the service provision period.</w:t>
      </w:r>
    </w:p>
    <w:p>
      <w:pPr>
        <w:spacing w:after="0" w:line="124" w:lineRule="exact"/>
        <w:rPr>
          <w:sz w:val="20"/>
          <w:szCs w:val="20"/>
          <w:color w:val="auto"/>
        </w:rPr>
      </w:pPr>
    </w:p>
    <w:p>
      <w:pPr>
        <w:jc w:val="both"/>
        <w:ind w:left="601" w:hanging="601"/>
        <w:spacing w:after="0" w:line="243" w:lineRule="auto"/>
        <w:tabs>
          <w:tab w:leader="none" w:pos="601" w:val="left"/>
        </w:tabs>
        <w:numPr>
          <w:ilvl w:val="0"/>
          <w:numId w:val="56"/>
        </w:numPr>
        <w:rPr>
          <w:rFonts w:ascii="Arial" w:cs="Arial" w:eastAsia="Arial" w:hAnsi="Arial"/>
          <w:sz w:val="18"/>
          <w:szCs w:val="18"/>
          <w:b w:val="1"/>
          <w:bCs w:val="1"/>
          <w:color w:val="auto"/>
        </w:rPr>
      </w:pPr>
      <w:r>
        <w:rPr>
          <w:rFonts w:ascii="Arial" w:cs="Arial" w:eastAsia="Arial" w:hAnsi="Arial"/>
          <w:sz w:val="16"/>
          <w:szCs w:val="16"/>
          <w:color w:val="auto"/>
        </w:rPr>
        <w:t>One of the changes generated by the application of IFRS 17 is that it sets forth a new concept for costs that are directly associated with obtaining and fulfilling insurance contracts. Said costs are denominated “Attributable Costs” and are included in the expected flows for the disbursements associated with these contracts. Under IFRS 4, some of these expenses were included in Total Expenses.</w:t>
      </w:r>
    </w:p>
    <w:p>
      <w:pPr>
        <w:spacing w:after="0" w:line="135" w:lineRule="exact"/>
        <w:rPr>
          <w:sz w:val="20"/>
          <w:szCs w:val="20"/>
          <w:color w:val="auto"/>
        </w:rPr>
      </w:pPr>
    </w:p>
    <w:p>
      <w:pPr>
        <w:jc w:val="both"/>
        <w:ind w:left="581" w:hanging="579"/>
        <w:spacing w:after="0" w:line="244" w:lineRule="auto"/>
        <w:tabs>
          <w:tab w:leader="none" w:pos="561" w:val="left"/>
        </w:tabs>
        <w:rPr>
          <w:sz w:val="20"/>
          <w:szCs w:val="20"/>
          <w:color w:val="auto"/>
        </w:rPr>
      </w:pPr>
      <w:r>
        <w:rPr>
          <w:rFonts w:ascii="Arial" w:cs="Arial" w:eastAsia="Arial" w:hAnsi="Arial"/>
          <w:sz w:val="18"/>
          <w:szCs w:val="18"/>
          <w:b w:val="1"/>
          <w:bCs w:val="1"/>
          <w:color w:val="auto"/>
        </w:rPr>
        <w:t>VI.</w:t>
      </w:r>
      <w:r>
        <w:rPr>
          <w:sz w:val="20"/>
          <w:szCs w:val="20"/>
          <w:color w:val="auto"/>
        </w:rPr>
        <w:tab/>
      </w:r>
      <w:r>
        <w:rPr>
          <w:rFonts w:ascii="Arial" w:cs="Arial" w:eastAsia="Arial" w:hAnsi="Arial"/>
          <w:sz w:val="16"/>
          <w:szCs w:val="16"/>
          <w:color w:val="auto"/>
        </w:rPr>
        <w:t>The aggregate impact of implementing IFRS 17 in the Net Earnings of Pacifico Grupo Asegurador is not material and stands at S/15 million for the year 2022.</w:t>
      </w:r>
    </w:p>
    <w:p>
      <w:pPr>
        <w:spacing w:after="0" w:line="151" w:lineRule="exact"/>
        <w:rPr>
          <w:sz w:val="20"/>
          <w:szCs w:val="20"/>
          <w:color w:val="auto"/>
        </w:rPr>
      </w:pPr>
    </w:p>
    <w:p>
      <w:pPr>
        <w:ind w:left="1"/>
        <w:spacing w:after="0"/>
        <w:tabs>
          <w:tab w:leader="none" w:pos="681" w:val="left"/>
        </w:tabs>
        <w:rPr>
          <w:sz w:val="20"/>
          <w:szCs w:val="20"/>
          <w:color w:val="auto"/>
        </w:rPr>
      </w:pPr>
      <w:r>
        <w:rPr>
          <w:rFonts w:ascii="Arial" w:cs="Arial" w:eastAsia="Arial" w:hAnsi="Arial"/>
          <w:sz w:val="16"/>
          <w:szCs w:val="16"/>
          <w:b w:val="1"/>
          <w:bCs w:val="1"/>
          <w:color w:val="auto"/>
        </w:rPr>
        <w:t>12.1.7.</w:t>
        <w:tab/>
        <w:t>Reformulation of Credicorp’s Profit and Loss Statement for year 2022</w:t>
      </w:r>
    </w:p>
    <w:p>
      <w:pPr>
        <w:spacing w:after="0" w:line="183" w:lineRule="exact"/>
        <w:rPr>
          <w:sz w:val="20"/>
          <w:szCs w:val="20"/>
          <w:color w:val="auto"/>
        </w:rPr>
      </w:pPr>
    </w:p>
    <w:p>
      <w:pPr>
        <w:jc w:val="both"/>
        <w:ind w:left="1"/>
        <w:spacing w:after="0" w:line="258" w:lineRule="auto"/>
        <w:rPr>
          <w:sz w:val="20"/>
          <w:szCs w:val="20"/>
          <w:color w:val="auto"/>
        </w:rPr>
      </w:pPr>
      <w:r>
        <w:rPr>
          <w:rFonts w:ascii="Arial" w:cs="Arial" w:eastAsia="Arial" w:hAnsi="Arial"/>
          <w:sz w:val="16"/>
          <w:szCs w:val="16"/>
          <w:color w:val="auto"/>
        </w:rPr>
        <w:t>Below, we reformulate Credicorp’s Profit and Loss Statement. As is evident in the image below, the impact of implementing IFRS at Pacífico Grupo Asegurador translates to Credicorp account by account in identical or highly similar amounts. The aggregate impact of implementing IFRS 17 on the Net Earnings of Credicorp is not material and amounts to S/15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102235</wp:posOffset>
            </wp:positionV>
            <wp:extent cx="6672580" cy="288099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672580" cy="2880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12.1.8. Changes in the Methodology to Calculate Financial Indicators and their Reformulation for the year 2022</w:t>
      </w:r>
    </w:p>
    <w:p>
      <w:pPr>
        <w:spacing w:after="0" w:line="183" w:lineRule="exact"/>
        <w:rPr>
          <w:sz w:val="20"/>
          <w:szCs w:val="20"/>
          <w:color w:val="auto"/>
        </w:rPr>
      </w:pPr>
    </w:p>
    <w:p>
      <w:pPr>
        <w:ind w:left="601" w:hanging="601"/>
        <w:spacing w:after="0"/>
        <w:tabs>
          <w:tab w:leader="none" w:pos="601" w:val="left"/>
        </w:tabs>
        <w:numPr>
          <w:ilvl w:val="0"/>
          <w:numId w:val="57"/>
        </w:numPr>
        <w:rPr>
          <w:rFonts w:ascii="Arial" w:cs="Arial" w:eastAsia="Arial" w:hAnsi="Arial"/>
          <w:sz w:val="16"/>
          <w:szCs w:val="16"/>
          <w:color w:val="auto"/>
        </w:rPr>
      </w:pPr>
      <w:r>
        <w:rPr>
          <w:rFonts w:ascii="Arial" w:cs="Arial" w:eastAsia="Arial" w:hAnsi="Arial"/>
          <w:sz w:val="16"/>
          <w:szCs w:val="16"/>
          <w:color w:val="auto"/>
        </w:rPr>
        <w:t>Net Interest Margin</w:t>
      </w:r>
    </w:p>
    <w:p>
      <w:pPr>
        <w:spacing w:after="0" w:line="154" w:lineRule="exact"/>
        <w:rPr>
          <w:sz w:val="20"/>
          <w:szCs w:val="20"/>
          <w:color w:val="auto"/>
        </w:rPr>
      </w:pPr>
    </w:p>
    <w:p>
      <w:pPr>
        <w:ind w:left="1"/>
        <w:spacing w:after="0"/>
        <w:rPr>
          <w:sz w:val="20"/>
          <w:szCs w:val="20"/>
          <w:color w:val="auto"/>
        </w:rPr>
      </w:pPr>
      <w:r>
        <w:rPr>
          <w:rFonts w:ascii="Arial" w:cs="Arial" w:eastAsia="Arial" w:hAnsi="Arial"/>
          <w:sz w:val="15"/>
          <w:szCs w:val="15"/>
          <w:color w:val="auto"/>
        </w:rPr>
        <w:t>The Net Interest Margin is reformulated in the following way:</w:t>
      </w:r>
    </w:p>
    <w:p>
      <w:pPr>
        <w:spacing w:after="0" w:line="174" w:lineRule="exact"/>
        <w:rPr>
          <w:sz w:val="20"/>
          <w:szCs w:val="20"/>
          <w:color w:val="auto"/>
        </w:rPr>
      </w:pPr>
    </w:p>
    <w:p>
      <w:pPr>
        <w:jc w:val="both"/>
        <w:ind w:left="1"/>
        <w:spacing w:after="0" w:line="246" w:lineRule="auto"/>
        <w:rPr>
          <w:sz w:val="20"/>
          <w:szCs w:val="20"/>
          <w:color w:val="auto"/>
        </w:rPr>
      </w:pPr>
      <w:r>
        <w:rPr>
          <w:rFonts w:ascii="Arial" w:cs="Arial" w:eastAsia="Arial" w:hAnsi="Arial"/>
          <w:sz w:val="15"/>
          <w:szCs w:val="15"/>
          <w:color w:val="auto"/>
        </w:rPr>
        <w:t>Under IFRS 4, the numerator of the Net Interest Margin was comprised of the difference between Interest Income and Interest Expenses. Under IFRS 17, we need to adjust the formula because Interest Expenses now include the concept “Financial Expense associated with the insurance and reinsurance activity, net.” We seek to exclude the impact of this concept on the Net Interest Margin given that this particular kind of interest expense is not associated with a source of funding. As such, we adjust the numerator by reincorporating “Financial Expense associated with insurance and reinsurance activity, net” to “Net Interest Income” calculated under IFRS 17. It is important to note that as a result of this adjustment, the numerator of the Net Interest Margin under IRFS4 is identical to that seen under IFRS 17.</w:t>
      </w:r>
    </w:p>
    <w:p>
      <w:pPr>
        <w:spacing w:after="0" w:line="117" w:lineRule="exact"/>
        <w:rPr>
          <w:sz w:val="20"/>
          <w:szCs w:val="20"/>
          <w:color w:val="auto"/>
        </w:rPr>
      </w:pPr>
    </w:p>
    <w:p>
      <w:pPr>
        <w:jc w:val="both"/>
        <w:ind w:left="1"/>
        <w:spacing w:after="0" w:line="251" w:lineRule="auto"/>
        <w:rPr>
          <w:sz w:val="20"/>
          <w:szCs w:val="20"/>
          <w:color w:val="auto"/>
        </w:rPr>
      </w:pPr>
      <w:r>
        <w:rPr>
          <w:rFonts w:ascii="Arial" w:cs="Arial" w:eastAsia="Arial" w:hAnsi="Arial"/>
          <w:sz w:val="15"/>
          <w:szCs w:val="15"/>
          <w:color w:val="auto"/>
        </w:rPr>
        <w:t>From now on, we will exclude from the denominator (average balance of Interest-earning Assets) the following: the balance associated with the account “Financial Assets at Fair Value through P&amp;L” given that this account is primarily comprised of investments associated from Investment Link contracts, which do not accrue interests for Credicorp. This change is not related to IFRS 17.</w:t>
      </w:r>
    </w:p>
    <w:p>
      <w:pPr>
        <w:spacing w:after="0" w:line="102" w:lineRule="exact"/>
        <w:rPr>
          <w:sz w:val="20"/>
          <w:szCs w:val="20"/>
          <w:color w:val="auto"/>
        </w:rPr>
      </w:pPr>
    </w:p>
    <w:p>
      <w:pPr>
        <w:ind w:left="1"/>
        <w:spacing w:after="0"/>
        <w:rPr>
          <w:sz w:val="20"/>
          <w:szCs w:val="20"/>
          <w:color w:val="auto"/>
        </w:rPr>
      </w:pPr>
      <w:r>
        <w:rPr>
          <w:rFonts w:ascii="Arial" w:cs="Arial" w:eastAsia="Arial" w:hAnsi="Arial"/>
          <w:sz w:val="15"/>
          <w:szCs w:val="15"/>
          <w:color w:val="auto"/>
        </w:rPr>
        <w:t>Below, we present the aforementioned change in graphic form.</w:t>
      </w:r>
    </w:p>
    <w:p>
      <w:pPr>
        <w:spacing w:after="0" w:line="327" w:lineRule="exact"/>
        <w:rPr>
          <w:sz w:val="20"/>
          <w:szCs w:val="20"/>
          <w:color w:val="auto"/>
        </w:rPr>
      </w:pPr>
    </w:p>
    <w:p>
      <w:pPr>
        <w:jc w:val="right"/>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43750" cy="1587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361" w:right="339" w:bottom="1440" w:gutter="0" w:footer="0" w:header="0"/>
        </w:sectPr>
      </w:pPr>
    </w:p>
    <w:bookmarkStart w:id="50" w:name="page51"/>
    <w:bookmarkEnd w:id="50"/>
    <w:p>
      <w:pPr>
        <w:ind w:left="2961"/>
        <w:spacing w:after="0"/>
        <w:tabs>
          <w:tab w:leader="none" w:pos="3141" w:val="left"/>
          <w:tab w:leader="none" w:pos="7701" w:val="left"/>
        </w:tabs>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202565</wp:posOffset>
            </wp:positionH>
            <wp:positionV relativeFrom="page">
              <wp:posOffset>88900</wp:posOffset>
            </wp:positionV>
            <wp:extent cx="7143750" cy="41592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3750" cy="415925"/>
                    </a:xfrm>
                    <a:prstGeom prst="rect">
                      <a:avLst/>
                    </a:prstGeom>
                    <a:noFill/>
                  </pic:spPr>
                </pic:pic>
              </a:graphicData>
            </a:graphic>
          </wp:anchor>
        </w:drawing>
        <w:t>|</w:t>
      </w:r>
      <w:r>
        <w:rPr>
          <w:sz w:val="20"/>
          <w:szCs w:val="20"/>
          <w:color w:val="auto"/>
        </w:rPr>
        <w:tab/>
      </w:r>
      <w:r>
        <w:rPr>
          <w:rFonts w:ascii="Arial" w:cs="Arial" w:eastAsia="Arial" w:hAnsi="Arial"/>
          <w:sz w:val="16"/>
          <w:szCs w:val="16"/>
          <w:b w:val="1"/>
          <w:bCs w:val="1"/>
          <w:color w:val="FFFFFF"/>
        </w:rPr>
        <w:t>Earnings Release 3Q / 2023</w:t>
      </w:r>
      <w:r>
        <w:rPr>
          <w:sz w:val="20"/>
          <w:szCs w:val="20"/>
          <w:color w:val="auto"/>
        </w:rPr>
        <w:tab/>
      </w:r>
      <w:r>
        <w:rPr>
          <w:rFonts w:ascii="Arial" w:cs="Arial" w:eastAsia="Arial" w:hAnsi="Arial"/>
          <w:sz w:val="18"/>
          <w:szCs w:val="18"/>
          <w:b w:val="1"/>
          <w:bCs w:val="1"/>
          <w:color w:val="E93CAC"/>
        </w:rPr>
        <w:t>Analysis of 3Q23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175260</wp:posOffset>
            </wp:positionV>
            <wp:extent cx="7143750" cy="2038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3750" cy="203835"/>
                    </a:xfrm>
                    <a:prstGeom prst="rect">
                      <a:avLst/>
                    </a:prstGeom>
                    <a:noFill/>
                  </pic:spPr>
                </pic:pic>
              </a:graphicData>
            </a:graphic>
          </wp:anchor>
        </w:drawing>
      </w:r>
    </w:p>
    <w:p>
      <w:pPr>
        <w:spacing w:after="0" w:line="275" w:lineRule="exact"/>
        <w:rPr>
          <w:sz w:val="20"/>
          <w:szCs w:val="20"/>
          <w:color w:val="auto"/>
        </w:rPr>
      </w:pPr>
    </w:p>
    <w:p>
      <w:pPr>
        <w:ind w:left="41"/>
        <w:spacing w:after="0"/>
        <w:rPr>
          <w:sz w:val="20"/>
          <w:szCs w:val="20"/>
          <w:color w:val="auto"/>
        </w:rPr>
      </w:pPr>
      <w:r>
        <w:rPr>
          <w:rFonts w:ascii="Arial" w:cs="Arial" w:eastAsia="Arial" w:hAnsi="Arial"/>
          <w:sz w:val="20"/>
          <w:szCs w:val="20"/>
          <w:b w:val="1"/>
          <w:bCs w:val="1"/>
          <w:color w:val="FFFFFF"/>
        </w:rPr>
        <w:t>12. Appendix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1209040</wp:posOffset>
            </wp:positionH>
            <wp:positionV relativeFrom="paragraph">
              <wp:posOffset>155575</wp:posOffset>
            </wp:positionV>
            <wp:extent cx="4725670" cy="23787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725670" cy="2378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601" w:hanging="601"/>
        <w:spacing w:after="0"/>
        <w:tabs>
          <w:tab w:leader="none" w:pos="601" w:val="left"/>
        </w:tabs>
        <w:numPr>
          <w:ilvl w:val="0"/>
          <w:numId w:val="58"/>
        </w:numPr>
        <w:rPr>
          <w:rFonts w:ascii="Arial" w:cs="Arial" w:eastAsia="Arial" w:hAnsi="Arial"/>
          <w:sz w:val="16"/>
          <w:szCs w:val="16"/>
          <w:color w:val="auto"/>
        </w:rPr>
      </w:pPr>
      <w:r>
        <w:rPr>
          <w:rFonts w:ascii="Arial" w:cs="Arial" w:eastAsia="Arial" w:hAnsi="Arial"/>
          <w:sz w:val="16"/>
          <w:szCs w:val="16"/>
          <w:color w:val="auto"/>
        </w:rPr>
        <w:t>Funding Cost</w:t>
      </w:r>
    </w:p>
    <w:p>
      <w:pPr>
        <w:spacing w:after="0" w:line="187" w:lineRule="exact"/>
        <w:rPr>
          <w:sz w:val="20"/>
          <w:szCs w:val="20"/>
          <w:color w:val="auto"/>
        </w:rPr>
      </w:pPr>
    </w:p>
    <w:p>
      <w:pPr>
        <w:jc w:val="both"/>
        <w:ind w:left="1"/>
        <w:spacing w:after="0" w:line="247" w:lineRule="auto"/>
        <w:rPr>
          <w:sz w:val="20"/>
          <w:szCs w:val="20"/>
          <w:color w:val="auto"/>
        </w:rPr>
      </w:pPr>
      <w:r>
        <w:rPr>
          <w:rFonts w:ascii="Arial" w:cs="Arial" w:eastAsia="Arial" w:hAnsi="Arial"/>
          <w:sz w:val="16"/>
          <w:szCs w:val="16"/>
          <w:color w:val="auto"/>
        </w:rPr>
        <w:t>The Funding Cost indicator is being reformulated as follows: under IFRS 4, the numerator of the Funding Cost is comprised of the balance of the “Interest Expenses” account while under IFRS 17, we must adjust the formula given that Interest Expenses now include the concept of “Financial expense associated with insurance and reinsurance activity, net.” We seek to exclude the impact of this new concept on the Funding Cost given that this particular type of expense is not associated with a source of funding. As such, we adjust the numerator by deducting the “Financial Expense associated with insurance and reinsurance activity, net” from “Inter est Expenses “calculated under IFRS 17. It is important to note that as a result of this adjustment, the figure for the Funding Cost under IFRS is identical to the same figure under IFRS 17. The following figure is a graphic representation of the aforementioned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1263650</wp:posOffset>
            </wp:positionH>
            <wp:positionV relativeFrom="paragraph">
              <wp:posOffset>220980</wp:posOffset>
            </wp:positionV>
            <wp:extent cx="4624070" cy="25355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624070" cy="2535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43750" cy="1587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337" w:right="339" w:bottom="1440" w:gutter="0" w:footer="0" w:header="0"/>
        </w:sectPr>
      </w:pPr>
    </w:p>
    <w:bookmarkStart w:id="51" w:name="page52"/>
    <w:bookmarkEnd w:id="51"/>
    <w:p>
      <w:pPr>
        <w:ind w:left="2961"/>
        <w:spacing w:after="0"/>
        <w:tabs>
          <w:tab w:leader="none" w:pos="3141" w:val="left"/>
          <w:tab w:leader="none" w:pos="7701" w:val="left"/>
        </w:tabs>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202565</wp:posOffset>
            </wp:positionH>
            <wp:positionV relativeFrom="page">
              <wp:posOffset>88900</wp:posOffset>
            </wp:positionV>
            <wp:extent cx="7143750" cy="41592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3750" cy="415925"/>
                    </a:xfrm>
                    <a:prstGeom prst="rect">
                      <a:avLst/>
                    </a:prstGeom>
                    <a:noFill/>
                  </pic:spPr>
                </pic:pic>
              </a:graphicData>
            </a:graphic>
          </wp:anchor>
        </w:drawing>
        <w:t>|</w:t>
      </w:r>
      <w:r>
        <w:rPr>
          <w:sz w:val="20"/>
          <w:szCs w:val="20"/>
          <w:color w:val="auto"/>
        </w:rPr>
        <w:tab/>
      </w:r>
      <w:r>
        <w:rPr>
          <w:rFonts w:ascii="Arial" w:cs="Arial" w:eastAsia="Arial" w:hAnsi="Arial"/>
          <w:sz w:val="16"/>
          <w:szCs w:val="16"/>
          <w:b w:val="1"/>
          <w:bCs w:val="1"/>
          <w:color w:val="FFFFFF"/>
        </w:rPr>
        <w:t>Earnings Release 3Q / 2023</w:t>
      </w:r>
      <w:r>
        <w:rPr>
          <w:sz w:val="20"/>
          <w:szCs w:val="20"/>
          <w:color w:val="auto"/>
        </w:rPr>
        <w:tab/>
      </w:r>
      <w:r>
        <w:rPr>
          <w:rFonts w:ascii="Arial" w:cs="Arial" w:eastAsia="Arial" w:hAnsi="Arial"/>
          <w:sz w:val="18"/>
          <w:szCs w:val="18"/>
          <w:b w:val="1"/>
          <w:bCs w:val="1"/>
          <w:color w:val="E93CAC"/>
        </w:rPr>
        <w:t>Analysis of 3Q23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175260</wp:posOffset>
            </wp:positionV>
            <wp:extent cx="7143750" cy="2038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3750" cy="203835"/>
                    </a:xfrm>
                    <a:prstGeom prst="rect">
                      <a:avLst/>
                    </a:prstGeom>
                    <a:noFill/>
                  </pic:spPr>
                </pic:pic>
              </a:graphicData>
            </a:graphic>
          </wp:anchor>
        </w:drawing>
      </w:r>
    </w:p>
    <w:p>
      <w:pPr>
        <w:spacing w:after="0" w:line="275" w:lineRule="exact"/>
        <w:rPr>
          <w:sz w:val="20"/>
          <w:szCs w:val="20"/>
          <w:color w:val="auto"/>
        </w:rPr>
      </w:pPr>
    </w:p>
    <w:p>
      <w:pPr>
        <w:ind w:left="381" w:hanging="332"/>
        <w:spacing w:after="0"/>
        <w:tabs>
          <w:tab w:leader="none" w:pos="381" w:val="left"/>
        </w:tabs>
        <w:numPr>
          <w:ilvl w:val="1"/>
          <w:numId w:val="59"/>
        </w:numPr>
        <w:rPr>
          <w:rFonts w:ascii="Arial" w:cs="Arial" w:eastAsia="Arial" w:hAnsi="Arial"/>
          <w:sz w:val="20"/>
          <w:szCs w:val="20"/>
          <w:b w:val="1"/>
          <w:bCs w:val="1"/>
          <w:color w:val="FFFFFF"/>
        </w:rPr>
      </w:pPr>
      <w:r>
        <w:rPr>
          <w:rFonts w:ascii="Arial" w:cs="Arial" w:eastAsia="Arial" w:hAnsi="Arial"/>
          <w:sz w:val="20"/>
          <w:szCs w:val="20"/>
          <w:b w:val="1"/>
          <w:bCs w:val="1"/>
          <w:color w:val="FFFFFF"/>
        </w:rPr>
        <w:t>Appendix</w:t>
      </w:r>
    </w:p>
    <w:p>
      <w:pPr>
        <w:spacing w:after="0" w:line="256" w:lineRule="exact"/>
        <w:rPr>
          <w:rFonts w:ascii="Arial" w:cs="Arial" w:eastAsia="Arial" w:hAnsi="Arial"/>
          <w:sz w:val="20"/>
          <w:szCs w:val="20"/>
          <w:b w:val="1"/>
          <w:bCs w:val="1"/>
          <w:color w:val="FFFFFF"/>
        </w:rPr>
      </w:pPr>
    </w:p>
    <w:p>
      <w:pPr>
        <w:ind w:left="601" w:hanging="601"/>
        <w:spacing w:after="0"/>
        <w:tabs>
          <w:tab w:leader="none" w:pos="601" w:val="left"/>
        </w:tabs>
        <w:numPr>
          <w:ilvl w:val="0"/>
          <w:numId w:val="60"/>
        </w:numPr>
        <w:rPr>
          <w:rFonts w:ascii="Arial" w:cs="Arial" w:eastAsia="Arial" w:hAnsi="Arial"/>
          <w:sz w:val="16"/>
          <w:szCs w:val="16"/>
          <w:color w:val="auto"/>
        </w:rPr>
      </w:pPr>
      <w:r>
        <w:rPr>
          <w:rFonts w:ascii="Arial" w:cs="Arial" w:eastAsia="Arial" w:hAnsi="Arial"/>
          <w:sz w:val="16"/>
          <w:szCs w:val="16"/>
          <w:color w:val="auto"/>
        </w:rPr>
        <w:t>Efficiency Ratio</w:t>
      </w:r>
    </w:p>
    <w:p>
      <w:pPr>
        <w:spacing w:after="0" w:line="150" w:lineRule="exact"/>
        <w:rPr>
          <w:sz w:val="20"/>
          <w:szCs w:val="20"/>
          <w:color w:val="auto"/>
        </w:rPr>
      </w:pPr>
    </w:p>
    <w:p>
      <w:pPr>
        <w:ind w:left="1"/>
        <w:spacing w:after="0"/>
        <w:rPr>
          <w:sz w:val="20"/>
          <w:szCs w:val="20"/>
          <w:color w:val="auto"/>
        </w:rPr>
      </w:pPr>
      <w:r>
        <w:rPr>
          <w:rFonts w:ascii="Arial" w:cs="Arial" w:eastAsia="Arial" w:hAnsi="Arial"/>
          <w:sz w:val="16"/>
          <w:szCs w:val="16"/>
          <w:color w:val="auto"/>
        </w:rPr>
        <w:t>The Efficiency Ratio is being reformulated as follows:</w:t>
      </w:r>
    </w:p>
    <w:p>
      <w:pPr>
        <w:spacing w:after="0" w:line="175" w:lineRule="exact"/>
        <w:rPr>
          <w:sz w:val="20"/>
          <w:szCs w:val="20"/>
          <w:color w:val="auto"/>
        </w:rPr>
      </w:pPr>
    </w:p>
    <w:p>
      <w:pPr>
        <w:jc w:val="both"/>
        <w:ind w:left="1"/>
        <w:spacing w:after="0" w:line="248" w:lineRule="auto"/>
        <w:rPr>
          <w:sz w:val="20"/>
          <w:szCs w:val="20"/>
          <w:color w:val="auto"/>
        </w:rPr>
      </w:pPr>
      <w:r>
        <w:rPr>
          <w:rFonts w:ascii="Arial" w:cs="Arial" w:eastAsia="Arial" w:hAnsi="Arial"/>
          <w:sz w:val="16"/>
          <w:szCs w:val="16"/>
          <w:color w:val="auto"/>
        </w:rPr>
        <w:t>Under IFRS 4, the numerator of the Efficiency Ratio is comprised of the total of the “Salaries and Employee Benefits,” “Administrative Expenses,” “Depreciation and Amortization,” “Expenses for Participation in Association,” and the “Acquisition Cost” accounts. Collectively, these accounts constitute “Operating Expenses.” Under IFRS 17, we make an adjustment to the components of this group of “Operating Expenses” given that the “Acquisition Cost” no longer exists in the Profit and Loss Statement under IFRS 17. Consequently, under IFRS 17, the grouping of “Operating Expenses” is comprised solely of “Salaries and Employee Benefits,” “Administrative Expenses,” “Depreciation and Amortization,” and “Expenses for Participation in Association.” It is important to note that balances of these accounts under IFRS17 are not the same as the balances of the accounts with the same name under IFRS17.</w:t>
      </w:r>
    </w:p>
    <w:p>
      <w:pPr>
        <w:spacing w:after="0" w:line="108" w:lineRule="exact"/>
        <w:rPr>
          <w:sz w:val="20"/>
          <w:szCs w:val="20"/>
          <w:color w:val="auto"/>
        </w:rPr>
      </w:pPr>
    </w:p>
    <w:p>
      <w:pPr>
        <w:jc w:val="both"/>
        <w:ind w:left="1"/>
        <w:spacing w:after="0" w:line="250" w:lineRule="auto"/>
        <w:rPr>
          <w:sz w:val="20"/>
          <w:szCs w:val="20"/>
          <w:color w:val="auto"/>
        </w:rPr>
      </w:pPr>
      <w:r>
        <w:rPr>
          <w:rFonts w:ascii="Arial" w:cs="Arial" w:eastAsia="Arial" w:hAnsi="Arial"/>
          <w:sz w:val="16"/>
          <w:szCs w:val="16"/>
          <w:color w:val="auto"/>
        </w:rPr>
        <w:t>Under IFRS 4, the denominator of the Efficiency Ratio is comprised of the total of the accounts grouped as Core Operating Income (“Interest Income, net”, “Fee income, net,” and “Net gain on FX transactions”); the accounts grouped as Non-Core Operating Income (“Gain on Investments in Associates, “Gain on derivatives,” “Net gain on Exchange Differences); and the “Net Earned Premiums” account. Collectively, all of these accounts constitute “Operating Income.” Under IFRS 17, we are adjusting the components of the grouping for “Operating Income” to replace the component of “Net Earned Premiums” with the “Insurance Underwriting Result.”</w:t>
      </w:r>
    </w:p>
    <w:p>
      <w:pPr>
        <w:spacing w:after="0" w:line="93" w:lineRule="exact"/>
        <w:rPr>
          <w:sz w:val="20"/>
          <w:szCs w:val="20"/>
          <w:color w:val="auto"/>
        </w:rPr>
      </w:pPr>
    </w:p>
    <w:p>
      <w:pPr>
        <w:jc w:val="both"/>
        <w:ind w:left="1"/>
        <w:spacing w:after="0" w:line="252" w:lineRule="auto"/>
        <w:rPr>
          <w:sz w:val="20"/>
          <w:szCs w:val="20"/>
          <w:color w:val="auto"/>
        </w:rPr>
      </w:pPr>
      <w:r>
        <w:rPr>
          <w:rFonts w:ascii="Arial" w:cs="Arial" w:eastAsia="Arial" w:hAnsi="Arial"/>
          <w:sz w:val="16"/>
          <w:szCs w:val="16"/>
          <w:color w:val="auto"/>
        </w:rPr>
        <w:t>It is important to note that the result of replacing the “Net Earned Premiums “account with the “Insurance Underwriting Result” in the denominator of the efficiency ratio is in fact very significant (upward). The aforementioned is due to the fact that the balance of Insurance Technical results is usually materially lower than the balance of Net Earned Premiums as Insurance Technical results have embedded the impact of charges for Incurred Claims. Below, we present a graphic depiction of the aforementioned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98425</wp:posOffset>
            </wp:positionV>
            <wp:extent cx="5534660" cy="30143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534660" cy="3014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43750" cy="1587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337" w:right="339" w:bottom="1440" w:gutter="0" w:footer="0" w:header="0"/>
        </w:sectPr>
      </w:pPr>
    </w:p>
    <w:bookmarkStart w:id="52" w:name="page53"/>
    <w:bookmarkEnd w:id="52"/>
    <w:p>
      <w:pPr>
        <w:ind w:left="2960"/>
        <w:spacing w:after="0"/>
        <w:tabs>
          <w:tab w:leader="none" w:pos="3140" w:val="left"/>
          <w:tab w:leader="none" w:pos="7700" w:val="left"/>
        </w:tabs>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202565</wp:posOffset>
            </wp:positionH>
            <wp:positionV relativeFrom="page">
              <wp:posOffset>88900</wp:posOffset>
            </wp:positionV>
            <wp:extent cx="7143750" cy="41592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3750" cy="415925"/>
                    </a:xfrm>
                    <a:prstGeom prst="rect">
                      <a:avLst/>
                    </a:prstGeom>
                    <a:noFill/>
                  </pic:spPr>
                </pic:pic>
              </a:graphicData>
            </a:graphic>
          </wp:anchor>
        </w:drawing>
        <w:t>|</w:t>
      </w:r>
      <w:r>
        <w:rPr>
          <w:sz w:val="20"/>
          <w:szCs w:val="20"/>
          <w:color w:val="auto"/>
        </w:rPr>
        <w:tab/>
      </w:r>
      <w:r>
        <w:rPr>
          <w:rFonts w:ascii="Arial" w:cs="Arial" w:eastAsia="Arial" w:hAnsi="Arial"/>
          <w:sz w:val="16"/>
          <w:szCs w:val="16"/>
          <w:b w:val="1"/>
          <w:bCs w:val="1"/>
          <w:color w:val="FFFFFF"/>
        </w:rPr>
        <w:t>Earnings Release 3Q / 2023</w:t>
      </w:r>
      <w:r>
        <w:rPr>
          <w:sz w:val="20"/>
          <w:szCs w:val="20"/>
          <w:color w:val="auto"/>
        </w:rPr>
        <w:tab/>
      </w:r>
      <w:r>
        <w:rPr>
          <w:rFonts w:ascii="Arial" w:cs="Arial" w:eastAsia="Arial" w:hAnsi="Arial"/>
          <w:sz w:val="18"/>
          <w:szCs w:val="18"/>
          <w:b w:val="1"/>
          <w:bCs w:val="1"/>
          <w:color w:val="E93CAC"/>
        </w:rPr>
        <w:t>Analysis of 3Q23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175260</wp:posOffset>
            </wp:positionV>
            <wp:extent cx="7143750" cy="2038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3750" cy="203835"/>
                    </a:xfrm>
                    <a:prstGeom prst="rect">
                      <a:avLst/>
                    </a:prstGeom>
                    <a:noFill/>
                  </pic:spPr>
                </pic:pic>
              </a:graphicData>
            </a:graphic>
          </wp:anchor>
        </w:drawing>
      </w:r>
    </w:p>
    <w:p>
      <w:pPr>
        <w:spacing w:after="0" w:line="275"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FFFFFF"/>
        </w:rPr>
        <w:t>12. Appendix</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12.1.9. Glossary of Terms Under IFRS 17</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185"/>
        </w:trPr>
        <w:tc>
          <w:tcPr>
            <w:tcW w:w="3860" w:type="dxa"/>
            <w:vAlign w:val="bottom"/>
            <w:tcBorders>
              <w:top w:val="single" w:sz="8" w:color="auto"/>
              <w:left w:val="single" w:sz="8" w:color="auto"/>
              <w:right w:val="single" w:sz="8" w:color="auto"/>
            </w:tcBorders>
            <w:vMerge w:val="restart"/>
            <w:shd w:val="clear" w:color="auto" w:fill="808080"/>
          </w:tcPr>
          <w:p>
            <w:pPr>
              <w:jc w:val="center"/>
              <w:ind w:left="218"/>
              <w:spacing w:after="0"/>
              <w:rPr>
                <w:sz w:val="20"/>
                <w:szCs w:val="20"/>
                <w:color w:val="auto"/>
              </w:rPr>
            </w:pPr>
            <w:r>
              <w:rPr>
                <w:rFonts w:ascii="Arial" w:cs="Arial" w:eastAsia="Arial" w:hAnsi="Arial"/>
                <w:sz w:val="16"/>
                <w:szCs w:val="16"/>
                <w:color w:val="FFFFFF"/>
              </w:rPr>
              <w:t>Reserve for BEL (Best Estimate Liability) o</w:t>
            </w:r>
          </w:p>
        </w:tc>
        <w:tc>
          <w:tcPr>
            <w:tcW w:w="740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Represents the best estimate of the difference between payments for obligations (claims, income</w:t>
            </w:r>
          </w:p>
        </w:tc>
        <w:tc>
          <w:tcPr>
            <w:tcW w:w="0" w:type="dxa"/>
            <w:vAlign w:val="bottom"/>
          </w:tcPr>
          <w:p>
            <w:pPr>
              <w:spacing w:after="0"/>
              <w:rPr>
                <w:sz w:val="1"/>
                <w:szCs w:val="1"/>
                <w:color w:val="auto"/>
              </w:rPr>
            </w:pPr>
          </w:p>
        </w:tc>
      </w:tr>
      <w:tr>
        <w:trPr>
          <w:trHeight w:val="111"/>
        </w:trPr>
        <w:tc>
          <w:tcPr>
            <w:tcW w:w="3860" w:type="dxa"/>
            <w:vAlign w:val="bottom"/>
            <w:tcBorders>
              <w:left w:val="single" w:sz="8" w:color="auto"/>
              <w:right w:val="single" w:sz="8" w:color="auto"/>
            </w:tcBorders>
            <w:vMerge w:val="continue"/>
            <w:shd w:val="clear" w:color="auto" w:fill="808080"/>
          </w:tcPr>
          <w:p>
            <w:pPr>
              <w:spacing w:after="0"/>
              <w:rPr>
                <w:sz w:val="9"/>
                <w:szCs w:val="9"/>
                <w:color w:val="auto"/>
              </w:rPr>
            </w:pPr>
          </w:p>
        </w:tc>
        <w:tc>
          <w:tcPr>
            <w:tcW w:w="74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and expenses) and premiums, flowed and brought to present value at the time of valuation.</w:t>
            </w:r>
          </w:p>
        </w:tc>
        <w:tc>
          <w:tcPr>
            <w:tcW w:w="0" w:type="dxa"/>
            <w:vAlign w:val="bottom"/>
          </w:tcPr>
          <w:p>
            <w:pPr>
              <w:spacing w:after="0"/>
              <w:rPr>
                <w:sz w:val="1"/>
                <w:szCs w:val="1"/>
                <w:color w:val="auto"/>
              </w:rPr>
            </w:pPr>
          </w:p>
        </w:tc>
      </w:tr>
      <w:tr>
        <w:trPr>
          <w:trHeight w:val="98"/>
        </w:trPr>
        <w:tc>
          <w:tcPr>
            <w:tcW w:w="3860" w:type="dxa"/>
            <w:vAlign w:val="bottom"/>
            <w:tcBorders>
              <w:left w:val="single" w:sz="8" w:color="auto"/>
              <w:right w:val="single" w:sz="8" w:color="auto"/>
            </w:tcBorders>
            <w:vMerge w:val="restart"/>
            <w:shd w:val="clear" w:color="auto" w:fill="808080"/>
          </w:tcPr>
          <w:p>
            <w:pPr>
              <w:ind w:left="1240"/>
              <w:spacing w:after="0"/>
              <w:rPr>
                <w:sz w:val="20"/>
                <w:szCs w:val="20"/>
                <w:color w:val="auto"/>
              </w:rPr>
            </w:pPr>
            <w:r>
              <w:rPr>
                <w:rFonts w:ascii="Arial" w:cs="Arial" w:eastAsia="Arial" w:hAnsi="Arial"/>
                <w:sz w:val="16"/>
                <w:szCs w:val="16"/>
                <w:color w:val="FFFFFF"/>
              </w:rPr>
              <w:t>Fulfillment Cashflows.</w:t>
            </w:r>
          </w:p>
        </w:tc>
        <w:tc>
          <w:tcPr>
            <w:tcW w:w="74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3860" w:type="dxa"/>
            <w:vAlign w:val="bottom"/>
            <w:tcBorders>
              <w:left w:val="single" w:sz="8" w:color="auto"/>
              <w:bottom w:val="single" w:sz="8" w:color="auto"/>
              <w:right w:val="single" w:sz="8" w:color="auto"/>
            </w:tcBorders>
            <w:vMerge w:val="continue"/>
            <w:shd w:val="clear" w:color="auto" w:fill="808080"/>
          </w:tcPr>
          <w:p>
            <w:pPr>
              <w:spacing w:after="0"/>
              <w:rPr>
                <w:sz w:val="8"/>
                <w:szCs w:val="8"/>
                <w:color w:val="auto"/>
              </w:rPr>
            </w:pPr>
          </w:p>
        </w:tc>
        <w:tc>
          <w:tcPr>
            <w:tcW w:w="74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3860" w:type="dxa"/>
            <w:vAlign w:val="bottom"/>
            <w:tcBorders>
              <w:left w:val="single" w:sz="8" w:color="auto"/>
              <w:right w:val="single" w:sz="8" w:color="auto"/>
            </w:tcBorders>
            <w:vMerge w:val="restart"/>
            <w:shd w:val="clear" w:color="auto" w:fill="808080"/>
          </w:tcPr>
          <w:p>
            <w:pPr>
              <w:jc w:val="center"/>
              <w:spacing w:after="0"/>
              <w:rPr>
                <w:sz w:val="20"/>
                <w:szCs w:val="20"/>
                <w:color w:val="auto"/>
              </w:rPr>
            </w:pPr>
            <w:r>
              <w:rPr>
                <w:rFonts w:ascii="Arial" w:cs="Arial" w:eastAsia="Arial" w:hAnsi="Arial"/>
                <w:sz w:val="16"/>
                <w:szCs w:val="16"/>
                <w:color w:val="FFFFFF"/>
              </w:rPr>
              <w:t>Reserve for RA (risk Adjustment).</w:t>
            </w:r>
          </w:p>
        </w:tc>
        <w:tc>
          <w:tcPr>
            <w:tcW w:w="7400" w:type="dxa"/>
            <w:vAlign w:val="bottom"/>
            <w:tcBorders>
              <w:right w:val="single" w:sz="8" w:color="auto"/>
            </w:tcBorders>
          </w:tcPr>
          <w:p>
            <w:pPr>
              <w:ind w:left="80"/>
              <w:spacing w:after="0" w:line="165" w:lineRule="exact"/>
              <w:rPr>
                <w:sz w:val="20"/>
                <w:szCs w:val="20"/>
                <w:color w:val="auto"/>
              </w:rPr>
            </w:pPr>
            <w:r>
              <w:rPr>
                <w:rFonts w:ascii="Arial" w:cs="Arial" w:eastAsia="Arial" w:hAnsi="Arial"/>
                <w:sz w:val="16"/>
                <w:szCs w:val="16"/>
                <w:color w:val="auto"/>
              </w:rPr>
              <w:t>Represents the margin of prudence that will be used to cover deviations in the underwriting</w:t>
            </w:r>
          </w:p>
        </w:tc>
        <w:tc>
          <w:tcPr>
            <w:tcW w:w="0" w:type="dxa"/>
            <w:vAlign w:val="bottom"/>
          </w:tcPr>
          <w:p>
            <w:pPr>
              <w:spacing w:after="0"/>
              <w:rPr>
                <w:sz w:val="1"/>
                <w:szCs w:val="1"/>
                <w:color w:val="auto"/>
              </w:rPr>
            </w:pPr>
          </w:p>
        </w:tc>
      </w:tr>
      <w:tr>
        <w:trPr>
          <w:trHeight w:val="135"/>
        </w:trPr>
        <w:tc>
          <w:tcPr>
            <w:tcW w:w="3860" w:type="dxa"/>
            <w:vAlign w:val="bottom"/>
            <w:tcBorders>
              <w:left w:val="single" w:sz="8" w:color="auto"/>
              <w:right w:val="single" w:sz="8" w:color="auto"/>
            </w:tcBorders>
            <w:vMerge w:val="continue"/>
            <w:shd w:val="clear" w:color="auto" w:fill="808080"/>
          </w:tcPr>
          <w:p>
            <w:pPr>
              <w:spacing w:after="0"/>
              <w:rPr>
                <w:sz w:val="11"/>
                <w:szCs w:val="11"/>
                <w:color w:val="auto"/>
              </w:rPr>
            </w:pPr>
          </w:p>
        </w:tc>
        <w:tc>
          <w:tcPr>
            <w:tcW w:w="74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parameters beyond changes in the interest rate.</w:t>
            </w:r>
          </w:p>
        </w:tc>
        <w:tc>
          <w:tcPr>
            <w:tcW w:w="0" w:type="dxa"/>
            <w:vAlign w:val="bottom"/>
          </w:tcPr>
          <w:p>
            <w:pPr>
              <w:spacing w:after="0"/>
              <w:rPr>
                <w:sz w:val="1"/>
                <w:szCs w:val="1"/>
                <w:color w:val="auto"/>
              </w:rPr>
            </w:pPr>
          </w:p>
        </w:tc>
      </w:tr>
      <w:tr>
        <w:trPr>
          <w:trHeight w:val="63"/>
        </w:trPr>
        <w:tc>
          <w:tcPr>
            <w:tcW w:w="3860" w:type="dxa"/>
            <w:vAlign w:val="bottom"/>
            <w:tcBorders>
              <w:left w:val="single" w:sz="8" w:color="auto"/>
              <w:bottom w:val="single" w:sz="8" w:color="auto"/>
              <w:right w:val="single" w:sz="8" w:color="auto"/>
            </w:tcBorders>
            <w:shd w:val="clear" w:color="auto" w:fill="808080"/>
          </w:tcPr>
          <w:p>
            <w:pPr>
              <w:spacing w:after="0"/>
              <w:rPr>
                <w:sz w:val="5"/>
                <w:szCs w:val="5"/>
                <w:color w:val="auto"/>
              </w:rPr>
            </w:pPr>
          </w:p>
        </w:tc>
        <w:tc>
          <w:tcPr>
            <w:tcW w:w="740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3860" w:type="dxa"/>
            <w:vAlign w:val="bottom"/>
            <w:tcBorders>
              <w:left w:val="single" w:sz="8" w:color="auto"/>
              <w:right w:val="single" w:sz="8" w:color="auto"/>
            </w:tcBorders>
            <w:shd w:val="clear" w:color="auto" w:fill="808080"/>
          </w:tcPr>
          <w:p>
            <w:pPr>
              <w:jc w:val="center"/>
              <w:ind w:left="218"/>
              <w:spacing w:after="0" w:line="165" w:lineRule="exact"/>
              <w:rPr>
                <w:sz w:val="20"/>
                <w:szCs w:val="20"/>
                <w:color w:val="auto"/>
              </w:rPr>
            </w:pPr>
            <w:r>
              <w:rPr>
                <w:rFonts w:ascii="Arial" w:cs="Arial" w:eastAsia="Arial" w:hAnsi="Arial"/>
                <w:sz w:val="16"/>
                <w:szCs w:val="16"/>
                <w:color w:val="FFFFFF"/>
              </w:rPr>
              <w:t>Reserve for CSM (Contractual Service Margin).</w:t>
            </w:r>
          </w:p>
        </w:tc>
        <w:tc>
          <w:tcPr>
            <w:tcW w:w="7400" w:type="dxa"/>
            <w:vAlign w:val="bottom"/>
            <w:tcBorders>
              <w:right w:val="single" w:sz="8" w:color="auto"/>
            </w:tcBorders>
          </w:tcPr>
          <w:p>
            <w:pPr>
              <w:ind w:left="80"/>
              <w:spacing w:after="0" w:line="165" w:lineRule="exact"/>
              <w:rPr>
                <w:sz w:val="20"/>
                <w:szCs w:val="20"/>
                <w:color w:val="auto"/>
              </w:rPr>
            </w:pPr>
            <w:r>
              <w:rPr>
                <w:rFonts w:ascii="Arial" w:cs="Arial" w:eastAsia="Arial" w:hAnsi="Arial"/>
                <w:sz w:val="16"/>
                <w:szCs w:val="16"/>
                <w:color w:val="auto"/>
              </w:rPr>
              <w:t>Represents the present value of future underwriting income (non- financial). Income accrues over</w:t>
            </w:r>
          </w:p>
        </w:tc>
        <w:tc>
          <w:tcPr>
            <w:tcW w:w="0" w:type="dxa"/>
            <w:vAlign w:val="bottom"/>
          </w:tcPr>
          <w:p>
            <w:pPr>
              <w:spacing w:after="0"/>
              <w:rPr>
                <w:sz w:val="1"/>
                <w:szCs w:val="1"/>
                <w:color w:val="auto"/>
              </w:rPr>
            </w:pPr>
          </w:p>
        </w:tc>
      </w:tr>
      <w:tr>
        <w:trPr>
          <w:trHeight w:val="198"/>
        </w:trPr>
        <w:tc>
          <w:tcPr>
            <w:tcW w:w="3860" w:type="dxa"/>
            <w:vAlign w:val="bottom"/>
            <w:tcBorders>
              <w:left w:val="single" w:sz="8" w:color="auto"/>
              <w:bottom w:val="single" w:sz="8" w:color="auto"/>
              <w:right w:val="single" w:sz="8" w:color="auto"/>
            </w:tcBorders>
            <w:shd w:val="clear" w:color="auto" w:fill="808080"/>
          </w:tcPr>
          <w:p>
            <w:pPr>
              <w:spacing w:after="0"/>
              <w:rPr>
                <w:sz w:val="17"/>
                <w:szCs w:val="17"/>
                <w:color w:val="auto"/>
              </w:rPr>
            </w:pPr>
          </w:p>
        </w:tc>
        <w:tc>
          <w:tcPr>
            <w:tcW w:w="74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the life of the policy.</w:t>
            </w:r>
          </w:p>
        </w:tc>
        <w:tc>
          <w:tcPr>
            <w:tcW w:w="0" w:type="dxa"/>
            <w:vAlign w:val="bottom"/>
          </w:tcPr>
          <w:p>
            <w:pPr>
              <w:spacing w:after="0"/>
              <w:rPr>
                <w:sz w:val="1"/>
                <w:szCs w:val="1"/>
                <w:color w:val="auto"/>
              </w:rPr>
            </w:pPr>
          </w:p>
        </w:tc>
      </w:tr>
      <w:tr>
        <w:trPr>
          <w:trHeight w:val="165"/>
        </w:trPr>
        <w:tc>
          <w:tcPr>
            <w:tcW w:w="3860" w:type="dxa"/>
            <w:vAlign w:val="bottom"/>
            <w:tcBorders>
              <w:left w:val="single" w:sz="8" w:color="auto"/>
              <w:right w:val="single" w:sz="8" w:color="auto"/>
            </w:tcBorders>
            <w:vMerge w:val="restart"/>
            <w:shd w:val="clear" w:color="auto" w:fill="808080"/>
          </w:tcPr>
          <w:p>
            <w:pPr>
              <w:jc w:val="center"/>
              <w:spacing w:after="0"/>
              <w:rPr>
                <w:sz w:val="20"/>
                <w:szCs w:val="20"/>
                <w:color w:val="auto"/>
              </w:rPr>
            </w:pPr>
            <w:r>
              <w:rPr>
                <w:rFonts w:ascii="Arial" w:cs="Arial" w:eastAsia="Arial" w:hAnsi="Arial"/>
                <w:sz w:val="16"/>
                <w:szCs w:val="16"/>
                <w:color w:val="FFFFFF"/>
              </w:rPr>
              <w:t>Attributable Expenses</w:t>
            </w:r>
          </w:p>
        </w:tc>
        <w:tc>
          <w:tcPr>
            <w:tcW w:w="7400" w:type="dxa"/>
            <w:vAlign w:val="bottom"/>
            <w:tcBorders>
              <w:right w:val="single" w:sz="8" w:color="auto"/>
            </w:tcBorders>
          </w:tcPr>
          <w:p>
            <w:pPr>
              <w:ind w:left="80"/>
              <w:spacing w:after="0" w:line="165" w:lineRule="exact"/>
              <w:rPr>
                <w:sz w:val="20"/>
                <w:szCs w:val="20"/>
                <w:color w:val="auto"/>
              </w:rPr>
            </w:pPr>
            <w:r>
              <w:rPr>
                <w:rFonts w:ascii="Arial" w:cs="Arial" w:eastAsia="Arial" w:hAnsi="Arial"/>
                <w:sz w:val="16"/>
                <w:szCs w:val="16"/>
                <w:color w:val="auto"/>
              </w:rPr>
              <w:t>Corresponds to necessary expenses to place a policy or maintain the same throughout its term. It is</w:t>
            </w:r>
          </w:p>
        </w:tc>
        <w:tc>
          <w:tcPr>
            <w:tcW w:w="0" w:type="dxa"/>
            <w:vAlign w:val="bottom"/>
          </w:tcPr>
          <w:p>
            <w:pPr>
              <w:spacing w:after="0"/>
              <w:rPr>
                <w:sz w:val="1"/>
                <w:szCs w:val="1"/>
                <w:color w:val="auto"/>
              </w:rPr>
            </w:pPr>
          </w:p>
        </w:tc>
      </w:tr>
      <w:tr>
        <w:trPr>
          <w:trHeight w:val="135"/>
        </w:trPr>
        <w:tc>
          <w:tcPr>
            <w:tcW w:w="3860" w:type="dxa"/>
            <w:vAlign w:val="bottom"/>
            <w:tcBorders>
              <w:left w:val="single" w:sz="8" w:color="auto"/>
              <w:right w:val="single" w:sz="8" w:color="auto"/>
            </w:tcBorders>
            <w:vMerge w:val="continue"/>
            <w:shd w:val="clear" w:color="auto" w:fill="808080"/>
          </w:tcPr>
          <w:p>
            <w:pPr>
              <w:spacing w:after="0"/>
              <w:rPr>
                <w:sz w:val="11"/>
                <w:szCs w:val="11"/>
                <w:color w:val="auto"/>
              </w:rPr>
            </w:pPr>
          </w:p>
        </w:tc>
        <w:tc>
          <w:tcPr>
            <w:tcW w:w="74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part of insurance flows.</w:t>
            </w:r>
          </w:p>
        </w:tc>
        <w:tc>
          <w:tcPr>
            <w:tcW w:w="0" w:type="dxa"/>
            <w:vAlign w:val="bottom"/>
          </w:tcPr>
          <w:p>
            <w:pPr>
              <w:spacing w:after="0"/>
              <w:rPr>
                <w:sz w:val="1"/>
                <w:szCs w:val="1"/>
                <w:color w:val="auto"/>
              </w:rPr>
            </w:pPr>
          </w:p>
        </w:tc>
      </w:tr>
      <w:tr>
        <w:trPr>
          <w:trHeight w:val="63"/>
        </w:trPr>
        <w:tc>
          <w:tcPr>
            <w:tcW w:w="3860" w:type="dxa"/>
            <w:vAlign w:val="bottom"/>
            <w:tcBorders>
              <w:left w:val="single" w:sz="8" w:color="auto"/>
              <w:bottom w:val="single" w:sz="8" w:color="auto"/>
              <w:right w:val="single" w:sz="8" w:color="auto"/>
            </w:tcBorders>
            <w:shd w:val="clear" w:color="auto" w:fill="808080"/>
          </w:tcPr>
          <w:p>
            <w:pPr>
              <w:spacing w:after="0"/>
              <w:rPr>
                <w:sz w:val="5"/>
                <w:szCs w:val="5"/>
                <w:color w:val="auto"/>
              </w:rPr>
            </w:pPr>
          </w:p>
        </w:tc>
        <w:tc>
          <w:tcPr>
            <w:tcW w:w="740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3860" w:type="dxa"/>
            <w:vAlign w:val="bottom"/>
            <w:tcBorders>
              <w:left w:val="single" w:sz="8" w:color="auto"/>
              <w:right w:val="single" w:sz="8" w:color="auto"/>
            </w:tcBorders>
            <w:vMerge w:val="restart"/>
            <w:shd w:val="clear" w:color="auto" w:fill="808080"/>
          </w:tcPr>
          <w:p>
            <w:pPr>
              <w:jc w:val="center"/>
              <w:spacing w:after="0"/>
              <w:rPr>
                <w:sz w:val="20"/>
                <w:szCs w:val="20"/>
                <w:color w:val="auto"/>
              </w:rPr>
            </w:pPr>
            <w:r>
              <w:rPr>
                <w:rFonts w:ascii="Arial" w:cs="Arial" w:eastAsia="Arial" w:hAnsi="Arial"/>
                <w:sz w:val="16"/>
                <w:szCs w:val="16"/>
                <w:color w:val="FFFFFF"/>
              </w:rPr>
              <w:t>Financial Expense associated with the</w:t>
            </w:r>
          </w:p>
        </w:tc>
        <w:tc>
          <w:tcPr>
            <w:tcW w:w="7400" w:type="dxa"/>
            <w:vAlign w:val="bottom"/>
            <w:tcBorders>
              <w:right w:val="single" w:sz="8" w:color="auto"/>
            </w:tcBorders>
          </w:tcPr>
          <w:p>
            <w:pPr>
              <w:ind w:left="80"/>
              <w:spacing w:after="0" w:line="165" w:lineRule="exact"/>
              <w:rPr>
                <w:sz w:val="20"/>
                <w:szCs w:val="20"/>
                <w:color w:val="auto"/>
              </w:rPr>
            </w:pPr>
            <w:r>
              <w:rPr>
                <w:rFonts w:ascii="Arial" w:cs="Arial" w:eastAsia="Arial" w:hAnsi="Arial"/>
                <w:sz w:val="16"/>
                <w:szCs w:val="16"/>
                <w:color w:val="auto"/>
              </w:rPr>
              <w:t>Represents interest accredited to reserves in the period after updating their present value. This</w:t>
            </w:r>
          </w:p>
        </w:tc>
        <w:tc>
          <w:tcPr>
            <w:tcW w:w="0" w:type="dxa"/>
            <w:vAlign w:val="bottom"/>
          </w:tcPr>
          <w:p>
            <w:pPr>
              <w:spacing w:after="0"/>
              <w:rPr>
                <w:sz w:val="1"/>
                <w:szCs w:val="1"/>
                <w:color w:val="auto"/>
              </w:rPr>
            </w:pPr>
          </w:p>
        </w:tc>
      </w:tr>
      <w:tr>
        <w:trPr>
          <w:trHeight w:val="111"/>
        </w:trPr>
        <w:tc>
          <w:tcPr>
            <w:tcW w:w="3860" w:type="dxa"/>
            <w:vAlign w:val="bottom"/>
            <w:tcBorders>
              <w:left w:val="single" w:sz="8" w:color="auto"/>
              <w:right w:val="single" w:sz="8" w:color="auto"/>
            </w:tcBorders>
            <w:vMerge w:val="continue"/>
            <w:shd w:val="clear" w:color="auto" w:fill="808080"/>
          </w:tcPr>
          <w:p>
            <w:pPr>
              <w:spacing w:after="0"/>
              <w:rPr>
                <w:sz w:val="9"/>
                <w:szCs w:val="9"/>
                <w:color w:val="auto"/>
              </w:rPr>
            </w:pPr>
          </w:p>
        </w:tc>
        <w:tc>
          <w:tcPr>
            <w:tcW w:w="74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concept was previously included in reserves under IFRS 4. IFRS 17 separates the financial</w:t>
            </w:r>
          </w:p>
        </w:tc>
        <w:tc>
          <w:tcPr>
            <w:tcW w:w="0" w:type="dxa"/>
            <w:vAlign w:val="bottom"/>
          </w:tcPr>
          <w:p>
            <w:pPr>
              <w:spacing w:after="0"/>
              <w:rPr>
                <w:sz w:val="1"/>
                <w:szCs w:val="1"/>
                <w:color w:val="auto"/>
              </w:rPr>
            </w:pPr>
          </w:p>
        </w:tc>
      </w:tr>
      <w:tr>
        <w:trPr>
          <w:trHeight w:val="74"/>
        </w:trPr>
        <w:tc>
          <w:tcPr>
            <w:tcW w:w="3860" w:type="dxa"/>
            <w:vAlign w:val="bottom"/>
            <w:tcBorders>
              <w:left w:val="single" w:sz="8" w:color="auto"/>
              <w:right w:val="single" w:sz="8" w:color="auto"/>
            </w:tcBorders>
            <w:vMerge w:val="restart"/>
            <w:shd w:val="clear" w:color="auto" w:fill="808080"/>
          </w:tcPr>
          <w:p>
            <w:pPr>
              <w:jc w:val="center"/>
              <w:spacing w:after="0"/>
              <w:rPr>
                <w:sz w:val="20"/>
                <w:szCs w:val="20"/>
                <w:color w:val="auto"/>
              </w:rPr>
            </w:pPr>
            <w:r>
              <w:rPr>
                <w:rFonts w:ascii="Arial" w:cs="Arial" w:eastAsia="Arial" w:hAnsi="Arial"/>
                <w:sz w:val="16"/>
                <w:szCs w:val="16"/>
                <w:color w:val="FFFFFF"/>
              </w:rPr>
              <w:t>insurance and reinsurance activity, net</w:t>
            </w:r>
          </w:p>
        </w:tc>
        <w:tc>
          <w:tcPr>
            <w:tcW w:w="740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3860" w:type="dxa"/>
            <w:vAlign w:val="bottom"/>
            <w:tcBorders>
              <w:left w:val="single" w:sz="8" w:color="auto"/>
              <w:right w:val="single" w:sz="8" w:color="auto"/>
            </w:tcBorders>
            <w:vMerge w:val="continue"/>
            <w:shd w:val="clear" w:color="auto" w:fill="808080"/>
          </w:tcPr>
          <w:p>
            <w:pPr>
              <w:spacing w:after="0"/>
              <w:rPr>
                <w:sz w:val="11"/>
                <w:szCs w:val="11"/>
                <w:color w:val="auto"/>
              </w:rPr>
            </w:pPr>
          </w:p>
        </w:tc>
        <w:tc>
          <w:tcPr>
            <w:tcW w:w="74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component from the underwriting component.</w:t>
            </w:r>
          </w:p>
        </w:tc>
        <w:tc>
          <w:tcPr>
            <w:tcW w:w="0" w:type="dxa"/>
            <w:vAlign w:val="bottom"/>
          </w:tcPr>
          <w:p>
            <w:pPr>
              <w:spacing w:after="0"/>
              <w:rPr>
                <w:sz w:val="1"/>
                <w:szCs w:val="1"/>
                <w:color w:val="auto"/>
              </w:rPr>
            </w:pPr>
          </w:p>
        </w:tc>
      </w:tr>
      <w:tr>
        <w:trPr>
          <w:trHeight w:val="63"/>
        </w:trPr>
        <w:tc>
          <w:tcPr>
            <w:tcW w:w="3860" w:type="dxa"/>
            <w:vAlign w:val="bottom"/>
            <w:tcBorders>
              <w:left w:val="single" w:sz="8" w:color="auto"/>
              <w:bottom w:val="single" w:sz="8" w:color="auto"/>
              <w:right w:val="single" w:sz="8" w:color="auto"/>
            </w:tcBorders>
            <w:shd w:val="clear" w:color="auto" w:fill="808080"/>
          </w:tcPr>
          <w:p>
            <w:pPr>
              <w:spacing w:after="0"/>
              <w:rPr>
                <w:sz w:val="5"/>
                <w:szCs w:val="5"/>
                <w:color w:val="auto"/>
              </w:rPr>
            </w:pPr>
          </w:p>
        </w:tc>
        <w:tc>
          <w:tcPr>
            <w:tcW w:w="740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3860" w:type="dxa"/>
            <w:vAlign w:val="bottom"/>
            <w:tcBorders>
              <w:left w:val="single" w:sz="8" w:color="auto"/>
              <w:right w:val="single" w:sz="8" w:color="auto"/>
            </w:tcBorders>
            <w:vMerge w:val="restart"/>
            <w:shd w:val="clear" w:color="auto" w:fill="808080"/>
          </w:tcPr>
          <w:p>
            <w:pPr>
              <w:jc w:val="center"/>
              <w:spacing w:after="0"/>
              <w:rPr>
                <w:sz w:val="20"/>
                <w:szCs w:val="20"/>
                <w:color w:val="auto"/>
              </w:rPr>
            </w:pPr>
            <w:r>
              <w:rPr>
                <w:rFonts w:ascii="Arial" w:cs="Arial" w:eastAsia="Arial" w:hAnsi="Arial"/>
                <w:sz w:val="16"/>
                <w:szCs w:val="16"/>
                <w:color w:val="FFFFFF"/>
              </w:rPr>
              <w:t>Onerous Contracts</w:t>
            </w:r>
          </w:p>
        </w:tc>
        <w:tc>
          <w:tcPr>
            <w:tcW w:w="7400" w:type="dxa"/>
            <w:vAlign w:val="bottom"/>
            <w:tcBorders>
              <w:right w:val="single" w:sz="8" w:color="auto"/>
            </w:tcBorders>
          </w:tcPr>
          <w:p>
            <w:pPr>
              <w:ind w:left="80"/>
              <w:spacing w:after="0" w:line="165" w:lineRule="exact"/>
              <w:rPr>
                <w:sz w:val="20"/>
                <w:szCs w:val="20"/>
                <w:color w:val="auto"/>
              </w:rPr>
            </w:pPr>
            <w:r>
              <w:rPr>
                <w:rFonts w:ascii="Arial" w:cs="Arial" w:eastAsia="Arial" w:hAnsi="Arial"/>
                <w:sz w:val="16"/>
                <w:szCs w:val="16"/>
                <w:color w:val="auto"/>
              </w:rPr>
              <w:t>The contracts that the company estimates will generate underwriting losses (not including financial</w:t>
            </w:r>
          </w:p>
        </w:tc>
        <w:tc>
          <w:tcPr>
            <w:tcW w:w="0" w:type="dxa"/>
            <w:vAlign w:val="bottom"/>
          </w:tcPr>
          <w:p>
            <w:pPr>
              <w:spacing w:after="0"/>
              <w:rPr>
                <w:sz w:val="1"/>
                <w:szCs w:val="1"/>
                <w:color w:val="auto"/>
              </w:rPr>
            </w:pPr>
          </w:p>
        </w:tc>
      </w:tr>
      <w:tr>
        <w:trPr>
          <w:trHeight w:val="135"/>
        </w:trPr>
        <w:tc>
          <w:tcPr>
            <w:tcW w:w="3860" w:type="dxa"/>
            <w:vAlign w:val="bottom"/>
            <w:tcBorders>
              <w:left w:val="single" w:sz="8" w:color="auto"/>
              <w:right w:val="single" w:sz="8" w:color="auto"/>
            </w:tcBorders>
            <w:vMerge w:val="continue"/>
            <w:shd w:val="clear" w:color="auto" w:fill="808080"/>
          </w:tcPr>
          <w:p>
            <w:pPr>
              <w:spacing w:after="0"/>
              <w:rPr>
                <w:sz w:val="11"/>
                <w:szCs w:val="11"/>
                <w:color w:val="auto"/>
              </w:rPr>
            </w:pPr>
          </w:p>
        </w:tc>
        <w:tc>
          <w:tcPr>
            <w:tcW w:w="740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income) during the policy term.</w:t>
            </w:r>
          </w:p>
        </w:tc>
        <w:tc>
          <w:tcPr>
            <w:tcW w:w="0" w:type="dxa"/>
            <w:vAlign w:val="bottom"/>
          </w:tcPr>
          <w:p>
            <w:pPr>
              <w:spacing w:after="0"/>
              <w:rPr>
                <w:sz w:val="1"/>
                <w:szCs w:val="1"/>
                <w:color w:val="auto"/>
              </w:rPr>
            </w:pPr>
          </w:p>
        </w:tc>
      </w:tr>
      <w:tr>
        <w:trPr>
          <w:trHeight w:val="63"/>
        </w:trPr>
        <w:tc>
          <w:tcPr>
            <w:tcW w:w="3860" w:type="dxa"/>
            <w:vAlign w:val="bottom"/>
            <w:tcBorders>
              <w:left w:val="single" w:sz="8" w:color="auto"/>
              <w:bottom w:val="single" w:sz="8" w:color="auto"/>
              <w:right w:val="single" w:sz="8" w:color="auto"/>
            </w:tcBorders>
            <w:shd w:val="clear" w:color="auto" w:fill="808080"/>
          </w:tcPr>
          <w:p>
            <w:pPr>
              <w:spacing w:after="0"/>
              <w:rPr>
                <w:sz w:val="5"/>
                <w:szCs w:val="5"/>
                <w:color w:val="auto"/>
              </w:rPr>
            </w:pPr>
          </w:p>
        </w:tc>
        <w:tc>
          <w:tcPr>
            <w:tcW w:w="740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74"/>
        </w:trPr>
        <w:tc>
          <w:tcPr>
            <w:tcW w:w="3860" w:type="dxa"/>
            <w:vAlign w:val="bottom"/>
          </w:tcPr>
          <w:p>
            <w:pPr>
              <w:spacing w:after="0"/>
              <w:rPr>
                <w:sz w:val="20"/>
                <w:szCs w:val="20"/>
                <w:color w:val="auto"/>
              </w:rPr>
            </w:pPr>
            <w:r>
              <w:rPr>
                <w:rFonts w:ascii="Arial" w:cs="Arial" w:eastAsia="Arial" w:hAnsi="Arial"/>
                <w:sz w:val="16"/>
                <w:szCs w:val="16"/>
                <w:b w:val="1"/>
                <w:bCs w:val="1"/>
                <w:color w:val="auto"/>
              </w:rPr>
              <w:t>12.2.  Physical Point of contact</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tbl>
      <w:tblPr>
        <w:tblLayout w:type="fixed"/>
        <w:tblInd w:w="2250" w:type="dxa"/>
        <w:tblCellMar>
          <w:top w:w="0" w:type="dxa"/>
          <w:left w:w="0" w:type="dxa"/>
          <w:bottom w:w="0" w:type="dxa"/>
          <w:right w:w="0" w:type="dxa"/>
        </w:tblCellMar>
      </w:tblPr>
      <w:tr>
        <w:trPr>
          <w:trHeight w:val="193"/>
        </w:trPr>
        <w:tc>
          <w:tcPr>
            <w:tcW w:w="2220" w:type="dxa"/>
            <w:vAlign w:val="bottom"/>
            <w:tcBorders>
              <w:top w:val="single" w:sz="8" w:color="auto"/>
              <w:left w:val="single" w:sz="8" w:color="auto"/>
              <w:right w:val="single" w:sz="8" w:color="auto"/>
            </w:tcBorders>
            <w:shd w:val="clear" w:color="auto" w:fill="2AD2C8"/>
          </w:tcPr>
          <w:p>
            <w:pPr>
              <w:ind w:left="100"/>
              <w:spacing w:after="0"/>
              <w:rPr>
                <w:sz w:val="20"/>
                <w:szCs w:val="20"/>
                <w:color w:val="auto"/>
              </w:rPr>
            </w:pPr>
            <w:r>
              <w:rPr>
                <w:rFonts w:ascii="Arial" w:cs="Arial" w:eastAsia="Arial" w:hAnsi="Arial"/>
                <w:sz w:val="16"/>
                <w:szCs w:val="16"/>
                <w:b w:val="1"/>
                <w:bCs w:val="1"/>
                <w:color w:val="FFFFFF"/>
              </w:rPr>
              <w:t>Physical Point of Contact</w:t>
            </w:r>
          </w:p>
        </w:tc>
        <w:tc>
          <w:tcPr>
            <w:tcW w:w="880" w:type="dxa"/>
            <w:vAlign w:val="bottom"/>
            <w:tcBorders>
              <w:top w:val="single" w:sz="8" w:color="auto"/>
            </w:tcBorders>
            <w:shd w:val="clear" w:color="auto" w:fill="2AD2C8"/>
          </w:tcPr>
          <w:p>
            <w:pPr>
              <w:spacing w:after="0"/>
              <w:rPr>
                <w:sz w:val="16"/>
                <w:szCs w:val="16"/>
                <w:color w:val="auto"/>
              </w:rPr>
            </w:pPr>
          </w:p>
        </w:tc>
        <w:tc>
          <w:tcPr>
            <w:tcW w:w="1020" w:type="dxa"/>
            <w:vAlign w:val="bottom"/>
            <w:tcBorders>
              <w:top w:val="single" w:sz="8" w:color="auto"/>
            </w:tcBorders>
            <w:vMerge w:val="restart"/>
            <w:shd w:val="clear" w:color="auto" w:fill="2AD2C8"/>
          </w:tcPr>
          <w:p>
            <w:pPr>
              <w:jc w:val="center"/>
              <w:spacing w:after="0"/>
              <w:rPr>
                <w:sz w:val="20"/>
                <w:szCs w:val="20"/>
                <w:color w:val="auto"/>
              </w:rPr>
            </w:pPr>
            <w:r>
              <w:rPr>
                <w:rFonts w:ascii="Arial" w:cs="Arial" w:eastAsia="Arial" w:hAnsi="Arial"/>
                <w:sz w:val="16"/>
                <w:szCs w:val="16"/>
                <w:b w:val="1"/>
                <w:bCs w:val="1"/>
                <w:color w:val="FFFFFF"/>
                <w:w w:val="99"/>
              </w:rPr>
              <w:t>As of</w:t>
            </w:r>
          </w:p>
        </w:tc>
        <w:tc>
          <w:tcPr>
            <w:tcW w:w="1080" w:type="dxa"/>
            <w:vAlign w:val="bottom"/>
            <w:tcBorders>
              <w:top w:val="single" w:sz="8" w:color="auto"/>
              <w:right w:val="single" w:sz="8" w:color="auto"/>
            </w:tcBorders>
            <w:shd w:val="clear" w:color="auto" w:fill="2AD2C8"/>
          </w:tcPr>
          <w:p>
            <w:pPr>
              <w:spacing w:after="0"/>
              <w:rPr>
                <w:sz w:val="16"/>
                <w:szCs w:val="16"/>
                <w:color w:val="auto"/>
              </w:rPr>
            </w:pPr>
          </w:p>
        </w:tc>
        <w:tc>
          <w:tcPr>
            <w:tcW w:w="1560" w:type="dxa"/>
            <w:vAlign w:val="bottom"/>
            <w:tcBorders>
              <w:top w:val="single" w:sz="8" w:color="auto"/>
              <w:right w:val="single" w:sz="8" w:color="auto"/>
            </w:tcBorders>
            <w:gridSpan w:val="2"/>
            <w:shd w:val="clear" w:color="auto" w:fill="2AD2C8"/>
          </w:tcPr>
          <w:p>
            <w:pPr>
              <w:jc w:val="right"/>
              <w:ind w:right="138"/>
              <w:spacing w:after="0"/>
              <w:rPr>
                <w:sz w:val="20"/>
                <w:szCs w:val="20"/>
                <w:color w:val="auto"/>
              </w:rPr>
            </w:pPr>
            <w:r>
              <w:rPr>
                <w:rFonts w:ascii="Arial" w:cs="Arial" w:eastAsia="Arial" w:hAnsi="Arial"/>
                <w:sz w:val="16"/>
                <w:szCs w:val="16"/>
                <w:b w:val="1"/>
                <w:bCs w:val="1"/>
                <w:color w:val="FFFFFF"/>
              </w:rPr>
              <w:t>change (units)</w:t>
            </w:r>
          </w:p>
        </w:tc>
        <w:tc>
          <w:tcPr>
            <w:tcW w:w="0" w:type="dxa"/>
            <w:vAlign w:val="bottom"/>
          </w:tcPr>
          <w:p>
            <w:pPr>
              <w:spacing w:after="0"/>
              <w:rPr>
                <w:sz w:val="1"/>
                <w:szCs w:val="1"/>
                <w:color w:val="auto"/>
              </w:rPr>
            </w:pPr>
          </w:p>
        </w:tc>
      </w:tr>
      <w:tr>
        <w:trPr>
          <w:trHeight w:val="190"/>
        </w:trPr>
        <w:tc>
          <w:tcPr>
            <w:tcW w:w="2220" w:type="dxa"/>
            <w:vAlign w:val="bottom"/>
            <w:tcBorders>
              <w:left w:val="single" w:sz="8" w:color="auto"/>
              <w:right w:val="single" w:sz="8" w:color="auto"/>
            </w:tcBorders>
            <w:shd w:val="clear" w:color="auto" w:fill="2AD2C8"/>
          </w:tcPr>
          <w:p>
            <w:pPr>
              <w:ind w:left="100"/>
              <w:spacing w:after="0"/>
              <w:rPr>
                <w:sz w:val="20"/>
                <w:szCs w:val="20"/>
                <w:color w:val="auto"/>
              </w:rPr>
            </w:pPr>
            <w:r>
              <w:rPr>
                <w:rFonts w:ascii="Arial" w:cs="Arial" w:eastAsia="Arial" w:hAnsi="Arial"/>
                <w:sz w:val="14"/>
                <w:szCs w:val="14"/>
                <w:b w:val="1"/>
                <w:bCs w:val="1"/>
                <w:color w:val="FFFFFF"/>
              </w:rPr>
              <w:t>(1)</w:t>
            </w:r>
          </w:p>
        </w:tc>
        <w:tc>
          <w:tcPr>
            <w:tcW w:w="880" w:type="dxa"/>
            <w:vAlign w:val="bottom"/>
            <w:shd w:val="clear" w:color="auto" w:fill="2AD2C8"/>
          </w:tcPr>
          <w:p>
            <w:pPr>
              <w:spacing w:after="0"/>
              <w:rPr>
                <w:sz w:val="16"/>
                <w:szCs w:val="16"/>
                <w:color w:val="auto"/>
              </w:rPr>
            </w:pPr>
          </w:p>
        </w:tc>
        <w:tc>
          <w:tcPr>
            <w:tcW w:w="1020" w:type="dxa"/>
            <w:vAlign w:val="bottom"/>
            <w:vMerge w:val="continue"/>
            <w:shd w:val="clear" w:color="auto" w:fill="2AD2C8"/>
          </w:tcPr>
          <w:p>
            <w:pPr>
              <w:spacing w:after="0"/>
              <w:rPr>
                <w:sz w:val="16"/>
                <w:szCs w:val="16"/>
                <w:color w:val="auto"/>
              </w:rPr>
            </w:pPr>
          </w:p>
        </w:tc>
        <w:tc>
          <w:tcPr>
            <w:tcW w:w="1080" w:type="dxa"/>
            <w:vAlign w:val="bottom"/>
            <w:tcBorders>
              <w:right w:val="single" w:sz="8" w:color="auto"/>
            </w:tcBorders>
            <w:shd w:val="clear" w:color="auto" w:fill="2AD2C8"/>
          </w:tcPr>
          <w:p>
            <w:pPr>
              <w:spacing w:after="0"/>
              <w:rPr>
                <w:sz w:val="16"/>
                <w:szCs w:val="16"/>
                <w:color w:val="auto"/>
              </w:rPr>
            </w:pPr>
          </w:p>
        </w:tc>
        <w:tc>
          <w:tcPr>
            <w:tcW w:w="880" w:type="dxa"/>
            <w:vAlign w:val="bottom"/>
            <w:vMerge w:val="restart"/>
            <w:shd w:val="clear" w:color="auto" w:fill="2AD2C8"/>
          </w:tcPr>
          <w:p>
            <w:pPr>
              <w:jc w:val="right"/>
              <w:ind w:right="238"/>
              <w:spacing w:after="0"/>
              <w:rPr>
                <w:sz w:val="20"/>
                <w:szCs w:val="20"/>
                <w:color w:val="auto"/>
              </w:rPr>
            </w:pPr>
            <w:r>
              <w:rPr>
                <w:rFonts w:ascii="Arial" w:cs="Arial" w:eastAsia="Arial" w:hAnsi="Arial"/>
                <w:sz w:val="16"/>
                <w:szCs w:val="16"/>
                <w:b w:val="1"/>
                <w:bCs w:val="1"/>
                <w:color w:val="FFFFFF"/>
              </w:rPr>
              <w:t>QoQ</w:t>
            </w:r>
          </w:p>
        </w:tc>
        <w:tc>
          <w:tcPr>
            <w:tcW w:w="680" w:type="dxa"/>
            <w:vAlign w:val="bottom"/>
            <w:tcBorders>
              <w:right w:val="single" w:sz="8" w:color="auto"/>
            </w:tcBorders>
            <w:vMerge w:val="restart"/>
            <w:shd w:val="clear" w:color="auto" w:fill="2AD2C8"/>
          </w:tcPr>
          <w:p>
            <w:pPr>
              <w:jc w:val="right"/>
              <w:ind w:right="178"/>
              <w:spacing w:after="0"/>
              <w:rPr>
                <w:sz w:val="20"/>
                <w:szCs w:val="20"/>
                <w:color w:val="auto"/>
              </w:rPr>
            </w:pPr>
            <w:r>
              <w:rPr>
                <w:rFonts w:ascii="Arial" w:cs="Arial" w:eastAsia="Arial" w:hAnsi="Arial"/>
                <w:sz w:val="16"/>
                <w:szCs w:val="16"/>
                <w:b w:val="1"/>
                <w:bCs w:val="1"/>
                <w:color w:val="FFFFFF"/>
              </w:rPr>
              <w:t>YoY</w:t>
            </w:r>
          </w:p>
        </w:tc>
        <w:tc>
          <w:tcPr>
            <w:tcW w:w="0" w:type="dxa"/>
            <w:vAlign w:val="bottom"/>
          </w:tcPr>
          <w:p>
            <w:pPr>
              <w:spacing w:after="0"/>
              <w:rPr>
                <w:sz w:val="1"/>
                <w:szCs w:val="1"/>
                <w:color w:val="auto"/>
              </w:rPr>
            </w:pPr>
          </w:p>
        </w:tc>
      </w:tr>
      <w:tr>
        <w:trPr>
          <w:trHeight w:val="134"/>
        </w:trPr>
        <w:tc>
          <w:tcPr>
            <w:tcW w:w="2220" w:type="dxa"/>
            <w:vAlign w:val="bottom"/>
            <w:tcBorders>
              <w:left w:val="single" w:sz="8" w:color="auto"/>
              <w:right w:val="single" w:sz="8" w:color="auto"/>
            </w:tcBorders>
            <w:vMerge w:val="restart"/>
            <w:shd w:val="clear" w:color="auto" w:fill="2AD2C8"/>
          </w:tcPr>
          <w:p>
            <w:pPr>
              <w:ind w:left="100"/>
              <w:spacing w:after="0"/>
              <w:rPr>
                <w:sz w:val="20"/>
                <w:szCs w:val="20"/>
                <w:color w:val="auto"/>
              </w:rPr>
            </w:pPr>
            <w:r>
              <w:rPr>
                <w:rFonts w:ascii="Arial" w:cs="Arial" w:eastAsia="Arial" w:hAnsi="Arial"/>
                <w:sz w:val="16"/>
                <w:szCs w:val="16"/>
                <w:b w:val="1"/>
                <w:bCs w:val="1"/>
                <w:color w:val="FFFFFF"/>
              </w:rPr>
              <w:t>(Units)</w:t>
            </w:r>
          </w:p>
        </w:tc>
        <w:tc>
          <w:tcPr>
            <w:tcW w:w="880" w:type="dxa"/>
            <w:vAlign w:val="bottom"/>
            <w:vMerge w:val="restart"/>
            <w:shd w:val="clear" w:color="auto" w:fill="2AD2C8"/>
          </w:tcPr>
          <w:p>
            <w:pPr>
              <w:ind w:left="140"/>
              <w:spacing w:after="0"/>
              <w:rPr>
                <w:sz w:val="20"/>
                <w:szCs w:val="20"/>
                <w:color w:val="auto"/>
              </w:rPr>
            </w:pPr>
            <w:r>
              <w:rPr>
                <w:rFonts w:ascii="Arial" w:cs="Arial" w:eastAsia="Arial" w:hAnsi="Arial"/>
                <w:sz w:val="16"/>
                <w:szCs w:val="16"/>
                <w:b w:val="1"/>
                <w:bCs w:val="1"/>
                <w:color w:val="FFFFFF"/>
              </w:rPr>
              <w:t>Sep 22</w:t>
            </w:r>
          </w:p>
        </w:tc>
        <w:tc>
          <w:tcPr>
            <w:tcW w:w="1020" w:type="dxa"/>
            <w:vAlign w:val="bottom"/>
            <w:vMerge w:val="restart"/>
            <w:shd w:val="clear" w:color="auto" w:fill="2AD2C8"/>
          </w:tcPr>
          <w:p>
            <w:pPr>
              <w:jc w:val="center"/>
              <w:spacing w:after="0"/>
              <w:rPr>
                <w:sz w:val="20"/>
                <w:szCs w:val="20"/>
                <w:color w:val="auto"/>
              </w:rPr>
            </w:pPr>
            <w:r>
              <w:rPr>
                <w:rFonts w:ascii="Arial" w:cs="Arial" w:eastAsia="Arial" w:hAnsi="Arial"/>
                <w:sz w:val="16"/>
                <w:szCs w:val="16"/>
                <w:b w:val="1"/>
                <w:bCs w:val="1"/>
                <w:color w:val="FFFFFF"/>
              </w:rPr>
              <w:t>Jun 23</w:t>
            </w:r>
          </w:p>
        </w:tc>
        <w:tc>
          <w:tcPr>
            <w:tcW w:w="1080" w:type="dxa"/>
            <w:vAlign w:val="bottom"/>
            <w:tcBorders>
              <w:right w:val="single" w:sz="8" w:color="auto"/>
            </w:tcBorders>
            <w:vMerge w:val="restart"/>
            <w:shd w:val="clear" w:color="auto" w:fill="2AD2C8"/>
          </w:tcPr>
          <w:p>
            <w:pPr>
              <w:ind w:left="260"/>
              <w:spacing w:after="0"/>
              <w:rPr>
                <w:sz w:val="20"/>
                <w:szCs w:val="20"/>
                <w:color w:val="auto"/>
              </w:rPr>
            </w:pPr>
            <w:r>
              <w:rPr>
                <w:rFonts w:ascii="Arial" w:cs="Arial" w:eastAsia="Arial" w:hAnsi="Arial"/>
                <w:sz w:val="16"/>
                <w:szCs w:val="16"/>
                <w:b w:val="1"/>
                <w:bCs w:val="1"/>
                <w:color w:val="FFFFFF"/>
              </w:rPr>
              <w:t>Sep 23</w:t>
            </w:r>
          </w:p>
        </w:tc>
        <w:tc>
          <w:tcPr>
            <w:tcW w:w="880" w:type="dxa"/>
            <w:vAlign w:val="bottom"/>
            <w:vMerge w:val="continue"/>
            <w:shd w:val="clear" w:color="auto" w:fill="2AD2C8"/>
          </w:tcPr>
          <w:p>
            <w:pPr>
              <w:spacing w:after="0"/>
              <w:rPr>
                <w:sz w:val="11"/>
                <w:szCs w:val="11"/>
                <w:color w:val="auto"/>
              </w:rPr>
            </w:pPr>
          </w:p>
        </w:tc>
        <w:tc>
          <w:tcPr>
            <w:tcW w:w="680" w:type="dxa"/>
            <w:vAlign w:val="bottom"/>
            <w:tcBorders>
              <w:right w:val="single" w:sz="8" w:color="auto"/>
            </w:tcBorders>
            <w:vMerge w:val="continue"/>
            <w:shd w:val="clear" w:color="auto" w:fill="2AD2C8"/>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220" w:type="dxa"/>
            <w:vAlign w:val="bottom"/>
            <w:tcBorders>
              <w:left w:val="single" w:sz="8" w:color="auto"/>
              <w:bottom w:val="single" w:sz="8" w:color="auto"/>
              <w:right w:val="single" w:sz="8" w:color="auto"/>
            </w:tcBorders>
            <w:vMerge w:val="continue"/>
            <w:shd w:val="clear" w:color="auto" w:fill="2AD2C8"/>
          </w:tcPr>
          <w:p>
            <w:pPr>
              <w:spacing w:after="0"/>
              <w:rPr>
                <w:sz w:val="6"/>
                <w:szCs w:val="6"/>
                <w:color w:val="auto"/>
              </w:rPr>
            </w:pPr>
          </w:p>
        </w:tc>
        <w:tc>
          <w:tcPr>
            <w:tcW w:w="880" w:type="dxa"/>
            <w:vAlign w:val="bottom"/>
            <w:tcBorders>
              <w:bottom w:val="single" w:sz="8" w:color="auto"/>
            </w:tcBorders>
            <w:vMerge w:val="continue"/>
            <w:shd w:val="clear" w:color="auto" w:fill="2AD2C8"/>
          </w:tcPr>
          <w:p>
            <w:pPr>
              <w:spacing w:after="0"/>
              <w:rPr>
                <w:sz w:val="6"/>
                <w:szCs w:val="6"/>
                <w:color w:val="auto"/>
              </w:rPr>
            </w:pPr>
          </w:p>
        </w:tc>
        <w:tc>
          <w:tcPr>
            <w:tcW w:w="1020" w:type="dxa"/>
            <w:vAlign w:val="bottom"/>
            <w:tcBorders>
              <w:bottom w:val="single" w:sz="8" w:color="auto"/>
            </w:tcBorders>
            <w:vMerge w:val="continue"/>
            <w:shd w:val="clear" w:color="auto" w:fill="2AD2C8"/>
          </w:tcPr>
          <w:p>
            <w:pPr>
              <w:spacing w:after="0"/>
              <w:rPr>
                <w:sz w:val="6"/>
                <w:szCs w:val="6"/>
                <w:color w:val="auto"/>
              </w:rPr>
            </w:pPr>
          </w:p>
        </w:tc>
        <w:tc>
          <w:tcPr>
            <w:tcW w:w="1080" w:type="dxa"/>
            <w:vAlign w:val="bottom"/>
            <w:tcBorders>
              <w:bottom w:val="single" w:sz="8" w:color="auto"/>
              <w:right w:val="single" w:sz="8" w:color="auto"/>
            </w:tcBorders>
            <w:vMerge w:val="continue"/>
            <w:shd w:val="clear" w:color="auto" w:fill="2AD2C8"/>
          </w:tcPr>
          <w:p>
            <w:pPr>
              <w:spacing w:after="0"/>
              <w:rPr>
                <w:sz w:val="6"/>
                <w:szCs w:val="6"/>
                <w:color w:val="auto"/>
              </w:rPr>
            </w:pPr>
          </w:p>
        </w:tc>
        <w:tc>
          <w:tcPr>
            <w:tcW w:w="880" w:type="dxa"/>
            <w:vAlign w:val="bottom"/>
            <w:tcBorders>
              <w:bottom w:val="single" w:sz="8" w:color="auto"/>
            </w:tcBorders>
            <w:shd w:val="clear" w:color="auto" w:fill="2AD2C8"/>
          </w:tcPr>
          <w:p>
            <w:pPr>
              <w:spacing w:after="0"/>
              <w:rPr>
                <w:sz w:val="6"/>
                <w:szCs w:val="6"/>
                <w:color w:val="auto"/>
              </w:rPr>
            </w:pPr>
          </w:p>
        </w:tc>
        <w:tc>
          <w:tcPr>
            <w:tcW w:w="680" w:type="dxa"/>
            <w:vAlign w:val="bottom"/>
            <w:tcBorders>
              <w:bottom w:val="single" w:sz="8" w:color="auto"/>
              <w:right w:val="single" w:sz="8" w:color="auto"/>
            </w:tcBorders>
            <w:shd w:val="clear" w:color="auto" w:fill="2AD2C8"/>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2220" w:type="dxa"/>
            <w:vAlign w:val="bottom"/>
            <w:tcBorders>
              <w:left w:val="single" w:sz="8" w:color="auto"/>
              <w:right w:val="single" w:sz="8" w:color="auto"/>
            </w:tcBorders>
          </w:tcPr>
          <w:p>
            <w:pPr>
              <w:ind w:left="100"/>
              <w:spacing w:after="0" w:line="178" w:lineRule="exact"/>
              <w:rPr>
                <w:sz w:val="20"/>
                <w:szCs w:val="20"/>
                <w:color w:val="auto"/>
              </w:rPr>
            </w:pPr>
            <w:r>
              <w:rPr>
                <w:rFonts w:ascii="Arial" w:cs="Arial" w:eastAsia="Arial" w:hAnsi="Arial"/>
                <w:sz w:val="16"/>
                <w:szCs w:val="16"/>
                <w:color w:val="auto"/>
              </w:rPr>
              <w:t>Branches</w:t>
            </w:r>
          </w:p>
        </w:tc>
        <w:tc>
          <w:tcPr>
            <w:tcW w:w="880" w:type="dxa"/>
            <w:vAlign w:val="bottom"/>
          </w:tcPr>
          <w:p>
            <w:pPr>
              <w:jc w:val="center"/>
              <w:spacing w:after="0" w:line="178" w:lineRule="exact"/>
              <w:rPr>
                <w:sz w:val="20"/>
                <w:szCs w:val="20"/>
                <w:color w:val="auto"/>
              </w:rPr>
            </w:pPr>
            <w:r>
              <w:rPr>
                <w:rFonts w:ascii="Arial" w:cs="Arial" w:eastAsia="Arial" w:hAnsi="Arial"/>
                <w:sz w:val="16"/>
                <w:szCs w:val="16"/>
                <w:color w:val="auto"/>
              </w:rPr>
              <w:t>681</w:t>
            </w:r>
          </w:p>
        </w:tc>
        <w:tc>
          <w:tcPr>
            <w:tcW w:w="1020" w:type="dxa"/>
            <w:vAlign w:val="bottom"/>
          </w:tcPr>
          <w:p>
            <w:pPr>
              <w:jc w:val="center"/>
              <w:spacing w:after="0" w:line="178" w:lineRule="exact"/>
              <w:rPr>
                <w:sz w:val="20"/>
                <w:szCs w:val="20"/>
                <w:color w:val="auto"/>
              </w:rPr>
            </w:pPr>
            <w:r>
              <w:rPr>
                <w:rFonts w:ascii="Arial" w:cs="Arial" w:eastAsia="Arial" w:hAnsi="Arial"/>
                <w:sz w:val="16"/>
                <w:szCs w:val="16"/>
                <w:color w:val="auto"/>
              </w:rPr>
              <w:t>665</w:t>
            </w:r>
          </w:p>
        </w:tc>
        <w:tc>
          <w:tcPr>
            <w:tcW w:w="108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6"/>
                <w:szCs w:val="16"/>
                <w:color w:val="auto"/>
              </w:rPr>
              <w:t>661</w:t>
            </w:r>
          </w:p>
        </w:tc>
        <w:tc>
          <w:tcPr>
            <w:tcW w:w="880" w:type="dxa"/>
            <w:vAlign w:val="bottom"/>
          </w:tcPr>
          <w:p>
            <w:pPr>
              <w:jc w:val="right"/>
              <w:ind w:right="38"/>
              <w:spacing w:after="0" w:line="178" w:lineRule="exact"/>
              <w:rPr>
                <w:sz w:val="20"/>
                <w:szCs w:val="20"/>
                <w:color w:val="auto"/>
              </w:rPr>
            </w:pPr>
            <w:r>
              <w:rPr>
                <w:rFonts w:ascii="Arial" w:cs="Arial" w:eastAsia="Arial" w:hAnsi="Arial"/>
                <w:sz w:val="16"/>
                <w:szCs w:val="16"/>
                <w:color w:val="auto"/>
              </w:rPr>
              <w:t>(4)</w:t>
            </w:r>
          </w:p>
        </w:tc>
        <w:tc>
          <w:tcPr>
            <w:tcW w:w="680" w:type="dxa"/>
            <w:vAlign w:val="bottom"/>
            <w:tcBorders>
              <w:right w:val="single" w:sz="8" w:color="auto"/>
            </w:tcBorders>
          </w:tcPr>
          <w:p>
            <w:pPr>
              <w:jc w:val="right"/>
              <w:spacing w:after="0" w:line="178" w:lineRule="exact"/>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88"/>
        </w:trPr>
        <w:tc>
          <w:tcPr>
            <w:tcW w:w="222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ATMs</w:t>
            </w:r>
          </w:p>
        </w:tc>
        <w:tc>
          <w:tcPr>
            <w:tcW w:w="880" w:type="dxa"/>
            <w:vAlign w:val="bottom"/>
          </w:tcPr>
          <w:p>
            <w:pPr>
              <w:jc w:val="center"/>
              <w:spacing w:after="0"/>
              <w:rPr>
                <w:sz w:val="20"/>
                <w:szCs w:val="20"/>
                <w:color w:val="auto"/>
              </w:rPr>
            </w:pPr>
            <w:r>
              <w:rPr>
                <w:rFonts w:ascii="Arial" w:cs="Arial" w:eastAsia="Arial" w:hAnsi="Arial"/>
                <w:sz w:val="16"/>
                <w:szCs w:val="16"/>
                <w:color w:val="auto"/>
              </w:rPr>
              <w:t>2,598</w:t>
            </w:r>
          </w:p>
        </w:tc>
        <w:tc>
          <w:tcPr>
            <w:tcW w:w="1020" w:type="dxa"/>
            <w:vAlign w:val="bottom"/>
          </w:tcPr>
          <w:p>
            <w:pPr>
              <w:jc w:val="center"/>
              <w:spacing w:after="0"/>
              <w:rPr>
                <w:sz w:val="20"/>
                <w:szCs w:val="20"/>
                <w:color w:val="auto"/>
              </w:rPr>
            </w:pPr>
            <w:r>
              <w:rPr>
                <w:rFonts w:ascii="Arial" w:cs="Arial" w:eastAsia="Arial" w:hAnsi="Arial"/>
                <w:sz w:val="16"/>
                <w:szCs w:val="16"/>
                <w:color w:val="auto"/>
              </w:rPr>
              <w:t>2,663</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2,677</w:t>
            </w:r>
          </w:p>
        </w:tc>
        <w:tc>
          <w:tcPr>
            <w:tcW w:w="880" w:type="dxa"/>
            <w:vAlign w:val="bottom"/>
          </w:tcPr>
          <w:p>
            <w:pPr>
              <w:jc w:val="right"/>
              <w:ind w:right="38"/>
              <w:spacing w:after="0"/>
              <w:rPr>
                <w:sz w:val="20"/>
                <w:szCs w:val="20"/>
                <w:color w:val="auto"/>
              </w:rPr>
            </w:pPr>
            <w:r>
              <w:rPr>
                <w:rFonts w:ascii="Arial" w:cs="Arial" w:eastAsia="Arial" w:hAnsi="Arial"/>
                <w:sz w:val="16"/>
                <w:szCs w:val="16"/>
                <w:color w:val="auto"/>
              </w:rPr>
              <w:t>14</w:t>
            </w: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08"/>
        </w:trPr>
        <w:tc>
          <w:tcPr>
            <w:tcW w:w="2220" w:type="dxa"/>
            <w:vAlign w:val="bottom"/>
            <w:tcBorders>
              <w:left w:val="single" w:sz="8" w:color="auto"/>
              <w:bottom w:val="single" w:sz="8" w:color="auto"/>
              <w:right w:val="single" w:sz="8" w:color="auto"/>
            </w:tcBorders>
          </w:tcPr>
          <w:p>
            <w:pPr>
              <w:ind w:left="100"/>
              <w:spacing w:after="0" w:line="209" w:lineRule="exact"/>
              <w:rPr>
                <w:sz w:val="20"/>
                <w:szCs w:val="20"/>
                <w:color w:val="auto"/>
              </w:rPr>
            </w:pPr>
            <w:r>
              <w:rPr>
                <w:rFonts w:ascii="Arial" w:cs="Arial" w:eastAsia="Arial" w:hAnsi="Arial"/>
                <w:sz w:val="15"/>
                <w:szCs w:val="15"/>
                <w:color w:val="auto"/>
              </w:rPr>
              <w:t xml:space="preserve">Agents </w:t>
            </w:r>
            <w:r>
              <w:rPr>
                <w:rFonts w:ascii="Arial" w:cs="Arial" w:eastAsia="Arial" w:hAnsi="Arial"/>
                <w:sz w:val="24"/>
                <w:szCs w:val="24"/>
                <w:color w:val="auto"/>
                <w:vertAlign w:val="superscript"/>
              </w:rPr>
              <w:t>(2)</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10,525</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11,570</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11,452</w:t>
            </w:r>
          </w:p>
        </w:tc>
        <w:tc>
          <w:tcPr>
            <w:tcW w:w="88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(118)</w:t>
            </w:r>
          </w:p>
        </w:tc>
        <w:tc>
          <w:tcPr>
            <w:tcW w:w="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927</w:t>
            </w:r>
          </w:p>
        </w:tc>
        <w:tc>
          <w:tcPr>
            <w:tcW w:w="0" w:type="dxa"/>
            <w:vAlign w:val="bottom"/>
          </w:tcPr>
          <w:p>
            <w:pPr>
              <w:spacing w:after="0"/>
              <w:rPr>
                <w:sz w:val="1"/>
                <w:szCs w:val="1"/>
                <w:color w:val="auto"/>
              </w:rPr>
            </w:pPr>
          </w:p>
        </w:tc>
      </w:tr>
      <w:tr>
        <w:trPr>
          <w:trHeight w:val="190"/>
        </w:trPr>
        <w:tc>
          <w:tcPr>
            <w:tcW w:w="22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6"/>
                <w:szCs w:val="16"/>
                <w:b w:val="1"/>
                <w:bCs w:val="1"/>
                <w:color w:val="auto"/>
              </w:rPr>
              <w:t>Total</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13,804</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14,898</w:t>
            </w:r>
          </w:p>
        </w:tc>
        <w:tc>
          <w:tcPr>
            <w:tcW w:w="1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14,790</w:t>
            </w:r>
          </w:p>
        </w:tc>
        <w:tc>
          <w:tcPr>
            <w:tcW w:w="88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b w:val="1"/>
                <w:bCs w:val="1"/>
                <w:color w:val="auto"/>
              </w:rPr>
              <w:t>(108)</w:t>
            </w:r>
          </w:p>
        </w:tc>
        <w:tc>
          <w:tcPr>
            <w:tcW w:w="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986</w:t>
            </w:r>
          </w:p>
        </w:tc>
        <w:tc>
          <w:tcPr>
            <w:tcW w:w="0" w:type="dxa"/>
            <w:vAlign w:val="bottom"/>
          </w:tcPr>
          <w:p>
            <w:pPr>
              <w:spacing w:after="0"/>
              <w:rPr>
                <w:sz w:val="1"/>
                <w:szCs w:val="1"/>
                <w:color w:val="auto"/>
              </w:rPr>
            </w:pPr>
          </w:p>
        </w:tc>
      </w:tr>
    </w:tbl>
    <w:p>
      <w:pPr>
        <w:ind w:left="2400" w:hanging="151"/>
        <w:spacing w:after="0"/>
        <w:tabs>
          <w:tab w:leader="none" w:pos="2400" w:val="left"/>
        </w:tabs>
        <w:numPr>
          <w:ilvl w:val="0"/>
          <w:numId w:val="61"/>
        </w:numPr>
        <w:rPr>
          <w:rFonts w:ascii="Arial" w:cs="Arial" w:eastAsia="Arial" w:hAnsi="Arial"/>
          <w:sz w:val="11"/>
          <w:szCs w:val="11"/>
          <w:color w:val="auto"/>
        </w:rPr>
      </w:pPr>
      <w:r>
        <w:rPr>
          <w:rFonts w:ascii="Arial" w:cs="Arial" w:eastAsia="Arial" w:hAnsi="Arial"/>
          <w:sz w:val="11"/>
          <w:szCs w:val="11"/>
          <w:color w:val="auto"/>
        </w:rPr>
        <w:t>Includes Physical Point of Contact of BCP Stand-Alone, Mibanco and BCP Bolivia</w:t>
      </w:r>
    </w:p>
    <w:p>
      <w:pPr>
        <w:ind w:left="2400" w:hanging="151"/>
        <w:spacing w:after="0"/>
        <w:tabs>
          <w:tab w:leader="none" w:pos="2400" w:val="left"/>
        </w:tabs>
        <w:numPr>
          <w:ilvl w:val="0"/>
          <w:numId w:val="61"/>
        </w:numPr>
        <w:rPr>
          <w:rFonts w:ascii="Arial" w:cs="Arial" w:eastAsia="Arial" w:hAnsi="Arial"/>
          <w:sz w:val="11"/>
          <w:szCs w:val="11"/>
          <w:color w:val="auto"/>
        </w:rPr>
      </w:pPr>
      <w:r>
        <w:rPr>
          <w:rFonts w:ascii="Arial" w:cs="Arial" w:eastAsia="Arial" w:hAnsi="Arial"/>
          <w:sz w:val="11"/>
          <w:szCs w:val="11"/>
          <w:color w:val="auto"/>
        </w:rPr>
        <w:t>Figures differ from previously reported due to changes in BCP Bolivia agents</w:t>
      </w:r>
    </w:p>
    <w:p>
      <w:pPr>
        <w:spacing w:after="0" w:line="271"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b w:val="1"/>
          <w:bCs w:val="1"/>
          <w:color w:val="auto"/>
        </w:rPr>
        <w:t>12.3.</w:t>
        <w:tab/>
        <w:t>Loan Portfolio Quality</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Government Program (GP) Loan Portfolio Quality (in Quarter-end Balances)</w:t>
      </w:r>
    </w:p>
    <w:p>
      <w:pPr>
        <w:spacing w:after="0" w:line="182" w:lineRule="exact"/>
        <w:rPr>
          <w:sz w:val="20"/>
          <w:szCs w:val="20"/>
          <w:color w:val="auto"/>
        </w:rPr>
      </w:pPr>
    </w:p>
    <w:tbl>
      <w:tblPr>
        <w:tblLayout w:type="fixed"/>
        <w:tblInd w:w="10" w:type="dxa"/>
        <w:tblCellMar>
          <w:top w:w="0" w:type="dxa"/>
          <w:left w:w="0" w:type="dxa"/>
          <w:bottom w:w="0" w:type="dxa"/>
          <w:right w:w="0" w:type="dxa"/>
        </w:tblCellMar>
      </w:tblPr>
      <w:tr>
        <w:trPr>
          <w:trHeight w:val="190"/>
        </w:trPr>
        <w:tc>
          <w:tcPr>
            <w:tcW w:w="5660" w:type="dxa"/>
            <w:vAlign w:val="bottom"/>
            <w:tcBorders>
              <w:top w:val="single" w:sz="8" w:color="auto"/>
              <w:left w:val="single" w:sz="8" w:color="auto"/>
              <w:right w:val="single" w:sz="8" w:color="auto"/>
            </w:tcBorders>
            <w:shd w:val="clear" w:color="auto" w:fill="2AD2C8"/>
          </w:tcPr>
          <w:p>
            <w:pPr>
              <w:ind w:left="120"/>
              <w:spacing w:after="0"/>
              <w:rPr>
                <w:sz w:val="20"/>
                <w:szCs w:val="20"/>
                <w:color w:val="auto"/>
              </w:rPr>
            </w:pPr>
            <w:r>
              <w:rPr>
                <w:rFonts w:ascii="Arial" w:cs="Arial" w:eastAsia="Arial" w:hAnsi="Arial"/>
                <w:sz w:val="15"/>
                <w:szCs w:val="15"/>
                <w:b w:val="1"/>
                <w:bCs w:val="1"/>
                <w:color w:val="FFFFFF"/>
              </w:rPr>
              <w:t>GP Portfolio quality and Delinquency ratios (1)</w:t>
            </w:r>
          </w:p>
        </w:tc>
        <w:tc>
          <w:tcPr>
            <w:tcW w:w="1200" w:type="dxa"/>
            <w:vAlign w:val="bottom"/>
            <w:tcBorders>
              <w:top w:val="single" w:sz="8" w:color="auto"/>
            </w:tcBorders>
            <w:shd w:val="clear" w:color="auto" w:fill="2AD2C8"/>
          </w:tcPr>
          <w:p>
            <w:pPr>
              <w:spacing w:after="0"/>
              <w:rPr>
                <w:sz w:val="16"/>
                <w:szCs w:val="16"/>
                <w:color w:val="auto"/>
              </w:rPr>
            </w:pPr>
          </w:p>
        </w:tc>
        <w:tc>
          <w:tcPr>
            <w:tcW w:w="1100" w:type="dxa"/>
            <w:vAlign w:val="bottom"/>
            <w:tcBorders>
              <w:top w:val="single" w:sz="8" w:color="auto"/>
            </w:tcBorders>
            <w:shd w:val="clear" w:color="auto" w:fill="2AD2C8"/>
          </w:tcPr>
          <w:p>
            <w:pPr>
              <w:jc w:val="right"/>
              <w:ind w:right="386"/>
              <w:spacing w:after="0"/>
              <w:rPr>
                <w:sz w:val="20"/>
                <w:szCs w:val="20"/>
                <w:color w:val="auto"/>
              </w:rPr>
            </w:pPr>
            <w:r>
              <w:rPr>
                <w:rFonts w:ascii="Arial" w:cs="Arial" w:eastAsia="Arial" w:hAnsi="Arial"/>
                <w:sz w:val="15"/>
                <w:szCs w:val="15"/>
                <w:b w:val="1"/>
                <w:bCs w:val="1"/>
                <w:color w:val="FFFFFF"/>
              </w:rPr>
              <w:t>As of</w:t>
            </w:r>
          </w:p>
        </w:tc>
        <w:tc>
          <w:tcPr>
            <w:tcW w:w="1080" w:type="dxa"/>
            <w:vAlign w:val="bottom"/>
            <w:tcBorders>
              <w:top w:val="single" w:sz="8" w:color="auto"/>
              <w:right w:val="single" w:sz="8" w:color="auto"/>
            </w:tcBorders>
            <w:shd w:val="clear" w:color="auto" w:fill="2AD2C8"/>
          </w:tcPr>
          <w:p>
            <w:pPr>
              <w:spacing w:after="0"/>
              <w:rPr>
                <w:sz w:val="16"/>
                <w:szCs w:val="16"/>
                <w:color w:val="auto"/>
              </w:rPr>
            </w:pPr>
          </w:p>
        </w:tc>
        <w:tc>
          <w:tcPr>
            <w:tcW w:w="2220" w:type="dxa"/>
            <w:vAlign w:val="bottom"/>
            <w:tcBorders>
              <w:top w:val="single" w:sz="8" w:color="auto"/>
              <w:right w:val="single" w:sz="8" w:color="auto"/>
            </w:tcBorders>
            <w:gridSpan w:val="2"/>
            <w:shd w:val="clear" w:color="auto" w:fill="2AD2C8"/>
          </w:tcPr>
          <w:p>
            <w:pPr>
              <w:ind w:left="740"/>
              <w:spacing w:after="0"/>
              <w:rPr>
                <w:sz w:val="20"/>
                <w:szCs w:val="20"/>
                <w:color w:val="auto"/>
              </w:rPr>
            </w:pPr>
            <w:r>
              <w:rPr>
                <w:rFonts w:ascii="Arial" w:cs="Arial" w:eastAsia="Arial" w:hAnsi="Arial"/>
                <w:sz w:val="15"/>
                <w:szCs w:val="15"/>
                <w:b w:val="1"/>
                <w:bCs w:val="1"/>
                <w:color w:val="FFFFFF"/>
              </w:rPr>
              <w:t>% change</w:t>
            </w:r>
          </w:p>
        </w:tc>
      </w:tr>
      <w:tr>
        <w:trPr>
          <w:trHeight w:val="206"/>
        </w:trPr>
        <w:tc>
          <w:tcPr>
            <w:tcW w:w="5660" w:type="dxa"/>
            <w:vAlign w:val="bottom"/>
            <w:tcBorders>
              <w:left w:val="single" w:sz="8" w:color="auto"/>
              <w:bottom w:val="single" w:sz="8" w:color="auto"/>
              <w:right w:val="single" w:sz="8" w:color="auto"/>
            </w:tcBorders>
            <w:shd w:val="clear" w:color="auto" w:fill="2AD2C8"/>
          </w:tcPr>
          <w:p>
            <w:pPr>
              <w:ind w:left="120"/>
              <w:spacing w:after="0"/>
              <w:rPr>
                <w:sz w:val="20"/>
                <w:szCs w:val="20"/>
                <w:color w:val="auto"/>
              </w:rPr>
            </w:pPr>
            <w:r>
              <w:rPr>
                <w:rFonts w:ascii="Arial" w:cs="Arial" w:eastAsia="Arial" w:hAnsi="Arial"/>
                <w:sz w:val="15"/>
                <w:szCs w:val="15"/>
                <w:b w:val="1"/>
                <w:bCs w:val="1"/>
                <w:color w:val="FFFFFF"/>
              </w:rPr>
              <w:t>S/ 000</w:t>
            </w:r>
          </w:p>
        </w:tc>
        <w:tc>
          <w:tcPr>
            <w:tcW w:w="1200" w:type="dxa"/>
            <w:vAlign w:val="bottom"/>
            <w:tcBorders>
              <w:bottom w:val="single" w:sz="8" w:color="auto"/>
            </w:tcBorders>
            <w:shd w:val="clear" w:color="auto" w:fill="2AD2C8"/>
          </w:tcPr>
          <w:p>
            <w:pPr>
              <w:jc w:val="right"/>
              <w:ind w:right="346"/>
              <w:spacing w:after="0"/>
              <w:rPr>
                <w:sz w:val="20"/>
                <w:szCs w:val="20"/>
                <w:color w:val="auto"/>
              </w:rPr>
            </w:pPr>
            <w:r>
              <w:rPr>
                <w:rFonts w:ascii="Arial" w:cs="Arial" w:eastAsia="Arial" w:hAnsi="Arial"/>
                <w:sz w:val="15"/>
                <w:szCs w:val="15"/>
                <w:b w:val="1"/>
                <w:bCs w:val="1"/>
                <w:color w:val="FFFFFF"/>
              </w:rPr>
              <w:t>Sep 22</w:t>
            </w:r>
          </w:p>
        </w:tc>
        <w:tc>
          <w:tcPr>
            <w:tcW w:w="1100" w:type="dxa"/>
            <w:vAlign w:val="bottom"/>
            <w:tcBorders>
              <w:bottom w:val="single" w:sz="8" w:color="auto"/>
            </w:tcBorders>
            <w:shd w:val="clear" w:color="auto" w:fill="2AD2C8"/>
          </w:tcPr>
          <w:p>
            <w:pPr>
              <w:jc w:val="right"/>
              <w:ind w:right="326"/>
              <w:spacing w:after="0"/>
              <w:rPr>
                <w:sz w:val="20"/>
                <w:szCs w:val="20"/>
                <w:color w:val="auto"/>
              </w:rPr>
            </w:pPr>
            <w:r>
              <w:rPr>
                <w:rFonts w:ascii="Arial" w:cs="Arial" w:eastAsia="Arial" w:hAnsi="Arial"/>
                <w:sz w:val="15"/>
                <w:szCs w:val="15"/>
                <w:b w:val="1"/>
                <w:bCs w:val="1"/>
                <w:color w:val="FFFFFF"/>
              </w:rPr>
              <w:t>Jun 23</w:t>
            </w:r>
          </w:p>
        </w:tc>
        <w:tc>
          <w:tcPr>
            <w:tcW w:w="1080" w:type="dxa"/>
            <w:vAlign w:val="bottom"/>
            <w:tcBorders>
              <w:bottom w:val="single" w:sz="8" w:color="auto"/>
              <w:right w:val="single" w:sz="8" w:color="auto"/>
            </w:tcBorders>
            <w:shd w:val="clear" w:color="auto" w:fill="2AD2C8"/>
          </w:tcPr>
          <w:p>
            <w:pPr>
              <w:jc w:val="right"/>
              <w:ind w:right="286"/>
              <w:spacing w:after="0"/>
              <w:rPr>
                <w:sz w:val="20"/>
                <w:szCs w:val="20"/>
                <w:color w:val="auto"/>
              </w:rPr>
            </w:pPr>
            <w:r>
              <w:rPr>
                <w:rFonts w:ascii="Arial" w:cs="Arial" w:eastAsia="Arial" w:hAnsi="Arial"/>
                <w:sz w:val="15"/>
                <w:szCs w:val="15"/>
                <w:b w:val="1"/>
                <w:bCs w:val="1"/>
                <w:color w:val="FFFFFF"/>
              </w:rPr>
              <w:t>Sep 23</w:t>
            </w:r>
          </w:p>
        </w:tc>
        <w:tc>
          <w:tcPr>
            <w:tcW w:w="1100" w:type="dxa"/>
            <w:vAlign w:val="bottom"/>
            <w:tcBorders>
              <w:bottom w:val="single" w:sz="8" w:color="auto"/>
            </w:tcBorders>
            <w:shd w:val="clear" w:color="auto" w:fill="2AD2C8"/>
          </w:tcPr>
          <w:p>
            <w:pPr>
              <w:jc w:val="center"/>
              <w:spacing w:after="0"/>
              <w:rPr>
                <w:sz w:val="20"/>
                <w:szCs w:val="20"/>
                <w:color w:val="auto"/>
              </w:rPr>
            </w:pPr>
            <w:r>
              <w:rPr>
                <w:rFonts w:ascii="Arial" w:cs="Arial" w:eastAsia="Arial" w:hAnsi="Arial"/>
                <w:sz w:val="15"/>
                <w:szCs w:val="15"/>
                <w:color w:val="FFFFFF"/>
              </w:rPr>
              <w:t>QoQ</w:t>
            </w:r>
          </w:p>
        </w:tc>
        <w:tc>
          <w:tcPr>
            <w:tcW w:w="1120" w:type="dxa"/>
            <w:vAlign w:val="bottom"/>
            <w:tcBorders>
              <w:bottom w:val="single" w:sz="8" w:color="auto"/>
              <w:right w:val="single" w:sz="8" w:color="auto"/>
            </w:tcBorders>
            <w:shd w:val="clear" w:color="auto" w:fill="2AD2C8"/>
          </w:tcPr>
          <w:p>
            <w:pPr>
              <w:jc w:val="center"/>
              <w:spacing w:after="0"/>
              <w:rPr>
                <w:sz w:val="20"/>
                <w:szCs w:val="20"/>
                <w:color w:val="auto"/>
              </w:rPr>
            </w:pPr>
            <w:r>
              <w:rPr>
                <w:rFonts w:ascii="Arial" w:cs="Arial" w:eastAsia="Arial" w:hAnsi="Arial"/>
                <w:sz w:val="15"/>
                <w:szCs w:val="15"/>
                <w:color w:val="FFFFFF"/>
                <w:w w:val="98"/>
              </w:rPr>
              <w:t>YoY</w:t>
            </w:r>
          </w:p>
        </w:tc>
      </w:tr>
      <w:tr>
        <w:trPr>
          <w:trHeight w:val="178"/>
        </w:trPr>
        <w:tc>
          <w:tcPr>
            <w:tcW w:w="56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b w:val="1"/>
                <w:bCs w:val="1"/>
                <w:color w:val="auto"/>
              </w:rPr>
              <w:t>GP Total loans (Quarter-end balance)</w:t>
            </w:r>
          </w:p>
        </w:tc>
        <w:tc>
          <w:tcPr>
            <w:tcW w:w="120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b w:val="1"/>
                <w:bCs w:val="1"/>
                <w:color w:val="auto"/>
              </w:rPr>
              <w:t>12,201,370</w:t>
            </w:r>
          </w:p>
        </w:tc>
        <w:tc>
          <w:tcPr>
            <w:tcW w:w="110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b w:val="1"/>
                <w:bCs w:val="1"/>
                <w:color w:val="auto"/>
              </w:rPr>
              <w:t>4,940,405</w:t>
            </w:r>
          </w:p>
        </w:tc>
        <w:tc>
          <w:tcPr>
            <w:tcW w:w="1080" w:type="dxa"/>
            <w:vAlign w:val="bottom"/>
            <w:tcBorders>
              <w:bottom w:val="single" w:sz="8" w:color="auto"/>
              <w:right w:val="single" w:sz="8" w:color="auto"/>
            </w:tcBorders>
          </w:tcPr>
          <w:p>
            <w:pPr>
              <w:jc w:val="right"/>
              <w:ind w:right="106"/>
              <w:spacing w:after="0"/>
              <w:rPr>
                <w:sz w:val="20"/>
                <w:szCs w:val="20"/>
                <w:color w:val="auto"/>
              </w:rPr>
            </w:pPr>
            <w:r>
              <w:rPr>
                <w:rFonts w:ascii="Arial" w:cs="Arial" w:eastAsia="Arial" w:hAnsi="Arial"/>
                <w:sz w:val="15"/>
                <w:szCs w:val="15"/>
                <w:b w:val="1"/>
                <w:bCs w:val="1"/>
                <w:color w:val="auto"/>
              </w:rPr>
              <w:t>4,179,770</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6"/>
              </w:rPr>
              <w:t>-15.4%</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b w:val="1"/>
                <w:bCs w:val="1"/>
                <w:color w:val="auto"/>
              </w:rPr>
              <w:t>-65.7%</w:t>
            </w:r>
          </w:p>
        </w:tc>
      </w:tr>
      <w:tr>
        <w:trPr>
          <w:trHeight w:val="178"/>
        </w:trPr>
        <w:tc>
          <w:tcPr>
            <w:tcW w:w="56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GP Allowance for loan losses</w:t>
            </w:r>
          </w:p>
        </w:tc>
        <w:tc>
          <w:tcPr>
            <w:tcW w:w="120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154,552</w:t>
            </w:r>
          </w:p>
        </w:tc>
        <w:tc>
          <w:tcPr>
            <w:tcW w:w="110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rPr>
              <w:t>131,882</w:t>
            </w:r>
          </w:p>
        </w:tc>
        <w:tc>
          <w:tcPr>
            <w:tcW w:w="1080" w:type="dxa"/>
            <w:vAlign w:val="bottom"/>
            <w:tcBorders>
              <w:bottom w:val="single" w:sz="8" w:color="auto"/>
              <w:right w:val="single" w:sz="8" w:color="auto"/>
            </w:tcBorders>
          </w:tcPr>
          <w:p>
            <w:pPr>
              <w:jc w:val="right"/>
              <w:ind w:right="106"/>
              <w:spacing w:after="0"/>
              <w:rPr>
                <w:sz w:val="20"/>
                <w:szCs w:val="20"/>
                <w:color w:val="auto"/>
              </w:rPr>
            </w:pPr>
            <w:r>
              <w:rPr>
                <w:rFonts w:ascii="Arial" w:cs="Arial" w:eastAsia="Arial" w:hAnsi="Arial"/>
                <w:sz w:val="15"/>
                <w:szCs w:val="15"/>
                <w:color w:val="auto"/>
              </w:rPr>
              <w:t>113,398</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6"/>
              </w:rPr>
              <w:t>-14.0%</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-26.6%</w:t>
            </w:r>
          </w:p>
        </w:tc>
      </w:tr>
      <w:tr>
        <w:trPr>
          <w:trHeight w:val="178"/>
        </w:trPr>
        <w:tc>
          <w:tcPr>
            <w:tcW w:w="56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GP IOLs</w:t>
            </w:r>
          </w:p>
        </w:tc>
        <w:tc>
          <w:tcPr>
            <w:tcW w:w="120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rPr>
              <w:t>1,212,968</w:t>
            </w:r>
          </w:p>
        </w:tc>
        <w:tc>
          <w:tcPr>
            <w:tcW w:w="110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rPr>
              <w:t>796,670</w:t>
            </w:r>
          </w:p>
        </w:tc>
        <w:tc>
          <w:tcPr>
            <w:tcW w:w="1080" w:type="dxa"/>
            <w:vAlign w:val="bottom"/>
            <w:tcBorders>
              <w:bottom w:val="single" w:sz="8" w:color="auto"/>
              <w:right w:val="single" w:sz="8" w:color="auto"/>
            </w:tcBorders>
          </w:tcPr>
          <w:p>
            <w:pPr>
              <w:jc w:val="right"/>
              <w:ind w:right="106"/>
              <w:spacing w:after="0"/>
              <w:rPr>
                <w:sz w:val="20"/>
                <w:szCs w:val="20"/>
                <w:color w:val="auto"/>
              </w:rPr>
            </w:pPr>
            <w:r>
              <w:rPr>
                <w:rFonts w:ascii="Arial" w:cs="Arial" w:eastAsia="Arial" w:hAnsi="Arial"/>
                <w:sz w:val="15"/>
                <w:szCs w:val="15"/>
                <w:color w:val="auto"/>
              </w:rPr>
              <w:t>827,360</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9"/>
              </w:rPr>
              <w:t>3.9%</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rPr>
              <w:t>-31.8%</w:t>
            </w:r>
          </w:p>
        </w:tc>
      </w:tr>
      <w:tr>
        <w:trPr>
          <w:trHeight w:val="162"/>
        </w:trPr>
        <w:tc>
          <w:tcPr>
            <w:tcW w:w="5660" w:type="dxa"/>
            <w:vAlign w:val="bottom"/>
            <w:tcBorders>
              <w:left w:val="single" w:sz="8" w:color="auto"/>
              <w:right w:val="single" w:sz="8" w:color="auto"/>
            </w:tcBorders>
          </w:tcPr>
          <w:p>
            <w:pPr>
              <w:ind w:left="120"/>
              <w:spacing w:after="0" w:line="161" w:lineRule="exact"/>
              <w:rPr>
                <w:sz w:val="20"/>
                <w:szCs w:val="20"/>
                <w:color w:val="auto"/>
              </w:rPr>
            </w:pPr>
            <w:r>
              <w:rPr>
                <w:rFonts w:ascii="Arial" w:cs="Arial" w:eastAsia="Arial" w:hAnsi="Arial"/>
                <w:sz w:val="15"/>
                <w:szCs w:val="15"/>
                <w:b w:val="1"/>
                <w:bCs w:val="1"/>
                <w:color w:val="auto"/>
              </w:rPr>
              <w:t>GP IOL ratio</w:t>
            </w:r>
          </w:p>
        </w:tc>
        <w:tc>
          <w:tcPr>
            <w:tcW w:w="1200" w:type="dxa"/>
            <w:vAlign w:val="bottom"/>
          </w:tcPr>
          <w:p>
            <w:pPr>
              <w:jc w:val="right"/>
              <w:ind w:right="126"/>
              <w:spacing w:after="0" w:line="161" w:lineRule="exact"/>
              <w:rPr>
                <w:sz w:val="20"/>
                <w:szCs w:val="20"/>
                <w:color w:val="auto"/>
              </w:rPr>
            </w:pPr>
            <w:r>
              <w:rPr>
                <w:rFonts w:ascii="Arial" w:cs="Arial" w:eastAsia="Arial" w:hAnsi="Arial"/>
                <w:sz w:val="15"/>
                <w:szCs w:val="15"/>
                <w:b w:val="1"/>
                <w:bCs w:val="1"/>
                <w:color w:val="auto"/>
              </w:rPr>
              <w:t>9.94%</w:t>
            </w:r>
          </w:p>
        </w:tc>
        <w:tc>
          <w:tcPr>
            <w:tcW w:w="1100" w:type="dxa"/>
            <w:vAlign w:val="bottom"/>
          </w:tcPr>
          <w:p>
            <w:pPr>
              <w:jc w:val="right"/>
              <w:ind w:right="146"/>
              <w:spacing w:after="0" w:line="161" w:lineRule="exact"/>
              <w:rPr>
                <w:sz w:val="20"/>
                <w:szCs w:val="20"/>
                <w:color w:val="auto"/>
              </w:rPr>
            </w:pPr>
            <w:r>
              <w:rPr>
                <w:rFonts w:ascii="Arial" w:cs="Arial" w:eastAsia="Arial" w:hAnsi="Arial"/>
                <w:sz w:val="15"/>
                <w:szCs w:val="15"/>
                <w:b w:val="1"/>
                <w:bCs w:val="1"/>
                <w:color w:val="auto"/>
              </w:rPr>
              <w:t>16.13%</w:t>
            </w:r>
          </w:p>
        </w:tc>
        <w:tc>
          <w:tcPr>
            <w:tcW w:w="1080" w:type="dxa"/>
            <w:vAlign w:val="bottom"/>
            <w:tcBorders>
              <w:right w:val="single" w:sz="8" w:color="auto"/>
            </w:tcBorders>
          </w:tcPr>
          <w:p>
            <w:pPr>
              <w:jc w:val="right"/>
              <w:ind w:right="106"/>
              <w:spacing w:after="0" w:line="161" w:lineRule="exact"/>
              <w:rPr>
                <w:sz w:val="20"/>
                <w:szCs w:val="20"/>
                <w:color w:val="auto"/>
              </w:rPr>
            </w:pPr>
            <w:r>
              <w:rPr>
                <w:rFonts w:ascii="Arial" w:cs="Arial" w:eastAsia="Arial" w:hAnsi="Arial"/>
                <w:sz w:val="15"/>
                <w:szCs w:val="15"/>
                <w:b w:val="1"/>
                <w:bCs w:val="1"/>
                <w:color w:val="auto"/>
              </w:rPr>
              <w:t>19.79%</w:t>
            </w:r>
          </w:p>
        </w:tc>
        <w:tc>
          <w:tcPr>
            <w:tcW w:w="1100" w:type="dxa"/>
            <w:vAlign w:val="bottom"/>
          </w:tcPr>
          <w:p>
            <w:pPr>
              <w:jc w:val="center"/>
              <w:spacing w:after="0" w:line="161" w:lineRule="exact"/>
              <w:rPr>
                <w:sz w:val="20"/>
                <w:szCs w:val="20"/>
                <w:color w:val="auto"/>
              </w:rPr>
            </w:pPr>
            <w:r>
              <w:rPr>
                <w:rFonts w:ascii="Arial" w:cs="Arial" w:eastAsia="Arial" w:hAnsi="Arial"/>
                <w:sz w:val="15"/>
                <w:szCs w:val="15"/>
                <w:color w:val="auto"/>
              </w:rPr>
              <w:t>366 bps</w:t>
            </w:r>
          </w:p>
        </w:tc>
        <w:tc>
          <w:tcPr>
            <w:tcW w:w="1120" w:type="dxa"/>
            <w:vAlign w:val="bottom"/>
            <w:tcBorders>
              <w:right w:val="single" w:sz="8" w:color="auto"/>
            </w:tcBorders>
          </w:tcPr>
          <w:p>
            <w:pPr>
              <w:jc w:val="center"/>
              <w:spacing w:after="0" w:line="161" w:lineRule="exact"/>
              <w:rPr>
                <w:sz w:val="20"/>
                <w:szCs w:val="20"/>
                <w:color w:val="auto"/>
              </w:rPr>
            </w:pPr>
            <w:r>
              <w:rPr>
                <w:rFonts w:ascii="Arial" w:cs="Arial" w:eastAsia="Arial" w:hAnsi="Arial"/>
                <w:sz w:val="15"/>
                <w:szCs w:val="15"/>
                <w:color w:val="auto"/>
                <w:w w:val="97"/>
              </w:rPr>
              <w:t>985 bps</w:t>
            </w:r>
          </w:p>
        </w:tc>
      </w:tr>
      <w:tr>
        <w:trPr>
          <w:trHeight w:val="181"/>
        </w:trPr>
        <w:tc>
          <w:tcPr>
            <w:tcW w:w="56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5"/>
                <w:szCs w:val="15"/>
                <w:b w:val="1"/>
                <w:bCs w:val="1"/>
                <w:color w:val="auto"/>
              </w:rPr>
              <w:t>GP Allowance for loan losses over GP Total loans</w:t>
            </w:r>
          </w:p>
        </w:tc>
        <w:tc>
          <w:tcPr>
            <w:tcW w:w="1200" w:type="dxa"/>
            <w:vAlign w:val="bottom"/>
          </w:tcPr>
          <w:p>
            <w:pPr>
              <w:jc w:val="right"/>
              <w:ind w:right="146"/>
              <w:spacing w:after="0"/>
              <w:rPr>
                <w:sz w:val="20"/>
                <w:szCs w:val="20"/>
                <w:color w:val="auto"/>
              </w:rPr>
            </w:pPr>
            <w:r>
              <w:rPr>
                <w:rFonts w:ascii="Arial" w:cs="Arial" w:eastAsia="Arial" w:hAnsi="Arial"/>
                <w:sz w:val="15"/>
                <w:szCs w:val="15"/>
                <w:b w:val="1"/>
                <w:bCs w:val="1"/>
                <w:color w:val="auto"/>
              </w:rPr>
              <w:t>1.3%</w:t>
            </w:r>
          </w:p>
        </w:tc>
        <w:tc>
          <w:tcPr>
            <w:tcW w:w="1100" w:type="dxa"/>
            <w:vAlign w:val="bottom"/>
          </w:tcPr>
          <w:p>
            <w:pPr>
              <w:jc w:val="right"/>
              <w:ind w:right="146"/>
              <w:spacing w:after="0"/>
              <w:rPr>
                <w:sz w:val="20"/>
                <w:szCs w:val="20"/>
                <w:color w:val="auto"/>
              </w:rPr>
            </w:pPr>
            <w:r>
              <w:rPr>
                <w:rFonts w:ascii="Arial" w:cs="Arial" w:eastAsia="Arial" w:hAnsi="Arial"/>
                <w:sz w:val="15"/>
                <w:szCs w:val="15"/>
                <w:b w:val="1"/>
                <w:bCs w:val="1"/>
                <w:color w:val="auto"/>
              </w:rPr>
              <w:t>2.7%</w:t>
            </w:r>
          </w:p>
        </w:tc>
        <w:tc>
          <w:tcPr>
            <w:tcW w:w="1080" w:type="dxa"/>
            <w:vAlign w:val="bottom"/>
            <w:tcBorders>
              <w:right w:val="single" w:sz="8" w:color="auto"/>
            </w:tcBorders>
          </w:tcPr>
          <w:p>
            <w:pPr>
              <w:jc w:val="right"/>
              <w:ind w:right="106"/>
              <w:spacing w:after="0"/>
              <w:rPr>
                <w:sz w:val="20"/>
                <w:szCs w:val="20"/>
                <w:color w:val="auto"/>
              </w:rPr>
            </w:pPr>
            <w:r>
              <w:rPr>
                <w:rFonts w:ascii="Arial" w:cs="Arial" w:eastAsia="Arial" w:hAnsi="Arial"/>
                <w:sz w:val="15"/>
                <w:szCs w:val="15"/>
                <w:b w:val="1"/>
                <w:bCs w:val="1"/>
                <w:color w:val="auto"/>
              </w:rPr>
              <w:t>2.7%</w:t>
            </w:r>
          </w:p>
        </w:tc>
        <w:tc>
          <w:tcPr>
            <w:tcW w:w="1100" w:type="dxa"/>
            <w:vAlign w:val="bottom"/>
          </w:tcPr>
          <w:p>
            <w:pPr>
              <w:jc w:val="center"/>
              <w:spacing w:after="0"/>
              <w:rPr>
                <w:sz w:val="20"/>
                <w:szCs w:val="20"/>
                <w:color w:val="auto"/>
              </w:rPr>
            </w:pPr>
            <w:r>
              <w:rPr>
                <w:rFonts w:ascii="Arial" w:cs="Arial" w:eastAsia="Arial" w:hAnsi="Arial"/>
                <w:sz w:val="15"/>
                <w:szCs w:val="15"/>
                <w:color w:val="auto"/>
                <w:w w:val="97"/>
              </w:rPr>
              <w:t>4 bps</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97"/>
              </w:rPr>
              <w:t>144 bps</w:t>
            </w:r>
          </w:p>
        </w:tc>
      </w:tr>
      <w:tr>
        <w:trPr>
          <w:trHeight w:val="181"/>
        </w:trPr>
        <w:tc>
          <w:tcPr>
            <w:tcW w:w="56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5"/>
                <w:szCs w:val="15"/>
                <w:color w:val="auto"/>
              </w:rPr>
              <w:t>GP Coverage ratio of IOLs</w:t>
            </w:r>
          </w:p>
        </w:tc>
        <w:tc>
          <w:tcPr>
            <w:tcW w:w="120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rPr>
              <w:t>12.7%</w:t>
            </w:r>
          </w:p>
        </w:tc>
        <w:tc>
          <w:tcPr>
            <w:tcW w:w="110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rPr>
              <w:t>16.6%</w:t>
            </w:r>
          </w:p>
        </w:tc>
        <w:tc>
          <w:tcPr>
            <w:tcW w:w="1080" w:type="dxa"/>
            <w:vAlign w:val="bottom"/>
            <w:tcBorders>
              <w:bottom w:val="single" w:sz="8" w:color="auto"/>
              <w:right w:val="single" w:sz="8" w:color="auto"/>
            </w:tcBorders>
          </w:tcPr>
          <w:p>
            <w:pPr>
              <w:jc w:val="right"/>
              <w:ind w:right="106"/>
              <w:spacing w:after="0"/>
              <w:rPr>
                <w:sz w:val="20"/>
                <w:szCs w:val="20"/>
                <w:color w:val="auto"/>
              </w:rPr>
            </w:pPr>
            <w:r>
              <w:rPr>
                <w:rFonts w:ascii="Arial" w:cs="Arial" w:eastAsia="Arial" w:hAnsi="Arial"/>
                <w:sz w:val="15"/>
                <w:szCs w:val="15"/>
                <w:color w:val="auto"/>
              </w:rPr>
              <w:t>13.7%</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9"/>
              </w:rPr>
              <w:t>-284 bps</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5"/>
                <w:szCs w:val="15"/>
                <w:color w:val="auto"/>
                <w:w w:val="97"/>
              </w:rPr>
              <w:t>97 bps</w:t>
            </w:r>
          </w:p>
        </w:tc>
      </w:tr>
    </w:tbl>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(1) Government Programs (GP) include Reactiva Peru and FAE-Mype.</w:t>
      </w:r>
    </w:p>
    <w:p>
      <w:pPr>
        <w:spacing w:after="0" w:line="32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43750" cy="1587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3" w:name="page54"/>
    <w:bookmarkEnd w:id="53"/>
    <w:p>
      <w:pPr>
        <w:ind w:left="2920"/>
        <w:spacing w:after="0"/>
        <w:tabs>
          <w:tab w:leader="none" w:pos="3100" w:val="left"/>
          <w:tab w:leader="none" w:pos="7660" w:val="left"/>
        </w:tabs>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202565</wp:posOffset>
            </wp:positionH>
            <wp:positionV relativeFrom="page">
              <wp:posOffset>88900</wp:posOffset>
            </wp:positionV>
            <wp:extent cx="7143750" cy="41592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3750" cy="415925"/>
                    </a:xfrm>
                    <a:prstGeom prst="rect">
                      <a:avLst/>
                    </a:prstGeom>
                    <a:noFill/>
                  </pic:spPr>
                </pic:pic>
              </a:graphicData>
            </a:graphic>
          </wp:anchor>
        </w:drawing>
        <w:t>|</w:t>
      </w:r>
      <w:r>
        <w:rPr>
          <w:sz w:val="20"/>
          <w:szCs w:val="20"/>
          <w:color w:val="auto"/>
        </w:rPr>
        <w:tab/>
      </w:r>
      <w:r>
        <w:rPr>
          <w:rFonts w:ascii="Arial" w:cs="Arial" w:eastAsia="Arial" w:hAnsi="Arial"/>
          <w:sz w:val="16"/>
          <w:szCs w:val="16"/>
          <w:b w:val="1"/>
          <w:bCs w:val="1"/>
          <w:color w:val="FFFFFF"/>
        </w:rPr>
        <w:t>Earnings Release 3Q / 2023</w:t>
      </w:r>
      <w:r>
        <w:rPr>
          <w:sz w:val="20"/>
          <w:szCs w:val="20"/>
          <w:color w:val="auto"/>
        </w:rPr>
        <w:tab/>
      </w:r>
      <w:r>
        <w:rPr>
          <w:rFonts w:ascii="Arial" w:cs="Arial" w:eastAsia="Arial" w:hAnsi="Arial"/>
          <w:sz w:val="18"/>
          <w:szCs w:val="18"/>
          <w:b w:val="1"/>
          <w:bCs w:val="1"/>
          <w:color w:val="E93CAC"/>
        </w:rPr>
        <w:t>Analysis of 3Q23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175260</wp:posOffset>
            </wp:positionV>
            <wp:extent cx="7143750" cy="2038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3750" cy="203835"/>
                    </a:xfrm>
                    <a:prstGeom prst="rect">
                      <a:avLst/>
                    </a:prstGeom>
                    <a:noFill/>
                  </pic:spPr>
                </pic:pic>
              </a:graphicData>
            </a:graphic>
          </wp:anchor>
        </w:drawing>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b w:val="1"/>
          <w:bCs w:val="1"/>
          <w:color w:val="FFFFFF"/>
        </w:rPr>
        <w:t>12. Appendix</w:t>
      </w:r>
    </w:p>
    <w:p>
      <w:pPr>
        <w:spacing w:after="0" w:line="76"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Portfolio Quality Ratios by Segment</w:t>
      </w:r>
    </w:p>
    <w:p>
      <w:pPr>
        <w:spacing w:after="0" w:line="191"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Wholesale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923925</wp:posOffset>
            </wp:positionH>
            <wp:positionV relativeFrom="paragraph">
              <wp:posOffset>120650</wp:posOffset>
            </wp:positionV>
            <wp:extent cx="5252085" cy="197802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252085" cy="1978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SME-Business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923925</wp:posOffset>
            </wp:positionH>
            <wp:positionV relativeFrom="paragraph">
              <wp:posOffset>120650</wp:posOffset>
            </wp:positionV>
            <wp:extent cx="5252085" cy="214312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25208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33020</wp:posOffset>
            </wp:positionV>
            <wp:extent cx="7143750" cy="1587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00"/>
          </w:cols>
          <w:pgMar w:left="360" w:top="337" w:right="339" w:bottom="1440" w:gutter="0" w:footer="0" w:header="0"/>
        </w:sectPr>
      </w:pPr>
    </w:p>
    <w:bookmarkStart w:id="54" w:name="page55"/>
    <w:bookmarkEnd w:id="54"/>
    <w:p>
      <w:pPr>
        <w:ind w:left="2920"/>
        <w:spacing w:after="0"/>
        <w:tabs>
          <w:tab w:leader="none" w:pos="3100" w:val="left"/>
          <w:tab w:leader="none" w:pos="7660" w:val="left"/>
        </w:tabs>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202565</wp:posOffset>
            </wp:positionH>
            <wp:positionV relativeFrom="page">
              <wp:posOffset>88900</wp:posOffset>
            </wp:positionV>
            <wp:extent cx="7143750" cy="41592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3750" cy="415925"/>
                    </a:xfrm>
                    <a:prstGeom prst="rect">
                      <a:avLst/>
                    </a:prstGeom>
                    <a:noFill/>
                  </pic:spPr>
                </pic:pic>
              </a:graphicData>
            </a:graphic>
          </wp:anchor>
        </w:drawing>
        <w:t>|</w:t>
      </w:r>
      <w:r>
        <w:rPr>
          <w:sz w:val="20"/>
          <w:szCs w:val="20"/>
          <w:color w:val="auto"/>
        </w:rPr>
        <w:tab/>
      </w:r>
      <w:r>
        <w:rPr>
          <w:rFonts w:ascii="Arial" w:cs="Arial" w:eastAsia="Arial" w:hAnsi="Arial"/>
          <w:sz w:val="16"/>
          <w:szCs w:val="16"/>
          <w:b w:val="1"/>
          <w:bCs w:val="1"/>
          <w:color w:val="FFFFFF"/>
        </w:rPr>
        <w:t>Earnings Release 3Q / 2023</w:t>
      </w:r>
      <w:r>
        <w:rPr>
          <w:sz w:val="20"/>
          <w:szCs w:val="20"/>
          <w:color w:val="auto"/>
        </w:rPr>
        <w:tab/>
      </w:r>
      <w:r>
        <w:rPr>
          <w:rFonts w:ascii="Arial" w:cs="Arial" w:eastAsia="Arial" w:hAnsi="Arial"/>
          <w:sz w:val="18"/>
          <w:szCs w:val="18"/>
          <w:b w:val="1"/>
          <w:bCs w:val="1"/>
          <w:color w:val="E93CAC"/>
        </w:rPr>
        <w:t>Analysis of 3Q23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175260</wp:posOffset>
            </wp:positionV>
            <wp:extent cx="7143750" cy="2038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3750" cy="203835"/>
                    </a:xfrm>
                    <a:prstGeom prst="rect">
                      <a:avLst/>
                    </a:prstGeom>
                    <a:noFill/>
                  </pic:spPr>
                </pic:pic>
              </a:graphicData>
            </a:graphic>
          </wp:anchor>
        </w:drawing>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b w:val="1"/>
          <w:bCs w:val="1"/>
          <w:color w:val="FFFFFF"/>
        </w:rPr>
        <w:t>12. Appendix</w:t>
      </w:r>
    </w:p>
    <w:p>
      <w:pPr>
        <w:spacing w:after="0" w:line="80"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SME-Pyme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774700</wp:posOffset>
            </wp:positionH>
            <wp:positionV relativeFrom="paragraph">
              <wp:posOffset>120650</wp:posOffset>
            </wp:positionV>
            <wp:extent cx="5550535" cy="214312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55053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Mortgage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120650</wp:posOffset>
            </wp:positionV>
            <wp:extent cx="5526405" cy="22612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526405" cy="2261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33020</wp:posOffset>
            </wp:positionV>
            <wp:extent cx="7143750" cy="1587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00"/>
          </w:cols>
          <w:pgMar w:left="360" w:top="337" w:right="339" w:bottom="1440" w:gutter="0" w:footer="0" w:header="0"/>
        </w:sectPr>
      </w:pPr>
    </w:p>
    <w:bookmarkStart w:id="55" w:name="page56"/>
    <w:bookmarkEnd w:id="55"/>
    <w:p>
      <w:pPr>
        <w:ind w:left="2920"/>
        <w:spacing w:after="0"/>
        <w:tabs>
          <w:tab w:leader="none" w:pos="3100" w:val="left"/>
          <w:tab w:leader="none" w:pos="7660" w:val="left"/>
        </w:tabs>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202565</wp:posOffset>
            </wp:positionH>
            <wp:positionV relativeFrom="page">
              <wp:posOffset>88900</wp:posOffset>
            </wp:positionV>
            <wp:extent cx="7143750" cy="41592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3750" cy="415925"/>
                    </a:xfrm>
                    <a:prstGeom prst="rect">
                      <a:avLst/>
                    </a:prstGeom>
                    <a:noFill/>
                  </pic:spPr>
                </pic:pic>
              </a:graphicData>
            </a:graphic>
          </wp:anchor>
        </w:drawing>
        <w:t>|</w:t>
      </w:r>
      <w:r>
        <w:rPr>
          <w:sz w:val="20"/>
          <w:szCs w:val="20"/>
          <w:color w:val="auto"/>
        </w:rPr>
        <w:tab/>
      </w:r>
      <w:r>
        <w:rPr>
          <w:rFonts w:ascii="Arial" w:cs="Arial" w:eastAsia="Arial" w:hAnsi="Arial"/>
          <w:sz w:val="16"/>
          <w:szCs w:val="16"/>
          <w:b w:val="1"/>
          <w:bCs w:val="1"/>
          <w:color w:val="FFFFFF"/>
        </w:rPr>
        <w:t>Earnings Release 3Q / 2023</w:t>
      </w:r>
      <w:r>
        <w:rPr>
          <w:sz w:val="20"/>
          <w:szCs w:val="20"/>
          <w:color w:val="auto"/>
        </w:rPr>
        <w:tab/>
      </w:r>
      <w:r>
        <w:rPr>
          <w:rFonts w:ascii="Arial" w:cs="Arial" w:eastAsia="Arial" w:hAnsi="Arial"/>
          <w:sz w:val="18"/>
          <w:szCs w:val="18"/>
          <w:b w:val="1"/>
          <w:bCs w:val="1"/>
          <w:color w:val="E93CAC"/>
        </w:rPr>
        <w:t>Analysis of 3Q23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175260</wp:posOffset>
            </wp:positionV>
            <wp:extent cx="7143750" cy="2038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3750" cy="203835"/>
                    </a:xfrm>
                    <a:prstGeom prst="rect">
                      <a:avLst/>
                    </a:prstGeom>
                    <a:noFill/>
                  </pic:spPr>
                </pic:pic>
              </a:graphicData>
            </a:graphic>
          </wp:anchor>
        </w:drawing>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b w:val="1"/>
          <w:bCs w:val="1"/>
          <w:color w:val="FFFFFF"/>
        </w:rPr>
        <w:t>12. Appendix</w:t>
      </w:r>
    </w:p>
    <w:p>
      <w:pPr>
        <w:spacing w:after="0" w:line="80"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Consumer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821690</wp:posOffset>
            </wp:positionH>
            <wp:positionV relativeFrom="paragraph">
              <wp:posOffset>120650</wp:posOffset>
            </wp:positionV>
            <wp:extent cx="5455920" cy="222186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455920" cy="2221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Credit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798195</wp:posOffset>
            </wp:positionH>
            <wp:positionV relativeFrom="paragraph">
              <wp:posOffset>120650</wp:posOffset>
            </wp:positionV>
            <wp:extent cx="5502910" cy="22059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502910" cy="2205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33020</wp:posOffset>
            </wp:positionV>
            <wp:extent cx="7143750" cy="1587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00"/>
          </w:cols>
          <w:pgMar w:left="360" w:top="337" w:right="339" w:bottom="1440" w:gutter="0" w:footer="0" w:header="0"/>
        </w:sectPr>
      </w:pPr>
    </w:p>
    <w:bookmarkStart w:id="56" w:name="page57"/>
    <w:bookmarkEnd w:id="56"/>
    <w:p>
      <w:pPr>
        <w:ind w:left="2920"/>
        <w:spacing w:after="0"/>
        <w:tabs>
          <w:tab w:leader="none" w:pos="3100" w:val="left"/>
          <w:tab w:leader="none" w:pos="7660" w:val="left"/>
        </w:tabs>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202565</wp:posOffset>
            </wp:positionH>
            <wp:positionV relativeFrom="page">
              <wp:posOffset>88900</wp:posOffset>
            </wp:positionV>
            <wp:extent cx="7143750" cy="41592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3750" cy="415925"/>
                    </a:xfrm>
                    <a:prstGeom prst="rect">
                      <a:avLst/>
                    </a:prstGeom>
                    <a:noFill/>
                  </pic:spPr>
                </pic:pic>
              </a:graphicData>
            </a:graphic>
          </wp:anchor>
        </w:drawing>
        <w:t>|</w:t>
      </w:r>
      <w:r>
        <w:rPr>
          <w:sz w:val="20"/>
          <w:szCs w:val="20"/>
          <w:color w:val="auto"/>
        </w:rPr>
        <w:tab/>
      </w:r>
      <w:r>
        <w:rPr>
          <w:rFonts w:ascii="Arial" w:cs="Arial" w:eastAsia="Arial" w:hAnsi="Arial"/>
          <w:sz w:val="16"/>
          <w:szCs w:val="16"/>
          <w:b w:val="1"/>
          <w:bCs w:val="1"/>
          <w:color w:val="FFFFFF"/>
        </w:rPr>
        <w:t>Earnings Release 3Q / 2023</w:t>
      </w:r>
      <w:r>
        <w:rPr>
          <w:sz w:val="20"/>
          <w:szCs w:val="20"/>
          <w:color w:val="auto"/>
        </w:rPr>
        <w:tab/>
      </w:r>
      <w:r>
        <w:rPr>
          <w:rFonts w:ascii="Arial" w:cs="Arial" w:eastAsia="Arial" w:hAnsi="Arial"/>
          <w:sz w:val="18"/>
          <w:szCs w:val="18"/>
          <w:b w:val="1"/>
          <w:bCs w:val="1"/>
          <w:color w:val="E93CAC"/>
        </w:rPr>
        <w:t>Analysis of 3Q23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175260</wp:posOffset>
            </wp:positionV>
            <wp:extent cx="7143750" cy="2038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3750" cy="203835"/>
                    </a:xfrm>
                    <a:prstGeom prst="rect">
                      <a:avLst/>
                    </a:prstGeom>
                    <a:noFill/>
                  </pic:spPr>
                </pic:pic>
              </a:graphicData>
            </a:graphic>
          </wp:anchor>
        </w:drawing>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b w:val="1"/>
          <w:bCs w:val="1"/>
          <w:color w:val="FFFFFF"/>
        </w:rPr>
        <w:t>12. Appendix</w:t>
      </w:r>
    </w:p>
    <w:p>
      <w:pPr>
        <w:spacing w:after="0" w:line="80"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Mibanco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120650</wp:posOffset>
            </wp:positionV>
            <wp:extent cx="5424805" cy="208026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424805" cy="2080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BCP Bolivia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868680</wp:posOffset>
            </wp:positionH>
            <wp:positionV relativeFrom="paragraph">
              <wp:posOffset>120650</wp:posOffset>
            </wp:positionV>
            <wp:extent cx="5353685" cy="237871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353685" cy="2378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33020</wp:posOffset>
            </wp:positionV>
            <wp:extent cx="7143750" cy="1587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00"/>
          </w:cols>
          <w:pgMar w:left="360" w:top="337" w:right="339" w:bottom="1440" w:gutter="0" w:footer="0" w:header="0"/>
        </w:sectPr>
      </w:pPr>
    </w:p>
    <w:bookmarkStart w:id="57" w:name="page58"/>
    <w:bookmarkEnd w:id="57"/>
    <w:p>
      <w:pPr>
        <w:ind w:left="2960"/>
        <w:spacing w:after="0"/>
        <w:tabs>
          <w:tab w:leader="none" w:pos="3140" w:val="left"/>
          <w:tab w:leader="none" w:pos="7700" w:val="left"/>
        </w:tabs>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202565</wp:posOffset>
            </wp:positionH>
            <wp:positionV relativeFrom="page">
              <wp:posOffset>88900</wp:posOffset>
            </wp:positionV>
            <wp:extent cx="7143750" cy="41592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3750" cy="415925"/>
                    </a:xfrm>
                    <a:prstGeom prst="rect">
                      <a:avLst/>
                    </a:prstGeom>
                    <a:noFill/>
                  </pic:spPr>
                </pic:pic>
              </a:graphicData>
            </a:graphic>
          </wp:anchor>
        </w:drawing>
        <w:t>|</w:t>
      </w:r>
      <w:r>
        <w:rPr>
          <w:sz w:val="20"/>
          <w:szCs w:val="20"/>
          <w:color w:val="auto"/>
        </w:rPr>
        <w:tab/>
      </w:r>
      <w:r>
        <w:rPr>
          <w:rFonts w:ascii="Arial" w:cs="Arial" w:eastAsia="Arial" w:hAnsi="Arial"/>
          <w:sz w:val="16"/>
          <w:szCs w:val="16"/>
          <w:b w:val="1"/>
          <w:bCs w:val="1"/>
          <w:color w:val="FFFFFF"/>
        </w:rPr>
        <w:t>Earnings Release 3Q / 2023</w:t>
      </w:r>
      <w:r>
        <w:rPr>
          <w:sz w:val="20"/>
          <w:szCs w:val="20"/>
          <w:color w:val="auto"/>
        </w:rPr>
        <w:tab/>
      </w:r>
      <w:r>
        <w:rPr>
          <w:rFonts w:ascii="Arial" w:cs="Arial" w:eastAsia="Arial" w:hAnsi="Arial"/>
          <w:sz w:val="18"/>
          <w:szCs w:val="18"/>
          <w:b w:val="1"/>
          <w:bCs w:val="1"/>
          <w:color w:val="E93CAC"/>
        </w:rPr>
        <w:t>Analysis of 3Q23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175260</wp:posOffset>
            </wp:positionV>
            <wp:extent cx="7143750" cy="2038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3750" cy="203835"/>
                    </a:xfrm>
                    <a:prstGeom prst="rect">
                      <a:avLst/>
                    </a:prstGeom>
                    <a:noFill/>
                  </pic:spPr>
                </pic:pic>
              </a:graphicData>
            </a:graphic>
          </wp:anchor>
        </w:drawing>
      </w:r>
    </w:p>
    <w:p>
      <w:pPr>
        <w:spacing w:after="0" w:line="275"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FFFFFF"/>
        </w:rPr>
        <w:t>12. Appendix</w:t>
      </w:r>
    </w:p>
    <w:p>
      <w:pPr>
        <w:spacing w:after="0" w:line="51"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460" w:type="dxa"/>
            <w:vAlign w:val="bottom"/>
          </w:tcPr>
          <w:p>
            <w:pPr>
              <w:spacing w:after="0"/>
              <w:rPr>
                <w:sz w:val="20"/>
                <w:szCs w:val="20"/>
                <w:color w:val="auto"/>
              </w:rPr>
            </w:pPr>
            <w:r>
              <w:rPr>
                <w:rFonts w:ascii="Arial" w:cs="Arial" w:eastAsia="Arial" w:hAnsi="Arial"/>
                <w:sz w:val="16"/>
                <w:szCs w:val="16"/>
                <w:b w:val="1"/>
                <w:bCs w:val="1"/>
                <w:color w:val="auto"/>
              </w:rPr>
              <w:t>12.4</w:t>
            </w:r>
          </w:p>
        </w:tc>
        <w:tc>
          <w:tcPr>
            <w:tcW w:w="2740" w:type="dxa"/>
            <w:vAlign w:val="bottom"/>
          </w:tcPr>
          <w:p>
            <w:pPr>
              <w:ind w:left="80"/>
              <w:spacing w:after="0"/>
              <w:rPr>
                <w:sz w:val="20"/>
                <w:szCs w:val="20"/>
                <w:color w:val="auto"/>
              </w:rPr>
            </w:pPr>
            <w:r>
              <w:rPr>
                <w:rFonts w:ascii="Arial" w:cs="Arial" w:eastAsia="Arial" w:hAnsi="Arial"/>
                <w:sz w:val="16"/>
                <w:szCs w:val="16"/>
                <w:b w:val="1"/>
                <w:bCs w:val="1"/>
                <w:color w:val="auto"/>
              </w:rPr>
              <w:t>Net Interest Income (NII)</w:t>
            </w:r>
          </w:p>
        </w:tc>
        <w:tc>
          <w:tcPr>
            <w:tcW w:w="1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jc w:val="right"/>
              <w:ind w:right="29"/>
              <w:spacing w:after="0"/>
              <w:rPr>
                <w:sz w:val="20"/>
                <w:szCs w:val="20"/>
                <w:color w:val="auto"/>
              </w:rPr>
            </w:pPr>
            <w:r>
              <w:rPr>
                <w:rFonts w:ascii="Arial" w:cs="Arial" w:eastAsia="Arial" w:hAnsi="Arial"/>
                <w:sz w:val="15"/>
                <w:szCs w:val="15"/>
                <w:b w:val="1"/>
                <w:bCs w:val="1"/>
                <w:color w:val="auto"/>
                <w:w w:val="98"/>
              </w:rPr>
              <w:t>NII Summary</w:t>
            </w:r>
          </w:p>
        </w:tc>
        <w:tc>
          <w:tcPr>
            <w:tcW w:w="7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200" w:type="dxa"/>
            <w:vAlign w:val="bottom"/>
            <w:tcBorders>
              <w:bottom w:val="single" w:sz="8" w:color="auto"/>
            </w:tcBorders>
            <w:gridSpan w:val="2"/>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7"/>
        </w:trPr>
        <w:tc>
          <w:tcPr>
            <w:tcW w:w="3200" w:type="dxa"/>
            <w:vAlign w:val="bottom"/>
            <w:tcBorders>
              <w:left w:val="single" w:sz="8" w:color="auto"/>
              <w:right w:val="single" w:sz="8" w:color="auto"/>
            </w:tcBorders>
            <w:gridSpan w:val="2"/>
            <w:shd w:val="clear" w:color="auto" w:fill="2AD2C8"/>
          </w:tcPr>
          <w:p>
            <w:pPr>
              <w:ind w:left="20"/>
              <w:spacing w:after="0" w:line="97" w:lineRule="exact"/>
              <w:rPr>
                <w:sz w:val="20"/>
                <w:szCs w:val="20"/>
                <w:color w:val="auto"/>
              </w:rPr>
            </w:pPr>
            <w:r>
              <w:rPr>
                <w:rFonts w:ascii="Arial" w:cs="Arial" w:eastAsia="Arial" w:hAnsi="Arial"/>
                <w:sz w:val="10"/>
                <w:szCs w:val="10"/>
                <w:b w:val="1"/>
                <w:bCs w:val="1"/>
                <w:color w:val="FFFFFF"/>
              </w:rPr>
              <w:t>Net interest income</w:t>
            </w:r>
          </w:p>
        </w:tc>
        <w:tc>
          <w:tcPr>
            <w:tcW w:w="1120" w:type="dxa"/>
            <w:vAlign w:val="bottom"/>
            <w:vMerge w:val="restart"/>
            <w:shd w:val="clear" w:color="auto" w:fill="2AD2C8"/>
          </w:tcPr>
          <w:p>
            <w:pPr>
              <w:jc w:val="right"/>
              <w:ind w:right="430"/>
              <w:spacing w:after="0"/>
              <w:rPr>
                <w:sz w:val="20"/>
                <w:szCs w:val="20"/>
                <w:color w:val="auto"/>
              </w:rPr>
            </w:pPr>
            <w:r>
              <w:rPr>
                <w:rFonts w:ascii="Arial" w:cs="Arial" w:eastAsia="Arial" w:hAnsi="Arial"/>
                <w:sz w:val="12"/>
                <w:szCs w:val="12"/>
                <w:b w:val="1"/>
                <w:bCs w:val="1"/>
                <w:color w:val="FFFFFF"/>
              </w:rPr>
              <w:t>3Q22</w:t>
            </w:r>
          </w:p>
        </w:tc>
        <w:tc>
          <w:tcPr>
            <w:tcW w:w="840" w:type="dxa"/>
            <w:vAlign w:val="bottom"/>
            <w:shd w:val="clear" w:color="auto" w:fill="2AD2C8"/>
          </w:tcPr>
          <w:p>
            <w:pPr>
              <w:jc w:val="right"/>
              <w:ind w:right="230"/>
              <w:spacing w:after="0" w:line="97" w:lineRule="exact"/>
              <w:rPr>
                <w:sz w:val="20"/>
                <w:szCs w:val="20"/>
                <w:color w:val="auto"/>
              </w:rPr>
            </w:pPr>
            <w:r>
              <w:rPr>
                <w:rFonts w:ascii="Arial" w:cs="Arial" w:eastAsia="Arial" w:hAnsi="Arial"/>
                <w:sz w:val="10"/>
                <w:szCs w:val="10"/>
                <w:b w:val="1"/>
                <w:bCs w:val="1"/>
                <w:color w:val="FFFFFF"/>
              </w:rPr>
              <w:t>Quarter</w:t>
            </w:r>
          </w:p>
        </w:tc>
        <w:tc>
          <w:tcPr>
            <w:tcW w:w="1000" w:type="dxa"/>
            <w:vAlign w:val="bottom"/>
            <w:tcBorders>
              <w:right w:val="single" w:sz="8" w:color="auto"/>
            </w:tcBorders>
            <w:vMerge w:val="restart"/>
            <w:shd w:val="clear" w:color="auto" w:fill="2AD2C8"/>
          </w:tcPr>
          <w:p>
            <w:pPr>
              <w:jc w:val="right"/>
              <w:ind w:right="309"/>
              <w:spacing w:after="0"/>
              <w:rPr>
                <w:sz w:val="20"/>
                <w:szCs w:val="20"/>
                <w:color w:val="auto"/>
              </w:rPr>
            </w:pPr>
            <w:r>
              <w:rPr>
                <w:rFonts w:ascii="Arial" w:cs="Arial" w:eastAsia="Arial" w:hAnsi="Arial"/>
                <w:sz w:val="12"/>
                <w:szCs w:val="12"/>
                <w:b w:val="1"/>
                <w:bCs w:val="1"/>
                <w:color w:val="FFFFFF"/>
              </w:rPr>
              <w:t>3Q23</w:t>
            </w:r>
          </w:p>
        </w:tc>
        <w:tc>
          <w:tcPr>
            <w:tcW w:w="720" w:type="dxa"/>
            <w:vAlign w:val="bottom"/>
            <w:vMerge w:val="restart"/>
            <w:shd w:val="clear" w:color="auto" w:fill="2AD2C8"/>
          </w:tcPr>
          <w:p>
            <w:pPr>
              <w:jc w:val="center"/>
              <w:ind w:left="230"/>
              <w:spacing w:after="0"/>
              <w:rPr>
                <w:sz w:val="20"/>
                <w:szCs w:val="20"/>
                <w:color w:val="auto"/>
              </w:rPr>
            </w:pPr>
            <w:r>
              <w:rPr>
                <w:rFonts w:ascii="Arial" w:cs="Arial" w:eastAsia="Arial" w:hAnsi="Arial"/>
                <w:sz w:val="12"/>
                <w:szCs w:val="12"/>
                <w:b w:val="1"/>
                <w:bCs w:val="1"/>
                <w:color w:val="FFFFFF"/>
                <w:w w:val="92"/>
              </w:rPr>
              <w:t>QoQ</w:t>
            </w:r>
          </w:p>
        </w:tc>
        <w:tc>
          <w:tcPr>
            <w:tcW w:w="1320" w:type="dxa"/>
            <w:vAlign w:val="bottom"/>
            <w:tcBorders>
              <w:right w:val="single" w:sz="8" w:color="auto"/>
            </w:tcBorders>
            <w:shd w:val="clear" w:color="auto" w:fill="2AD2C8"/>
          </w:tcPr>
          <w:p>
            <w:pPr>
              <w:ind w:left="20"/>
              <w:spacing w:after="0" w:line="97" w:lineRule="exact"/>
              <w:rPr>
                <w:sz w:val="20"/>
                <w:szCs w:val="20"/>
                <w:color w:val="auto"/>
              </w:rPr>
            </w:pPr>
            <w:r>
              <w:rPr>
                <w:rFonts w:ascii="Arial" w:cs="Arial" w:eastAsia="Arial" w:hAnsi="Arial"/>
                <w:sz w:val="10"/>
                <w:szCs w:val="10"/>
                <w:b w:val="1"/>
                <w:bCs w:val="1"/>
                <w:color w:val="FFFFFF"/>
              </w:rPr>
              <w:t>% change</w:t>
            </w:r>
          </w:p>
        </w:tc>
        <w:tc>
          <w:tcPr>
            <w:tcW w:w="1240" w:type="dxa"/>
            <w:vAlign w:val="bottom"/>
            <w:shd w:val="clear" w:color="auto" w:fill="2AD2C8"/>
          </w:tcPr>
          <w:p>
            <w:pPr>
              <w:jc w:val="right"/>
              <w:ind w:right="30"/>
              <w:spacing w:after="0" w:line="97" w:lineRule="exact"/>
              <w:rPr>
                <w:sz w:val="20"/>
                <w:szCs w:val="20"/>
                <w:color w:val="auto"/>
              </w:rPr>
            </w:pPr>
            <w:r>
              <w:rPr>
                <w:rFonts w:ascii="Arial" w:cs="Arial" w:eastAsia="Arial" w:hAnsi="Arial"/>
                <w:sz w:val="10"/>
                <w:szCs w:val="10"/>
                <w:b w:val="1"/>
                <w:bCs w:val="1"/>
                <w:color w:val="FFFFFF"/>
              </w:rPr>
              <w:t>As of</w:t>
            </w:r>
          </w:p>
        </w:tc>
        <w:tc>
          <w:tcPr>
            <w:tcW w:w="820" w:type="dxa"/>
            <w:vAlign w:val="bottom"/>
            <w:tcBorders>
              <w:right w:val="single" w:sz="8" w:color="auto"/>
            </w:tcBorders>
            <w:vMerge w:val="restart"/>
            <w:shd w:val="clear" w:color="auto" w:fill="2AD2C8"/>
          </w:tcPr>
          <w:p>
            <w:pPr>
              <w:jc w:val="right"/>
              <w:ind w:right="310"/>
              <w:spacing w:after="0"/>
              <w:rPr>
                <w:sz w:val="20"/>
                <w:szCs w:val="20"/>
                <w:color w:val="auto"/>
              </w:rPr>
            </w:pPr>
            <w:r>
              <w:rPr>
                <w:rFonts w:ascii="Arial" w:cs="Arial" w:eastAsia="Arial" w:hAnsi="Arial"/>
                <w:sz w:val="12"/>
                <w:szCs w:val="12"/>
                <w:b w:val="1"/>
                <w:bCs w:val="1"/>
                <w:color w:val="FFFFFF"/>
              </w:rPr>
              <w:t>Sep 23</w:t>
            </w:r>
          </w:p>
        </w:tc>
        <w:tc>
          <w:tcPr>
            <w:tcW w:w="1000" w:type="dxa"/>
            <w:vAlign w:val="bottom"/>
            <w:tcBorders>
              <w:right w:val="single" w:sz="8" w:color="auto"/>
            </w:tcBorders>
            <w:shd w:val="clear" w:color="auto" w:fill="2AD2C8"/>
          </w:tcPr>
          <w:p>
            <w:pPr>
              <w:jc w:val="center"/>
              <w:spacing w:after="0" w:line="97" w:lineRule="exact"/>
              <w:rPr>
                <w:sz w:val="20"/>
                <w:szCs w:val="20"/>
                <w:color w:val="auto"/>
              </w:rPr>
            </w:pPr>
            <w:r>
              <w:rPr>
                <w:rFonts w:ascii="Arial" w:cs="Arial" w:eastAsia="Arial" w:hAnsi="Arial"/>
                <w:sz w:val="10"/>
                <w:szCs w:val="10"/>
                <w:b w:val="1"/>
                <w:bCs w:val="1"/>
                <w:color w:val="FFFFFF"/>
              </w:rPr>
              <w:t>change %</w:t>
            </w:r>
          </w:p>
        </w:tc>
        <w:tc>
          <w:tcPr>
            <w:tcW w:w="0" w:type="dxa"/>
            <w:vAlign w:val="bottom"/>
          </w:tcPr>
          <w:p>
            <w:pPr>
              <w:spacing w:after="0"/>
              <w:rPr>
                <w:sz w:val="1"/>
                <w:szCs w:val="1"/>
                <w:color w:val="auto"/>
              </w:rPr>
            </w:pPr>
          </w:p>
        </w:tc>
      </w:tr>
      <w:tr>
        <w:trPr>
          <w:trHeight w:val="143"/>
        </w:trPr>
        <w:tc>
          <w:tcPr>
            <w:tcW w:w="460" w:type="dxa"/>
            <w:vAlign w:val="bottom"/>
            <w:tcBorders>
              <w:left w:val="single" w:sz="8" w:color="auto"/>
              <w:bottom w:val="single" w:sz="8" w:color="auto"/>
            </w:tcBorders>
            <w:shd w:val="clear" w:color="auto" w:fill="2AD2C8"/>
          </w:tcPr>
          <w:p>
            <w:pPr>
              <w:ind w:left="20"/>
              <w:spacing w:after="0"/>
              <w:rPr>
                <w:sz w:val="20"/>
                <w:szCs w:val="20"/>
                <w:color w:val="auto"/>
              </w:rPr>
            </w:pPr>
            <w:r>
              <w:rPr>
                <w:rFonts w:ascii="Arial" w:cs="Arial" w:eastAsia="Arial" w:hAnsi="Arial"/>
                <w:sz w:val="12"/>
                <w:szCs w:val="12"/>
                <w:b w:val="1"/>
                <w:bCs w:val="1"/>
                <w:color w:val="FFFFFF"/>
              </w:rPr>
              <w:t>S/ 000</w:t>
            </w:r>
          </w:p>
        </w:tc>
        <w:tc>
          <w:tcPr>
            <w:tcW w:w="2740" w:type="dxa"/>
            <w:vAlign w:val="bottom"/>
            <w:tcBorders>
              <w:bottom w:val="single" w:sz="8" w:color="auto"/>
              <w:right w:val="single" w:sz="8" w:color="auto"/>
            </w:tcBorders>
            <w:shd w:val="clear" w:color="auto" w:fill="2AD2C8"/>
          </w:tcPr>
          <w:p>
            <w:pPr>
              <w:spacing w:after="0"/>
              <w:rPr>
                <w:sz w:val="12"/>
                <w:szCs w:val="12"/>
                <w:color w:val="auto"/>
              </w:rPr>
            </w:pPr>
          </w:p>
        </w:tc>
        <w:tc>
          <w:tcPr>
            <w:tcW w:w="1120" w:type="dxa"/>
            <w:vAlign w:val="bottom"/>
            <w:tcBorders>
              <w:bottom w:val="single" w:sz="8" w:color="auto"/>
            </w:tcBorders>
            <w:vMerge w:val="continue"/>
            <w:shd w:val="clear" w:color="auto" w:fill="2AD2C8"/>
          </w:tcPr>
          <w:p>
            <w:pPr>
              <w:spacing w:after="0"/>
              <w:rPr>
                <w:sz w:val="12"/>
                <w:szCs w:val="12"/>
                <w:color w:val="auto"/>
              </w:rPr>
            </w:pPr>
          </w:p>
        </w:tc>
        <w:tc>
          <w:tcPr>
            <w:tcW w:w="840" w:type="dxa"/>
            <w:vAlign w:val="bottom"/>
            <w:tcBorders>
              <w:bottom w:val="single" w:sz="8" w:color="auto"/>
            </w:tcBorders>
            <w:shd w:val="clear" w:color="auto" w:fill="2AD2C8"/>
          </w:tcPr>
          <w:p>
            <w:pPr>
              <w:jc w:val="right"/>
              <w:ind w:right="290"/>
              <w:spacing w:after="0"/>
              <w:rPr>
                <w:sz w:val="20"/>
                <w:szCs w:val="20"/>
                <w:color w:val="auto"/>
              </w:rPr>
            </w:pPr>
            <w:r>
              <w:rPr>
                <w:rFonts w:ascii="Arial" w:cs="Arial" w:eastAsia="Arial" w:hAnsi="Arial"/>
                <w:sz w:val="12"/>
                <w:szCs w:val="12"/>
                <w:b w:val="1"/>
                <w:bCs w:val="1"/>
                <w:color w:val="FFFFFF"/>
              </w:rPr>
              <w:t>2Q23</w:t>
            </w:r>
          </w:p>
        </w:tc>
        <w:tc>
          <w:tcPr>
            <w:tcW w:w="1000" w:type="dxa"/>
            <w:vAlign w:val="bottom"/>
            <w:tcBorders>
              <w:bottom w:val="single" w:sz="8" w:color="auto"/>
              <w:right w:val="single" w:sz="8" w:color="auto"/>
            </w:tcBorders>
            <w:vMerge w:val="continue"/>
            <w:shd w:val="clear" w:color="auto" w:fill="2AD2C8"/>
          </w:tcPr>
          <w:p>
            <w:pPr>
              <w:spacing w:after="0"/>
              <w:rPr>
                <w:sz w:val="12"/>
                <w:szCs w:val="12"/>
                <w:color w:val="auto"/>
              </w:rPr>
            </w:pPr>
          </w:p>
        </w:tc>
        <w:tc>
          <w:tcPr>
            <w:tcW w:w="720" w:type="dxa"/>
            <w:vAlign w:val="bottom"/>
            <w:tcBorders>
              <w:bottom w:val="single" w:sz="8" w:color="auto"/>
            </w:tcBorders>
            <w:vMerge w:val="continue"/>
            <w:shd w:val="clear" w:color="auto" w:fill="2AD2C8"/>
          </w:tcPr>
          <w:p>
            <w:pPr>
              <w:spacing w:after="0"/>
              <w:rPr>
                <w:sz w:val="12"/>
                <w:szCs w:val="12"/>
                <w:color w:val="auto"/>
              </w:rPr>
            </w:pPr>
          </w:p>
        </w:tc>
        <w:tc>
          <w:tcPr>
            <w:tcW w:w="1320" w:type="dxa"/>
            <w:vAlign w:val="bottom"/>
            <w:tcBorders>
              <w:bottom w:val="single" w:sz="8" w:color="auto"/>
              <w:right w:val="single" w:sz="8" w:color="auto"/>
            </w:tcBorders>
            <w:shd w:val="clear" w:color="auto" w:fill="2AD2C8"/>
          </w:tcPr>
          <w:p>
            <w:pPr>
              <w:jc w:val="center"/>
              <w:ind w:left="210"/>
              <w:spacing w:after="0"/>
              <w:rPr>
                <w:sz w:val="20"/>
                <w:szCs w:val="20"/>
                <w:color w:val="auto"/>
              </w:rPr>
            </w:pPr>
            <w:r>
              <w:rPr>
                <w:rFonts w:ascii="Arial" w:cs="Arial" w:eastAsia="Arial" w:hAnsi="Arial"/>
                <w:sz w:val="12"/>
                <w:szCs w:val="12"/>
                <w:b w:val="1"/>
                <w:bCs w:val="1"/>
                <w:color w:val="FFFFFF"/>
                <w:w w:val="94"/>
              </w:rPr>
              <w:t>YoY</w:t>
            </w:r>
          </w:p>
        </w:tc>
        <w:tc>
          <w:tcPr>
            <w:tcW w:w="1240" w:type="dxa"/>
            <w:vAlign w:val="bottom"/>
            <w:tcBorders>
              <w:bottom w:val="single" w:sz="8" w:color="auto"/>
            </w:tcBorders>
            <w:shd w:val="clear" w:color="auto" w:fill="2AD2C8"/>
          </w:tcPr>
          <w:p>
            <w:pPr>
              <w:jc w:val="right"/>
              <w:ind w:right="510"/>
              <w:spacing w:after="0"/>
              <w:rPr>
                <w:sz w:val="20"/>
                <w:szCs w:val="20"/>
                <w:color w:val="auto"/>
              </w:rPr>
            </w:pPr>
            <w:r>
              <w:rPr>
                <w:rFonts w:ascii="Arial" w:cs="Arial" w:eastAsia="Arial" w:hAnsi="Arial"/>
                <w:sz w:val="12"/>
                <w:szCs w:val="12"/>
                <w:b w:val="1"/>
                <w:bCs w:val="1"/>
                <w:color w:val="FFFFFF"/>
              </w:rPr>
              <w:t>Sep 22</w:t>
            </w:r>
          </w:p>
        </w:tc>
        <w:tc>
          <w:tcPr>
            <w:tcW w:w="820" w:type="dxa"/>
            <w:vAlign w:val="bottom"/>
            <w:tcBorders>
              <w:bottom w:val="single" w:sz="8" w:color="auto"/>
              <w:right w:val="single" w:sz="8" w:color="auto"/>
            </w:tcBorders>
            <w:vMerge w:val="continue"/>
            <w:shd w:val="clear" w:color="auto" w:fill="2AD2C8"/>
          </w:tcPr>
          <w:p>
            <w:pPr>
              <w:spacing w:after="0"/>
              <w:rPr>
                <w:sz w:val="12"/>
                <w:szCs w:val="12"/>
                <w:color w:val="auto"/>
              </w:rPr>
            </w:pPr>
          </w:p>
        </w:tc>
        <w:tc>
          <w:tcPr>
            <w:tcW w:w="1000" w:type="dxa"/>
            <w:vAlign w:val="bottom"/>
            <w:tcBorders>
              <w:bottom w:val="single" w:sz="8" w:color="auto"/>
              <w:right w:val="single" w:sz="8" w:color="auto"/>
            </w:tcBorders>
            <w:shd w:val="clear" w:color="auto" w:fill="2AD2C8"/>
          </w:tcPr>
          <w:p>
            <w:pPr>
              <w:jc w:val="center"/>
              <w:spacing w:after="0"/>
              <w:rPr>
                <w:sz w:val="20"/>
                <w:szCs w:val="20"/>
                <w:color w:val="auto"/>
              </w:rPr>
            </w:pPr>
            <w:r>
              <w:rPr>
                <w:rFonts w:ascii="Arial" w:cs="Arial" w:eastAsia="Arial" w:hAnsi="Arial"/>
                <w:sz w:val="12"/>
                <w:szCs w:val="12"/>
                <w:b w:val="1"/>
                <w:bCs w:val="1"/>
                <w:color w:val="FFFFFF"/>
                <w:w w:val="96"/>
              </w:rPr>
              <w:t>Sep 23 / Sep 22</w:t>
            </w:r>
          </w:p>
        </w:tc>
        <w:tc>
          <w:tcPr>
            <w:tcW w:w="0" w:type="dxa"/>
            <w:vAlign w:val="bottom"/>
          </w:tcPr>
          <w:p>
            <w:pPr>
              <w:spacing w:after="0"/>
              <w:rPr>
                <w:sz w:val="1"/>
                <w:szCs w:val="1"/>
                <w:color w:val="auto"/>
              </w:rPr>
            </w:pPr>
          </w:p>
        </w:tc>
      </w:tr>
      <w:tr>
        <w:trPr>
          <w:trHeight w:val="107"/>
        </w:trPr>
        <w:tc>
          <w:tcPr>
            <w:tcW w:w="3200" w:type="dxa"/>
            <w:vAlign w:val="bottom"/>
            <w:tcBorders>
              <w:left w:val="single" w:sz="8" w:color="auto"/>
              <w:right w:val="single" w:sz="8" w:color="auto"/>
            </w:tcBorders>
            <w:gridSpan w:val="2"/>
          </w:tcPr>
          <w:p>
            <w:pPr>
              <w:ind w:left="20"/>
              <w:spacing w:after="0" w:line="107" w:lineRule="exact"/>
              <w:rPr>
                <w:sz w:val="20"/>
                <w:szCs w:val="20"/>
                <w:color w:val="auto"/>
              </w:rPr>
            </w:pPr>
            <w:r>
              <w:rPr>
                <w:rFonts w:ascii="Arial" w:cs="Arial" w:eastAsia="Arial" w:hAnsi="Arial"/>
                <w:sz w:val="10"/>
                <w:szCs w:val="10"/>
                <w:b w:val="1"/>
                <w:bCs w:val="1"/>
                <w:color w:val="auto"/>
              </w:rPr>
              <w:t>Interest income</w:t>
            </w:r>
          </w:p>
        </w:tc>
        <w:tc>
          <w:tcPr>
            <w:tcW w:w="1120" w:type="dxa"/>
            <w:vAlign w:val="bottom"/>
          </w:tcPr>
          <w:p>
            <w:pPr>
              <w:jc w:val="right"/>
              <w:ind w:right="90"/>
              <w:spacing w:after="0" w:line="107" w:lineRule="exact"/>
              <w:rPr>
                <w:sz w:val="20"/>
                <w:szCs w:val="20"/>
                <w:color w:val="auto"/>
              </w:rPr>
            </w:pPr>
            <w:r>
              <w:rPr>
                <w:rFonts w:ascii="Arial" w:cs="Arial" w:eastAsia="Arial" w:hAnsi="Arial"/>
                <w:sz w:val="10"/>
                <w:szCs w:val="10"/>
                <w:b w:val="1"/>
                <w:bCs w:val="1"/>
                <w:color w:val="auto"/>
              </w:rPr>
              <w:t>3,988,684</w:t>
            </w:r>
          </w:p>
        </w:tc>
        <w:tc>
          <w:tcPr>
            <w:tcW w:w="840" w:type="dxa"/>
            <w:vAlign w:val="bottom"/>
          </w:tcPr>
          <w:p>
            <w:pPr>
              <w:jc w:val="right"/>
              <w:spacing w:after="0" w:line="107" w:lineRule="exact"/>
              <w:rPr>
                <w:sz w:val="20"/>
                <w:szCs w:val="20"/>
                <w:color w:val="auto"/>
              </w:rPr>
            </w:pPr>
            <w:r>
              <w:rPr>
                <w:rFonts w:ascii="Arial" w:cs="Arial" w:eastAsia="Arial" w:hAnsi="Arial"/>
                <w:sz w:val="10"/>
                <w:szCs w:val="10"/>
                <w:b w:val="1"/>
                <w:bCs w:val="1"/>
                <w:color w:val="auto"/>
              </w:rPr>
              <w:t>4,653,246</w:t>
            </w:r>
          </w:p>
        </w:tc>
        <w:tc>
          <w:tcPr>
            <w:tcW w:w="1000" w:type="dxa"/>
            <w:vAlign w:val="bottom"/>
            <w:tcBorders>
              <w:right w:val="single" w:sz="8" w:color="auto"/>
            </w:tcBorders>
          </w:tcPr>
          <w:p>
            <w:pPr>
              <w:jc w:val="right"/>
              <w:spacing w:after="0" w:line="107" w:lineRule="exact"/>
              <w:rPr>
                <w:sz w:val="20"/>
                <w:szCs w:val="20"/>
                <w:color w:val="auto"/>
              </w:rPr>
            </w:pPr>
            <w:r>
              <w:rPr>
                <w:rFonts w:ascii="Arial" w:cs="Arial" w:eastAsia="Arial" w:hAnsi="Arial"/>
                <w:sz w:val="10"/>
                <w:szCs w:val="10"/>
                <w:b w:val="1"/>
                <w:bCs w:val="1"/>
                <w:color w:val="auto"/>
              </w:rPr>
              <w:t>4,819,101</w:t>
            </w:r>
          </w:p>
        </w:tc>
        <w:tc>
          <w:tcPr>
            <w:tcW w:w="720" w:type="dxa"/>
            <w:vAlign w:val="bottom"/>
          </w:tcPr>
          <w:p>
            <w:pPr>
              <w:jc w:val="center"/>
              <w:ind w:left="210"/>
              <w:spacing w:after="0" w:line="107" w:lineRule="exact"/>
              <w:rPr>
                <w:sz w:val="20"/>
                <w:szCs w:val="20"/>
                <w:color w:val="auto"/>
              </w:rPr>
            </w:pPr>
            <w:r>
              <w:rPr>
                <w:rFonts w:ascii="Arial" w:cs="Arial" w:eastAsia="Arial" w:hAnsi="Arial"/>
                <w:sz w:val="10"/>
                <w:szCs w:val="10"/>
                <w:b w:val="1"/>
                <w:bCs w:val="1"/>
                <w:color w:val="auto"/>
                <w:w w:val="96"/>
              </w:rPr>
              <w:t>3.6%</w:t>
            </w:r>
          </w:p>
        </w:tc>
        <w:tc>
          <w:tcPr>
            <w:tcW w:w="1320" w:type="dxa"/>
            <w:vAlign w:val="bottom"/>
            <w:tcBorders>
              <w:right w:val="single" w:sz="8" w:color="auto"/>
            </w:tcBorders>
          </w:tcPr>
          <w:p>
            <w:pPr>
              <w:jc w:val="center"/>
              <w:ind w:left="210"/>
              <w:spacing w:after="0" w:line="107" w:lineRule="exact"/>
              <w:rPr>
                <w:sz w:val="20"/>
                <w:szCs w:val="20"/>
                <w:color w:val="auto"/>
              </w:rPr>
            </w:pPr>
            <w:r>
              <w:rPr>
                <w:rFonts w:ascii="Arial" w:cs="Arial" w:eastAsia="Arial" w:hAnsi="Arial"/>
                <w:sz w:val="10"/>
                <w:szCs w:val="10"/>
                <w:b w:val="1"/>
                <w:bCs w:val="1"/>
                <w:color w:val="auto"/>
              </w:rPr>
              <w:t>20.8%</w:t>
            </w:r>
          </w:p>
        </w:tc>
        <w:tc>
          <w:tcPr>
            <w:tcW w:w="1240" w:type="dxa"/>
            <w:vAlign w:val="bottom"/>
          </w:tcPr>
          <w:p>
            <w:pPr>
              <w:jc w:val="right"/>
              <w:ind w:right="190"/>
              <w:spacing w:after="0" w:line="107" w:lineRule="exact"/>
              <w:rPr>
                <w:sz w:val="20"/>
                <w:szCs w:val="20"/>
                <w:color w:val="auto"/>
              </w:rPr>
            </w:pPr>
            <w:r>
              <w:rPr>
                <w:rFonts w:ascii="Arial" w:cs="Arial" w:eastAsia="Arial" w:hAnsi="Arial"/>
                <w:sz w:val="10"/>
                <w:szCs w:val="10"/>
                <w:b w:val="1"/>
                <w:bCs w:val="1"/>
                <w:color w:val="auto"/>
              </w:rPr>
              <w:t>10,649,143</w:t>
            </w:r>
          </w:p>
        </w:tc>
        <w:tc>
          <w:tcPr>
            <w:tcW w:w="820" w:type="dxa"/>
            <w:vAlign w:val="bottom"/>
            <w:tcBorders>
              <w:right w:val="single" w:sz="8" w:color="auto"/>
            </w:tcBorders>
          </w:tcPr>
          <w:p>
            <w:pPr>
              <w:jc w:val="right"/>
              <w:spacing w:after="0" w:line="107" w:lineRule="exact"/>
              <w:rPr>
                <w:sz w:val="20"/>
                <w:szCs w:val="20"/>
                <w:color w:val="auto"/>
              </w:rPr>
            </w:pPr>
            <w:r>
              <w:rPr>
                <w:rFonts w:ascii="Arial" w:cs="Arial" w:eastAsia="Arial" w:hAnsi="Arial"/>
                <w:sz w:val="10"/>
                <w:szCs w:val="10"/>
                <w:b w:val="1"/>
                <w:bCs w:val="1"/>
                <w:color w:val="auto"/>
              </w:rPr>
              <w:t>13,928,453</w:t>
            </w:r>
          </w:p>
        </w:tc>
        <w:tc>
          <w:tcPr>
            <w:tcW w:w="1000" w:type="dxa"/>
            <w:vAlign w:val="bottom"/>
            <w:tcBorders>
              <w:right w:val="single" w:sz="8" w:color="auto"/>
            </w:tcBorders>
          </w:tcPr>
          <w:p>
            <w:pPr>
              <w:jc w:val="center"/>
              <w:spacing w:after="0" w:line="107" w:lineRule="exact"/>
              <w:rPr>
                <w:sz w:val="20"/>
                <w:szCs w:val="20"/>
                <w:color w:val="auto"/>
              </w:rPr>
            </w:pPr>
            <w:r>
              <w:rPr>
                <w:rFonts w:ascii="Arial" w:cs="Arial" w:eastAsia="Arial" w:hAnsi="Arial"/>
                <w:sz w:val="10"/>
                <w:szCs w:val="10"/>
                <w:b w:val="1"/>
                <w:bCs w:val="1"/>
                <w:color w:val="auto"/>
                <w:w w:val="98"/>
              </w:rPr>
              <w:t>30.8%</w:t>
            </w:r>
          </w:p>
        </w:tc>
        <w:tc>
          <w:tcPr>
            <w:tcW w:w="0" w:type="dxa"/>
            <w:vAlign w:val="bottom"/>
          </w:tcPr>
          <w:p>
            <w:pPr>
              <w:spacing w:after="0"/>
              <w:rPr>
                <w:sz w:val="1"/>
                <w:szCs w:val="1"/>
                <w:color w:val="auto"/>
              </w:rPr>
            </w:pPr>
          </w:p>
        </w:tc>
      </w:tr>
      <w:tr>
        <w:trPr>
          <w:trHeight w:val="111"/>
        </w:trPr>
        <w:tc>
          <w:tcPr>
            <w:tcW w:w="3200" w:type="dxa"/>
            <w:vAlign w:val="bottom"/>
            <w:tcBorders>
              <w:left w:val="single" w:sz="8" w:color="auto"/>
              <w:right w:val="single" w:sz="8" w:color="auto"/>
            </w:tcBorders>
            <w:gridSpan w:val="2"/>
          </w:tcPr>
          <w:p>
            <w:pPr>
              <w:ind w:left="160"/>
              <w:spacing w:after="0" w:line="112" w:lineRule="exact"/>
              <w:rPr>
                <w:sz w:val="20"/>
                <w:szCs w:val="20"/>
                <w:color w:val="auto"/>
              </w:rPr>
            </w:pPr>
            <w:r>
              <w:rPr>
                <w:rFonts w:ascii="Arial" w:cs="Arial" w:eastAsia="Arial" w:hAnsi="Arial"/>
                <w:sz w:val="10"/>
                <w:szCs w:val="10"/>
                <w:color w:val="auto"/>
              </w:rPr>
              <w:t>Interest on loans</w:t>
            </w:r>
          </w:p>
        </w:tc>
        <w:tc>
          <w:tcPr>
            <w:tcW w:w="1120" w:type="dxa"/>
            <w:vAlign w:val="bottom"/>
          </w:tcPr>
          <w:p>
            <w:pPr>
              <w:jc w:val="right"/>
              <w:ind w:right="90"/>
              <w:spacing w:after="0" w:line="112" w:lineRule="exact"/>
              <w:rPr>
                <w:sz w:val="20"/>
                <w:szCs w:val="20"/>
                <w:color w:val="auto"/>
              </w:rPr>
            </w:pPr>
            <w:r>
              <w:rPr>
                <w:rFonts w:ascii="Arial" w:cs="Arial" w:eastAsia="Arial" w:hAnsi="Arial"/>
                <w:sz w:val="10"/>
                <w:szCs w:val="10"/>
                <w:color w:val="auto"/>
              </w:rPr>
              <w:t>3,288,864</w:t>
            </w:r>
          </w:p>
        </w:tc>
        <w:tc>
          <w:tcPr>
            <w:tcW w:w="840" w:type="dxa"/>
            <w:vAlign w:val="bottom"/>
          </w:tcPr>
          <w:p>
            <w:pPr>
              <w:jc w:val="right"/>
              <w:spacing w:after="0" w:line="112" w:lineRule="exact"/>
              <w:rPr>
                <w:sz w:val="20"/>
                <w:szCs w:val="20"/>
                <w:color w:val="auto"/>
              </w:rPr>
            </w:pPr>
            <w:r>
              <w:rPr>
                <w:rFonts w:ascii="Arial" w:cs="Arial" w:eastAsia="Arial" w:hAnsi="Arial"/>
                <w:sz w:val="10"/>
                <w:szCs w:val="10"/>
                <w:color w:val="auto"/>
              </w:rPr>
              <w:t>3,712,845</w:t>
            </w:r>
          </w:p>
        </w:tc>
        <w:tc>
          <w:tcPr>
            <w:tcW w:w="1000" w:type="dxa"/>
            <w:vAlign w:val="bottom"/>
            <w:tcBorders>
              <w:right w:val="single" w:sz="8" w:color="auto"/>
            </w:tcBorders>
          </w:tcPr>
          <w:p>
            <w:pPr>
              <w:jc w:val="right"/>
              <w:spacing w:after="0" w:line="112" w:lineRule="exact"/>
              <w:rPr>
                <w:sz w:val="20"/>
                <w:szCs w:val="20"/>
                <w:color w:val="auto"/>
              </w:rPr>
            </w:pPr>
            <w:r>
              <w:rPr>
                <w:rFonts w:ascii="Arial" w:cs="Arial" w:eastAsia="Arial" w:hAnsi="Arial"/>
                <w:sz w:val="10"/>
                <w:szCs w:val="10"/>
                <w:color w:val="auto"/>
              </w:rPr>
              <w:t>3,853,361</w:t>
            </w:r>
          </w:p>
        </w:tc>
        <w:tc>
          <w:tcPr>
            <w:tcW w:w="720" w:type="dxa"/>
            <w:vAlign w:val="bottom"/>
          </w:tcPr>
          <w:p>
            <w:pPr>
              <w:jc w:val="center"/>
              <w:ind w:left="210"/>
              <w:spacing w:after="0" w:line="112" w:lineRule="exact"/>
              <w:rPr>
                <w:sz w:val="20"/>
                <w:szCs w:val="20"/>
                <w:color w:val="auto"/>
              </w:rPr>
            </w:pPr>
            <w:r>
              <w:rPr>
                <w:rFonts w:ascii="Arial" w:cs="Arial" w:eastAsia="Arial" w:hAnsi="Arial"/>
                <w:sz w:val="10"/>
                <w:szCs w:val="10"/>
                <w:color w:val="auto"/>
                <w:w w:val="96"/>
              </w:rPr>
              <w:t>3.8%</w:t>
            </w:r>
          </w:p>
        </w:tc>
        <w:tc>
          <w:tcPr>
            <w:tcW w:w="1320" w:type="dxa"/>
            <w:vAlign w:val="bottom"/>
            <w:tcBorders>
              <w:right w:val="single" w:sz="8" w:color="auto"/>
            </w:tcBorders>
          </w:tcPr>
          <w:p>
            <w:pPr>
              <w:jc w:val="center"/>
              <w:ind w:left="210"/>
              <w:spacing w:after="0" w:line="112" w:lineRule="exact"/>
              <w:rPr>
                <w:sz w:val="20"/>
                <w:szCs w:val="20"/>
                <w:color w:val="auto"/>
              </w:rPr>
            </w:pPr>
            <w:r>
              <w:rPr>
                <w:rFonts w:ascii="Arial" w:cs="Arial" w:eastAsia="Arial" w:hAnsi="Arial"/>
                <w:sz w:val="10"/>
                <w:szCs w:val="10"/>
                <w:color w:val="auto"/>
              </w:rPr>
              <w:t>17.2%</w:t>
            </w:r>
          </w:p>
        </w:tc>
        <w:tc>
          <w:tcPr>
            <w:tcW w:w="1240" w:type="dxa"/>
            <w:vAlign w:val="bottom"/>
          </w:tcPr>
          <w:p>
            <w:pPr>
              <w:jc w:val="right"/>
              <w:ind w:right="190"/>
              <w:spacing w:after="0" w:line="112" w:lineRule="exact"/>
              <w:rPr>
                <w:sz w:val="20"/>
                <w:szCs w:val="20"/>
                <w:color w:val="auto"/>
              </w:rPr>
            </w:pPr>
            <w:r>
              <w:rPr>
                <w:rFonts w:ascii="Arial" w:cs="Arial" w:eastAsia="Arial" w:hAnsi="Arial"/>
                <w:sz w:val="10"/>
                <w:szCs w:val="10"/>
                <w:color w:val="auto"/>
              </w:rPr>
              <w:t>8,904,198</w:t>
            </w:r>
          </w:p>
        </w:tc>
        <w:tc>
          <w:tcPr>
            <w:tcW w:w="820" w:type="dxa"/>
            <w:vAlign w:val="bottom"/>
            <w:tcBorders>
              <w:right w:val="single" w:sz="8" w:color="auto"/>
            </w:tcBorders>
          </w:tcPr>
          <w:p>
            <w:pPr>
              <w:jc w:val="right"/>
              <w:spacing w:after="0" w:line="112" w:lineRule="exact"/>
              <w:rPr>
                <w:sz w:val="20"/>
                <w:szCs w:val="20"/>
                <w:color w:val="auto"/>
              </w:rPr>
            </w:pPr>
            <w:r>
              <w:rPr>
                <w:rFonts w:ascii="Arial" w:cs="Arial" w:eastAsia="Arial" w:hAnsi="Arial"/>
                <w:sz w:val="10"/>
                <w:szCs w:val="10"/>
                <w:color w:val="auto"/>
              </w:rPr>
              <w:t>11,137,158</w:t>
            </w:r>
          </w:p>
        </w:tc>
        <w:tc>
          <w:tcPr>
            <w:tcW w:w="1000" w:type="dxa"/>
            <w:vAlign w:val="bottom"/>
            <w:tcBorders>
              <w:right w:val="single" w:sz="8" w:color="auto"/>
            </w:tcBorders>
          </w:tcPr>
          <w:p>
            <w:pPr>
              <w:jc w:val="center"/>
              <w:spacing w:after="0" w:line="112" w:lineRule="exact"/>
              <w:rPr>
                <w:sz w:val="20"/>
                <w:szCs w:val="20"/>
                <w:color w:val="auto"/>
              </w:rPr>
            </w:pPr>
            <w:r>
              <w:rPr>
                <w:rFonts w:ascii="Arial" w:cs="Arial" w:eastAsia="Arial" w:hAnsi="Arial"/>
                <w:sz w:val="10"/>
                <w:szCs w:val="10"/>
                <w:color w:val="auto"/>
                <w:w w:val="98"/>
              </w:rPr>
              <w:t>25.1%</w:t>
            </w:r>
          </w:p>
        </w:tc>
        <w:tc>
          <w:tcPr>
            <w:tcW w:w="0" w:type="dxa"/>
            <w:vAlign w:val="bottom"/>
          </w:tcPr>
          <w:p>
            <w:pPr>
              <w:spacing w:after="0"/>
              <w:rPr>
                <w:sz w:val="1"/>
                <w:szCs w:val="1"/>
                <w:color w:val="auto"/>
              </w:rPr>
            </w:pPr>
          </w:p>
        </w:tc>
      </w:tr>
      <w:tr>
        <w:trPr>
          <w:trHeight w:val="111"/>
        </w:trPr>
        <w:tc>
          <w:tcPr>
            <w:tcW w:w="3200" w:type="dxa"/>
            <w:vAlign w:val="bottom"/>
            <w:tcBorders>
              <w:left w:val="single" w:sz="8" w:color="auto"/>
              <w:right w:val="single" w:sz="8" w:color="auto"/>
            </w:tcBorders>
            <w:gridSpan w:val="2"/>
          </w:tcPr>
          <w:p>
            <w:pPr>
              <w:ind w:left="160"/>
              <w:spacing w:after="0" w:line="112" w:lineRule="exact"/>
              <w:rPr>
                <w:sz w:val="20"/>
                <w:szCs w:val="20"/>
                <w:color w:val="auto"/>
              </w:rPr>
            </w:pPr>
            <w:r>
              <w:rPr>
                <w:rFonts w:ascii="Arial" w:cs="Arial" w:eastAsia="Arial" w:hAnsi="Arial"/>
                <w:sz w:val="10"/>
                <w:szCs w:val="10"/>
                <w:color w:val="auto"/>
              </w:rPr>
              <w:t>Dividends on investments</w:t>
            </w:r>
          </w:p>
        </w:tc>
        <w:tc>
          <w:tcPr>
            <w:tcW w:w="1120" w:type="dxa"/>
            <w:vAlign w:val="bottom"/>
          </w:tcPr>
          <w:p>
            <w:pPr>
              <w:jc w:val="right"/>
              <w:ind w:right="90"/>
              <w:spacing w:after="0" w:line="112" w:lineRule="exact"/>
              <w:rPr>
                <w:sz w:val="20"/>
                <w:szCs w:val="20"/>
                <w:color w:val="auto"/>
              </w:rPr>
            </w:pPr>
            <w:r>
              <w:rPr>
                <w:rFonts w:ascii="Arial" w:cs="Arial" w:eastAsia="Arial" w:hAnsi="Arial"/>
                <w:sz w:val="10"/>
                <w:szCs w:val="10"/>
                <w:color w:val="auto"/>
              </w:rPr>
              <w:t>7,499</w:t>
            </w:r>
          </w:p>
        </w:tc>
        <w:tc>
          <w:tcPr>
            <w:tcW w:w="840" w:type="dxa"/>
            <w:vAlign w:val="bottom"/>
          </w:tcPr>
          <w:p>
            <w:pPr>
              <w:jc w:val="right"/>
              <w:spacing w:after="0" w:line="112" w:lineRule="exact"/>
              <w:rPr>
                <w:sz w:val="20"/>
                <w:szCs w:val="20"/>
                <w:color w:val="auto"/>
              </w:rPr>
            </w:pPr>
            <w:r>
              <w:rPr>
                <w:rFonts w:ascii="Arial" w:cs="Arial" w:eastAsia="Arial" w:hAnsi="Arial"/>
                <w:sz w:val="10"/>
                <w:szCs w:val="10"/>
                <w:color w:val="auto"/>
              </w:rPr>
              <w:t>17,492</w:t>
            </w:r>
          </w:p>
        </w:tc>
        <w:tc>
          <w:tcPr>
            <w:tcW w:w="1000" w:type="dxa"/>
            <w:vAlign w:val="bottom"/>
            <w:tcBorders>
              <w:right w:val="single" w:sz="8" w:color="auto"/>
            </w:tcBorders>
          </w:tcPr>
          <w:p>
            <w:pPr>
              <w:jc w:val="right"/>
              <w:spacing w:after="0" w:line="112" w:lineRule="exact"/>
              <w:rPr>
                <w:sz w:val="20"/>
                <w:szCs w:val="20"/>
                <w:color w:val="auto"/>
              </w:rPr>
            </w:pPr>
            <w:r>
              <w:rPr>
                <w:rFonts w:ascii="Arial" w:cs="Arial" w:eastAsia="Arial" w:hAnsi="Arial"/>
                <w:sz w:val="10"/>
                <w:szCs w:val="10"/>
                <w:color w:val="auto"/>
              </w:rPr>
              <w:t>10,464</w:t>
            </w:r>
          </w:p>
        </w:tc>
        <w:tc>
          <w:tcPr>
            <w:tcW w:w="720" w:type="dxa"/>
            <w:vAlign w:val="bottom"/>
          </w:tcPr>
          <w:p>
            <w:pPr>
              <w:jc w:val="center"/>
              <w:ind w:left="230"/>
              <w:spacing w:after="0" w:line="112" w:lineRule="exact"/>
              <w:rPr>
                <w:sz w:val="20"/>
                <w:szCs w:val="20"/>
                <w:color w:val="auto"/>
              </w:rPr>
            </w:pPr>
            <w:r>
              <w:rPr>
                <w:rFonts w:ascii="Arial" w:cs="Arial" w:eastAsia="Arial" w:hAnsi="Arial"/>
                <w:sz w:val="10"/>
                <w:szCs w:val="10"/>
                <w:color w:val="auto"/>
              </w:rPr>
              <w:t>-40.2%</w:t>
            </w:r>
          </w:p>
        </w:tc>
        <w:tc>
          <w:tcPr>
            <w:tcW w:w="1320" w:type="dxa"/>
            <w:vAlign w:val="bottom"/>
            <w:tcBorders>
              <w:right w:val="single" w:sz="8" w:color="auto"/>
            </w:tcBorders>
          </w:tcPr>
          <w:p>
            <w:pPr>
              <w:jc w:val="center"/>
              <w:ind w:left="210"/>
              <w:spacing w:after="0" w:line="112" w:lineRule="exact"/>
              <w:rPr>
                <w:sz w:val="20"/>
                <w:szCs w:val="20"/>
                <w:color w:val="auto"/>
              </w:rPr>
            </w:pPr>
            <w:r>
              <w:rPr>
                <w:rFonts w:ascii="Arial" w:cs="Arial" w:eastAsia="Arial" w:hAnsi="Arial"/>
                <w:sz w:val="10"/>
                <w:szCs w:val="10"/>
                <w:color w:val="auto"/>
              </w:rPr>
              <w:t>39.5%</w:t>
            </w:r>
          </w:p>
        </w:tc>
        <w:tc>
          <w:tcPr>
            <w:tcW w:w="1240" w:type="dxa"/>
            <w:vAlign w:val="bottom"/>
          </w:tcPr>
          <w:p>
            <w:pPr>
              <w:jc w:val="right"/>
              <w:ind w:right="190"/>
              <w:spacing w:after="0" w:line="112" w:lineRule="exact"/>
              <w:rPr>
                <w:sz w:val="20"/>
                <w:szCs w:val="20"/>
                <w:color w:val="auto"/>
              </w:rPr>
            </w:pPr>
            <w:r>
              <w:rPr>
                <w:rFonts w:ascii="Arial" w:cs="Arial" w:eastAsia="Arial" w:hAnsi="Arial"/>
                <w:sz w:val="10"/>
                <w:szCs w:val="10"/>
                <w:color w:val="auto"/>
              </w:rPr>
              <w:t>25,501</w:t>
            </w:r>
          </w:p>
        </w:tc>
        <w:tc>
          <w:tcPr>
            <w:tcW w:w="820" w:type="dxa"/>
            <w:vAlign w:val="bottom"/>
            <w:tcBorders>
              <w:right w:val="single" w:sz="8" w:color="auto"/>
            </w:tcBorders>
          </w:tcPr>
          <w:p>
            <w:pPr>
              <w:jc w:val="right"/>
              <w:spacing w:after="0" w:line="112" w:lineRule="exact"/>
              <w:rPr>
                <w:sz w:val="20"/>
                <w:szCs w:val="20"/>
                <w:color w:val="auto"/>
              </w:rPr>
            </w:pPr>
            <w:r>
              <w:rPr>
                <w:rFonts w:ascii="Arial" w:cs="Arial" w:eastAsia="Arial" w:hAnsi="Arial"/>
                <w:sz w:val="10"/>
                <w:szCs w:val="10"/>
                <w:color w:val="auto"/>
              </w:rPr>
              <w:t>34,433</w:t>
            </w:r>
          </w:p>
        </w:tc>
        <w:tc>
          <w:tcPr>
            <w:tcW w:w="1000" w:type="dxa"/>
            <w:vAlign w:val="bottom"/>
            <w:tcBorders>
              <w:right w:val="single" w:sz="8" w:color="auto"/>
            </w:tcBorders>
          </w:tcPr>
          <w:p>
            <w:pPr>
              <w:jc w:val="center"/>
              <w:spacing w:after="0" w:line="112" w:lineRule="exact"/>
              <w:rPr>
                <w:sz w:val="20"/>
                <w:szCs w:val="20"/>
                <w:color w:val="auto"/>
              </w:rPr>
            </w:pPr>
            <w:r>
              <w:rPr>
                <w:rFonts w:ascii="Arial" w:cs="Arial" w:eastAsia="Arial" w:hAnsi="Arial"/>
                <w:sz w:val="10"/>
                <w:szCs w:val="10"/>
                <w:color w:val="auto"/>
                <w:w w:val="98"/>
              </w:rPr>
              <w:t>35.0%</w:t>
            </w:r>
          </w:p>
        </w:tc>
        <w:tc>
          <w:tcPr>
            <w:tcW w:w="0" w:type="dxa"/>
            <w:vAlign w:val="bottom"/>
          </w:tcPr>
          <w:p>
            <w:pPr>
              <w:spacing w:after="0"/>
              <w:rPr>
                <w:sz w:val="1"/>
                <w:szCs w:val="1"/>
                <w:color w:val="auto"/>
              </w:rPr>
            </w:pPr>
          </w:p>
        </w:tc>
      </w:tr>
      <w:tr>
        <w:trPr>
          <w:trHeight w:val="111"/>
        </w:trPr>
        <w:tc>
          <w:tcPr>
            <w:tcW w:w="3200" w:type="dxa"/>
            <w:vAlign w:val="bottom"/>
            <w:tcBorders>
              <w:left w:val="single" w:sz="8" w:color="auto"/>
              <w:right w:val="single" w:sz="8" w:color="auto"/>
            </w:tcBorders>
            <w:gridSpan w:val="2"/>
          </w:tcPr>
          <w:p>
            <w:pPr>
              <w:ind w:left="160"/>
              <w:spacing w:after="0" w:line="112" w:lineRule="exact"/>
              <w:rPr>
                <w:sz w:val="20"/>
                <w:szCs w:val="20"/>
                <w:color w:val="auto"/>
              </w:rPr>
            </w:pPr>
            <w:r>
              <w:rPr>
                <w:rFonts w:ascii="Arial" w:cs="Arial" w:eastAsia="Arial" w:hAnsi="Arial"/>
                <w:sz w:val="10"/>
                <w:szCs w:val="10"/>
                <w:color w:val="auto"/>
              </w:rPr>
              <w:t>Interest on deposits with banks</w:t>
            </w:r>
          </w:p>
        </w:tc>
        <w:tc>
          <w:tcPr>
            <w:tcW w:w="1120" w:type="dxa"/>
            <w:vAlign w:val="bottom"/>
          </w:tcPr>
          <w:p>
            <w:pPr>
              <w:jc w:val="right"/>
              <w:ind w:right="90"/>
              <w:spacing w:after="0" w:line="112" w:lineRule="exact"/>
              <w:rPr>
                <w:sz w:val="20"/>
                <w:szCs w:val="20"/>
                <w:color w:val="auto"/>
              </w:rPr>
            </w:pPr>
            <w:r>
              <w:rPr>
                <w:rFonts w:ascii="Arial" w:cs="Arial" w:eastAsia="Arial" w:hAnsi="Arial"/>
                <w:sz w:val="10"/>
                <w:szCs w:val="10"/>
                <w:color w:val="auto"/>
              </w:rPr>
              <w:t>141,896</w:t>
            </w:r>
          </w:p>
        </w:tc>
        <w:tc>
          <w:tcPr>
            <w:tcW w:w="840" w:type="dxa"/>
            <w:vAlign w:val="bottom"/>
          </w:tcPr>
          <w:p>
            <w:pPr>
              <w:jc w:val="right"/>
              <w:spacing w:after="0" w:line="112" w:lineRule="exact"/>
              <w:rPr>
                <w:sz w:val="20"/>
                <w:szCs w:val="20"/>
                <w:color w:val="auto"/>
              </w:rPr>
            </w:pPr>
            <w:r>
              <w:rPr>
                <w:rFonts w:ascii="Arial" w:cs="Arial" w:eastAsia="Arial" w:hAnsi="Arial"/>
                <w:sz w:val="10"/>
                <w:szCs w:val="10"/>
                <w:color w:val="auto"/>
              </w:rPr>
              <w:t>286,459</w:t>
            </w:r>
          </w:p>
        </w:tc>
        <w:tc>
          <w:tcPr>
            <w:tcW w:w="1000" w:type="dxa"/>
            <w:vAlign w:val="bottom"/>
            <w:tcBorders>
              <w:right w:val="single" w:sz="8" w:color="auto"/>
            </w:tcBorders>
          </w:tcPr>
          <w:p>
            <w:pPr>
              <w:jc w:val="right"/>
              <w:spacing w:after="0" w:line="112" w:lineRule="exact"/>
              <w:rPr>
                <w:sz w:val="20"/>
                <w:szCs w:val="20"/>
                <w:color w:val="auto"/>
              </w:rPr>
            </w:pPr>
            <w:r>
              <w:rPr>
                <w:rFonts w:ascii="Arial" w:cs="Arial" w:eastAsia="Arial" w:hAnsi="Arial"/>
                <w:sz w:val="10"/>
                <w:szCs w:val="10"/>
                <w:color w:val="auto"/>
              </w:rPr>
              <w:t>289,934</w:t>
            </w:r>
          </w:p>
        </w:tc>
        <w:tc>
          <w:tcPr>
            <w:tcW w:w="720" w:type="dxa"/>
            <w:vAlign w:val="bottom"/>
          </w:tcPr>
          <w:p>
            <w:pPr>
              <w:jc w:val="center"/>
              <w:ind w:left="210"/>
              <w:spacing w:after="0" w:line="112" w:lineRule="exact"/>
              <w:rPr>
                <w:sz w:val="20"/>
                <w:szCs w:val="20"/>
                <w:color w:val="auto"/>
              </w:rPr>
            </w:pPr>
            <w:r>
              <w:rPr>
                <w:rFonts w:ascii="Arial" w:cs="Arial" w:eastAsia="Arial" w:hAnsi="Arial"/>
                <w:sz w:val="10"/>
                <w:szCs w:val="10"/>
                <w:color w:val="auto"/>
                <w:w w:val="96"/>
              </w:rPr>
              <w:t>1.2%</w:t>
            </w:r>
          </w:p>
        </w:tc>
        <w:tc>
          <w:tcPr>
            <w:tcW w:w="1320" w:type="dxa"/>
            <w:vAlign w:val="bottom"/>
            <w:tcBorders>
              <w:right w:val="single" w:sz="8" w:color="auto"/>
            </w:tcBorders>
          </w:tcPr>
          <w:p>
            <w:pPr>
              <w:jc w:val="center"/>
              <w:ind w:left="210"/>
              <w:spacing w:after="0" w:line="112" w:lineRule="exact"/>
              <w:rPr>
                <w:sz w:val="20"/>
                <w:szCs w:val="20"/>
                <w:color w:val="auto"/>
              </w:rPr>
            </w:pPr>
            <w:r>
              <w:rPr>
                <w:rFonts w:ascii="Arial" w:cs="Arial" w:eastAsia="Arial" w:hAnsi="Arial"/>
                <w:sz w:val="10"/>
                <w:szCs w:val="10"/>
                <w:color w:val="auto"/>
              </w:rPr>
              <w:t>104.3%</w:t>
            </w:r>
          </w:p>
        </w:tc>
        <w:tc>
          <w:tcPr>
            <w:tcW w:w="1240" w:type="dxa"/>
            <w:vAlign w:val="bottom"/>
          </w:tcPr>
          <w:p>
            <w:pPr>
              <w:jc w:val="right"/>
              <w:ind w:right="190"/>
              <w:spacing w:after="0" w:line="112" w:lineRule="exact"/>
              <w:rPr>
                <w:sz w:val="20"/>
                <w:szCs w:val="20"/>
                <w:color w:val="auto"/>
              </w:rPr>
            </w:pPr>
            <w:r>
              <w:rPr>
                <w:rFonts w:ascii="Arial" w:cs="Arial" w:eastAsia="Arial" w:hAnsi="Arial"/>
                <w:sz w:val="10"/>
                <w:szCs w:val="10"/>
                <w:color w:val="auto"/>
              </w:rPr>
              <w:t>229,256</w:t>
            </w:r>
          </w:p>
        </w:tc>
        <w:tc>
          <w:tcPr>
            <w:tcW w:w="820" w:type="dxa"/>
            <w:vAlign w:val="bottom"/>
            <w:tcBorders>
              <w:right w:val="single" w:sz="8" w:color="auto"/>
            </w:tcBorders>
          </w:tcPr>
          <w:p>
            <w:pPr>
              <w:jc w:val="right"/>
              <w:spacing w:after="0" w:line="112" w:lineRule="exact"/>
              <w:rPr>
                <w:sz w:val="20"/>
                <w:szCs w:val="20"/>
                <w:color w:val="auto"/>
              </w:rPr>
            </w:pPr>
            <w:r>
              <w:rPr>
                <w:rFonts w:ascii="Arial" w:cs="Arial" w:eastAsia="Arial" w:hAnsi="Arial"/>
                <w:sz w:val="10"/>
                <w:szCs w:val="10"/>
                <w:color w:val="auto"/>
              </w:rPr>
              <w:t>853,764</w:t>
            </w:r>
          </w:p>
        </w:tc>
        <w:tc>
          <w:tcPr>
            <w:tcW w:w="1000" w:type="dxa"/>
            <w:vAlign w:val="bottom"/>
            <w:tcBorders>
              <w:right w:val="single" w:sz="8" w:color="auto"/>
            </w:tcBorders>
          </w:tcPr>
          <w:p>
            <w:pPr>
              <w:jc w:val="center"/>
              <w:spacing w:after="0" w:line="112" w:lineRule="exact"/>
              <w:rPr>
                <w:sz w:val="20"/>
                <w:szCs w:val="20"/>
                <w:color w:val="auto"/>
              </w:rPr>
            </w:pPr>
            <w:r>
              <w:rPr>
                <w:rFonts w:ascii="Arial" w:cs="Arial" w:eastAsia="Arial" w:hAnsi="Arial"/>
                <w:sz w:val="10"/>
                <w:szCs w:val="10"/>
                <w:color w:val="auto"/>
              </w:rPr>
              <w:t>272.4%</w:t>
            </w:r>
          </w:p>
        </w:tc>
        <w:tc>
          <w:tcPr>
            <w:tcW w:w="0" w:type="dxa"/>
            <w:vAlign w:val="bottom"/>
          </w:tcPr>
          <w:p>
            <w:pPr>
              <w:spacing w:after="0"/>
              <w:rPr>
                <w:sz w:val="1"/>
                <w:szCs w:val="1"/>
                <w:color w:val="auto"/>
              </w:rPr>
            </w:pPr>
          </w:p>
        </w:tc>
      </w:tr>
      <w:tr>
        <w:trPr>
          <w:trHeight w:val="111"/>
        </w:trPr>
        <w:tc>
          <w:tcPr>
            <w:tcW w:w="3200" w:type="dxa"/>
            <w:vAlign w:val="bottom"/>
            <w:tcBorders>
              <w:left w:val="single" w:sz="8" w:color="auto"/>
              <w:right w:val="single" w:sz="8" w:color="auto"/>
            </w:tcBorders>
            <w:gridSpan w:val="2"/>
          </w:tcPr>
          <w:p>
            <w:pPr>
              <w:ind w:left="160"/>
              <w:spacing w:after="0" w:line="112" w:lineRule="exact"/>
              <w:rPr>
                <w:sz w:val="20"/>
                <w:szCs w:val="20"/>
                <w:color w:val="auto"/>
              </w:rPr>
            </w:pPr>
            <w:r>
              <w:rPr>
                <w:rFonts w:ascii="Arial" w:cs="Arial" w:eastAsia="Arial" w:hAnsi="Arial"/>
                <w:sz w:val="10"/>
                <w:szCs w:val="10"/>
                <w:color w:val="auto"/>
              </w:rPr>
              <w:t>Interest on securities</w:t>
            </w:r>
          </w:p>
        </w:tc>
        <w:tc>
          <w:tcPr>
            <w:tcW w:w="1120" w:type="dxa"/>
            <w:vAlign w:val="bottom"/>
          </w:tcPr>
          <w:p>
            <w:pPr>
              <w:jc w:val="right"/>
              <w:ind w:right="90"/>
              <w:spacing w:after="0" w:line="112" w:lineRule="exact"/>
              <w:rPr>
                <w:sz w:val="20"/>
                <w:szCs w:val="20"/>
                <w:color w:val="auto"/>
              </w:rPr>
            </w:pPr>
            <w:r>
              <w:rPr>
                <w:rFonts w:ascii="Arial" w:cs="Arial" w:eastAsia="Arial" w:hAnsi="Arial"/>
                <w:sz w:val="10"/>
                <w:szCs w:val="10"/>
                <w:color w:val="auto"/>
              </w:rPr>
              <w:t>533,971</w:t>
            </w:r>
          </w:p>
        </w:tc>
        <w:tc>
          <w:tcPr>
            <w:tcW w:w="840" w:type="dxa"/>
            <w:vAlign w:val="bottom"/>
          </w:tcPr>
          <w:p>
            <w:pPr>
              <w:jc w:val="right"/>
              <w:spacing w:after="0" w:line="112" w:lineRule="exact"/>
              <w:rPr>
                <w:sz w:val="20"/>
                <w:szCs w:val="20"/>
                <w:color w:val="auto"/>
              </w:rPr>
            </w:pPr>
            <w:r>
              <w:rPr>
                <w:rFonts w:ascii="Arial" w:cs="Arial" w:eastAsia="Arial" w:hAnsi="Arial"/>
                <w:sz w:val="10"/>
                <w:szCs w:val="10"/>
                <w:color w:val="auto"/>
              </w:rPr>
              <w:t>618,952</w:t>
            </w:r>
          </w:p>
        </w:tc>
        <w:tc>
          <w:tcPr>
            <w:tcW w:w="1000" w:type="dxa"/>
            <w:vAlign w:val="bottom"/>
            <w:tcBorders>
              <w:right w:val="single" w:sz="8" w:color="auto"/>
            </w:tcBorders>
          </w:tcPr>
          <w:p>
            <w:pPr>
              <w:jc w:val="right"/>
              <w:spacing w:after="0" w:line="112" w:lineRule="exact"/>
              <w:rPr>
                <w:sz w:val="20"/>
                <w:szCs w:val="20"/>
                <w:color w:val="auto"/>
              </w:rPr>
            </w:pPr>
            <w:r>
              <w:rPr>
                <w:rFonts w:ascii="Arial" w:cs="Arial" w:eastAsia="Arial" w:hAnsi="Arial"/>
                <w:sz w:val="10"/>
                <w:szCs w:val="10"/>
                <w:color w:val="auto"/>
              </w:rPr>
              <w:t>641,370</w:t>
            </w:r>
          </w:p>
        </w:tc>
        <w:tc>
          <w:tcPr>
            <w:tcW w:w="720" w:type="dxa"/>
            <w:vAlign w:val="bottom"/>
          </w:tcPr>
          <w:p>
            <w:pPr>
              <w:jc w:val="center"/>
              <w:ind w:left="210"/>
              <w:spacing w:after="0" w:line="112" w:lineRule="exact"/>
              <w:rPr>
                <w:sz w:val="20"/>
                <w:szCs w:val="20"/>
                <w:color w:val="auto"/>
              </w:rPr>
            </w:pPr>
            <w:r>
              <w:rPr>
                <w:rFonts w:ascii="Arial" w:cs="Arial" w:eastAsia="Arial" w:hAnsi="Arial"/>
                <w:sz w:val="10"/>
                <w:szCs w:val="10"/>
                <w:color w:val="auto"/>
                <w:w w:val="96"/>
              </w:rPr>
              <w:t>3.6%</w:t>
            </w:r>
          </w:p>
        </w:tc>
        <w:tc>
          <w:tcPr>
            <w:tcW w:w="1320" w:type="dxa"/>
            <w:vAlign w:val="bottom"/>
            <w:tcBorders>
              <w:right w:val="single" w:sz="8" w:color="auto"/>
            </w:tcBorders>
          </w:tcPr>
          <w:p>
            <w:pPr>
              <w:jc w:val="center"/>
              <w:ind w:left="210"/>
              <w:spacing w:after="0" w:line="112" w:lineRule="exact"/>
              <w:rPr>
                <w:sz w:val="20"/>
                <w:szCs w:val="20"/>
                <w:color w:val="auto"/>
              </w:rPr>
            </w:pPr>
            <w:r>
              <w:rPr>
                <w:rFonts w:ascii="Arial" w:cs="Arial" w:eastAsia="Arial" w:hAnsi="Arial"/>
                <w:sz w:val="10"/>
                <w:szCs w:val="10"/>
                <w:color w:val="auto"/>
              </w:rPr>
              <w:t>20.1%</w:t>
            </w:r>
          </w:p>
        </w:tc>
        <w:tc>
          <w:tcPr>
            <w:tcW w:w="1240" w:type="dxa"/>
            <w:vAlign w:val="bottom"/>
          </w:tcPr>
          <w:p>
            <w:pPr>
              <w:jc w:val="right"/>
              <w:ind w:right="190"/>
              <w:spacing w:after="0" w:line="112" w:lineRule="exact"/>
              <w:rPr>
                <w:sz w:val="20"/>
                <w:szCs w:val="20"/>
                <w:color w:val="auto"/>
              </w:rPr>
            </w:pPr>
            <w:r>
              <w:rPr>
                <w:rFonts w:ascii="Arial" w:cs="Arial" w:eastAsia="Arial" w:hAnsi="Arial"/>
                <w:sz w:val="10"/>
                <w:szCs w:val="10"/>
                <w:color w:val="auto"/>
              </w:rPr>
              <w:t>1,455,930</w:t>
            </w:r>
          </w:p>
        </w:tc>
        <w:tc>
          <w:tcPr>
            <w:tcW w:w="820" w:type="dxa"/>
            <w:vAlign w:val="bottom"/>
            <w:tcBorders>
              <w:right w:val="single" w:sz="8" w:color="auto"/>
            </w:tcBorders>
          </w:tcPr>
          <w:p>
            <w:pPr>
              <w:jc w:val="right"/>
              <w:spacing w:after="0" w:line="112" w:lineRule="exact"/>
              <w:rPr>
                <w:sz w:val="20"/>
                <w:szCs w:val="20"/>
                <w:color w:val="auto"/>
              </w:rPr>
            </w:pPr>
            <w:r>
              <w:rPr>
                <w:rFonts w:ascii="Arial" w:cs="Arial" w:eastAsia="Arial" w:hAnsi="Arial"/>
                <w:sz w:val="10"/>
                <w:szCs w:val="10"/>
                <w:color w:val="auto"/>
              </w:rPr>
              <w:t>1,845,590</w:t>
            </w:r>
          </w:p>
        </w:tc>
        <w:tc>
          <w:tcPr>
            <w:tcW w:w="1000" w:type="dxa"/>
            <w:vAlign w:val="bottom"/>
            <w:tcBorders>
              <w:right w:val="single" w:sz="8" w:color="auto"/>
            </w:tcBorders>
          </w:tcPr>
          <w:p>
            <w:pPr>
              <w:jc w:val="center"/>
              <w:spacing w:after="0" w:line="112" w:lineRule="exact"/>
              <w:rPr>
                <w:sz w:val="20"/>
                <w:szCs w:val="20"/>
                <w:color w:val="auto"/>
              </w:rPr>
            </w:pPr>
            <w:r>
              <w:rPr>
                <w:rFonts w:ascii="Arial" w:cs="Arial" w:eastAsia="Arial" w:hAnsi="Arial"/>
                <w:sz w:val="10"/>
                <w:szCs w:val="10"/>
                <w:color w:val="auto"/>
                <w:w w:val="98"/>
              </w:rPr>
              <w:t>26.8%</w:t>
            </w:r>
          </w:p>
        </w:tc>
        <w:tc>
          <w:tcPr>
            <w:tcW w:w="0" w:type="dxa"/>
            <w:vAlign w:val="bottom"/>
          </w:tcPr>
          <w:p>
            <w:pPr>
              <w:spacing w:after="0"/>
              <w:rPr>
                <w:sz w:val="1"/>
                <w:szCs w:val="1"/>
                <w:color w:val="auto"/>
              </w:rPr>
            </w:pPr>
          </w:p>
        </w:tc>
      </w:tr>
      <w:tr>
        <w:trPr>
          <w:trHeight w:val="105"/>
        </w:trPr>
        <w:tc>
          <w:tcPr>
            <w:tcW w:w="3200" w:type="dxa"/>
            <w:vAlign w:val="bottom"/>
            <w:tcBorders>
              <w:left w:val="single" w:sz="8" w:color="auto"/>
              <w:right w:val="single" w:sz="8" w:color="auto"/>
            </w:tcBorders>
            <w:gridSpan w:val="2"/>
          </w:tcPr>
          <w:p>
            <w:pPr>
              <w:ind w:left="160"/>
              <w:spacing w:after="0" w:line="105" w:lineRule="exact"/>
              <w:rPr>
                <w:sz w:val="20"/>
                <w:szCs w:val="20"/>
                <w:color w:val="auto"/>
              </w:rPr>
            </w:pPr>
            <w:r>
              <w:rPr>
                <w:rFonts w:ascii="Arial" w:cs="Arial" w:eastAsia="Arial" w:hAnsi="Arial"/>
                <w:sz w:val="10"/>
                <w:szCs w:val="10"/>
                <w:color w:val="auto"/>
              </w:rPr>
              <w:t>Other interest income</w:t>
            </w:r>
          </w:p>
        </w:tc>
        <w:tc>
          <w:tcPr>
            <w:tcW w:w="1120" w:type="dxa"/>
            <w:vAlign w:val="bottom"/>
          </w:tcPr>
          <w:p>
            <w:pPr>
              <w:jc w:val="right"/>
              <w:ind w:right="90"/>
              <w:spacing w:after="0" w:line="105" w:lineRule="exact"/>
              <w:rPr>
                <w:sz w:val="20"/>
                <w:szCs w:val="20"/>
                <w:color w:val="auto"/>
              </w:rPr>
            </w:pPr>
            <w:r>
              <w:rPr>
                <w:rFonts w:ascii="Arial" w:cs="Arial" w:eastAsia="Arial" w:hAnsi="Arial"/>
                <w:sz w:val="10"/>
                <w:szCs w:val="10"/>
                <w:color w:val="auto"/>
              </w:rPr>
              <w:t>16,454</w:t>
            </w:r>
          </w:p>
        </w:tc>
        <w:tc>
          <w:tcPr>
            <w:tcW w:w="840" w:type="dxa"/>
            <w:vAlign w:val="bottom"/>
          </w:tcPr>
          <w:p>
            <w:pPr>
              <w:jc w:val="right"/>
              <w:spacing w:after="0" w:line="105" w:lineRule="exact"/>
              <w:rPr>
                <w:sz w:val="20"/>
                <w:szCs w:val="20"/>
                <w:color w:val="auto"/>
              </w:rPr>
            </w:pPr>
            <w:r>
              <w:rPr>
                <w:rFonts w:ascii="Arial" w:cs="Arial" w:eastAsia="Arial" w:hAnsi="Arial"/>
                <w:sz w:val="10"/>
                <w:szCs w:val="10"/>
                <w:color w:val="auto"/>
              </w:rPr>
              <w:t>17,498</w:t>
            </w:r>
          </w:p>
        </w:tc>
        <w:tc>
          <w:tcPr>
            <w:tcW w:w="1000" w:type="dxa"/>
            <w:vAlign w:val="bottom"/>
            <w:tcBorders>
              <w:right w:val="single" w:sz="8" w:color="auto"/>
            </w:tcBorders>
          </w:tcPr>
          <w:p>
            <w:pPr>
              <w:jc w:val="right"/>
              <w:spacing w:after="0" w:line="105" w:lineRule="exact"/>
              <w:rPr>
                <w:sz w:val="20"/>
                <w:szCs w:val="20"/>
                <w:color w:val="auto"/>
              </w:rPr>
            </w:pPr>
            <w:r>
              <w:rPr>
                <w:rFonts w:ascii="Arial" w:cs="Arial" w:eastAsia="Arial" w:hAnsi="Arial"/>
                <w:sz w:val="10"/>
                <w:szCs w:val="10"/>
                <w:color w:val="auto"/>
              </w:rPr>
              <w:t>23,972</w:t>
            </w:r>
          </w:p>
        </w:tc>
        <w:tc>
          <w:tcPr>
            <w:tcW w:w="720" w:type="dxa"/>
            <w:vAlign w:val="bottom"/>
          </w:tcPr>
          <w:p>
            <w:pPr>
              <w:jc w:val="center"/>
              <w:ind w:left="230"/>
              <w:spacing w:after="0" w:line="105" w:lineRule="exact"/>
              <w:rPr>
                <w:sz w:val="20"/>
                <w:szCs w:val="20"/>
                <w:color w:val="auto"/>
              </w:rPr>
            </w:pPr>
            <w:r>
              <w:rPr>
                <w:rFonts w:ascii="Arial" w:cs="Arial" w:eastAsia="Arial" w:hAnsi="Arial"/>
                <w:sz w:val="10"/>
                <w:szCs w:val="10"/>
                <w:color w:val="auto"/>
                <w:w w:val="98"/>
              </w:rPr>
              <w:t>37.0%</w:t>
            </w:r>
          </w:p>
        </w:tc>
        <w:tc>
          <w:tcPr>
            <w:tcW w:w="1320" w:type="dxa"/>
            <w:vAlign w:val="bottom"/>
            <w:tcBorders>
              <w:right w:val="single" w:sz="8" w:color="auto"/>
            </w:tcBorders>
          </w:tcPr>
          <w:p>
            <w:pPr>
              <w:jc w:val="center"/>
              <w:ind w:left="210"/>
              <w:spacing w:after="0" w:line="105" w:lineRule="exact"/>
              <w:rPr>
                <w:sz w:val="20"/>
                <w:szCs w:val="20"/>
                <w:color w:val="auto"/>
              </w:rPr>
            </w:pPr>
            <w:r>
              <w:rPr>
                <w:rFonts w:ascii="Arial" w:cs="Arial" w:eastAsia="Arial" w:hAnsi="Arial"/>
                <w:sz w:val="10"/>
                <w:szCs w:val="10"/>
                <w:color w:val="auto"/>
              </w:rPr>
              <w:t>45.7%</w:t>
            </w:r>
          </w:p>
        </w:tc>
        <w:tc>
          <w:tcPr>
            <w:tcW w:w="1240" w:type="dxa"/>
            <w:vAlign w:val="bottom"/>
          </w:tcPr>
          <w:p>
            <w:pPr>
              <w:jc w:val="right"/>
              <w:ind w:right="190"/>
              <w:spacing w:after="0" w:line="105" w:lineRule="exact"/>
              <w:rPr>
                <w:sz w:val="20"/>
                <w:szCs w:val="20"/>
                <w:color w:val="auto"/>
              </w:rPr>
            </w:pPr>
            <w:r>
              <w:rPr>
                <w:rFonts w:ascii="Arial" w:cs="Arial" w:eastAsia="Arial" w:hAnsi="Arial"/>
                <w:sz w:val="10"/>
                <w:szCs w:val="10"/>
                <w:color w:val="auto"/>
              </w:rPr>
              <w:t>34,258</w:t>
            </w:r>
          </w:p>
        </w:tc>
        <w:tc>
          <w:tcPr>
            <w:tcW w:w="820" w:type="dxa"/>
            <w:vAlign w:val="bottom"/>
            <w:tcBorders>
              <w:right w:val="single" w:sz="8" w:color="auto"/>
            </w:tcBorders>
          </w:tcPr>
          <w:p>
            <w:pPr>
              <w:jc w:val="right"/>
              <w:spacing w:after="0" w:line="105" w:lineRule="exact"/>
              <w:rPr>
                <w:sz w:val="20"/>
                <w:szCs w:val="20"/>
                <w:color w:val="auto"/>
              </w:rPr>
            </w:pPr>
            <w:r>
              <w:rPr>
                <w:rFonts w:ascii="Arial" w:cs="Arial" w:eastAsia="Arial" w:hAnsi="Arial"/>
                <w:sz w:val="10"/>
                <w:szCs w:val="10"/>
                <w:color w:val="auto"/>
              </w:rPr>
              <w:t>57,508</w:t>
            </w:r>
          </w:p>
        </w:tc>
        <w:tc>
          <w:tcPr>
            <w:tcW w:w="1000" w:type="dxa"/>
            <w:vAlign w:val="bottom"/>
            <w:tcBorders>
              <w:right w:val="single" w:sz="8" w:color="auto"/>
            </w:tcBorders>
          </w:tcPr>
          <w:p>
            <w:pPr>
              <w:jc w:val="center"/>
              <w:spacing w:after="0" w:line="105" w:lineRule="exact"/>
              <w:rPr>
                <w:sz w:val="20"/>
                <w:szCs w:val="20"/>
                <w:color w:val="auto"/>
              </w:rPr>
            </w:pPr>
            <w:r>
              <w:rPr>
                <w:rFonts w:ascii="Arial" w:cs="Arial" w:eastAsia="Arial" w:hAnsi="Arial"/>
                <w:sz w:val="10"/>
                <w:szCs w:val="10"/>
                <w:color w:val="auto"/>
                <w:w w:val="98"/>
              </w:rPr>
              <w:t>67.9%</w:t>
            </w:r>
          </w:p>
        </w:tc>
        <w:tc>
          <w:tcPr>
            <w:tcW w:w="0" w:type="dxa"/>
            <w:vAlign w:val="bottom"/>
          </w:tcPr>
          <w:p>
            <w:pPr>
              <w:spacing w:after="0"/>
              <w:rPr>
                <w:sz w:val="1"/>
                <w:szCs w:val="1"/>
                <w:color w:val="auto"/>
              </w:rPr>
            </w:pPr>
          </w:p>
        </w:tc>
      </w:tr>
      <w:tr>
        <w:trPr>
          <w:trHeight w:val="111"/>
        </w:trPr>
        <w:tc>
          <w:tcPr>
            <w:tcW w:w="3200" w:type="dxa"/>
            <w:vAlign w:val="bottom"/>
            <w:tcBorders>
              <w:left w:val="single" w:sz="8" w:color="auto"/>
              <w:right w:val="single" w:sz="8" w:color="auto"/>
            </w:tcBorders>
            <w:gridSpan w:val="2"/>
          </w:tcPr>
          <w:p>
            <w:pPr>
              <w:ind w:left="20"/>
              <w:spacing w:after="0" w:line="112" w:lineRule="exact"/>
              <w:rPr>
                <w:sz w:val="20"/>
                <w:szCs w:val="20"/>
                <w:color w:val="auto"/>
              </w:rPr>
            </w:pPr>
            <w:r>
              <w:rPr>
                <w:rFonts w:ascii="Arial" w:cs="Arial" w:eastAsia="Arial" w:hAnsi="Arial"/>
                <w:sz w:val="10"/>
                <w:szCs w:val="10"/>
                <w:b w:val="1"/>
                <w:bCs w:val="1"/>
                <w:color w:val="auto"/>
              </w:rPr>
              <w:t>Interest expense</w:t>
            </w:r>
          </w:p>
        </w:tc>
        <w:tc>
          <w:tcPr>
            <w:tcW w:w="1120" w:type="dxa"/>
            <w:vAlign w:val="bottom"/>
          </w:tcPr>
          <w:p>
            <w:pPr>
              <w:jc w:val="right"/>
              <w:ind w:right="90"/>
              <w:spacing w:after="0" w:line="112" w:lineRule="exact"/>
              <w:rPr>
                <w:sz w:val="20"/>
                <w:szCs w:val="20"/>
                <w:color w:val="auto"/>
              </w:rPr>
            </w:pPr>
            <w:r>
              <w:rPr>
                <w:rFonts w:ascii="Arial" w:cs="Arial" w:eastAsia="Arial" w:hAnsi="Arial"/>
                <w:sz w:val="10"/>
                <w:szCs w:val="10"/>
                <w:b w:val="1"/>
                <w:bCs w:val="1"/>
                <w:color w:val="auto"/>
              </w:rPr>
              <w:t>(1,106,283)</w:t>
            </w:r>
          </w:p>
        </w:tc>
        <w:tc>
          <w:tcPr>
            <w:tcW w:w="840" w:type="dxa"/>
            <w:vAlign w:val="bottom"/>
          </w:tcPr>
          <w:p>
            <w:pPr>
              <w:jc w:val="right"/>
              <w:spacing w:after="0" w:line="112" w:lineRule="exact"/>
              <w:rPr>
                <w:sz w:val="20"/>
                <w:szCs w:val="20"/>
                <w:color w:val="auto"/>
              </w:rPr>
            </w:pPr>
            <w:r>
              <w:rPr>
                <w:rFonts w:ascii="Arial" w:cs="Arial" w:eastAsia="Arial" w:hAnsi="Arial"/>
                <w:sz w:val="10"/>
                <w:szCs w:val="10"/>
                <w:b w:val="1"/>
                <w:bCs w:val="1"/>
                <w:color w:val="auto"/>
              </w:rPr>
              <w:t>(1,449,090)</w:t>
            </w:r>
          </w:p>
        </w:tc>
        <w:tc>
          <w:tcPr>
            <w:tcW w:w="1000" w:type="dxa"/>
            <w:vAlign w:val="bottom"/>
            <w:tcBorders>
              <w:right w:val="single" w:sz="8" w:color="auto"/>
            </w:tcBorders>
          </w:tcPr>
          <w:p>
            <w:pPr>
              <w:jc w:val="right"/>
              <w:spacing w:after="0" w:line="112" w:lineRule="exact"/>
              <w:rPr>
                <w:sz w:val="20"/>
                <w:szCs w:val="20"/>
                <w:color w:val="auto"/>
              </w:rPr>
            </w:pPr>
            <w:r>
              <w:rPr>
                <w:rFonts w:ascii="Arial" w:cs="Arial" w:eastAsia="Arial" w:hAnsi="Arial"/>
                <w:sz w:val="10"/>
                <w:szCs w:val="10"/>
                <w:b w:val="1"/>
                <w:bCs w:val="1"/>
                <w:color w:val="auto"/>
              </w:rPr>
              <w:t>(1,565,058)</w:t>
            </w:r>
          </w:p>
        </w:tc>
        <w:tc>
          <w:tcPr>
            <w:tcW w:w="720" w:type="dxa"/>
            <w:vAlign w:val="bottom"/>
          </w:tcPr>
          <w:p>
            <w:pPr>
              <w:jc w:val="center"/>
              <w:ind w:left="210"/>
              <w:spacing w:after="0" w:line="112" w:lineRule="exact"/>
              <w:rPr>
                <w:sz w:val="20"/>
                <w:szCs w:val="20"/>
                <w:color w:val="auto"/>
              </w:rPr>
            </w:pPr>
            <w:r>
              <w:rPr>
                <w:rFonts w:ascii="Arial" w:cs="Arial" w:eastAsia="Arial" w:hAnsi="Arial"/>
                <w:sz w:val="10"/>
                <w:szCs w:val="10"/>
                <w:b w:val="1"/>
                <w:bCs w:val="1"/>
                <w:color w:val="auto"/>
                <w:w w:val="96"/>
              </w:rPr>
              <w:t>8.0%</w:t>
            </w:r>
          </w:p>
        </w:tc>
        <w:tc>
          <w:tcPr>
            <w:tcW w:w="1320" w:type="dxa"/>
            <w:vAlign w:val="bottom"/>
            <w:tcBorders>
              <w:right w:val="single" w:sz="8" w:color="auto"/>
            </w:tcBorders>
          </w:tcPr>
          <w:p>
            <w:pPr>
              <w:jc w:val="center"/>
              <w:ind w:left="210"/>
              <w:spacing w:after="0" w:line="112" w:lineRule="exact"/>
              <w:rPr>
                <w:sz w:val="20"/>
                <w:szCs w:val="20"/>
                <w:color w:val="auto"/>
              </w:rPr>
            </w:pPr>
            <w:r>
              <w:rPr>
                <w:rFonts w:ascii="Arial" w:cs="Arial" w:eastAsia="Arial" w:hAnsi="Arial"/>
                <w:sz w:val="10"/>
                <w:szCs w:val="10"/>
                <w:b w:val="1"/>
                <w:bCs w:val="1"/>
                <w:color w:val="auto"/>
              </w:rPr>
              <w:t>41.5%</w:t>
            </w:r>
          </w:p>
        </w:tc>
        <w:tc>
          <w:tcPr>
            <w:tcW w:w="1240" w:type="dxa"/>
            <w:vAlign w:val="bottom"/>
          </w:tcPr>
          <w:p>
            <w:pPr>
              <w:jc w:val="right"/>
              <w:ind w:right="190"/>
              <w:spacing w:after="0" w:line="112" w:lineRule="exact"/>
              <w:rPr>
                <w:sz w:val="20"/>
                <w:szCs w:val="20"/>
                <w:color w:val="auto"/>
              </w:rPr>
            </w:pPr>
            <w:r>
              <w:rPr>
                <w:rFonts w:ascii="Arial" w:cs="Arial" w:eastAsia="Arial" w:hAnsi="Arial"/>
                <w:sz w:val="10"/>
                <w:szCs w:val="10"/>
                <w:b w:val="1"/>
                <w:bCs w:val="1"/>
                <w:color w:val="auto"/>
              </w:rPr>
              <w:t>(2,697,929)</w:t>
            </w:r>
          </w:p>
        </w:tc>
        <w:tc>
          <w:tcPr>
            <w:tcW w:w="820" w:type="dxa"/>
            <w:vAlign w:val="bottom"/>
            <w:tcBorders>
              <w:right w:val="single" w:sz="8" w:color="auto"/>
            </w:tcBorders>
          </w:tcPr>
          <w:p>
            <w:pPr>
              <w:jc w:val="right"/>
              <w:spacing w:after="0" w:line="112" w:lineRule="exact"/>
              <w:rPr>
                <w:sz w:val="20"/>
                <w:szCs w:val="20"/>
                <w:color w:val="auto"/>
              </w:rPr>
            </w:pPr>
            <w:r>
              <w:rPr>
                <w:rFonts w:ascii="Arial" w:cs="Arial" w:eastAsia="Arial" w:hAnsi="Arial"/>
                <w:sz w:val="10"/>
                <w:szCs w:val="10"/>
                <w:b w:val="1"/>
                <w:bCs w:val="1"/>
                <w:color w:val="auto"/>
              </w:rPr>
              <w:t>(4,338,165)</w:t>
            </w:r>
          </w:p>
        </w:tc>
        <w:tc>
          <w:tcPr>
            <w:tcW w:w="1000" w:type="dxa"/>
            <w:vAlign w:val="bottom"/>
            <w:tcBorders>
              <w:right w:val="single" w:sz="8" w:color="auto"/>
            </w:tcBorders>
          </w:tcPr>
          <w:p>
            <w:pPr>
              <w:jc w:val="center"/>
              <w:spacing w:after="0" w:line="112" w:lineRule="exact"/>
              <w:rPr>
                <w:sz w:val="20"/>
                <w:szCs w:val="20"/>
                <w:color w:val="auto"/>
              </w:rPr>
            </w:pPr>
            <w:r>
              <w:rPr>
                <w:rFonts w:ascii="Arial" w:cs="Arial" w:eastAsia="Arial" w:hAnsi="Arial"/>
                <w:sz w:val="10"/>
                <w:szCs w:val="10"/>
                <w:b w:val="1"/>
                <w:bCs w:val="1"/>
                <w:color w:val="auto"/>
                <w:w w:val="98"/>
              </w:rPr>
              <w:t>60.8%</w:t>
            </w:r>
          </w:p>
        </w:tc>
        <w:tc>
          <w:tcPr>
            <w:tcW w:w="0" w:type="dxa"/>
            <w:vAlign w:val="bottom"/>
          </w:tcPr>
          <w:p>
            <w:pPr>
              <w:spacing w:after="0"/>
              <w:rPr>
                <w:sz w:val="1"/>
                <w:szCs w:val="1"/>
                <w:color w:val="auto"/>
              </w:rPr>
            </w:pPr>
          </w:p>
        </w:tc>
      </w:tr>
      <w:tr>
        <w:trPr>
          <w:trHeight w:val="117"/>
        </w:trPr>
        <w:tc>
          <w:tcPr>
            <w:tcW w:w="3200" w:type="dxa"/>
            <w:vAlign w:val="bottom"/>
            <w:tcBorders>
              <w:left w:val="single" w:sz="8" w:color="auto"/>
              <w:right w:val="single" w:sz="8" w:color="auto"/>
            </w:tcBorders>
            <w:gridSpan w:val="2"/>
          </w:tcPr>
          <w:p>
            <w:pPr>
              <w:ind w:left="160"/>
              <w:spacing w:after="0"/>
              <w:rPr>
                <w:sz w:val="20"/>
                <w:szCs w:val="20"/>
                <w:color w:val="auto"/>
              </w:rPr>
            </w:pPr>
            <w:r>
              <w:rPr>
                <w:rFonts w:ascii="Arial" w:cs="Arial" w:eastAsia="Arial" w:hAnsi="Arial"/>
                <w:sz w:val="10"/>
                <w:szCs w:val="10"/>
                <w:b w:val="1"/>
                <w:bCs w:val="1"/>
                <w:color w:val="auto"/>
              </w:rPr>
              <w:t>Interest expense (excluding Net Insurance Financial Expenses)</w:t>
            </w:r>
          </w:p>
        </w:tc>
        <w:tc>
          <w:tcPr>
            <w:tcW w:w="1120" w:type="dxa"/>
            <w:vAlign w:val="bottom"/>
          </w:tcPr>
          <w:p>
            <w:pPr>
              <w:jc w:val="right"/>
              <w:ind w:right="90"/>
              <w:spacing w:after="0"/>
              <w:rPr>
                <w:sz w:val="20"/>
                <w:szCs w:val="20"/>
                <w:color w:val="auto"/>
              </w:rPr>
            </w:pPr>
            <w:r>
              <w:rPr>
                <w:rFonts w:ascii="Arial" w:cs="Arial" w:eastAsia="Arial" w:hAnsi="Arial"/>
                <w:sz w:val="10"/>
                <w:szCs w:val="10"/>
                <w:b w:val="1"/>
                <w:bCs w:val="1"/>
                <w:color w:val="auto"/>
              </w:rPr>
              <w:t>(988,293)</w:t>
            </w:r>
          </w:p>
        </w:tc>
        <w:tc>
          <w:tcPr>
            <w:tcW w:w="840" w:type="dxa"/>
            <w:vAlign w:val="bottom"/>
          </w:tcPr>
          <w:p>
            <w:pPr>
              <w:jc w:val="right"/>
              <w:spacing w:after="0"/>
              <w:rPr>
                <w:sz w:val="20"/>
                <w:szCs w:val="20"/>
                <w:color w:val="auto"/>
              </w:rPr>
            </w:pPr>
            <w:r>
              <w:rPr>
                <w:rFonts w:ascii="Arial" w:cs="Arial" w:eastAsia="Arial" w:hAnsi="Arial"/>
                <w:sz w:val="10"/>
                <w:szCs w:val="10"/>
                <w:b w:val="1"/>
                <w:bCs w:val="1"/>
                <w:color w:val="auto"/>
              </w:rPr>
              <w:t>(1,333,924)</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0"/>
                <w:szCs w:val="10"/>
                <w:b w:val="1"/>
                <w:bCs w:val="1"/>
                <w:color w:val="auto"/>
              </w:rPr>
              <w:t>(1,448,593)</w:t>
            </w:r>
          </w:p>
        </w:tc>
        <w:tc>
          <w:tcPr>
            <w:tcW w:w="720" w:type="dxa"/>
            <w:vAlign w:val="bottom"/>
          </w:tcPr>
          <w:p>
            <w:pPr>
              <w:jc w:val="center"/>
              <w:ind w:left="210"/>
              <w:spacing w:after="0"/>
              <w:rPr>
                <w:sz w:val="20"/>
                <w:szCs w:val="20"/>
                <w:color w:val="auto"/>
              </w:rPr>
            </w:pPr>
            <w:r>
              <w:rPr>
                <w:rFonts w:ascii="Arial" w:cs="Arial" w:eastAsia="Arial" w:hAnsi="Arial"/>
                <w:sz w:val="10"/>
                <w:szCs w:val="10"/>
                <w:b w:val="1"/>
                <w:bCs w:val="1"/>
                <w:color w:val="auto"/>
                <w:w w:val="96"/>
              </w:rPr>
              <w:t>8.6%</w:t>
            </w:r>
          </w:p>
        </w:tc>
        <w:tc>
          <w:tcPr>
            <w:tcW w:w="1320" w:type="dxa"/>
            <w:vAlign w:val="bottom"/>
            <w:tcBorders>
              <w:right w:val="single" w:sz="8" w:color="auto"/>
            </w:tcBorders>
          </w:tcPr>
          <w:p>
            <w:pPr>
              <w:jc w:val="center"/>
              <w:ind w:left="210"/>
              <w:spacing w:after="0"/>
              <w:rPr>
                <w:sz w:val="20"/>
                <w:szCs w:val="20"/>
                <w:color w:val="auto"/>
              </w:rPr>
            </w:pPr>
            <w:r>
              <w:rPr>
                <w:rFonts w:ascii="Arial" w:cs="Arial" w:eastAsia="Arial" w:hAnsi="Arial"/>
                <w:sz w:val="10"/>
                <w:szCs w:val="10"/>
                <w:b w:val="1"/>
                <w:bCs w:val="1"/>
                <w:color w:val="auto"/>
              </w:rPr>
              <w:t>46.6%</w:t>
            </w:r>
          </w:p>
        </w:tc>
        <w:tc>
          <w:tcPr>
            <w:tcW w:w="1240" w:type="dxa"/>
            <w:vAlign w:val="bottom"/>
          </w:tcPr>
          <w:p>
            <w:pPr>
              <w:jc w:val="right"/>
              <w:ind w:right="190"/>
              <w:spacing w:after="0"/>
              <w:rPr>
                <w:sz w:val="20"/>
                <w:szCs w:val="20"/>
                <w:color w:val="auto"/>
              </w:rPr>
            </w:pPr>
            <w:r>
              <w:rPr>
                <w:rFonts w:ascii="Arial" w:cs="Arial" w:eastAsia="Arial" w:hAnsi="Arial"/>
                <w:sz w:val="10"/>
                <w:szCs w:val="10"/>
                <w:b w:val="1"/>
                <w:bCs w:val="1"/>
                <w:color w:val="auto"/>
              </w:rPr>
              <w:t>(2,374,221)</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0"/>
                <w:szCs w:val="10"/>
                <w:b w:val="1"/>
                <w:bCs w:val="1"/>
                <w:color w:val="auto"/>
              </w:rPr>
              <w:t>(3,990,784)</w:t>
            </w:r>
          </w:p>
        </w:tc>
        <w:tc>
          <w:tcPr>
            <w:tcW w:w="100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68.1%</w:t>
            </w:r>
          </w:p>
        </w:tc>
        <w:tc>
          <w:tcPr>
            <w:tcW w:w="0" w:type="dxa"/>
            <w:vAlign w:val="bottom"/>
          </w:tcPr>
          <w:p>
            <w:pPr>
              <w:spacing w:after="0"/>
              <w:rPr>
                <w:sz w:val="1"/>
                <w:szCs w:val="1"/>
                <w:color w:val="auto"/>
              </w:rPr>
            </w:pPr>
          </w:p>
        </w:tc>
      </w:tr>
      <w:tr>
        <w:trPr>
          <w:trHeight w:val="111"/>
        </w:trPr>
        <w:tc>
          <w:tcPr>
            <w:tcW w:w="3200" w:type="dxa"/>
            <w:vAlign w:val="bottom"/>
            <w:tcBorders>
              <w:left w:val="single" w:sz="8" w:color="auto"/>
              <w:right w:val="single" w:sz="8" w:color="auto"/>
            </w:tcBorders>
            <w:gridSpan w:val="2"/>
          </w:tcPr>
          <w:p>
            <w:pPr>
              <w:ind w:left="300"/>
              <w:spacing w:after="0" w:line="112" w:lineRule="exact"/>
              <w:rPr>
                <w:sz w:val="20"/>
                <w:szCs w:val="20"/>
                <w:color w:val="auto"/>
              </w:rPr>
            </w:pPr>
            <w:r>
              <w:rPr>
                <w:rFonts w:ascii="Arial" w:cs="Arial" w:eastAsia="Arial" w:hAnsi="Arial"/>
                <w:sz w:val="10"/>
                <w:szCs w:val="10"/>
                <w:color w:val="auto"/>
              </w:rPr>
              <w:t>Interest on deposits</w:t>
            </w:r>
          </w:p>
        </w:tc>
        <w:tc>
          <w:tcPr>
            <w:tcW w:w="1120" w:type="dxa"/>
            <w:vAlign w:val="bottom"/>
          </w:tcPr>
          <w:p>
            <w:pPr>
              <w:jc w:val="right"/>
              <w:ind w:right="90"/>
              <w:spacing w:after="0" w:line="112" w:lineRule="exact"/>
              <w:rPr>
                <w:sz w:val="20"/>
                <w:szCs w:val="20"/>
                <w:color w:val="auto"/>
              </w:rPr>
            </w:pPr>
            <w:r>
              <w:rPr>
                <w:rFonts w:ascii="Arial" w:cs="Arial" w:eastAsia="Arial" w:hAnsi="Arial"/>
                <w:sz w:val="10"/>
                <w:szCs w:val="10"/>
                <w:color w:val="auto"/>
              </w:rPr>
              <w:t>510,116</w:t>
            </w:r>
          </w:p>
        </w:tc>
        <w:tc>
          <w:tcPr>
            <w:tcW w:w="840" w:type="dxa"/>
            <w:vAlign w:val="bottom"/>
          </w:tcPr>
          <w:p>
            <w:pPr>
              <w:jc w:val="right"/>
              <w:spacing w:after="0" w:line="112" w:lineRule="exact"/>
              <w:rPr>
                <w:sz w:val="20"/>
                <w:szCs w:val="20"/>
                <w:color w:val="auto"/>
              </w:rPr>
            </w:pPr>
            <w:r>
              <w:rPr>
                <w:rFonts w:ascii="Arial" w:cs="Arial" w:eastAsia="Arial" w:hAnsi="Arial"/>
                <w:sz w:val="10"/>
                <w:szCs w:val="10"/>
                <w:color w:val="auto"/>
              </w:rPr>
              <w:t>777,436</w:t>
            </w:r>
          </w:p>
        </w:tc>
        <w:tc>
          <w:tcPr>
            <w:tcW w:w="1000" w:type="dxa"/>
            <w:vAlign w:val="bottom"/>
            <w:tcBorders>
              <w:right w:val="single" w:sz="8" w:color="auto"/>
            </w:tcBorders>
          </w:tcPr>
          <w:p>
            <w:pPr>
              <w:jc w:val="right"/>
              <w:spacing w:after="0" w:line="112" w:lineRule="exact"/>
              <w:rPr>
                <w:sz w:val="20"/>
                <w:szCs w:val="20"/>
                <w:color w:val="auto"/>
              </w:rPr>
            </w:pPr>
            <w:r>
              <w:rPr>
                <w:rFonts w:ascii="Arial" w:cs="Arial" w:eastAsia="Arial" w:hAnsi="Arial"/>
                <w:sz w:val="10"/>
                <w:szCs w:val="10"/>
                <w:color w:val="auto"/>
              </w:rPr>
              <w:t>859,659</w:t>
            </w:r>
          </w:p>
        </w:tc>
        <w:tc>
          <w:tcPr>
            <w:tcW w:w="720" w:type="dxa"/>
            <w:vAlign w:val="bottom"/>
          </w:tcPr>
          <w:p>
            <w:pPr>
              <w:jc w:val="center"/>
              <w:ind w:left="230"/>
              <w:spacing w:after="0" w:line="112" w:lineRule="exact"/>
              <w:rPr>
                <w:sz w:val="20"/>
                <w:szCs w:val="20"/>
                <w:color w:val="auto"/>
              </w:rPr>
            </w:pPr>
            <w:r>
              <w:rPr>
                <w:rFonts w:ascii="Arial" w:cs="Arial" w:eastAsia="Arial" w:hAnsi="Arial"/>
                <w:sz w:val="10"/>
                <w:szCs w:val="10"/>
                <w:color w:val="auto"/>
                <w:w w:val="98"/>
              </w:rPr>
              <w:t>10.6%</w:t>
            </w:r>
          </w:p>
        </w:tc>
        <w:tc>
          <w:tcPr>
            <w:tcW w:w="1320" w:type="dxa"/>
            <w:vAlign w:val="bottom"/>
            <w:tcBorders>
              <w:right w:val="single" w:sz="8" w:color="auto"/>
            </w:tcBorders>
          </w:tcPr>
          <w:p>
            <w:pPr>
              <w:jc w:val="center"/>
              <w:ind w:left="210"/>
              <w:spacing w:after="0" w:line="112" w:lineRule="exact"/>
              <w:rPr>
                <w:sz w:val="20"/>
                <w:szCs w:val="20"/>
                <w:color w:val="auto"/>
              </w:rPr>
            </w:pPr>
            <w:r>
              <w:rPr>
                <w:rFonts w:ascii="Arial" w:cs="Arial" w:eastAsia="Arial" w:hAnsi="Arial"/>
                <w:sz w:val="10"/>
                <w:szCs w:val="10"/>
                <w:color w:val="auto"/>
              </w:rPr>
              <w:t>68.5%</w:t>
            </w:r>
          </w:p>
        </w:tc>
        <w:tc>
          <w:tcPr>
            <w:tcW w:w="1240" w:type="dxa"/>
            <w:vAlign w:val="bottom"/>
          </w:tcPr>
          <w:p>
            <w:pPr>
              <w:jc w:val="right"/>
              <w:ind w:right="190"/>
              <w:spacing w:after="0" w:line="112" w:lineRule="exact"/>
              <w:rPr>
                <w:sz w:val="20"/>
                <w:szCs w:val="20"/>
                <w:color w:val="auto"/>
              </w:rPr>
            </w:pPr>
            <w:r>
              <w:rPr>
                <w:rFonts w:ascii="Arial" w:cs="Arial" w:eastAsia="Arial" w:hAnsi="Arial"/>
                <w:sz w:val="10"/>
                <w:szCs w:val="10"/>
                <w:color w:val="auto"/>
              </w:rPr>
              <w:t>1,106,008</w:t>
            </w:r>
          </w:p>
        </w:tc>
        <w:tc>
          <w:tcPr>
            <w:tcW w:w="820" w:type="dxa"/>
            <w:vAlign w:val="bottom"/>
            <w:tcBorders>
              <w:right w:val="single" w:sz="8" w:color="auto"/>
            </w:tcBorders>
          </w:tcPr>
          <w:p>
            <w:pPr>
              <w:jc w:val="right"/>
              <w:spacing w:after="0" w:line="112" w:lineRule="exact"/>
              <w:rPr>
                <w:sz w:val="20"/>
                <w:szCs w:val="20"/>
                <w:color w:val="auto"/>
              </w:rPr>
            </w:pPr>
            <w:r>
              <w:rPr>
                <w:rFonts w:ascii="Arial" w:cs="Arial" w:eastAsia="Arial" w:hAnsi="Arial"/>
                <w:sz w:val="10"/>
                <w:szCs w:val="10"/>
                <w:color w:val="auto"/>
              </w:rPr>
              <w:t>2,314,183</w:t>
            </w:r>
          </w:p>
        </w:tc>
        <w:tc>
          <w:tcPr>
            <w:tcW w:w="1000" w:type="dxa"/>
            <w:vAlign w:val="bottom"/>
            <w:tcBorders>
              <w:right w:val="single" w:sz="8" w:color="auto"/>
            </w:tcBorders>
          </w:tcPr>
          <w:p>
            <w:pPr>
              <w:jc w:val="center"/>
              <w:spacing w:after="0" w:line="112" w:lineRule="exact"/>
              <w:rPr>
                <w:sz w:val="20"/>
                <w:szCs w:val="20"/>
                <w:color w:val="auto"/>
              </w:rPr>
            </w:pPr>
            <w:r>
              <w:rPr>
                <w:rFonts w:ascii="Arial" w:cs="Arial" w:eastAsia="Arial" w:hAnsi="Arial"/>
                <w:sz w:val="10"/>
                <w:szCs w:val="10"/>
                <w:color w:val="auto"/>
              </w:rPr>
              <w:t>109.2%</w:t>
            </w:r>
          </w:p>
        </w:tc>
        <w:tc>
          <w:tcPr>
            <w:tcW w:w="0" w:type="dxa"/>
            <w:vAlign w:val="bottom"/>
          </w:tcPr>
          <w:p>
            <w:pPr>
              <w:spacing w:after="0"/>
              <w:rPr>
                <w:sz w:val="1"/>
                <w:szCs w:val="1"/>
                <w:color w:val="auto"/>
              </w:rPr>
            </w:pPr>
          </w:p>
        </w:tc>
      </w:tr>
      <w:tr>
        <w:trPr>
          <w:trHeight w:val="111"/>
        </w:trPr>
        <w:tc>
          <w:tcPr>
            <w:tcW w:w="3200" w:type="dxa"/>
            <w:vAlign w:val="bottom"/>
            <w:tcBorders>
              <w:left w:val="single" w:sz="8" w:color="auto"/>
              <w:right w:val="single" w:sz="8" w:color="auto"/>
            </w:tcBorders>
            <w:gridSpan w:val="2"/>
          </w:tcPr>
          <w:p>
            <w:pPr>
              <w:ind w:left="300"/>
              <w:spacing w:after="0" w:line="112" w:lineRule="exact"/>
              <w:rPr>
                <w:sz w:val="20"/>
                <w:szCs w:val="20"/>
                <w:color w:val="auto"/>
              </w:rPr>
            </w:pPr>
            <w:r>
              <w:rPr>
                <w:rFonts w:ascii="Arial" w:cs="Arial" w:eastAsia="Arial" w:hAnsi="Arial"/>
                <w:sz w:val="10"/>
                <w:szCs w:val="10"/>
                <w:color w:val="auto"/>
              </w:rPr>
              <w:t>Interest on borrowed funds</w:t>
            </w:r>
          </w:p>
        </w:tc>
        <w:tc>
          <w:tcPr>
            <w:tcW w:w="1120" w:type="dxa"/>
            <w:vAlign w:val="bottom"/>
          </w:tcPr>
          <w:p>
            <w:pPr>
              <w:jc w:val="right"/>
              <w:ind w:right="90"/>
              <w:spacing w:after="0" w:line="112" w:lineRule="exact"/>
              <w:rPr>
                <w:sz w:val="20"/>
                <w:szCs w:val="20"/>
                <w:color w:val="auto"/>
              </w:rPr>
            </w:pPr>
            <w:r>
              <w:rPr>
                <w:rFonts w:ascii="Arial" w:cs="Arial" w:eastAsia="Arial" w:hAnsi="Arial"/>
                <w:sz w:val="10"/>
                <w:szCs w:val="10"/>
                <w:color w:val="auto"/>
              </w:rPr>
              <w:t>185,891</w:t>
            </w:r>
          </w:p>
        </w:tc>
        <w:tc>
          <w:tcPr>
            <w:tcW w:w="840" w:type="dxa"/>
            <w:vAlign w:val="bottom"/>
          </w:tcPr>
          <w:p>
            <w:pPr>
              <w:jc w:val="right"/>
              <w:spacing w:after="0" w:line="112" w:lineRule="exact"/>
              <w:rPr>
                <w:sz w:val="20"/>
                <w:szCs w:val="20"/>
                <w:color w:val="auto"/>
              </w:rPr>
            </w:pPr>
            <w:r>
              <w:rPr>
                <w:rFonts w:ascii="Arial" w:cs="Arial" w:eastAsia="Arial" w:hAnsi="Arial"/>
                <w:sz w:val="10"/>
                <w:szCs w:val="10"/>
                <w:color w:val="auto"/>
              </w:rPr>
              <w:t>296,854</w:t>
            </w:r>
          </w:p>
        </w:tc>
        <w:tc>
          <w:tcPr>
            <w:tcW w:w="1000" w:type="dxa"/>
            <w:vAlign w:val="bottom"/>
            <w:tcBorders>
              <w:right w:val="single" w:sz="8" w:color="auto"/>
            </w:tcBorders>
          </w:tcPr>
          <w:p>
            <w:pPr>
              <w:jc w:val="right"/>
              <w:spacing w:after="0" w:line="112" w:lineRule="exact"/>
              <w:rPr>
                <w:sz w:val="20"/>
                <w:szCs w:val="20"/>
                <w:color w:val="auto"/>
              </w:rPr>
            </w:pPr>
            <w:r>
              <w:rPr>
                <w:rFonts w:ascii="Arial" w:cs="Arial" w:eastAsia="Arial" w:hAnsi="Arial"/>
                <w:sz w:val="10"/>
                <w:szCs w:val="10"/>
                <w:color w:val="auto"/>
              </w:rPr>
              <w:t>325,619</w:t>
            </w:r>
          </w:p>
        </w:tc>
        <w:tc>
          <w:tcPr>
            <w:tcW w:w="720" w:type="dxa"/>
            <w:vAlign w:val="bottom"/>
          </w:tcPr>
          <w:p>
            <w:pPr>
              <w:jc w:val="center"/>
              <w:ind w:left="210"/>
              <w:spacing w:after="0" w:line="112" w:lineRule="exact"/>
              <w:rPr>
                <w:sz w:val="20"/>
                <w:szCs w:val="20"/>
                <w:color w:val="auto"/>
              </w:rPr>
            </w:pPr>
            <w:r>
              <w:rPr>
                <w:rFonts w:ascii="Arial" w:cs="Arial" w:eastAsia="Arial" w:hAnsi="Arial"/>
                <w:sz w:val="10"/>
                <w:szCs w:val="10"/>
                <w:color w:val="auto"/>
                <w:w w:val="96"/>
              </w:rPr>
              <w:t>9.7%</w:t>
            </w:r>
          </w:p>
        </w:tc>
        <w:tc>
          <w:tcPr>
            <w:tcW w:w="1320" w:type="dxa"/>
            <w:vAlign w:val="bottom"/>
            <w:tcBorders>
              <w:right w:val="single" w:sz="8" w:color="auto"/>
            </w:tcBorders>
          </w:tcPr>
          <w:p>
            <w:pPr>
              <w:jc w:val="center"/>
              <w:ind w:left="210"/>
              <w:spacing w:after="0" w:line="112" w:lineRule="exact"/>
              <w:rPr>
                <w:sz w:val="20"/>
                <w:szCs w:val="20"/>
                <w:color w:val="auto"/>
              </w:rPr>
            </w:pPr>
            <w:r>
              <w:rPr>
                <w:rFonts w:ascii="Arial" w:cs="Arial" w:eastAsia="Arial" w:hAnsi="Arial"/>
                <w:sz w:val="10"/>
                <w:szCs w:val="10"/>
                <w:color w:val="auto"/>
              </w:rPr>
              <w:t>75.2%</w:t>
            </w:r>
          </w:p>
        </w:tc>
        <w:tc>
          <w:tcPr>
            <w:tcW w:w="1240" w:type="dxa"/>
            <w:vAlign w:val="bottom"/>
          </w:tcPr>
          <w:p>
            <w:pPr>
              <w:jc w:val="right"/>
              <w:ind w:right="190"/>
              <w:spacing w:after="0" w:line="112" w:lineRule="exact"/>
              <w:rPr>
                <w:sz w:val="20"/>
                <w:szCs w:val="20"/>
                <w:color w:val="auto"/>
              </w:rPr>
            </w:pPr>
            <w:r>
              <w:rPr>
                <w:rFonts w:ascii="Arial" w:cs="Arial" w:eastAsia="Arial" w:hAnsi="Arial"/>
                <w:sz w:val="10"/>
                <w:szCs w:val="10"/>
                <w:color w:val="auto"/>
              </w:rPr>
              <w:t>443,653</w:t>
            </w:r>
          </w:p>
        </w:tc>
        <w:tc>
          <w:tcPr>
            <w:tcW w:w="820" w:type="dxa"/>
            <w:vAlign w:val="bottom"/>
            <w:tcBorders>
              <w:right w:val="single" w:sz="8" w:color="auto"/>
            </w:tcBorders>
          </w:tcPr>
          <w:p>
            <w:pPr>
              <w:jc w:val="right"/>
              <w:spacing w:after="0" w:line="112" w:lineRule="exact"/>
              <w:rPr>
                <w:sz w:val="20"/>
                <w:szCs w:val="20"/>
                <w:color w:val="auto"/>
              </w:rPr>
            </w:pPr>
            <w:r>
              <w:rPr>
                <w:rFonts w:ascii="Arial" w:cs="Arial" w:eastAsia="Arial" w:hAnsi="Arial"/>
                <w:sz w:val="10"/>
                <w:szCs w:val="10"/>
                <w:color w:val="auto"/>
              </w:rPr>
              <w:t>861,406</w:t>
            </w:r>
          </w:p>
        </w:tc>
        <w:tc>
          <w:tcPr>
            <w:tcW w:w="1000" w:type="dxa"/>
            <w:vAlign w:val="bottom"/>
            <w:tcBorders>
              <w:right w:val="single" w:sz="8" w:color="auto"/>
            </w:tcBorders>
          </w:tcPr>
          <w:p>
            <w:pPr>
              <w:jc w:val="center"/>
              <w:spacing w:after="0" w:line="112" w:lineRule="exact"/>
              <w:rPr>
                <w:sz w:val="20"/>
                <w:szCs w:val="20"/>
                <w:color w:val="auto"/>
              </w:rPr>
            </w:pPr>
            <w:r>
              <w:rPr>
                <w:rFonts w:ascii="Arial" w:cs="Arial" w:eastAsia="Arial" w:hAnsi="Arial"/>
                <w:sz w:val="10"/>
                <w:szCs w:val="10"/>
                <w:color w:val="auto"/>
                <w:w w:val="98"/>
              </w:rPr>
              <w:t>94.2%</w:t>
            </w:r>
          </w:p>
        </w:tc>
        <w:tc>
          <w:tcPr>
            <w:tcW w:w="0" w:type="dxa"/>
            <w:vAlign w:val="bottom"/>
          </w:tcPr>
          <w:p>
            <w:pPr>
              <w:spacing w:after="0"/>
              <w:rPr>
                <w:sz w:val="1"/>
                <w:szCs w:val="1"/>
                <w:color w:val="auto"/>
              </w:rPr>
            </w:pPr>
          </w:p>
        </w:tc>
      </w:tr>
      <w:tr>
        <w:trPr>
          <w:trHeight w:val="111"/>
        </w:trPr>
        <w:tc>
          <w:tcPr>
            <w:tcW w:w="3200" w:type="dxa"/>
            <w:vAlign w:val="bottom"/>
            <w:tcBorders>
              <w:left w:val="single" w:sz="8" w:color="auto"/>
              <w:right w:val="single" w:sz="8" w:color="auto"/>
            </w:tcBorders>
            <w:gridSpan w:val="2"/>
          </w:tcPr>
          <w:p>
            <w:pPr>
              <w:ind w:left="300"/>
              <w:spacing w:after="0" w:line="112" w:lineRule="exact"/>
              <w:rPr>
                <w:sz w:val="20"/>
                <w:szCs w:val="20"/>
                <w:color w:val="auto"/>
              </w:rPr>
            </w:pPr>
            <w:r>
              <w:rPr>
                <w:rFonts w:ascii="Arial" w:cs="Arial" w:eastAsia="Arial" w:hAnsi="Arial"/>
                <w:sz w:val="10"/>
                <w:szCs w:val="10"/>
                <w:color w:val="auto"/>
              </w:rPr>
              <w:t>Interest on bonds and subordinated notes</w:t>
            </w:r>
          </w:p>
        </w:tc>
        <w:tc>
          <w:tcPr>
            <w:tcW w:w="1120" w:type="dxa"/>
            <w:vAlign w:val="bottom"/>
          </w:tcPr>
          <w:p>
            <w:pPr>
              <w:jc w:val="right"/>
              <w:ind w:right="90"/>
              <w:spacing w:after="0" w:line="112" w:lineRule="exact"/>
              <w:rPr>
                <w:sz w:val="20"/>
                <w:szCs w:val="20"/>
                <w:color w:val="auto"/>
              </w:rPr>
            </w:pPr>
            <w:r>
              <w:rPr>
                <w:rFonts w:ascii="Arial" w:cs="Arial" w:eastAsia="Arial" w:hAnsi="Arial"/>
                <w:sz w:val="10"/>
                <w:szCs w:val="10"/>
                <w:color w:val="auto"/>
              </w:rPr>
              <w:t>211,719</w:t>
            </w:r>
          </w:p>
        </w:tc>
        <w:tc>
          <w:tcPr>
            <w:tcW w:w="840" w:type="dxa"/>
            <w:vAlign w:val="bottom"/>
          </w:tcPr>
          <w:p>
            <w:pPr>
              <w:jc w:val="right"/>
              <w:spacing w:after="0" w:line="112" w:lineRule="exact"/>
              <w:rPr>
                <w:sz w:val="20"/>
                <w:szCs w:val="20"/>
                <w:color w:val="auto"/>
              </w:rPr>
            </w:pPr>
            <w:r>
              <w:rPr>
                <w:rFonts w:ascii="Arial" w:cs="Arial" w:eastAsia="Arial" w:hAnsi="Arial"/>
                <w:sz w:val="10"/>
                <w:szCs w:val="10"/>
                <w:color w:val="auto"/>
              </w:rPr>
              <w:t>148,992</w:t>
            </w:r>
          </w:p>
        </w:tc>
        <w:tc>
          <w:tcPr>
            <w:tcW w:w="1000" w:type="dxa"/>
            <w:vAlign w:val="bottom"/>
            <w:tcBorders>
              <w:right w:val="single" w:sz="8" w:color="auto"/>
            </w:tcBorders>
          </w:tcPr>
          <w:p>
            <w:pPr>
              <w:jc w:val="right"/>
              <w:spacing w:after="0" w:line="112" w:lineRule="exact"/>
              <w:rPr>
                <w:sz w:val="20"/>
                <w:szCs w:val="20"/>
                <w:color w:val="auto"/>
              </w:rPr>
            </w:pPr>
            <w:r>
              <w:rPr>
                <w:rFonts w:ascii="Arial" w:cs="Arial" w:eastAsia="Arial" w:hAnsi="Arial"/>
                <w:sz w:val="10"/>
                <w:szCs w:val="10"/>
                <w:color w:val="auto"/>
              </w:rPr>
              <w:t>149,449</w:t>
            </w:r>
          </w:p>
        </w:tc>
        <w:tc>
          <w:tcPr>
            <w:tcW w:w="720" w:type="dxa"/>
            <w:vAlign w:val="bottom"/>
          </w:tcPr>
          <w:p>
            <w:pPr>
              <w:jc w:val="center"/>
              <w:ind w:left="210"/>
              <w:spacing w:after="0" w:line="112" w:lineRule="exact"/>
              <w:rPr>
                <w:sz w:val="20"/>
                <w:szCs w:val="20"/>
                <w:color w:val="auto"/>
              </w:rPr>
            </w:pPr>
            <w:r>
              <w:rPr>
                <w:rFonts w:ascii="Arial" w:cs="Arial" w:eastAsia="Arial" w:hAnsi="Arial"/>
                <w:sz w:val="10"/>
                <w:szCs w:val="10"/>
                <w:color w:val="auto"/>
                <w:w w:val="96"/>
              </w:rPr>
              <w:t>0.3%</w:t>
            </w:r>
          </w:p>
        </w:tc>
        <w:tc>
          <w:tcPr>
            <w:tcW w:w="1320" w:type="dxa"/>
            <w:vAlign w:val="bottom"/>
            <w:tcBorders>
              <w:right w:val="single" w:sz="8" w:color="auto"/>
            </w:tcBorders>
          </w:tcPr>
          <w:p>
            <w:pPr>
              <w:jc w:val="center"/>
              <w:ind w:left="210"/>
              <w:spacing w:after="0" w:line="112" w:lineRule="exact"/>
              <w:rPr>
                <w:sz w:val="20"/>
                <w:szCs w:val="20"/>
                <w:color w:val="auto"/>
              </w:rPr>
            </w:pPr>
            <w:r>
              <w:rPr>
                <w:rFonts w:ascii="Arial" w:cs="Arial" w:eastAsia="Arial" w:hAnsi="Arial"/>
                <w:sz w:val="10"/>
                <w:szCs w:val="10"/>
                <w:color w:val="auto"/>
                <w:w w:val="94"/>
              </w:rPr>
              <w:t>-29.4%</w:t>
            </w:r>
          </w:p>
        </w:tc>
        <w:tc>
          <w:tcPr>
            <w:tcW w:w="1240" w:type="dxa"/>
            <w:vAlign w:val="bottom"/>
          </w:tcPr>
          <w:p>
            <w:pPr>
              <w:jc w:val="right"/>
              <w:ind w:right="190"/>
              <w:spacing w:after="0" w:line="112" w:lineRule="exact"/>
              <w:rPr>
                <w:sz w:val="20"/>
                <w:szCs w:val="20"/>
                <w:color w:val="auto"/>
              </w:rPr>
            </w:pPr>
            <w:r>
              <w:rPr>
                <w:rFonts w:ascii="Arial" w:cs="Arial" w:eastAsia="Arial" w:hAnsi="Arial"/>
                <w:sz w:val="10"/>
                <w:szCs w:val="10"/>
                <w:color w:val="auto"/>
              </w:rPr>
              <w:t>557,446</w:t>
            </w:r>
          </w:p>
        </w:tc>
        <w:tc>
          <w:tcPr>
            <w:tcW w:w="820" w:type="dxa"/>
            <w:vAlign w:val="bottom"/>
            <w:tcBorders>
              <w:right w:val="single" w:sz="8" w:color="auto"/>
            </w:tcBorders>
          </w:tcPr>
          <w:p>
            <w:pPr>
              <w:jc w:val="right"/>
              <w:spacing w:after="0" w:line="112" w:lineRule="exact"/>
              <w:rPr>
                <w:sz w:val="20"/>
                <w:szCs w:val="20"/>
                <w:color w:val="auto"/>
              </w:rPr>
            </w:pPr>
            <w:r>
              <w:rPr>
                <w:rFonts w:ascii="Arial" w:cs="Arial" w:eastAsia="Arial" w:hAnsi="Arial"/>
                <w:sz w:val="10"/>
                <w:szCs w:val="10"/>
                <w:color w:val="auto"/>
              </w:rPr>
              <w:t>481,339</w:t>
            </w:r>
          </w:p>
        </w:tc>
        <w:tc>
          <w:tcPr>
            <w:tcW w:w="1000" w:type="dxa"/>
            <w:vAlign w:val="bottom"/>
            <w:tcBorders>
              <w:right w:val="single" w:sz="8" w:color="auto"/>
            </w:tcBorders>
          </w:tcPr>
          <w:p>
            <w:pPr>
              <w:jc w:val="center"/>
              <w:spacing w:after="0" w:line="112" w:lineRule="exact"/>
              <w:rPr>
                <w:sz w:val="20"/>
                <w:szCs w:val="20"/>
                <w:color w:val="auto"/>
              </w:rPr>
            </w:pPr>
            <w:r>
              <w:rPr>
                <w:rFonts w:ascii="Arial" w:cs="Arial" w:eastAsia="Arial" w:hAnsi="Arial"/>
                <w:sz w:val="10"/>
                <w:szCs w:val="10"/>
                <w:color w:val="auto"/>
              </w:rPr>
              <w:t>-13.7%</w:t>
            </w:r>
          </w:p>
        </w:tc>
        <w:tc>
          <w:tcPr>
            <w:tcW w:w="0" w:type="dxa"/>
            <w:vAlign w:val="bottom"/>
          </w:tcPr>
          <w:p>
            <w:pPr>
              <w:spacing w:after="0"/>
              <w:rPr>
                <w:sz w:val="1"/>
                <w:szCs w:val="1"/>
                <w:color w:val="auto"/>
              </w:rPr>
            </w:pPr>
          </w:p>
        </w:tc>
      </w:tr>
      <w:tr>
        <w:trPr>
          <w:trHeight w:val="105"/>
        </w:trPr>
        <w:tc>
          <w:tcPr>
            <w:tcW w:w="3200" w:type="dxa"/>
            <w:vAlign w:val="bottom"/>
            <w:tcBorders>
              <w:left w:val="single" w:sz="8" w:color="auto"/>
              <w:right w:val="single" w:sz="8" w:color="auto"/>
            </w:tcBorders>
            <w:gridSpan w:val="2"/>
          </w:tcPr>
          <w:p>
            <w:pPr>
              <w:ind w:left="300"/>
              <w:spacing w:after="0" w:line="105" w:lineRule="exact"/>
              <w:rPr>
                <w:sz w:val="20"/>
                <w:szCs w:val="20"/>
                <w:color w:val="auto"/>
              </w:rPr>
            </w:pPr>
            <w:r>
              <w:rPr>
                <w:rFonts w:ascii="Arial" w:cs="Arial" w:eastAsia="Arial" w:hAnsi="Arial"/>
                <w:sz w:val="10"/>
                <w:szCs w:val="10"/>
                <w:color w:val="auto"/>
              </w:rPr>
              <w:t>Other interest expense</w:t>
            </w:r>
          </w:p>
        </w:tc>
        <w:tc>
          <w:tcPr>
            <w:tcW w:w="1120" w:type="dxa"/>
            <w:vAlign w:val="bottom"/>
          </w:tcPr>
          <w:p>
            <w:pPr>
              <w:jc w:val="right"/>
              <w:ind w:right="90"/>
              <w:spacing w:after="0" w:line="105" w:lineRule="exact"/>
              <w:rPr>
                <w:sz w:val="20"/>
                <w:szCs w:val="20"/>
                <w:color w:val="auto"/>
              </w:rPr>
            </w:pPr>
            <w:r>
              <w:rPr>
                <w:rFonts w:ascii="Arial" w:cs="Arial" w:eastAsia="Arial" w:hAnsi="Arial"/>
                <w:sz w:val="10"/>
                <w:szCs w:val="10"/>
                <w:color w:val="auto"/>
              </w:rPr>
              <w:t>80,567</w:t>
            </w:r>
          </w:p>
        </w:tc>
        <w:tc>
          <w:tcPr>
            <w:tcW w:w="840" w:type="dxa"/>
            <w:vAlign w:val="bottom"/>
          </w:tcPr>
          <w:p>
            <w:pPr>
              <w:jc w:val="right"/>
              <w:spacing w:after="0" w:line="105" w:lineRule="exact"/>
              <w:rPr>
                <w:sz w:val="20"/>
                <w:szCs w:val="20"/>
                <w:color w:val="auto"/>
              </w:rPr>
            </w:pPr>
            <w:r>
              <w:rPr>
                <w:rFonts w:ascii="Arial" w:cs="Arial" w:eastAsia="Arial" w:hAnsi="Arial"/>
                <w:sz w:val="10"/>
                <w:szCs w:val="10"/>
                <w:color w:val="auto"/>
              </w:rPr>
              <w:t>110,642</w:t>
            </w:r>
          </w:p>
        </w:tc>
        <w:tc>
          <w:tcPr>
            <w:tcW w:w="1000" w:type="dxa"/>
            <w:vAlign w:val="bottom"/>
            <w:tcBorders>
              <w:right w:val="single" w:sz="8" w:color="auto"/>
            </w:tcBorders>
          </w:tcPr>
          <w:p>
            <w:pPr>
              <w:jc w:val="right"/>
              <w:spacing w:after="0" w:line="105" w:lineRule="exact"/>
              <w:rPr>
                <w:sz w:val="20"/>
                <w:szCs w:val="20"/>
                <w:color w:val="auto"/>
              </w:rPr>
            </w:pPr>
            <w:r>
              <w:rPr>
                <w:rFonts w:ascii="Arial" w:cs="Arial" w:eastAsia="Arial" w:hAnsi="Arial"/>
                <w:sz w:val="10"/>
                <w:szCs w:val="10"/>
                <w:color w:val="auto"/>
              </w:rPr>
              <w:t>113,866</w:t>
            </w:r>
          </w:p>
        </w:tc>
        <w:tc>
          <w:tcPr>
            <w:tcW w:w="720" w:type="dxa"/>
            <w:vAlign w:val="bottom"/>
          </w:tcPr>
          <w:p>
            <w:pPr>
              <w:jc w:val="center"/>
              <w:ind w:left="210"/>
              <w:spacing w:after="0" w:line="105" w:lineRule="exact"/>
              <w:rPr>
                <w:sz w:val="20"/>
                <w:szCs w:val="20"/>
                <w:color w:val="auto"/>
              </w:rPr>
            </w:pPr>
            <w:r>
              <w:rPr>
                <w:rFonts w:ascii="Arial" w:cs="Arial" w:eastAsia="Arial" w:hAnsi="Arial"/>
                <w:sz w:val="10"/>
                <w:szCs w:val="10"/>
                <w:color w:val="auto"/>
                <w:w w:val="96"/>
              </w:rPr>
              <w:t>2.9%</w:t>
            </w:r>
          </w:p>
        </w:tc>
        <w:tc>
          <w:tcPr>
            <w:tcW w:w="1320" w:type="dxa"/>
            <w:vAlign w:val="bottom"/>
            <w:tcBorders>
              <w:right w:val="single" w:sz="8" w:color="auto"/>
            </w:tcBorders>
          </w:tcPr>
          <w:p>
            <w:pPr>
              <w:jc w:val="center"/>
              <w:ind w:left="210"/>
              <w:spacing w:after="0" w:line="105" w:lineRule="exact"/>
              <w:rPr>
                <w:sz w:val="20"/>
                <w:szCs w:val="20"/>
                <w:color w:val="auto"/>
              </w:rPr>
            </w:pPr>
            <w:r>
              <w:rPr>
                <w:rFonts w:ascii="Arial" w:cs="Arial" w:eastAsia="Arial" w:hAnsi="Arial"/>
                <w:sz w:val="10"/>
                <w:szCs w:val="10"/>
                <w:color w:val="auto"/>
              </w:rPr>
              <w:t>41.3%</w:t>
            </w:r>
          </w:p>
        </w:tc>
        <w:tc>
          <w:tcPr>
            <w:tcW w:w="1240" w:type="dxa"/>
            <w:vAlign w:val="bottom"/>
          </w:tcPr>
          <w:p>
            <w:pPr>
              <w:jc w:val="right"/>
              <w:ind w:right="190"/>
              <w:spacing w:after="0" w:line="105" w:lineRule="exact"/>
              <w:rPr>
                <w:sz w:val="20"/>
                <w:szCs w:val="20"/>
                <w:color w:val="auto"/>
              </w:rPr>
            </w:pPr>
            <w:r>
              <w:rPr>
                <w:rFonts w:ascii="Arial" w:cs="Arial" w:eastAsia="Arial" w:hAnsi="Arial"/>
                <w:sz w:val="10"/>
                <w:szCs w:val="10"/>
                <w:color w:val="auto"/>
              </w:rPr>
              <w:t>267,114</w:t>
            </w:r>
          </w:p>
        </w:tc>
        <w:tc>
          <w:tcPr>
            <w:tcW w:w="820" w:type="dxa"/>
            <w:vAlign w:val="bottom"/>
            <w:tcBorders>
              <w:right w:val="single" w:sz="8" w:color="auto"/>
            </w:tcBorders>
          </w:tcPr>
          <w:p>
            <w:pPr>
              <w:jc w:val="right"/>
              <w:spacing w:after="0" w:line="105" w:lineRule="exact"/>
              <w:rPr>
                <w:sz w:val="20"/>
                <w:szCs w:val="20"/>
                <w:color w:val="auto"/>
              </w:rPr>
            </w:pPr>
            <w:r>
              <w:rPr>
                <w:rFonts w:ascii="Arial" w:cs="Arial" w:eastAsia="Arial" w:hAnsi="Arial"/>
                <w:sz w:val="10"/>
                <w:szCs w:val="10"/>
                <w:color w:val="auto"/>
              </w:rPr>
              <w:t>333,856</w:t>
            </w:r>
          </w:p>
        </w:tc>
        <w:tc>
          <w:tcPr>
            <w:tcW w:w="1000" w:type="dxa"/>
            <w:vAlign w:val="bottom"/>
            <w:tcBorders>
              <w:right w:val="single" w:sz="8" w:color="auto"/>
            </w:tcBorders>
          </w:tcPr>
          <w:p>
            <w:pPr>
              <w:jc w:val="center"/>
              <w:spacing w:after="0" w:line="105" w:lineRule="exact"/>
              <w:rPr>
                <w:sz w:val="20"/>
                <w:szCs w:val="20"/>
                <w:color w:val="auto"/>
              </w:rPr>
            </w:pPr>
            <w:r>
              <w:rPr>
                <w:rFonts w:ascii="Arial" w:cs="Arial" w:eastAsia="Arial" w:hAnsi="Arial"/>
                <w:sz w:val="10"/>
                <w:szCs w:val="10"/>
                <w:color w:val="auto"/>
                <w:w w:val="98"/>
              </w:rPr>
              <w:t>25.0%</w:t>
            </w:r>
          </w:p>
        </w:tc>
        <w:tc>
          <w:tcPr>
            <w:tcW w:w="0" w:type="dxa"/>
            <w:vAlign w:val="bottom"/>
          </w:tcPr>
          <w:p>
            <w:pPr>
              <w:spacing w:after="0"/>
              <w:rPr>
                <w:sz w:val="1"/>
                <w:szCs w:val="1"/>
                <w:color w:val="auto"/>
              </w:rPr>
            </w:pPr>
          </w:p>
        </w:tc>
      </w:tr>
      <w:tr>
        <w:trPr>
          <w:trHeight w:val="126"/>
        </w:trPr>
        <w:tc>
          <w:tcPr>
            <w:tcW w:w="3200" w:type="dxa"/>
            <w:vAlign w:val="bottom"/>
            <w:tcBorders>
              <w:left w:val="single" w:sz="8" w:color="auto"/>
              <w:bottom w:val="single" w:sz="8" w:color="auto"/>
              <w:right w:val="single" w:sz="8" w:color="auto"/>
            </w:tcBorders>
            <w:gridSpan w:val="2"/>
          </w:tcPr>
          <w:p>
            <w:pPr>
              <w:ind w:left="160"/>
              <w:spacing w:after="0"/>
              <w:rPr>
                <w:sz w:val="20"/>
                <w:szCs w:val="20"/>
                <w:color w:val="auto"/>
              </w:rPr>
            </w:pPr>
            <w:r>
              <w:rPr>
                <w:rFonts w:ascii="Arial" w:cs="Arial" w:eastAsia="Arial" w:hAnsi="Arial"/>
                <w:sz w:val="10"/>
                <w:szCs w:val="10"/>
                <w:b w:val="1"/>
                <w:bCs w:val="1"/>
                <w:color w:val="auto"/>
              </w:rPr>
              <w:t>Net Insurance Financial Expenses</w:t>
            </w: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b w:val="1"/>
                <w:bCs w:val="1"/>
                <w:color w:val="auto"/>
              </w:rPr>
              <w:t>(117,990)</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(115,166)</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0"/>
                <w:szCs w:val="10"/>
                <w:b w:val="1"/>
                <w:bCs w:val="1"/>
                <w:color w:val="auto"/>
              </w:rPr>
              <w:t>(116,465)</w:t>
            </w:r>
          </w:p>
        </w:tc>
        <w:tc>
          <w:tcPr>
            <w:tcW w:w="720" w:type="dxa"/>
            <w:vAlign w:val="bottom"/>
            <w:tcBorders>
              <w:bottom w:val="single" w:sz="8" w:color="auto"/>
            </w:tcBorders>
          </w:tcPr>
          <w:p>
            <w:pPr>
              <w:jc w:val="center"/>
              <w:ind w:left="210"/>
              <w:spacing w:after="0"/>
              <w:rPr>
                <w:sz w:val="20"/>
                <w:szCs w:val="20"/>
                <w:color w:val="auto"/>
              </w:rPr>
            </w:pPr>
            <w:r>
              <w:rPr>
                <w:rFonts w:ascii="Arial" w:cs="Arial" w:eastAsia="Arial" w:hAnsi="Arial"/>
                <w:sz w:val="10"/>
                <w:szCs w:val="10"/>
                <w:b w:val="1"/>
                <w:bCs w:val="1"/>
                <w:color w:val="auto"/>
                <w:w w:val="96"/>
              </w:rPr>
              <w:t>1.1%</w:t>
            </w:r>
          </w:p>
        </w:tc>
        <w:tc>
          <w:tcPr>
            <w:tcW w:w="1320" w:type="dxa"/>
            <w:vAlign w:val="bottom"/>
            <w:tcBorders>
              <w:bottom w:val="single" w:sz="8" w:color="auto"/>
              <w:right w:val="single" w:sz="8" w:color="auto"/>
            </w:tcBorders>
          </w:tcPr>
          <w:p>
            <w:pPr>
              <w:jc w:val="center"/>
              <w:ind w:left="210"/>
              <w:spacing w:after="0"/>
              <w:rPr>
                <w:sz w:val="20"/>
                <w:szCs w:val="20"/>
                <w:color w:val="auto"/>
              </w:rPr>
            </w:pPr>
            <w:r>
              <w:rPr>
                <w:rFonts w:ascii="Arial" w:cs="Arial" w:eastAsia="Arial" w:hAnsi="Arial"/>
                <w:sz w:val="10"/>
                <w:szCs w:val="10"/>
                <w:b w:val="1"/>
                <w:bCs w:val="1"/>
                <w:color w:val="auto"/>
                <w:w w:val="99"/>
              </w:rPr>
              <w:t>-1.3%</w:t>
            </w:r>
          </w:p>
        </w:tc>
        <w:tc>
          <w:tcPr>
            <w:tcW w:w="1240" w:type="dxa"/>
            <w:vAlign w:val="bottom"/>
            <w:tcBorders>
              <w:bottom w:val="single" w:sz="8" w:color="auto"/>
            </w:tcBorders>
          </w:tcPr>
          <w:p>
            <w:pPr>
              <w:jc w:val="right"/>
              <w:ind w:right="190"/>
              <w:spacing w:after="0"/>
              <w:rPr>
                <w:sz w:val="20"/>
                <w:szCs w:val="20"/>
                <w:color w:val="auto"/>
              </w:rPr>
            </w:pPr>
            <w:r>
              <w:rPr>
                <w:rFonts w:ascii="Arial" w:cs="Arial" w:eastAsia="Arial" w:hAnsi="Arial"/>
                <w:sz w:val="10"/>
                <w:szCs w:val="10"/>
                <w:b w:val="1"/>
                <w:bCs w:val="1"/>
                <w:color w:val="auto"/>
              </w:rPr>
              <w:t>(323,708)</w:t>
            </w:r>
          </w:p>
        </w:tc>
        <w:tc>
          <w:tcPr>
            <w:tcW w:w="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0"/>
                <w:szCs w:val="10"/>
                <w:b w:val="1"/>
                <w:bCs w:val="1"/>
                <w:color w:val="auto"/>
              </w:rPr>
              <w:t>(347,381)</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rPr>
              <w:t>7.3%</w:t>
            </w:r>
          </w:p>
        </w:tc>
        <w:tc>
          <w:tcPr>
            <w:tcW w:w="0" w:type="dxa"/>
            <w:vAlign w:val="bottom"/>
          </w:tcPr>
          <w:p>
            <w:pPr>
              <w:spacing w:after="0"/>
              <w:rPr>
                <w:sz w:val="1"/>
                <w:szCs w:val="1"/>
                <w:color w:val="auto"/>
              </w:rPr>
            </w:pPr>
          </w:p>
        </w:tc>
      </w:tr>
      <w:tr>
        <w:trPr>
          <w:trHeight w:val="104"/>
        </w:trPr>
        <w:tc>
          <w:tcPr>
            <w:tcW w:w="3200" w:type="dxa"/>
            <w:vAlign w:val="bottom"/>
            <w:tcBorders>
              <w:left w:val="single" w:sz="8" w:color="auto"/>
              <w:bottom w:val="single" w:sz="8" w:color="auto"/>
              <w:right w:val="single" w:sz="8" w:color="auto"/>
            </w:tcBorders>
            <w:gridSpan w:val="2"/>
          </w:tcPr>
          <w:p>
            <w:pPr>
              <w:ind w:left="20"/>
              <w:spacing w:after="0" w:line="104" w:lineRule="exact"/>
              <w:rPr>
                <w:sz w:val="20"/>
                <w:szCs w:val="20"/>
                <w:color w:val="auto"/>
              </w:rPr>
            </w:pPr>
            <w:r>
              <w:rPr>
                <w:rFonts w:ascii="Arial" w:cs="Arial" w:eastAsia="Arial" w:hAnsi="Arial"/>
                <w:sz w:val="10"/>
                <w:szCs w:val="10"/>
                <w:b w:val="1"/>
                <w:bCs w:val="1"/>
                <w:color w:val="auto"/>
              </w:rPr>
              <w:t>Net interest income</w:t>
            </w:r>
          </w:p>
        </w:tc>
        <w:tc>
          <w:tcPr>
            <w:tcW w:w="1120" w:type="dxa"/>
            <w:vAlign w:val="bottom"/>
            <w:tcBorders>
              <w:bottom w:val="single" w:sz="8" w:color="auto"/>
            </w:tcBorders>
          </w:tcPr>
          <w:p>
            <w:pPr>
              <w:jc w:val="right"/>
              <w:ind w:right="90"/>
              <w:spacing w:after="0" w:line="104" w:lineRule="exact"/>
              <w:rPr>
                <w:sz w:val="20"/>
                <w:szCs w:val="20"/>
                <w:color w:val="auto"/>
              </w:rPr>
            </w:pPr>
            <w:r>
              <w:rPr>
                <w:rFonts w:ascii="Arial" w:cs="Arial" w:eastAsia="Arial" w:hAnsi="Arial"/>
                <w:sz w:val="10"/>
                <w:szCs w:val="10"/>
                <w:b w:val="1"/>
                <w:bCs w:val="1"/>
                <w:color w:val="auto"/>
              </w:rPr>
              <w:t>2,882,401</w:t>
            </w:r>
          </w:p>
        </w:tc>
        <w:tc>
          <w:tcPr>
            <w:tcW w:w="840" w:type="dxa"/>
            <w:vAlign w:val="bottom"/>
            <w:tcBorders>
              <w:bottom w:val="single" w:sz="8" w:color="auto"/>
            </w:tcBorders>
          </w:tcPr>
          <w:p>
            <w:pPr>
              <w:jc w:val="right"/>
              <w:spacing w:after="0" w:line="104" w:lineRule="exact"/>
              <w:rPr>
                <w:sz w:val="20"/>
                <w:szCs w:val="20"/>
                <w:color w:val="auto"/>
              </w:rPr>
            </w:pPr>
            <w:r>
              <w:rPr>
                <w:rFonts w:ascii="Arial" w:cs="Arial" w:eastAsia="Arial" w:hAnsi="Arial"/>
                <w:sz w:val="10"/>
                <w:szCs w:val="10"/>
                <w:b w:val="1"/>
                <w:bCs w:val="1"/>
                <w:color w:val="auto"/>
              </w:rPr>
              <w:t>3,204,156</w:t>
            </w:r>
          </w:p>
        </w:tc>
        <w:tc>
          <w:tcPr>
            <w:tcW w:w="1000" w:type="dxa"/>
            <w:vAlign w:val="bottom"/>
            <w:tcBorders>
              <w:bottom w:val="single" w:sz="8" w:color="auto"/>
              <w:right w:val="single" w:sz="8" w:color="auto"/>
            </w:tcBorders>
          </w:tcPr>
          <w:p>
            <w:pPr>
              <w:jc w:val="right"/>
              <w:spacing w:after="0" w:line="104" w:lineRule="exact"/>
              <w:rPr>
                <w:sz w:val="20"/>
                <w:szCs w:val="20"/>
                <w:color w:val="auto"/>
              </w:rPr>
            </w:pPr>
            <w:r>
              <w:rPr>
                <w:rFonts w:ascii="Arial" w:cs="Arial" w:eastAsia="Arial" w:hAnsi="Arial"/>
                <w:sz w:val="10"/>
                <w:szCs w:val="10"/>
                <w:b w:val="1"/>
                <w:bCs w:val="1"/>
                <w:color w:val="auto"/>
              </w:rPr>
              <w:t>3,254,043</w:t>
            </w:r>
          </w:p>
        </w:tc>
        <w:tc>
          <w:tcPr>
            <w:tcW w:w="720" w:type="dxa"/>
            <w:vAlign w:val="bottom"/>
            <w:tcBorders>
              <w:bottom w:val="single" w:sz="8" w:color="auto"/>
            </w:tcBorders>
          </w:tcPr>
          <w:p>
            <w:pPr>
              <w:jc w:val="center"/>
              <w:ind w:left="210"/>
              <w:spacing w:after="0" w:line="104" w:lineRule="exact"/>
              <w:rPr>
                <w:sz w:val="20"/>
                <w:szCs w:val="20"/>
                <w:color w:val="auto"/>
              </w:rPr>
            </w:pPr>
            <w:r>
              <w:rPr>
                <w:rFonts w:ascii="Arial" w:cs="Arial" w:eastAsia="Arial" w:hAnsi="Arial"/>
                <w:sz w:val="10"/>
                <w:szCs w:val="10"/>
                <w:b w:val="1"/>
                <w:bCs w:val="1"/>
                <w:color w:val="auto"/>
                <w:w w:val="96"/>
              </w:rPr>
              <w:t>1.6%</w:t>
            </w:r>
          </w:p>
        </w:tc>
        <w:tc>
          <w:tcPr>
            <w:tcW w:w="1320" w:type="dxa"/>
            <w:vAlign w:val="bottom"/>
            <w:tcBorders>
              <w:bottom w:val="single" w:sz="8" w:color="auto"/>
              <w:right w:val="single" w:sz="8" w:color="auto"/>
            </w:tcBorders>
          </w:tcPr>
          <w:p>
            <w:pPr>
              <w:jc w:val="center"/>
              <w:ind w:left="210"/>
              <w:spacing w:after="0" w:line="104" w:lineRule="exact"/>
              <w:rPr>
                <w:sz w:val="20"/>
                <w:szCs w:val="20"/>
                <w:color w:val="auto"/>
              </w:rPr>
            </w:pPr>
            <w:r>
              <w:rPr>
                <w:rFonts w:ascii="Arial" w:cs="Arial" w:eastAsia="Arial" w:hAnsi="Arial"/>
                <w:sz w:val="10"/>
                <w:szCs w:val="10"/>
                <w:b w:val="1"/>
                <w:bCs w:val="1"/>
                <w:color w:val="auto"/>
              </w:rPr>
              <w:t>12.9%</w:t>
            </w:r>
          </w:p>
        </w:tc>
        <w:tc>
          <w:tcPr>
            <w:tcW w:w="1240" w:type="dxa"/>
            <w:vAlign w:val="bottom"/>
            <w:tcBorders>
              <w:bottom w:val="single" w:sz="8" w:color="auto"/>
            </w:tcBorders>
          </w:tcPr>
          <w:p>
            <w:pPr>
              <w:jc w:val="right"/>
              <w:ind w:right="190"/>
              <w:spacing w:after="0" w:line="104" w:lineRule="exact"/>
              <w:rPr>
                <w:sz w:val="20"/>
                <w:szCs w:val="20"/>
                <w:color w:val="auto"/>
              </w:rPr>
            </w:pPr>
            <w:r>
              <w:rPr>
                <w:rFonts w:ascii="Arial" w:cs="Arial" w:eastAsia="Arial" w:hAnsi="Arial"/>
                <w:sz w:val="10"/>
                <w:szCs w:val="10"/>
                <w:b w:val="1"/>
                <w:bCs w:val="1"/>
                <w:color w:val="auto"/>
              </w:rPr>
              <w:t>7,951,214</w:t>
            </w:r>
          </w:p>
        </w:tc>
        <w:tc>
          <w:tcPr>
            <w:tcW w:w="820" w:type="dxa"/>
            <w:vAlign w:val="bottom"/>
            <w:tcBorders>
              <w:bottom w:val="single" w:sz="8" w:color="auto"/>
              <w:right w:val="single" w:sz="8" w:color="auto"/>
            </w:tcBorders>
          </w:tcPr>
          <w:p>
            <w:pPr>
              <w:jc w:val="right"/>
              <w:spacing w:after="0" w:line="104" w:lineRule="exact"/>
              <w:rPr>
                <w:sz w:val="20"/>
                <w:szCs w:val="20"/>
                <w:color w:val="auto"/>
              </w:rPr>
            </w:pPr>
            <w:r>
              <w:rPr>
                <w:rFonts w:ascii="Arial" w:cs="Arial" w:eastAsia="Arial" w:hAnsi="Arial"/>
                <w:sz w:val="10"/>
                <w:szCs w:val="10"/>
                <w:b w:val="1"/>
                <w:bCs w:val="1"/>
                <w:color w:val="auto"/>
              </w:rPr>
              <w:t>9,590,288</w:t>
            </w:r>
          </w:p>
        </w:tc>
        <w:tc>
          <w:tcPr>
            <w:tcW w:w="1000" w:type="dxa"/>
            <w:vAlign w:val="bottom"/>
            <w:tcBorders>
              <w:bottom w:val="single" w:sz="8" w:color="auto"/>
              <w:right w:val="single" w:sz="8" w:color="auto"/>
            </w:tcBorders>
          </w:tcPr>
          <w:p>
            <w:pPr>
              <w:jc w:val="center"/>
              <w:spacing w:after="0" w:line="104" w:lineRule="exact"/>
              <w:rPr>
                <w:sz w:val="20"/>
                <w:szCs w:val="20"/>
                <w:color w:val="auto"/>
              </w:rPr>
            </w:pPr>
            <w:r>
              <w:rPr>
                <w:rFonts w:ascii="Arial" w:cs="Arial" w:eastAsia="Arial" w:hAnsi="Arial"/>
                <w:sz w:val="10"/>
                <w:szCs w:val="10"/>
                <w:b w:val="1"/>
                <w:bCs w:val="1"/>
                <w:color w:val="auto"/>
                <w:w w:val="98"/>
              </w:rPr>
              <w:t>20.6%</w:t>
            </w:r>
          </w:p>
        </w:tc>
        <w:tc>
          <w:tcPr>
            <w:tcW w:w="0" w:type="dxa"/>
            <w:vAlign w:val="bottom"/>
          </w:tcPr>
          <w:p>
            <w:pPr>
              <w:spacing w:after="0"/>
              <w:rPr>
                <w:sz w:val="1"/>
                <w:szCs w:val="1"/>
                <w:color w:val="auto"/>
              </w:rPr>
            </w:pPr>
          </w:p>
        </w:tc>
      </w:tr>
      <w:tr>
        <w:trPr>
          <w:trHeight w:val="116"/>
        </w:trPr>
        <w:tc>
          <w:tcPr>
            <w:tcW w:w="32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0"/>
                <w:szCs w:val="10"/>
                <w:b w:val="1"/>
                <w:bCs w:val="1"/>
                <w:color w:val="auto"/>
              </w:rPr>
              <w:t>Risk-adjusted Net interest income</w:t>
            </w: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b w:val="1"/>
                <w:bCs w:val="1"/>
                <w:color w:val="auto"/>
              </w:rPr>
              <w:t>2,422,425</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2,399,905</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0"/>
                <w:szCs w:val="10"/>
                <w:b w:val="1"/>
                <w:bCs w:val="1"/>
                <w:color w:val="auto"/>
              </w:rPr>
              <w:t>2,336,401</w:t>
            </w:r>
          </w:p>
        </w:tc>
        <w:tc>
          <w:tcPr>
            <w:tcW w:w="720" w:type="dxa"/>
            <w:vAlign w:val="bottom"/>
            <w:tcBorders>
              <w:bottom w:val="single" w:sz="8" w:color="auto"/>
            </w:tcBorders>
          </w:tcPr>
          <w:p>
            <w:pPr>
              <w:jc w:val="center"/>
              <w:ind w:left="210"/>
              <w:spacing w:after="0"/>
              <w:rPr>
                <w:sz w:val="20"/>
                <w:szCs w:val="20"/>
                <w:color w:val="auto"/>
              </w:rPr>
            </w:pPr>
            <w:r>
              <w:rPr>
                <w:rFonts w:ascii="Arial" w:cs="Arial" w:eastAsia="Arial" w:hAnsi="Arial"/>
                <w:sz w:val="10"/>
                <w:szCs w:val="10"/>
                <w:b w:val="1"/>
                <w:bCs w:val="1"/>
                <w:color w:val="auto"/>
                <w:w w:val="99"/>
              </w:rPr>
              <w:t>-2.6%</w:t>
            </w:r>
          </w:p>
        </w:tc>
        <w:tc>
          <w:tcPr>
            <w:tcW w:w="1320" w:type="dxa"/>
            <w:vAlign w:val="bottom"/>
            <w:tcBorders>
              <w:bottom w:val="single" w:sz="8" w:color="auto"/>
              <w:right w:val="single" w:sz="8" w:color="auto"/>
            </w:tcBorders>
          </w:tcPr>
          <w:p>
            <w:pPr>
              <w:jc w:val="center"/>
              <w:ind w:left="210"/>
              <w:spacing w:after="0"/>
              <w:rPr>
                <w:sz w:val="20"/>
                <w:szCs w:val="20"/>
                <w:color w:val="auto"/>
              </w:rPr>
            </w:pPr>
            <w:r>
              <w:rPr>
                <w:rFonts w:ascii="Arial" w:cs="Arial" w:eastAsia="Arial" w:hAnsi="Arial"/>
                <w:sz w:val="10"/>
                <w:szCs w:val="10"/>
                <w:b w:val="1"/>
                <w:bCs w:val="1"/>
                <w:color w:val="auto"/>
                <w:w w:val="99"/>
              </w:rPr>
              <w:t>-3.6%</w:t>
            </w:r>
          </w:p>
        </w:tc>
        <w:tc>
          <w:tcPr>
            <w:tcW w:w="1240" w:type="dxa"/>
            <w:vAlign w:val="bottom"/>
            <w:tcBorders>
              <w:bottom w:val="single" w:sz="8" w:color="auto"/>
            </w:tcBorders>
          </w:tcPr>
          <w:p>
            <w:pPr>
              <w:jc w:val="right"/>
              <w:ind w:right="190"/>
              <w:spacing w:after="0"/>
              <w:rPr>
                <w:sz w:val="20"/>
                <w:szCs w:val="20"/>
                <w:color w:val="auto"/>
              </w:rPr>
            </w:pPr>
            <w:r>
              <w:rPr>
                <w:rFonts w:ascii="Arial" w:cs="Arial" w:eastAsia="Arial" w:hAnsi="Arial"/>
                <w:sz w:val="10"/>
                <w:szCs w:val="10"/>
                <w:b w:val="1"/>
                <w:bCs w:val="1"/>
                <w:color w:val="auto"/>
              </w:rPr>
              <w:t>6,870,357</w:t>
            </w:r>
          </w:p>
        </w:tc>
        <w:tc>
          <w:tcPr>
            <w:tcW w:w="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0"/>
                <w:szCs w:val="10"/>
                <w:b w:val="1"/>
                <w:bCs w:val="1"/>
                <w:color w:val="auto"/>
              </w:rPr>
              <w:t>7,141,397</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rPr>
              <w:t>3.9%</w:t>
            </w:r>
          </w:p>
        </w:tc>
        <w:tc>
          <w:tcPr>
            <w:tcW w:w="0" w:type="dxa"/>
            <w:vAlign w:val="bottom"/>
          </w:tcPr>
          <w:p>
            <w:pPr>
              <w:spacing w:after="0"/>
              <w:rPr>
                <w:sz w:val="1"/>
                <w:szCs w:val="1"/>
                <w:color w:val="auto"/>
              </w:rPr>
            </w:pPr>
          </w:p>
        </w:tc>
      </w:tr>
      <w:tr>
        <w:trPr>
          <w:trHeight w:val="116"/>
        </w:trPr>
        <w:tc>
          <w:tcPr>
            <w:tcW w:w="32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0"/>
                <w:szCs w:val="10"/>
                <w:color w:val="auto"/>
              </w:rPr>
              <w:t>Average interest earning assets</w:t>
            </w: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rPr>
              <w:t>225,371,577</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220,651,688</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0"/>
                <w:szCs w:val="10"/>
                <w:color w:val="auto"/>
              </w:rPr>
              <w:t>220,719,735</w:t>
            </w:r>
          </w:p>
        </w:tc>
        <w:tc>
          <w:tcPr>
            <w:tcW w:w="720" w:type="dxa"/>
            <w:vAlign w:val="bottom"/>
            <w:tcBorders>
              <w:bottom w:val="single" w:sz="8" w:color="auto"/>
            </w:tcBorders>
          </w:tcPr>
          <w:p>
            <w:pPr>
              <w:jc w:val="center"/>
              <w:ind w:left="210"/>
              <w:spacing w:after="0"/>
              <w:rPr>
                <w:sz w:val="20"/>
                <w:szCs w:val="20"/>
                <w:color w:val="auto"/>
              </w:rPr>
            </w:pPr>
            <w:r>
              <w:rPr>
                <w:rFonts w:ascii="Arial" w:cs="Arial" w:eastAsia="Arial" w:hAnsi="Arial"/>
                <w:sz w:val="10"/>
                <w:szCs w:val="10"/>
                <w:color w:val="auto"/>
                <w:w w:val="96"/>
              </w:rPr>
              <w:t>0.0%</w:t>
            </w:r>
          </w:p>
        </w:tc>
        <w:tc>
          <w:tcPr>
            <w:tcW w:w="1320" w:type="dxa"/>
            <w:vAlign w:val="bottom"/>
            <w:tcBorders>
              <w:bottom w:val="single" w:sz="8" w:color="auto"/>
              <w:right w:val="single" w:sz="8" w:color="auto"/>
            </w:tcBorders>
          </w:tcPr>
          <w:p>
            <w:pPr>
              <w:jc w:val="center"/>
              <w:ind w:left="210"/>
              <w:spacing w:after="0"/>
              <w:rPr>
                <w:sz w:val="20"/>
                <w:szCs w:val="20"/>
                <w:color w:val="auto"/>
              </w:rPr>
            </w:pPr>
            <w:r>
              <w:rPr>
                <w:rFonts w:ascii="Arial" w:cs="Arial" w:eastAsia="Arial" w:hAnsi="Arial"/>
                <w:sz w:val="10"/>
                <w:szCs w:val="10"/>
                <w:color w:val="auto"/>
                <w:w w:val="99"/>
              </w:rPr>
              <w:t>-2.1%</w:t>
            </w:r>
          </w:p>
        </w:tc>
        <w:tc>
          <w:tcPr>
            <w:tcW w:w="1240" w:type="dxa"/>
            <w:vAlign w:val="bottom"/>
            <w:tcBorders>
              <w:bottom w:val="single" w:sz="8" w:color="auto"/>
            </w:tcBorders>
          </w:tcPr>
          <w:p>
            <w:pPr>
              <w:jc w:val="right"/>
              <w:ind w:right="190"/>
              <w:spacing w:after="0"/>
              <w:rPr>
                <w:sz w:val="20"/>
                <w:szCs w:val="20"/>
                <w:color w:val="auto"/>
              </w:rPr>
            </w:pPr>
            <w:r>
              <w:rPr>
                <w:rFonts w:ascii="Arial" w:cs="Arial" w:eastAsia="Arial" w:hAnsi="Arial"/>
                <w:sz w:val="10"/>
                <w:szCs w:val="10"/>
                <w:color w:val="auto"/>
              </w:rPr>
              <w:t>229,932,415</w:t>
            </w:r>
          </w:p>
        </w:tc>
        <w:tc>
          <w:tcPr>
            <w:tcW w:w="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0"/>
                <w:szCs w:val="10"/>
                <w:color w:val="auto"/>
              </w:rPr>
              <w:t>222,357,551</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color w:val="auto"/>
                <w:w w:val="99"/>
              </w:rPr>
              <w:t>-3.3%</w:t>
            </w:r>
          </w:p>
        </w:tc>
        <w:tc>
          <w:tcPr>
            <w:tcW w:w="0" w:type="dxa"/>
            <w:vAlign w:val="bottom"/>
          </w:tcPr>
          <w:p>
            <w:pPr>
              <w:spacing w:after="0"/>
              <w:rPr>
                <w:sz w:val="1"/>
                <w:szCs w:val="1"/>
                <w:color w:val="auto"/>
              </w:rPr>
            </w:pPr>
          </w:p>
        </w:tc>
      </w:tr>
      <w:tr>
        <w:trPr>
          <w:trHeight w:val="101"/>
        </w:trPr>
        <w:tc>
          <w:tcPr>
            <w:tcW w:w="3200" w:type="dxa"/>
            <w:vAlign w:val="bottom"/>
            <w:tcBorders>
              <w:left w:val="single" w:sz="8" w:color="auto"/>
              <w:right w:val="single" w:sz="8" w:color="auto"/>
            </w:tcBorders>
            <w:gridSpan w:val="2"/>
          </w:tcPr>
          <w:p>
            <w:pPr>
              <w:ind w:left="20"/>
              <w:spacing w:after="0" w:line="101" w:lineRule="exact"/>
              <w:rPr>
                <w:sz w:val="20"/>
                <w:szCs w:val="20"/>
                <w:color w:val="auto"/>
              </w:rPr>
            </w:pPr>
            <w:r>
              <w:rPr>
                <w:rFonts w:ascii="Arial" w:cs="Arial" w:eastAsia="Arial" w:hAnsi="Arial"/>
                <w:sz w:val="10"/>
                <w:szCs w:val="10"/>
                <w:b w:val="1"/>
                <w:bCs w:val="1"/>
                <w:color w:val="auto"/>
              </w:rPr>
              <w:t xml:space="preserve">Net interest margin </w:t>
            </w:r>
            <w:r>
              <w:rPr>
                <w:rFonts w:ascii="Arial" w:cs="Arial" w:eastAsia="Arial" w:hAnsi="Arial"/>
                <w:sz w:val="4"/>
                <w:szCs w:val="4"/>
                <w:color w:val="auto"/>
              </w:rPr>
              <w:t>(1)</w:t>
            </w:r>
          </w:p>
        </w:tc>
        <w:tc>
          <w:tcPr>
            <w:tcW w:w="1120" w:type="dxa"/>
            <w:vAlign w:val="bottom"/>
          </w:tcPr>
          <w:p>
            <w:pPr>
              <w:jc w:val="right"/>
              <w:ind w:right="90"/>
              <w:spacing w:after="0" w:line="101" w:lineRule="exact"/>
              <w:rPr>
                <w:sz w:val="20"/>
                <w:szCs w:val="20"/>
                <w:color w:val="auto"/>
              </w:rPr>
            </w:pPr>
            <w:r>
              <w:rPr>
                <w:rFonts w:ascii="Arial" w:cs="Arial" w:eastAsia="Arial" w:hAnsi="Arial"/>
                <w:sz w:val="10"/>
                <w:szCs w:val="10"/>
                <w:b w:val="1"/>
                <w:bCs w:val="1"/>
                <w:color w:val="auto"/>
              </w:rPr>
              <w:t>5.33%</w:t>
            </w:r>
          </w:p>
        </w:tc>
        <w:tc>
          <w:tcPr>
            <w:tcW w:w="840" w:type="dxa"/>
            <w:vAlign w:val="bottom"/>
          </w:tcPr>
          <w:p>
            <w:pPr>
              <w:jc w:val="right"/>
              <w:spacing w:after="0" w:line="101" w:lineRule="exact"/>
              <w:rPr>
                <w:sz w:val="20"/>
                <w:szCs w:val="20"/>
                <w:color w:val="auto"/>
              </w:rPr>
            </w:pPr>
            <w:r>
              <w:rPr>
                <w:rFonts w:ascii="Arial" w:cs="Arial" w:eastAsia="Arial" w:hAnsi="Arial"/>
                <w:sz w:val="10"/>
                <w:szCs w:val="10"/>
                <w:b w:val="1"/>
                <w:bCs w:val="1"/>
                <w:color w:val="auto"/>
              </w:rPr>
              <w:t>6.02%</w:t>
            </w:r>
          </w:p>
        </w:tc>
        <w:tc>
          <w:tcPr>
            <w:tcW w:w="1000" w:type="dxa"/>
            <w:vAlign w:val="bottom"/>
            <w:tcBorders>
              <w:right w:val="single" w:sz="8" w:color="auto"/>
            </w:tcBorders>
          </w:tcPr>
          <w:p>
            <w:pPr>
              <w:jc w:val="right"/>
              <w:spacing w:after="0" w:line="101" w:lineRule="exact"/>
              <w:rPr>
                <w:sz w:val="20"/>
                <w:szCs w:val="20"/>
                <w:color w:val="auto"/>
              </w:rPr>
            </w:pPr>
            <w:r>
              <w:rPr>
                <w:rFonts w:ascii="Arial" w:cs="Arial" w:eastAsia="Arial" w:hAnsi="Arial"/>
                <w:sz w:val="10"/>
                <w:szCs w:val="10"/>
                <w:b w:val="1"/>
                <w:bCs w:val="1"/>
                <w:color w:val="auto"/>
              </w:rPr>
              <w:t>6.11%</w:t>
            </w:r>
          </w:p>
        </w:tc>
        <w:tc>
          <w:tcPr>
            <w:tcW w:w="720" w:type="dxa"/>
            <w:vAlign w:val="bottom"/>
          </w:tcPr>
          <w:p>
            <w:pPr>
              <w:jc w:val="center"/>
              <w:ind w:left="230"/>
              <w:spacing w:after="0" w:line="101" w:lineRule="exact"/>
              <w:rPr>
                <w:sz w:val="20"/>
                <w:szCs w:val="20"/>
                <w:color w:val="auto"/>
              </w:rPr>
            </w:pPr>
            <w:r>
              <w:rPr>
                <w:rFonts w:ascii="Arial" w:cs="Arial" w:eastAsia="Arial" w:hAnsi="Arial"/>
                <w:sz w:val="10"/>
                <w:szCs w:val="10"/>
                <w:b w:val="1"/>
                <w:bCs w:val="1"/>
                <w:color w:val="auto"/>
              </w:rPr>
              <w:t>9pbs</w:t>
            </w:r>
          </w:p>
        </w:tc>
        <w:tc>
          <w:tcPr>
            <w:tcW w:w="1320" w:type="dxa"/>
            <w:vAlign w:val="bottom"/>
            <w:tcBorders>
              <w:right w:val="single" w:sz="8" w:color="auto"/>
            </w:tcBorders>
          </w:tcPr>
          <w:p>
            <w:pPr>
              <w:jc w:val="center"/>
              <w:ind w:left="210"/>
              <w:spacing w:after="0" w:line="101" w:lineRule="exact"/>
              <w:rPr>
                <w:sz w:val="20"/>
                <w:szCs w:val="20"/>
                <w:color w:val="auto"/>
              </w:rPr>
            </w:pPr>
            <w:r>
              <w:rPr>
                <w:rFonts w:ascii="Arial" w:cs="Arial" w:eastAsia="Arial" w:hAnsi="Arial"/>
                <w:sz w:val="10"/>
                <w:szCs w:val="10"/>
                <w:b w:val="1"/>
                <w:bCs w:val="1"/>
                <w:color w:val="auto"/>
              </w:rPr>
              <w:t>78pbs</w:t>
            </w:r>
          </w:p>
        </w:tc>
        <w:tc>
          <w:tcPr>
            <w:tcW w:w="1240" w:type="dxa"/>
            <w:vAlign w:val="bottom"/>
          </w:tcPr>
          <w:p>
            <w:pPr>
              <w:jc w:val="right"/>
              <w:ind w:right="190"/>
              <w:spacing w:after="0" w:line="101" w:lineRule="exact"/>
              <w:rPr>
                <w:sz w:val="20"/>
                <w:szCs w:val="20"/>
                <w:color w:val="auto"/>
              </w:rPr>
            </w:pPr>
            <w:r>
              <w:rPr>
                <w:rFonts w:ascii="Arial" w:cs="Arial" w:eastAsia="Arial" w:hAnsi="Arial"/>
                <w:sz w:val="10"/>
                <w:szCs w:val="10"/>
                <w:b w:val="1"/>
                <w:bCs w:val="1"/>
                <w:color w:val="auto"/>
              </w:rPr>
              <w:t>4.80%</w:t>
            </w:r>
          </w:p>
        </w:tc>
        <w:tc>
          <w:tcPr>
            <w:tcW w:w="820" w:type="dxa"/>
            <w:vAlign w:val="bottom"/>
            <w:tcBorders>
              <w:right w:val="single" w:sz="8" w:color="auto"/>
            </w:tcBorders>
          </w:tcPr>
          <w:p>
            <w:pPr>
              <w:jc w:val="right"/>
              <w:spacing w:after="0" w:line="101" w:lineRule="exact"/>
              <w:rPr>
                <w:sz w:val="20"/>
                <w:szCs w:val="20"/>
                <w:color w:val="auto"/>
              </w:rPr>
            </w:pPr>
            <w:r>
              <w:rPr>
                <w:rFonts w:ascii="Arial" w:cs="Arial" w:eastAsia="Arial" w:hAnsi="Arial"/>
                <w:sz w:val="10"/>
                <w:szCs w:val="10"/>
                <w:b w:val="1"/>
                <w:bCs w:val="1"/>
                <w:color w:val="auto"/>
              </w:rPr>
              <w:t>5.96%</w:t>
            </w:r>
          </w:p>
        </w:tc>
        <w:tc>
          <w:tcPr>
            <w:tcW w:w="1000" w:type="dxa"/>
            <w:vAlign w:val="bottom"/>
            <w:tcBorders>
              <w:right w:val="single" w:sz="8" w:color="auto"/>
            </w:tcBorders>
          </w:tcPr>
          <w:p>
            <w:pPr>
              <w:jc w:val="center"/>
              <w:spacing w:after="0" w:line="101" w:lineRule="exact"/>
              <w:rPr>
                <w:sz w:val="20"/>
                <w:szCs w:val="20"/>
                <w:color w:val="auto"/>
              </w:rPr>
            </w:pPr>
            <w:r>
              <w:rPr>
                <w:rFonts w:ascii="Arial" w:cs="Arial" w:eastAsia="Arial" w:hAnsi="Arial"/>
                <w:sz w:val="10"/>
                <w:szCs w:val="10"/>
                <w:b w:val="1"/>
                <w:bCs w:val="1"/>
                <w:color w:val="auto"/>
                <w:w w:val="98"/>
              </w:rPr>
              <w:t>116pbs</w:t>
            </w:r>
          </w:p>
        </w:tc>
        <w:tc>
          <w:tcPr>
            <w:tcW w:w="0" w:type="dxa"/>
            <w:vAlign w:val="bottom"/>
          </w:tcPr>
          <w:p>
            <w:pPr>
              <w:spacing w:after="0"/>
              <w:rPr>
                <w:sz w:val="1"/>
                <w:szCs w:val="1"/>
                <w:color w:val="auto"/>
              </w:rPr>
            </w:pPr>
          </w:p>
        </w:tc>
      </w:tr>
      <w:tr>
        <w:trPr>
          <w:trHeight w:val="111"/>
        </w:trPr>
        <w:tc>
          <w:tcPr>
            <w:tcW w:w="3200" w:type="dxa"/>
            <w:vAlign w:val="bottom"/>
            <w:tcBorders>
              <w:left w:val="single" w:sz="8" w:color="auto"/>
              <w:right w:val="single" w:sz="8" w:color="auto"/>
            </w:tcBorders>
            <w:gridSpan w:val="2"/>
          </w:tcPr>
          <w:p>
            <w:pPr>
              <w:ind w:left="20"/>
              <w:spacing w:after="0" w:line="112" w:lineRule="exact"/>
              <w:rPr>
                <w:sz w:val="20"/>
                <w:szCs w:val="20"/>
                <w:color w:val="auto"/>
              </w:rPr>
            </w:pPr>
            <w:r>
              <w:rPr>
                <w:rFonts w:ascii="Arial" w:cs="Arial" w:eastAsia="Arial" w:hAnsi="Arial"/>
                <w:sz w:val="10"/>
                <w:szCs w:val="10"/>
                <w:b w:val="1"/>
                <w:bCs w:val="1"/>
                <w:color w:val="auto"/>
              </w:rPr>
              <w:t xml:space="preserve">Risk-adjusted Net interest margin </w:t>
            </w:r>
            <w:r>
              <w:rPr>
                <w:rFonts w:ascii="Arial" w:cs="Arial" w:eastAsia="Arial" w:hAnsi="Arial"/>
                <w:sz w:val="4"/>
                <w:szCs w:val="4"/>
                <w:color w:val="auto"/>
              </w:rPr>
              <w:t>(1)</w:t>
            </w:r>
          </w:p>
        </w:tc>
        <w:tc>
          <w:tcPr>
            <w:tcW w:w="1120" w:type="dxa"/>
            <w:vAlign w:val="bottom"/>
          </w:tcPr>
          <w:p>
            <w:pPr>
              <w:jc w:val="right"/>
              <w:ind w:right="90"/>
              <w:spacing w:after="0" w:line="112" w:lineRule="exact"/>
              <w:rPr>
                <w:sz w:val="20"/>
                <w:szCs w:val="20"/>
                <w:color w:val="auto"/>
              </w:rPr>
            </w:pPr>
            <w:r>
              <w:rPr>
                <w:rFonts w:ascii="Arial" w:cs="Arial" w:eastAsia="Arial" w:hAnsi="Arial"/>
                <w:sz w:val="10"/>
                <w:szCs w:val="10"/>
                <w:b w:val="1"/>
                <w:bCs w:val="1"/>
                <w:color w:val="auto"/>
              </w:rPr>
              <w:t>4.51%</w:t>
            </w:r>
          </w:p>
        </w:tc>
        <w:tc>
          <w:tcPr>
            <w:tcW w:w="840" w:type="dxa"/>
            <w:vAlign w:val="bottom"/>
          </w:tcPr>
          <w:p>
            <w:pPr>
              <w:jc w:val="right"/>
              <w:spacing w:after="0" w:line="112" w:lineRule="exact"/>
              <w:rPr>
                <w:sz w:val="20"/>
                <w:szCs w:val="20"/>
                <w:color w:val="auto"/>
              </w:rPr>
            </w:pPr>
            <w:r>
              <w:rPr>
                <w:rFonts w:ascii="Arial" w:cs="Arial" w:eastAsia="Arial" w:hAnsi="Arial"/>
                <w:sz w:val="10"/>
                <w:szCs w:val="10"/>
                <w:b w:val="1"/>
                <w:bCs w:val="1"/>
                <w:color w:val="auto"/>
              </w:rPr>
              <w:t>4.56%</w:t>
            </w:r>
          </w:p>
        </w:tc>
        <w:tc>
          <w:tcPr>
            <w:tcW w:w="1000" w:type="dxa"/>
            <w:vAlign w:val="bottom"/>
            <w:tcBorders>
              <w:right w:val="single" w:sz="8" w:color="auto"/>
            </w:tcBorders>
          </w:tcPr>
          <w:p>
            <w:pPr>
              <w:jc w:val="right"/>
              <w:spacing w:after="0" w:line="112" w:lineRule="exact"/>
              <w:rPr>
                <w:sz w:val="20"/>
                <w:szCs w:val="20"/>
                <w:color w:val="auto"/>
              </w:rPr>
            </w:pPr>
            <w:r>
              <w:rPr>
                <w:rFonts w:ascii="Arial" w:cs="Arial" w:eastAsia="Arial" w:hAnsi="Arial"/>
                <w:sz w:val="10"/>
                <w:szCs w:val="10"/>
                <w:b w:val="1"/>
                <w:bCs w:val="1"/>
                <w:color w:val="auto"/>
              </w:rPr>
              <w:t>4.45%</w:t>
            </w:r>
          </w:p>
        </w:tc>
        <w:tc>
          <w:tcPr>
            <w:tcW w:w="720" w:type="dxa"/>
            <w:vAlign w:val="bottom"/>
          </w:tcPr>
          <w:p>
            <w:pPr>
              <w:jc w:val="center"/>
              <w:ind w:left="230"/>
              <w:spacing w:after="0" w:line="112" w:lineRule="exact"/>
              <w:rPr>
                <w:sz w:val="20"/>
                <w:szCs w:val="20"/>
                <w:color w:val="auto"/>
              </w:rPr>
            </w:pPr>
            <w:r>
              <w:rPr>
                <w:rFonts w:ascii="Arial" w:cs="Arial" w:eastAsia="Arial" w:hAnsi="Arial"/>
                <w:sz w:val="10"/>
                <w:szCs w:val="10"/>
                <w:b w:val="1"/>
                <w:bCs w:val="1"/>
                <w:color w:val="auto"/>
                <w:w w:val="99"/>
              </w:rPr>
              <w:t>-11pbs</w:t>
            </w:r>
          </w:p>
        </w:tc>
        <w:tc>
          <w:tcPr>
            <w:tcW w:w="1320" w:type="dxa"/>
            <w:vAlign w:val="bottom"/>
            <w:tcBorders>
              <w:right w:val="single" w:sz="8" w:color="auto"/>
            </w:tcBorders>
          </w:tcPr>
          <w:p>
            <w:pPr>
              <w:jc w:val="center"/>
              <w:ind w:left="210"/>
              <w:spacing w:after="0" w:line="112" w:lineRule="exact"/>
              <w:rPr>
                <w:sz w:val="20"/>
                <w:szCs w:val="20"/>
                <w:color w:val="auto"/>
              </w:rPr>
            </w:pPr>
            <w:r>
              <w:rPr>
                <w:rFonts w:ascii="Arial" w:cs="Arial" w:eastAsia="Arial" w:hAnsi="Arial"/>
                <w:sz w:val="10"/>
                <w:szCs w:val="10"/>
                <w:b w:val="1"/>
                <w:bCs w:val="1"/>
                <w:color w:val="auto"/>
                <w:w w:val="97"/>
              </w:rPr>
              <w:t>-6pbs</w:t>
            </w:r>
          </w:p>
        </w:tc>
        <w:tc>
          <w:tcPr>
            <w:tcW w:w="1240" w:type="dxa"/>
            <w:vAlign w:val="bottom"/>
          </w:tcPr>
          <w:p>
            <w:pPr>
              <w:jc w:val="right"/>
              <w:ind w:right="190"/>
              <w:spacing w:after="0" w:line="112" w:lineRule="exact"/>
              <w:rPr>
                <w:sz w:val="20"/>
                <w:szCs w:val="20"/>
                <w:color w:val="auto"/>
              </w:rPr>
            </w:pPr>
            <w:r>
              <w:rPr>
                <w:rFonts w:ascii="Arial" w:cs="Arial" w:eastAsia="Arial" w:hAnsi="Arial"/>
                <w:sz w:val="10"/>
                <w:szCs w:val="10"/>
                <w:b w:val="1"/>
                <w:bCs w:val="1"/>
                <w:color w:val="auto"/>
              </w:rPr>
              <w:t>4.17%</w:t>
            </w:r>
          </w:p>
        </w:tc>
        <w:tc>
          <w:tcPr>
            <w:tcW w:w="820" w:type="dxa"/>
            <w:vAlign w:val="bottom"/>
            <w:tcBorders>
              <w:right w:val="single" w:sz="8" w:color="auto"/>
            </w:tcBorders>
          </w:tcPr>
          <w:p>
            <w:pPr>
              <w:jc w:val="right"/>
              <w:spacing w:after="0" w:line="112" w:lineRule="exact"/>
              <w:rPr>
                <w:sz w:val="20"/>
                <w:szCs w:val="20"/>
                <w:color w:val="auto"/>
              </w:rPr>
            </w:pPr>
            <w:r>
              <w:rPr>
                <w:rFonts w:ascii="Arial" w:cs="Arial" w:eastAsia="Arial" w:hAnsi="Arial"/>
                <w:sz w:val="10"/>
                <w:szCs w:val="10"/>
                <w:b w:val="1"/>
                <w:bCs w:val="1"/>
                <w:color w:val="auto"/>
              </w:rPr>
              <w:t>4.49%</w:t>
            </w:r>
          </w:p>
        </w:tc>
        <w:tc>
          <w:tcPr>
            <w:tcW w:w="1000" w:type="dxa"/>
            <w:vAlign w:val="bottom"/>
            <w:tcBorders>
              <w:right w:val="single" w:sz="8" w:color="auto"/>
            </w:tcBorders>
          </w:tcPr>
          <w:p>
            <w:pPr>
              <w:jc w:val="center"/>
              <w:spacing w:after="0" w:line="112" w:lineRule="exact"/>
              <w:rPr>
                <w:sz w:val="20"/>
                <w:szCs w:val="20"/>
                <w:color w:val="auto"/>
              </w:rPr>
            </w:pPr>
            <w:r>
              <w:rPr>
                <w:rFonts w:ascii="Arial" w:cs="Arial" w:eastAsia="Arial" w:hAnsi="Arial"/>
                <w:sz w:val="10"/>
                <w:szCs w:val="10"/>
                <w:b w:val="1"/>
                <w:bCs w:val="1"/>
                <w:color w:val="auto"/>
                <w:w w:val="96"/>
              </w:rPr>
              <w:t>32pbs</w:t>
            </w:r>
          </w:p>
        </w:tc>
        <w:tc>
          <w:tcPr>
            <w:tcW w:w="0" w:type="dxa"/>
            <w:vAlign w:val="bottom"/>
          </w:tcPr>
          <w:p>
            <w:pPr>
              <w:spacing w:after="0"/>
              <w:rPr>
                <w:sz w:val="1"/>
                <w:szCs w:val="1"/>
                <w:color w:val="auto"/>
              </w:rPr>
            </w:pPr>
          </w:p>
        </w:tc>
      </w:tr>
      <w:tr>
        <w:trPr>
          <w:trHeight w:val="126"/>
        </w:trPr>
        <w:tc>
          <w:tcPr>
            <w:tcW w:w="3200" w:type="dxa"/>
            <w:vAlign w:val="bottom"/>
            <w:tcBorders>
              <w:left w:val="single" w:sz="8" w:color="auto"/>
              <w:bottom w:val="single" w:sz="8" w:color="auto"/>
              <w:right w:val="single" w:sz="8" w:color="auto"/>
            </w:tcBorders>
            <w:gridSpan w:val="2"/>
          </w:tcPr>
          <w:p>
            <w:pPr>
              <w:ind w:left="20"/>
              <w:spacing w:after="0"/>
              <w:rPr>
                <w:sz w:val="20"/>
                <w:szCs w:val="20"/>
                <w:color w:val="auto"/>
              </w:rPr>
            </w:pPr>
            <w:r>
              <w:rPr>
                <w:rFonts w:ascii="Arial" w:cs="Arial" w:eastAsia="Arial" w:hAnsi="Arial"/>
                <w:sz w:val="10"/>
                <w:szCs w:val="10"/>
                <w:b w:val="1"/>
                <w:bCs w:val="1"/>
                <w:color w:val="auto"/>
              </w:rPr>
              <w:t>Net provisions for loan losses / Net interest income</w:t>
            </w: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b w:val="1"/>
                <w:bCs w:val="1"/>
                <w:color w:val="auto"/>
              </w:rPr>
              <w:t>15.96%</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25.10%</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0"/>
                <w:szCs w:val="10"/>
                <w:b w:val="1"/>
                <w:bCs w:val="1"/>
                <w:color w:val="auto"/>
              </w:rPr>
              <w:t>28.20%</w:t>
            </w:r>
          </w:p>
        </w:tc>
        <w:tc>
          <w:tcPr>
            <w:tcW w:w="720" w:type="dxa"/>
            <w:vAlign w:val="bottom"/>
            <w:tcBorders>
              <w:bottom w:val="single" w:sz="8" w:color="auto"/>
            </w:tcBorders>
          </w:tcPr>
          <w:p>
            <w:pPr>
              <w:jc w:val="center"/>
              <w:ind w:left="230"/>
              <w:spacing w:after="0"/>
              <w:rPr>
                <w:sz w:val="20"/>
                <w:szCs w:val="20"/>
                <w:color w:val="auto"/>
              </w:rPr>
            </w:pPr>
            <w:r>
              <w:rPr>
                <w:rFonts w:ascii="Arial" w:cs="Arial" w:eastAsia="Arial" w:hAnsi="Arial"/>
                <w:sz w:val="10"/>
                <w:szCs w:val="10"/>
                <w:b w:val="1"/>
                <w:bCs w:val="1"/>
                <w:color w:val="auto"/>
                <w:w w:val="96"/>
              </w:rPr>
              <w:t>310 pbs</w:t>
            </w:r>
          </w:p>
        </w:tc>
        <w:tc>
          <w:tcPr>
            <w:tcW w:w="1320" w:type="dxa"/>
            <w:vAlign w:val="bottom"/>
            <w:tcBorders>
              <w:bottom w:val="single" w:sz="8" w:color="auto"/>
              <w:right w:val="single" w:sz="8" w:color="auto"/>
            </w:tcBorders>
          </w:tcPr>
          <w:p>
            <w:pPr>
              <w:jc w:val="center"/>
              <w:ind w:left="210"/>
              <w:spacing w:after="0"/>
              <w:rPr>
                <w:sz w:val="20"/>
                <w:szCs w:val="20"/>
                <w:color w:val="auto"/>
              </w:rPr>
            </w:pPr>
            <w:r>
              <w:rPr>
                <w:rFonts w:ascii="Arial" w:cs="Arial" w:eastAsia="Arial" w:hAnsi="Arial"/>
                <w:sz w:val="10"/>
                <w:szCs w:val="10"/>
                <w:b w:val="1"/>
                <w:bCs w:val="1"/>
                <w:color w:val="auto"/>
                <w:w w:val="98"/>
              </w:rPr>
              <w:t>1224 pbs</w:t>
            </w:r>
          </w:p>
        </w:tc>
        <w:tc>
          <w:tcPr>
            <w:tcW w:w="1240" w:type="dxa"/>
            <w:vAlign w:val="bottom"/>
            <w:tcBorders>
              <w:bottom w:val="single" w:sz="8" w:color="auto"/>
            </w:tcBorders>
          </w:tcPr>
          <w:p>
            <w:pPr>
              <w:jc w:val="right"/>
              <w:ind w:right="190"/>
              <w:spacing w:after="0"/>
              <w:rPr>
                <w:sz w:val="20"/>
                <w:szCs w:val="20"/>
                <w:color w:val="auto"/>
              </w:rPr>
            </w:pPr>
            <w:r>
              <w:rPr>
                <w:rFonts w:ascii="Arial" w:cs="Arial" w:eastAsia="Arial" w:hAnsi="Arial"/>
                <w:sz w:val="10"/>
                <w:szCs w:val="10"/>
                <w:b w:val="1"/>
                <w:bCs w:val="1"/>
                <w:color w:val="auto"/>
              </w:rPr>
              <w:t>13.59%</w:t>
            </w:r>
          </w:p>
        </w:tc>
        <w:tc>
          <w:tcPr>
            <w:tcW w:w="8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0"/>
                <w:szCs w:val="10"/>
                <w:b w:val="1"/>
                <w:bCs w:val="1"/>
                <w:color w:val="auto"/>
              </w:rPr>
              <w:t>25.54%</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99"/>
              </w:rPr>
              <w:t>1195pbs</w:t>
            </w:r>
          </w:p>
        </w:tc>
        <w:tc>
          <w:tcPr>
            <w:tcW w:w="0" w:type="dxa"/>
            <w:vAlign w:val="bottom"/>
          </w:tcPr>
          <w:p>
            <w:pPr>
              <w:spacing w:after="0"/>
              <w:rPr>
                <w:sz w:val="1"/>
                <w:szCs w:val="1"/>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2"/>
          <w:szCs w:val="12"/>
          <w:color w:val="auto"/>
        </w:rPr>
        <w:t>(1) Annualized. For further detail on the new NIM calculation due to IFRS17, please refer to Annex 12.1.8</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Net Interest Margin (NIM) and Risk Adjusted NIM by subsidiary</w:t>
      </w:r>
    </w:p>
    <w:p>
      <w:pPr>
        <w:spacing w:after="0" w:line="170" w:lineRule="exact"/>
        <w:rPr>
          <w:sz w:val="20"/>
          <w:szCs w:val="20"/>
          <w:color w:val="auto"/>
        </w:rPr>
      </w:pPr>
    </w:p>
    <w:tbl>
      <w:tblPr>
        <w:tblLayout w:type="fixed"/>
        <w:tblInd w:w="1130" w:type="dxa"/>
        <w:tblCellMar>
          <w:top w:w="0" w:type="dxa"/>
          <w:left w:w="0" w:type="dxa"/>
          <w:bottom w:w="0" w:type="dxa"/>
          <w:right w:w="0" w:type="dxa"/>
        </w:tblCellMar>
      </w:tblPr>
      <w:tr>
        <w:trPr>
          <w:trHeight w:val="198"/>
        </w:trPr>
        <w:tc>
          <w:tcPr>
            <w:tcW w:w="2260" w:type="dxa"/>
            <w:vAlign w:val="bottom"/>
            <w:tcBorders>
              <w:top w:val="single" w:sz="8" w:color="auto"/>
              <w:left w:val="single" w:sz="8" w:color="auto"/>
              <w:bottom w:val="single" w:sz="8" w:color="auto"/>
              <w:right w:val="single" w:sz="8" w:color="auto"/>
            </w:tcBorders>
            <w:shd w:val="clear" w:color="auto" w:fill="2AD2C8"/>
          </w:tcPr>
          <w:p>
            <w:pPr>
              <w:jc w:val="center"/>
              <w:spacing w:after="0"/>
              <w:rPr>
                <w:sz w:val="20"/>
                <w:szCs w:val="20"/>
                <w:color w:val="auto"/>
              </w:rPr>
            </w:pPr>
            <w:r>
              <w:rPr>
                <w:rFonts w:ascii="Arial" w:cs="Arial" w:eastAsia="Arial" w:hAnsi="Arial"/>
                <w:sz w:val="16"/>
                <w:szCs w:val="16"/>
                <w:b w:val="1"/>
                <w:bCs w:val="1"/>
                <w:color w:val="FFFFFF"/>
              </w:rPr>
              <w:t>NIM Breakdown</w:t>
            </w:r>
          </w:p>
        </w:tc>
        <w:tc>
          <w:tcPr>
            <w:tcW w:w="1840" w:type="dxa"/>
            <w:vAlign w:val="bottom"/>
            <w:tcBorders>
              <w:top w:val="single" w:sz="8" w:color="auto"/>
              <w:bottom w:val="single" w:sz="8" w:color="auto"/>
            </w:tcBorders>
            <w:shd w:val="clear" w:color="auto" w:fill="2AD2C8"/>
          </w:tcPr>
          <w:p>
            <w:pPr>
              <w:jc w:val="center"/>
              <w:ind w:right="98"/>
              <w:spacing w:after="0"/>
              <w:rPr>
                <w:sz w:val="20"/>
                <w:szCs w:val="20"/>
                <w:color w:val="auto"/>
              </w:rPr>
            </w:pPr>
            <w:r>
              <w:rPr>
                <w:rFonts w:ascii="Arial" w:cs="Arial" w:eastAsia="Arial" w:hAnsi="Arial"/>
                <w:sz w:val="16"/>
                <w:szCs w:val="16"/>
                <w:b w:val="1"/>
                <w:bCs w:val="1"/>
                <w:color w:val="FFFFFF"/>
              </w:rPr>
              <w:t>BCP Stand-alone</w:t>
            </w:r>
          </w:p>
        </w:tc>
        <w:tc>
          <w:tcPr>
            <w:tcW w:w="1440" w:type="dxa"/>
            <w:vAlign w:val="bottom"/>
            <w:tcBorders>
              <w:top w:val="single" w:sz="8" w:color="auto"/>
              <w:bottom w:val="single" w:sz="8" w:color="auto"/>
            </w:tcBorders>
            <w:shd w:val="clear" w:color="auto" w:fill="2AD2C8"/>
          </w:tcPr>
          <w:p>
            <w:pPr>
              <w:jc w:val="center"/>
              <w:ind w:right="38"/>
              <w:spacing w:after="0"/>
              <w:rPr>
                <w:sz w:val="20"/>
                <w:szCs w:val="20"/>
                <w:color w:val="auto"/>
              </w:rPr>
            </w:pPr>
            <w:r>
              <w:rPr>
                <w:rFonts w:ascii="Arial" w:cs="Arial" w:eastAsia="Arial" w:hAnsi="Arial"/>
                <w:sz w:val="16"/>
                <w:szCs w:val="16"/>
                <w:b w:val="1"/>
                <w:bCs w:val="1"/>
                <w:color w:val="FFFFFF"/>
              </w:rPr>
              <w:t>Mibanco</w:t>
            </w:r>
          </w:p>
        </w:tc>
        <w:tc>
          <w:tcPr>
            <w:tcW w:w="1780" w:type="dxa"/>
            <w:vAlign w:val="bottom"/>
            <w:tcBorders>
              <w:top w:val="single" w:sz="8" w:color="auto"/>
              <w:bottom w:val="single" w:sz="8" w:color="auto"/>
              <w:right w:val="single" w:sz="8" w:color="auto"/>
            </w:tcBorders>
            <w:shd w:val="clear" w:color="auto" w:fill="2AD2C8"/>
          </w:tcPr>
          <w:p>
            <w:pPr>
              <w:jc w:val="center"/>
              <w:spacing w:after="0"/>
              <w:rPr>
                <w:sz w:val="20"/>
                <w:szCs w:val="20"/>
                <w:color w:val="auto"/>
              </w:rPr>
            </w:pPr>
            <w:r>
              <w:rPr>
                <w:rFonts w:ascii="Arial" w:cs="Arial" w:eastAsia="Arial" w:hAnsi="Arial"/>
                <w:sz w:val="16"/>
                <w:szCs w:val="16"/>
                <w:b w:val="1"/>
                <w:bCs w:val="1"/>
                <w:color w:val="FFFFFF"/>
              </w:rPr>
              <w:t>BCP Bolivia</w:t>
            </w:r>
          </w:p>
        </w:tc>
        <w:tc>
          <w:tcPr>
            <w:tcW w:w="1700" w:type="dxa"/>
            <w:vAlign w:val="bottom"/>
            <w:tcBorders>
              <w:top w:val="single" w:sz="8" w:color="auto"/>
              <w:bottom w:val="single" w:sz="8" w:color="auto"/>
              <w:right w:val="single" w:sz="8" w:color="auto"/>
            </w:tcBorders>
            <w:shd w:val="clear" w:color="auto" w:fill="2AD2C8"/>
          </w:tcPr>
          <w:p>
            <w:pPr>
              <w:jc w:val="center"/>
              <w:spacing w:after="0"/>
              <w:rPr>
                <w:sz w:val="20"/>
                <w:szCs w:val="20"/>
                <w:color w:val="auto"/>
              </w:rPr>
            </w:pPr>
            <w:r>
              <w:rPr>
                <w:rFonts w:ascii="Arial" w:cs="Arial" w:eastAsia="Arial" w:hAnsi="Arial"/>
                <w:sz w:val="16"/>
                <w:szCs w:val="16"/>
                <w:b w:val="1"/>
                <w:bCs w:val="1"/>
                <w:color w:val="FFFFFF"/>
              </w:rPr>
              <w:t>Credicorp</w:t>
            </w:r>
          </w:p>
        </w:tc>
      </w:tr>
      <w:tr>
        <w:trPr>
          <w:trHeight w:val="157"/>
        </w:trPr>
        <w:tc>
          <w:tcPr>
            <w:tcW w:w="2260" w:type="dxa"/>
            <w:vAlign w:val="bottom"/>
            <w:tcBorders>
              <w:left w:val="single" w:sz="8" w:color="auto"/>
              <w:right w:val="single" w:sz="8" w:color="auto"/>
            </w:tcBorders>
          </w:tcPr>
          <w:p>
            <w:pPr>
              <w:jc w:val="center"/>
              <w:spacing w:after="0" w:line="157" w:lineRule="exact"/>
              <w:rPr>
                <w:sz w:val="20"/>
                <w:szCs w:val="20"/>
                <w:color w:val="auto"/>
              </w:rPr>
            </w:pPr>
            <w:r>
              <w:rPr>
                <w:rFonts w:ascii="Arial" w:cs="Arial" w:eastAsia="Arial" w:hAnsi="Arial"/>
                <w:sz w:val="16"/>
                <w:szCs w:val="16"/>
                <w:b w:val="1"/>
                <w:bCs w:val="1"/>
                <w:color w:val="auto"/>
              </w:rPr>
              <w:t>3Q22</w:t>
            </w:r>
          </w:p>
        </w:tc>
        <w:tc>
          <w:tcPr>
            <w:tcW w:w="1840" w:type="dxa"/>
            <w:vAlign w:val="bottom"/>
          </w:tcPr>
          <w:p>
            <w:pPr>
              <w:jc w:val="center"/>
              <w:ind w:right="98"/>
              <w:spacing w:after="0" w:line="157" w:lineRule="exact"/>
              <w:rPr>
                <w:sz w:val="20"/>
                <w:szCs w:val="20"/>
                <w:color w:val="auto"/>
              </w:rPr>
            </w:pPr>
            <w:r>
              <w:rPr>
                <w:rFonts w:ascii="Arial" w:cs="Arial" w:eastAsia="Arial" w:hAnsi="Arial"/>
                <w:sz w:val="16"/>
                <w:szCs w:val="16"/>
                <w:color w:val="auto"/>
              </w:rPr>
              <w:t>4.83%</w:t>
            </w:r>
          </w:p>
        </w:tc>
        <w:tc>
          <w:tcPr>
            <w:tcW w:w="1440" w:type="dxa"/>
            <w:vAlign w:val="bottom"/>
          </w:tcPr>
          <w:p>
            <w:pPr>
              <w:jc w:val="center"/>
              <w:ind w:right="38"/>
              <w:spacing w:after="0" w:line="157" w:lineRule="exact"/>
              <w:rPr>
                <w:sz w:val="20"/>
                <w:szCs w:val="20"/>
                <w:color w:val="auto"/>
              </w:rPr>
            </w:pPr>
            <w:r>
              <w:rPr>
                <w:rFonts w:ascii="Arial" w:cs="Arial" w:eastAsia="Arial" w:hAnsi="Arial"/>
                <w:sz w:val="16"/>
                <w:szCs w:val="16"/>
                <w:color w:val="auto"/>
              </w:rPr>
              <w:t>12.99%</w:t>
            </w:r>
          </w:p>
        </w:tc>
        <w:tc>
          <w:tcPr>
            <w:tcW w:w="178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6"/>
                <w:szCs w:val="16"/>
                <w:color w:val="auto"/>
              </w:rPr>
              <w:t>2.81%</w:t>
            </w:r>
          </w:p>
        </w:tc>
        <w:tc>
          <w:tcPr>
            <w:tcW w:w="170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6"/>
                <w:szCs w:val="16"/>
                <w:b w:val="1"/>
                <w:bCs w:val="1"/>
                <w:color w:val="auto"/>
              </w:rPr>
              <w:t>5.33%</w:t>
            </w:r>
          </w:p>
        </w:tc>
      </w:tr>
      <w:tr>
        <w:trPr>
          <w:trHeight w:val="185"/>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2Q23</w:t>
            </w:r>
          </w:p>
        </w:tc>
        <w:tc>
          <w:tcPr>
            <w:tcW w:w="1840" w:type="dxa"/>
            <w:vAlign w:val="bottom"/>
          </w:tcPr>
          <w:p>
            <w:pPr>
              <w:jc w:val="center"/>
              <w:ind w:right="98"/>
              <w:spacing w:after="0"/>
              <w:rPr>
                <w:sz w:val="20"/>
                <w:szCs w:val="20"/>
                <w:color w:val="auto"/>
              </w:rPr>
            </w:pPr>
            <w:r>
              <w:rPr>
                <w:rFonts w:ascii="Arial" w:cs="Arial" w:eastAsia="Arial" w:hAnsi="Arial"/>
                <w:sz w:val="16"/>
                <w:szCs w:val="16"/>
                <w:color w:val="auto"/>
              </w:rPr>
              <w:t>5.67%</w:t>
            </w:r>
          </w:p>
        </w:tc>
        <w:tc>
          <w:tcPr>
            <w:tcW w:w="1440" w:type="dxa"/>
            <w:vAlign w:val="bottom"/>
          </w:tcPr>
          <w:p>
            <w:pPr>
              <w:jc w:val="center"/>
              <w:ind w:right="38"/>
              <w:spacing w:after="0"/>
              <w:rPr>
                <w:sz w:val="20"/>
                <w:szCs w:val="20"/>
                <w:color w:val="auto"/>
              </w:rPr>
            </w:pPr>
            <w:r>
              <w:rPr>
                <w:rFonts w:ascii="Arial" w:cs="Arial" w:eastAsia="Arial" w:hAnsi="Arial"/>
                <w:sz w:val="16"/>
                <w:szCs w:val="16"/>
                <w:color w:val="auto"/>
              </w:rPr>
              <w:t>13.09%</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2.85%</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6.02%</w:t>
            </w:r>
          </w:p>
        </w:tc>
      </w:tr>
      <w:tr>
        <w:trPr>
          <w:trHeight w:val="206"/>
        </w:trPr>
        <w:tc>
          <w:tcPr>
            <w:tcW w:w="2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3Q23</w:t>
            </w:r>
          </w:p>
        </w:tc>
        <w:tc>
          <w:tcPr>
            <w:tcW w:w="1840" w:type="dxa"/>
            <w:vAlign w:val="bottom"/>
            <w:tcBorders>
              <w:bottom w:val="single" w:sz="8" w:color="auto"/>
            </w:tcBorders>
          </w:tcPr>
          <w:p>
            <w:pPr>
              <w:jc w:val="center"/>
              <w:ind w:right="98"/>
              <w:spacing w:after="0"/>
              <w:rPr>
                <w:sz w:val="20"/>
                <w:szCs w:val="20"/>
                <w:color w:val="auto"/>
              </w:rPr>
            </w:pPr>
            <w:r>
              <w:rPr>
                <w:rFonts w:ascii="Arial" w:cs="Arial" w:eastAsia="Arial" w:hAnsi="Arial"/>
                <w:sz w:val="16"/>
                <w:szCs w:val="16"/>
                <w:color w:val="auto"/>
              </w:rPr>
              <w:t>5.77%</w:t>
            </w:r>
          </w:p>
        </w:tc>
        <w:tc>
          <w:tcPr>
            <w:tcW w:w="1440" w:type="dxa"/>
            <w:vAlign w:val="bottom"/>
            <w:tcBorders>
              <w:bottom w:val="single" w:sz="8" w:color="auto"/>
            </w:tcBorders>
          </w:tcPr>
          <w:p>
            <w:pPr>
              <w:jc w:val="center"/>
              <w:ind w:right="38"/>
              <w:spacing w:after="0"/>
              <w:rPr>
                <w:sz w:val="20"/>
                <w:szCs w:val="20"/>
                <w:color w:val="auto"/>
              </w:rPr>
            </w:pPr>
            <w:r>
              <w:rPr>
                <w:rFonts w:ascii="Arial" w:cs="Arial" w:eastAsia="Arial" w:hAnsi="Arial"/>
                <w:sz w:val="16"/>
                <w:szCs w:val="16"/>
                <w:color w:val="auto"/>
              </w:rPr>
              <w:t>13.64%</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2.87%</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6.11%</w:t>
            </w:r>
          </w:p>
        </w:tc>
      </w:tr>
    </w:tbl>
    <w:p>
      <w:pPr>
        <w:jc w:val="center"/>
        <w:spacing w:after="0"/>
        <w:rPr>
          <w:sz w:val="20"/>
          <w:szCs w:val="20"/>
          <w:color w:val="auto"/>
        </w:rPr>
      </w:pPr>
      <w:r>
        <w:rPr>
          <w:rFonts w:ascii="Arial" w:cs="Arial" w:eastAsia="Arial" w:hAnsi="Arial"/>
          <w:sz w:val="11"/>
          <w:szCs w:val="11"/>
          <w:color w:val="auto"/>
        </w:rPr>
        <w:t>NIM: Annualized Net interest income (excluding Net Insurance Financial Expenses) / Average period end and period beginning interest earning assets.</w:t>
      </w:r>
    </w:p>
    <w:p>
      <w:pPr>
        <w:spacing w:after="0" w:line="336" w:lineRule="exact"/>
        <w:rPr>
          <w:sz w:val="20"/>
          <w:szCs w:val="20"/>
          <w:color w:val="auto"/>
        </w:rPr>
      </w:pPr>
    </w:p>
    <w:tbl>
      <w:tblPr>
        <w:tblLayout w:type="fixed"/>
        <w:tblInd w:w="1130" w:type="dxa"/>
        <w:tblCellMar>
          <w:top w:w="0" w:type="dxa"/>
          <w:left w:w="0" w:type="dxa"/>
          <w:bottom w:w="0" w:type="dxa"/>
          <w:right w:w="0" w:type="dxa"/>
        </w:tblCellMar>
      </w:tblPr>
      <w:tr>
        <w:trPr>
          <w:trHeight w:val="177"/>
        </w:trPr>
        <w:tc>
          <w:tcPr>
            <w:tcW w:w="2260" w:type="dxa"/>
            <w:vAlign w:val="bottom"/>
            <w:tcBorders>
              <w:top w:val="single" w:sz="8" w:color="auto"/>
              <w:left w:val="single" w:sz="8" w:color="auto"/>
              <w:right w:val="single" w:sz="8" w:color="auto"/>
            </w:tcBorders>
            <w:shd w:val="clear" w:color="auto" w:fill="2AD2C8"/>
          </w:tcPr>
          <w:p>
            <w:pPr>
              <w:jc w:val="center"/>
              <w:spacing w:after="0" w:line="177" w:lineRule="exact"/>
              <w:rPr>
                <w:sz w:val="20"/>
                <w:szCs w:val="20"/>
                <w:color w:val="auto"/>
              </w:rPr>
            </w:pPr>
            <w:r>
              <w:rPr>
                <w:rFonts w:ascii="Arial" w:cs="Arial" w:eastAsia="Arial" w:hAnsi="Arial"/>
                <w:sz w:val="16"/>
                <w:szCs w:val="16"/>
                <w:b w:val="1"/>
                <w:bCs w:val="1"/>
                <w:color w:val="FFFFFF"/>
              </w:rPr>
              <w:t>Risk Adjusted NIM</w:t>
            </w:r>
          </w:p>
        </w:tc>
        <w:tc>
          <w:tcPr>
            <w:tcW w:w="1840" w:type="dxa"/>
            <w:vAlign w:val="bottom"/>
            <w:tcBorders>
              <w:top w:val="single" w:sz="8" w:color="auto"/>
            </w:tcBorders>
            <w:vMerge w:val="restart"/>
            <w:shd w:val="clear" w:color="auto" w:fill="2AD2C8"/>
          </w:tcPr>
          <w:p>
            <w:pPr>
              <w:jc w:val="center"/>
              <w:ind w:right="98"/>
              <w:spacing w:after="0"/>
              <w:rPr>
                <w:sz w:val="20"/>
                <w:szCs w:val="20"/>
                <w:color w:val="auto"/>
              </w:rPr>
            </w:pPr>
            <w:r>
              <w:rPr>
                <w:rFonts w:ascii="Arial" w:cs="Arial" w:eastAsia="Arial" w:hAnsi="Arial"/>
                <w:sz w:val="16"/>
                <w:szCs w:val="16"/>
                <w:b w:val="1"/>
                <w:bCs w:val="1"/>
                <w:color w:val="FFFFFF"/>
              </w:rPr>
              <w:t>BCP Stand-alone</w:t>
            </w:r>
          </w:p>
        </w:tc>
        <w:tc>
          <w:tcPr>
            <w:tcW w:w="1440" w:type="dxa"/>
            <w:vAlign w:val="bottom"/>
            <w:tcBorders>
              <w:top w:val="single" w:sz="8" w:color="auto"/>
            </w:tcBorders>
            <w:vMerge w:val="restart"/>
            <w:shd w:val="clear" w:color="auto" w:fill="2AD2C8"/>
          </w:tcPr>
          <w:p>
            <w:pPr>
              <w:ind w:left="320"/>
              <w:spacing w:after="0"/>
              <w:rPr>
                <w:sz w:val="20"/>
                <w:szCs w:val="20"/>
                <w:color w:val="auto"/>
              </w:rPr>
            </w:pPr>
            <w:r>
              <w:rPr>
                <w:rFonts w:ascii="Arial" w:cs="Arial" w:eastAsia="Arial" w:hAnsi="Arial"/>
                <w:sz w:val="16"/>
                <w:szCs w:val="16"/>
                <w:b w:val="1"/>
                <w:bCs w:val="1"/>
                <w:color w:val="FFFFFF"/>
              </w:rPr>
              <w:t>Mibanco</w:t>
            </w:r>
          </w:p>
        </w:tc>
        <w:tc>
          <w:tcPr>
            <w:tcW w:w="1780" w:type="dxa"/>
            <w:vAlign w:val="bottom"/>
            <w:tcBorders>
              <w:top w:val="single" w:sz="8" w:color="auto"/>
              <w:right w:val="single" w:sz="8" w:color="auto"/>
            </w:tcBorders>
            <w:vMerge w:val="restart"/>
            <w:shd w:val="clear" w:color="auto" w:fill="2AD2C8"/>
          </w:tcPr>
          <w:p>
            <w:pPr>
              <w:jc w:val="center"/>
              <w:spacing w:after="0"/>
              <w:rPr>
                <w:sz w:val="20"/>
                <w:szCs w:val="20"/>
                <w:color w:val="auto"/>
              </w:rPr>
            </w:pPr>
            <w:r>
              <w:rPr>
                <w:rFonts w:ascii="Arial" w:cs="Arial" w:eastAsia="Arial" w:hAnsi="Arial"/>
                <w:sz w:val="16"/>
                <w:szCs w:val="16"/>
                <w:b w:val="1"/>
                <w:bCs w:val="1"/>
                <w:color w:val="FFFFFF"/>
              </w:rPr>
              <w:t>BCP Bolivia</w:t>
            </w:r>
          </w:p>
        </w:tc>
        <w:tc>
          <w:tcPr>
            <w:tcW w:w="1700" w:type="dxa"/>
            <w:vAlign w:val="bottom"/>
            <w:tcBorders>
              <w:top w:val="single" w:sz="8" w:color="auto"/>
              <w:right w:val="single" w:sz="8" w:color="auto"/>
            </w:tcBorders>
            <w:vMerge w:val="restart"/>
            <w:shd w:val="clear" w:color="auto" w:fill="2AD2C8"/>
          </w:tcPr>
          <w:p>
            <w:pPr>
              <w:jc w:val="center"/>
              <w:spacing w:after="0"/>
              <w:rPr>
                <w:sz w:val="20"/>
                <w:szCs w:val="20"/>
                <w:color w:val="auto"/>
              </w:rPr>
            </w:pPr>
            <w:r>
              <w:rPr>
                <w:rFonts w:ascii="Arial" w:cs="Arial" w:eastAsia="Arial" w:hAnsi="Arial"/>
                <w:sz w:val="16"/>
                <w:szCs w:val="16"/>
                <w:b w:val="1"/>
                <w:bCs w:val="1"/>
                <w:color w:val="FFFFFF"/>
              </w:rPr>
              <w:t>Credicorp</w:t>
            </w:r>
          </w:p>
        </w:tc>
        <w:tc>
          <w:tcPr>
            <w:tcW w:w="0" w:type="dxa"/>
            <w:vAlign w:val="bottom"/>
          </w:tcPr>
          <w:p>
            <w:pPr>
              <w:spacing w:after="0"/>
              <w:rPr>
                <w:sz w:val="1"/>
                <w:szCs w:val="1"/>
                <w:color w:val="auto"/>
              </w:rPr>
            </w:pPr>
          </w:p>
        </w:tc>
      </w:tr>
      <w:tr>
        <w:trPr>
          <w:trHeight w:val="130"/>
        </w:trPr>
        <w:tc>
          <w:tcPr>
            <w:tcW w:w="2260" w:type="dxa"/>
            <w:vAlign w:val="bottom"/>
            <w:tcBorders>
              <w:left w:val="single" w:sz="8" w:color="auto"/>
              <w:right w:val="single" w:sz="8" w:color="auto"/>
            </w:tcBorders>
            <w:vMerge w:val="restart"/>
            <w:shd w:val="clear" w:color="auto" w:fill="2AD2C8"/>
          </w:tcPr>
          <w:p>
            <w:pPr>
              <w:jc w:val="center"/>
              <w:spacing w:after="0"/>
              <w:rPr>
                <w:sz w:val="20"/>
                <w:szCs w:val="20"/>
                <w:color w:val="auto"/>
              </w:rPr>
            </w:pPr>
            <w:r>
              <w:rPr>
                <w:rFonts w:ascii="Arial" w:cs="Arial" w:eastAsia="Arial" w:hAnsi="Arial"/>
                <w:sz w:val="16"/>
                <w:szCs w:val="16"/>
                <w:b w:val="1"/>
                <w:bCs w:val="1"/>
                <w:color w:val="FFFFFF"/>
              </w:rPr>
              <w:t>Breakdown</w:t>
            </w:r>
          </w:p>
        </w:tc>
        <w:tc>
          <w:tcPr>
            <w:tcW w:w="1840" w:type="dxa"/>
            <w:vAlign w:val="bottom"/>
            <w:vMerge w:val="continue"/>
            <w:shd w:val="clear" w:color="auto" w:fill="2AD2C8"/>
          </w:tcPr>
          <w:p>
            <w:pPr>
              <w:spacing w:after="0"/>
              <w:rPr>
                <w:sz w:val="11"/>
                <w:szCs w:val="11"/>
                <w:color w:val="auto"/>
              </w:rPr>
            </w:pPr>
          </w:p>
        </w:tc>
        <w:tc>
          <w:tcPr>
            <w:tcW w:w="1440" w:type="dxa"/>
            <w:vAlign w:val="bottom"/>
            <w:vMerge w:val="continue"/>
            <w:shd w:val="clear" w:color="auto" w:fill="2AD2C8"/>
          </w:tcPr>
          <w:p>
            <w:pPr>
              <w:spacing w:after="0"/>
              <w:rPr>
                <w:sz w:val="11"/>
                <w:szCs w:val="11"/>
                <w:color w:val="auto"/>
              </w:rPr>
            </w:pPr>
          </w:p>
        </w:tc>
        <w:tc>
          <w:tcPr>
            <w:tcW w:w="1780" w:type="dxa"/>
            <w:vAlign w:val="bottom"/>
            <w:tcBorders>
              <w:right w:val="single" w:sz="8" w:color="auto"/>
            </w:tcBorders>
            <w:vMerge w:val="continue"/>
            <w:shd w:val="clear" w:color="auto" w:fill="2AD2C8"/>
          </w:tcPr>
          <w:p>
            <w:pPr>
              <w:spacing w:after="0"/>
              <w:rPr>
                <w:sz w:val="11"/>
                <w:szCs w:val="11"/>
                <w:color w:val="auto"/>
              </w:rPr>
            </w:pPr>
          </w:p>
        </w:tc>
        <w:tc>
          <w:tcPr>
            <w:tcW w:w="1700" w:type="dxa"/>
            <w:vAlign w:val="bottom"/>
            <w:tcBorders>
              <w:right w:val="single" w:sz="8" w:color="auto"/>
            </w:tcBorders>
            <w:vMerge w:val="continue"/>
            <w:shd w:val="clear" w:color="auto" w:fill="2AD2C8"/>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260" w:type="dxa"/>
            <w:vAlign w:val="bottom"/>
            <w:tcBorders>
              <w:left w:val="single" w:sz="8" w:color="auto"/>
              <w:bottom w:val="single" w:sz="8" w:color="auto"/>
              <w:right w:val="single" w:sz="8" w:color="auto"/>
            </w:tcBorders>
            <w:vMerge w:val="continue"/>
            <w:shd w:val="clear" w:color="auto" w:fill="2AD2C8"/>
          </w:tcPr>
          <w:p>
            <w:pPr>
              <w:spacing w:after="0"/>
              <w:rPr>
                <w:sz w:val="6"/>
                <w:szCs w:val="6"/>
                <w:color w:val="auto"/>
              </w:rPr>
            </w:pPr>
          </w:p>
        </w:tc>
        <w:tc>
          <w:tcPr>
            <w:tcW w:w="1840" w:type="dxa"/>
            <w:vAlign w:val="bottom"/>
            <w:tcBorders>
              <w:bottom w:val="single" w:sz="8" w:color="auto"/>
            </w:tcBorders>
            <w:shd w:val="clear" w:color="auto" w:fill="2AD2C8"/>
          </w:tcPr>
          <w:p>
            <w:pPr>
              <w:spacing w:after="0"/>
              <w:rPr>
                <w:sz w:val="6"/>
                <w:szCs w:val="6"/>
                <w:color w:val="auto"/>
              </w:rPr>
            </w:pPr>
          </w:p>
        </w:tc>
        <w:tc>
          <w:tcPr>
            <w:tcW w:w="1440" w:type="dxa"/>
            <w:vAlign w:val="bottom"/>
            <w:tcBorders>
              <w:bottom w:val="single" w:sz="8" w:color="auto"/>
            </w:tcBorders>
            <w:shd w:val="clear" w:color="auto" w:fill="2AD2C8"/>
          </w:tcPr>
          <w:p>
            <w:pPr>
              <w:spacing w:after="0"/>
              <w:rPr>
                <w:sz w:val="6"/>
                <w:szCs w:val="6"/>
                <w:color w:val="auto"/>
              </w:rPr>
            </w:pPr>
          </w:p>
        </w:tc>
        <w:tc>
          <w:tcPr>
            <w:tcW w:w="1780" w:type="dxa"/>
            <w:vAlign w:val="bottom"/>
            <w:tcBorders>
              <w:bottom w:val="single" w:sz="8" w:color="auto"/>
              <w:right w:val="single" w:sz="8" w:color="auto"/>
            </w:tcBorders>
            <w:shd w:val="clear" w:color="auto" w:fill="2AD2C8"/>
          </w:tcPr>
          <w:p>
            <w:pPr>
              <w:spacing w:after="0"/>
              <w:rPr>
                <w:sz w:val="6"/>
                <w:szCs w:val="6"/>
                <w:color w:val="auto"/>
              </w:rPr>
            </w:pPr>
          </w:p>
        </w:tc>
        <w:tc>
          <w:tcPr>
            <w:tcW w:w="1700" w:type="dxa"/>
            <w:vAlign w:val="bottom"/>
            <w:tcBorders>
              <w:bottom w:val="single" w:sz="8" w:color="auto"/>
              <w:right w:val="single" w:sz="8" w:color="auto"/>
            </w:tcBorders>
            <w:shd w:val="clear" w:color="auto" w:fill="2AD2C8"/>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2260" w:type="dxa"/>
            <w:vAlign w:val="bottom"/>
            <w:tcBorders>
              <w:left w:val="single" w:sz="8" w:color="auto"/>
              <w:right w:val="single" w:sz="8" w:color="auto"/>
            </w:tcBorders>
          </w:tcPr>
          <w:p>
            <w:pPr>
              <w:jc w:val="center"/>
              <w:spacing w:after="0" w:line="157" w:lineRule="exact"/>
              <w:rPr>
                <w:sz w:val="20"/>
                <w:szCs w:val="20"/>
                <w:color w:val="auto"/>
              </w:rPr>
            </w:pPr>
            <w:r>
              <w:rPr>
                <w:rFonts w:ascii="Arial" w:cs="Arial" w:eastAsia="Arial" w:hAnsi="Arial"/>
                <w:sz w:val="16"/>
                <w:szCs w:val="16"/>
                <w:b w:val="1"/>
                <w:bCs w:val="1"/>
                <w:color w:val="auto"/>
              </w:rPr>
              <w:t>3Q22</w:t>
            </w:r>
          </w:p>
        </w:tc>
        <w:tc>
          <w:tcPr>
            <w:tcW w:w="1840" w:type="dxa"/>
            <w:vAlign w:val="bottom"/>
          </w:tcPr>
          <w:p>
            <w:pPr>
              <w:jc w:val="center"/>
              <w:ind w:right="98"/>
              <w:spacing w:after="0" w:line="157" w:lineRule="exact"/>
              <w:rPr>
                <w:sz w:val="20"/>
                <w:szCs w:val="20"/>
                <w:color w:val="auto"/>
              </w:rPr>
            </w:pPr>
            <w:r>
              <w:rPr>
                <w:rFonts w:ascii="Arial" w:cs="Arial" w:eastAsia="Arial" w:hAnsi="Arial"/>
                <w:sz w:val="16"/>
                <w:szCs w:val="16"/>
                <w:color w:val="auto"/>
              </w:rPr>
              <w:t>4.00%</w:t>
            </w:r>
          </w:p>
        </w:tc>
        <w:tc>
          <w:tcPr>
            <w:tcW w:w="1440" w:type="dxa"/>
            <w:vAlign w:val="bottom"/>
          </w:tcPr>
          <w:p>
            <w:pPr>
              <w:jc w:val="center"/>
              <w:ind w:right="38"/>
              <w:spacing w:after="0" w:line="157" w:lineRule="exact"/>
              <w:rPr>
                <w:sz w:val="20"/>
                <w:szCs w:val="20"/>
                <w:color w:val="auto"/>
              </w:rPr>
            </w:pPr>
            <w:r>
              <w:rPr>
                <w:rFonts w:ascii="Arial" w:cs="Arial" w:eastAsia="Arial" w:hAnsi="Arial"/>
                <w:sz w:val="16"/>
                <w:szCs w:val="16"/>
                <w:color w:val="auto"/>
              </w:rPr>
              <w:t>10.99%</w:t>
            </w:r>
          </w:p>
        </w:tc>
        <w:tc>
          <w:tcPr>
            <w:tcW w:w="178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6"/>
                <w:szCs w:val="16"/>
                <w:color w:val="auto"/>
              </w:rPr>
              <w:t>2.50%</w:t>
            </w:r>
          </w:p>
        </w:tc>
        <w:tc>
          <w:tcPr>
            <w:tcW w:w="170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6"/>
                <w:szCs w:val="16"/>
                <w:b w:val="1"/>
                <w:bCs w:val="1"/>
                <w:color w:val="auto"/>
              </w:rPr>
              <w:t>4.51%</w:t>
            </w:r>
          </w:p>
        </w:tc>
        <w:tc>
          <w:tcPr>
            <w:tcW w:w="0" w:type="dxa"/>
            <w:vAlign w:val="bottom"/>
          </w:tcPr>
          <w:p>
            <w:pPr>
              <w:spacing w:after="0"/>
              <w:rPr>
                <w:sz w:val="1"/>
                <w:szCs w:val="1"/>
                <w:color w:val="auto"/>
              </w:rPr>
            </w:pPr>
          </w:p>
        </w:tc>
      </w:tr>
      <w:tr>
        <w:trPr>
          <w:trHeight w:val="185"/>
        </w:trPr>
        <w:tc>
          <w:tcPr>
            <w:tcW w:w="2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2Q23</w:t>
            </w:r>
          </w:p>
        </w:tc>
        <w:tc>
          <w:tcPr>
            <w:tcW w:w="1840" w:type="dxa"/>
            <w:vAlign w:val="bottom"/>
          </w:tcPr>
          <w:p>
            <w:pPr>
              <w:jc w:val="center"/>
              <w:ind w:right="98"/>
              <w:spacing w:after="0"/>
              <w:rPr>
                <w:sz w:val="20"/>
                <w:szCs w:val="20"/>
                <w:color w:val="auto"/>
              </w:rPr>
            </w:pPr>
            <w:r>
              <w:rPr>
                <w:rFonts w:ascii="Arial" w:cs="Arial" w:eastAsia="Arial" w:hAnsi="Arial"/>
                <w:sz w:val="16"/>
                <w:szCs w:val="16"/>
                <w:color w:val="auto"/>
              </w:rPr>
              <w:t>4.25%</w:t>
            </w:r>
          </w:p>
        </w:tc>
        <w:tc>
          <w:tcPr>
            <w:tcW w:w="1440" w:type="dxa"/>
            <w:vAlign w:val="bottom"/>
          </w:tcPr>
          <w:p>
            <w:pPr>
              <w:jc w:val="center"/>
              <w:ind w:right="18"/>
              <w:spacing w:after="0"/>
              <w:rPr>
                <w:sz w:val="20"/>
                <w:szCs w:val="20"/>
                <w:color w:val="auto"/>
              </w:rPr>
            </w:pPr>
            <w:r>
              <w:rPr>
                <w:rFonts w:ascii="Arial" w:cs="Arial" w:eastAsia="Arial" w:hAnsi="Arial"/>
                <w:sz w:val="16"/>
                <w:szCs w:val="16"/>
                <w:color w:val="auto"/>
              </w:rPr>
              <w:t>8.64%</w:t>
            </w:r>
          </w:p>
        </w:tc>
        <w:tc>
          <w:tcPr>
            <w:tcW w:w="17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3.00%</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rPr>
              <w:t>4.56%</w:t>
            </w:r>
          </w:p>
        </w:tc>
        <w:tc>
          <w:tcPr>
            <w:tcW w:w="0" w:type="dxa"/>
            <w:vAlign w:val="bottom"/>
          </w:tcPr>
          <w:p>
            <w:pPr>
              <w:spacing w:after="0"/>
              <w:rPr>
                <w:sz w:val="1"/>
                <w:szCs w:val="1"/>
                <w:color w:val="auto"/>
              </w:rPr>
            </w:pPr>
          </w:p>
        </w:tc>
      </w:tr>
      <w:tr>
        <w:trPr>
          <w:trHeight w:val="206"/>
        </w:trPr>
        <w:tc>
          <w:tcPr>
            <w:tcW w:w="22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3Q23</w:t>
            </w:r>
          </w:p>
        </w:tc>
        <w:tc>
          <w:tcPr>
            <w:tcW w:w="1840" w:type="dxa"/>
            <w:vAlign w:val="bottom"/>
            <w:tcBorders>
              <w:bottom w:val="single" w:sz="8" w:color="auto"/>
            </w:tcBorders>
          </w:tcPr>
          <w:p>
            <w:pPr>
              <w:jc w:val="center"/>
              <w:ind w:right="98"/>
              <w:spacing w:after="0"/>
              <w:rPr>
                <w:sz w:val="20"/>
                <w:szCs w:val="20"/>
                <w:color w:val="auto"/>
              </w:rPr>
            </w:pPr>
            <w:r>
              <w:rPr>
                <w:rFonts w:ascii="Arial" w:cs="Arial" w:eastAsia="Arial" w:hAnsi="Arial"/>
                <w:sz w:val="16"/>
                <w:szCs w:val="16"/>
                <w:color w:val="auto"/>
              </w:rPr>
              <w:t>4.18%</w:t>
            </w:r>
          </w:p>
        </w:tc>
        <w:tc>
          <w:tcPr>
            <w:tcW w:w="1440" w:type="dxa"/>
            <w:vAlign w:val="bottom"/>
            <w:tcBorders>
              <w:bottom w:val="single" w:sz="8" w:color="auto"/>
            </w:tcBorders>
          </w:tcPr>
          <w:p>
            <w:pPr>
              <w:jc w:val="center"/>
              <w:ind w:right="18"/>
              <w:spacing w:after="0"/>
              <w:rPr>
                <w:sz w:val="20"/>
                <w:szCs w:val="20"/>
                <w:color w:val="auto"/>
              </w:rPr>
            </w:pPr>
            <w:r>
              <w:rPr>
                <w:rFonts w:ascii="Arial" w:cs="Arial" w:eastAsia="Arial" w:hAnsi="Arial"/>
                <w:sz w:val="16"/>
                <w:szCs w:val="16"/>
                <w:color w:val="auto"/>
              </w:rPr>
              <w:t>8.73%</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2.47%</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4.45%</w:t>
            </w:r>
          </w:p>
        </w:tc>
        <w:tc>
          <w:tcPr>
            <w:tcW w:w="0" w:type="dxa"/>
            <w:vAlign w:val="bottom"/>
          </w:tcPr>
          <w:p>
            <w:pPr>
              <w:spacing w:after="0"/>
              <w:rPr>
                <w:sz w:val="1"/>
                <w:szCs w:val="1"/>
                <w:color w:val="auto"/>
              </w:rPr>
            </w:pPr>
          </w:p>
        </w:tc>
      </w:tr>
    </w:tbl>
    <w:p>
      <w:pPr>
        <w:spacing w:after="0" w:line="6" w:lineRule="exact"/>
        <w:rPr>
          <w:sz w:val="20"/>
          <w:szCs w:val="20"/>
          <w:color w:val="auto"/>
        </w:rPr>
      </w:pPr>
    </w:p>
    <w:p>
      <w:pPr>
        <w:ind w:left="740"/>
        <w:spacing w:after="0"/>
        <w:rPr>
          <w:sz w:val="20"/>
          <w:szCs w:val="20"/>
          <w:color w:val="auto"/>
        </w:rPr>
      </w:pPr>
      <w:r>
        <w:rPr>
          <w:rFonts w:ascii="Arial" w:cs="Arial" w:eastAsia="Arial" w:hAnsi="Arial"/>
          <w:sz w:val="11"/>
          <w:szCs w:val="11"/>
          <w:color w:val="auto"/>
        </w:rPr>
        <w:t>Risk-Adjusted NIM: (Annualized Net interest income (excluding Net Insurance Financial Expenses) - annualized provisions) / Average period end and period beginning interest earning assets.</w:t>
      </w:r>
    </w:p>
    <w:p>
      <w:pPr>
        <w:spacing w:after="0" w:line="32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43750" cy="1587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8" w:name="page59"/>
    <w:bookmarkEnd w:id="58"/>
    <w:p>
      <w:pPr>
        <w:ind w:left="2960"/>
        <w:spacing w:after="0"/>
        <w:tabs>
          <w:tab w:leader="none" w:pos="3140" w:val="left"/>
          <w:tab w:leader="none" w:pos="7700" w:val="left"/>
        </w:tabs>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202565</wp:posOffset>
            </wp:positionH>
            <wp:positionV relativeFrom="page">
              <wp:posOffset>88900</wp:posOffset>
            </wp:positionV>
            <wp:extent cx="7143750" cy="41592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3750" cy="415925"/>
                    </a:xfrm>
                    <a:prstGeom prst="rect">
                      <a:avLst/>
                    </a:prstGeom>
                    <a:noFill/>
                  </pic:spPr>
                </pic:pic>
              </a:graphicData>
            </a:graphic>
          </wp:anchor>
        </w:drawing>
        <w:t>|</w:t>
      </w:r>
      <w:r>
        <w:rPr>
          <w:sz w:val="20"/>
          <w:szCs w:val="20"/>
          <w:color w:val="auto"/>
        </w:rPr>
        <w:tab/>
      </w:r>
      <w:r>
        <w:rPr>
          <w:rFonts w:ascii="Arial" w:cs="Arial" w:eastAsia="Arial" w:hAnsi="Arial"/>
          <w:sz w:val="16"/>
          <w:szCs w:val="16"/>
          <w:b w:val="1"/>
          <w:bCs w:val="1"/>
          <w:color w:val="FFFFFF"/>
        </w:rPr>
        <w:t>Earnings Release 3Q / 2023</w:t>
      </w:r>
      <w:r>
        <w:rPr>
          <w:sz w:val="20"/>
          <w:szCs w:val="20"/>
          <w:color w:val="auto"/>
        </w:rPr>
        <w:tab/>
      </w:r>
      <w:r>
        <w:rPr>
          <w:rFonts w:ascii="Arial" w:cs="Arial" w:eastAsia="Arial" w:hAnsi="Arial"/>
          <w:sz w:val="18"/>
          <w:szCs w:val="18"/>
          <w:b w:val="1"/>
          <w:bCs w:val="1"/>
          <w:color w:val="E93CAC"/>
        </w:rPr>
        <w:t>Analysis of 3Q23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175260</wp:posOffset>
            </wp:positionV>
            <wp:extent cx="7143750" cy="2038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3750" cy="203835"/>
                    </a:xfrm>
                    <a:prstGeom prst="rect">
                      <a:avLst/>
                    </a:prstGeom>
                    <a:noFill/>
                  </pic:spPr>
                </pic:pic>
              </a:graphicData>
            </a:graphic>
          </wp:anchor>
        </w:drawing>
      </w:r>
    </w:p>
    <w:p>
      <w:pPr>
        <w:spacing w:after="0" w:line="275"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FFFFFF"/>
        </w:rPr>
        <w:t>12. Appendix</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12.5.  Regulatory Capital</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Regulatory Capital and Capital Adequacy Ratios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 Thousands, IFRS)</w:t>
      </w:r>
    </w:p>
    <w:p>
      <w:pPr>
        <w:spacing w:after="0" w:line="172" w:lineRule="exact"/>
        <w:rPr>
          <w:sz w:val="20"/>
          <w:szCs w:val="20"/>
          <w:color w:val="auto"/>
        </w:rPr>
      </w:pPr>
    </w:p>
    <w:tbl>
      <w:tblPr>
        <w:tblLayout w:type="fixed"/>
        <w:tblInd w:w="1130" w:type="dxa"/>
        <w:tblCellMar>
          <w:top w:w="0" w:type="dxa"/>
          <w:left w:w="0" w:type="dxa"/>
          <w:bottom w:w="0" w:type="dxa"/>
          <w:right w:w="0" w:type="dxa"/>
        </w:tblCellMar>
      </w:tblPr>
      <w:tr>
        <w:trPr>
          <w:trHeight w:val="138"/>
        </w:trPr>
        <w:tc>
          <w:tcPr>
            <w:tcW w:w="3620" w:type="dxa"/>
            <w:vAlign w:val="bottom"/>
            <w:tcBorders>
              <w:top w:val="single" w:sz="8" w:color="auto"/>
              <w:left w:val="single" w:sz="8" w:color="2AD2C8"/>
              <w:right w:val="single" w:sz="8" w:color="auto"/>
            </w:tcBorders>
            <w:shd w:val="clear" w:color="auto" w:fill="2AD2C8"/>
          </w:tcPr>
          <w:p>
            <w:pPr>
              <w:ind w:left="100"/>
              <w:spacing w:after="0"/>
              <w:rPr>
                <w:sz w:val="20"/>
                <w:szCs w:val="20"/>
                <w:color w:val="auto"/>
              </w:rPr>
            </w:pPr>
            <w:r>
              <w:rPr>
                <w:rFonts w:ascii="Arial" w:cs="Arial" w:eastAsia="Arial" w:hAnsi="Arial"/>
                <w:sz w:val="11"/>
                <w:szCs w:val="11"/>
                <w:b w:val="1"/>
                <w:bCs w:val="1"/>
                <w:color w:val="FFFFFF"/>
              </w:rPr>
              <w:t>Capital Stock</w:t>
            </w:r>
          </w:p>
        </w:tc>
        <w:tc>
          <w:tcPr>
            <w:tcW w:w="1100" w:type="dxa"/>
            <w:vAlign w:val="bottom"/>
            <w:tcBorders>
              <w:top w:val="single" w:sz="8" w:color="auto"/>
              <w:right w:val="single" w:sz="8" w:color="2AD2C8"/>
            </w:tcBorders>
            <w:shd w:val="clear" w:color="auto" w:fill="2AD2C8"/>
          </w:tcPr>
          <w:p>
            <w:pPr>
              <w:spacing w:after="0"/>
              <w:rPr>
                <w:sz w:val="12"/>
                <w:szCs w:val="12"/>
                <w:color w:val="auto"/>
              </w:rPr>
            </w:pPr>
          </w:p>
        </w:tc>
        <w:tc>
          <w:tcPr>
            <w:tcW w:w="200" w:type="dxa"/>
            <w:vAlign w:val="bottom"/>
            <w:tcBorders>
              <w:top w:val="single" w:sz="8" w:color="auto"/>
            </w:tcBorders>
            <w:shd w:val="clear" w:color="auto" w:fill="2AD2C8"/>
          </w:tcPr>
          <w:p>
            <w:pPr>
              <w:spacing w:after="0"/>
              <w:rPr>
                <w:sz w:val="12"/>
                <w:szCs w:val="12"/>
                <w:color w:val="auto"/>
              </w:rPr>
            </w:pPr>
          </w:p>
        </w:tc>
        <w:tc>
          <w:tcPr>
            <w:tcW w:w="1100" w:type="dxa"/>
            <w:vAlign w:val="bottom"/>
            <w:tcBorders>
              <w:top w:val="single" w:sz="8" w:color="auto"/>
            </w:tcBorders>
            <w:gridSpan w:val="2"/>
            <w:shd w:val="clear" w:color="auto" w:fill="2AD2C8"/>
          </w:tcPr>
          <w:p>
            <w:pPr>
              <w:jc w:val="center"/>
              <w:ind w:right="380"/>
              <w:spacing w:after="0"/>
              <w:rPr>
                <w:sz w:val="20"/>
                <w:szCs w:val="20"/>
                <w:color w:val="auto"/>
              </w:rPr>
            </w:pPr>
            <w:r>
              <w:rPr>
                <w:rFonts w:ascii="Arial" w:cs="Arial" w:eastAsia="Arial" w:hAnsi="Arial"/>
                <w:sz w:val="11"/>
                <w:szCs w:val="11"/>
                <w:b w:val="1"/>
                <w:bCs w:val="1"/>
                <w:color w:val="FFFFFF"/>
              </w:rPr>
              <w:t>As of</w:t>
            </w:r>
          </w:p>
        </w:tc>
        <w:tc>
          <w:tcPr>
            <w:tcW w:w="960" w:type="dxa"/>
            <w:vAlign w:val="bottom"/>
            <w:tcBorders>
              <w:top w:val="single" w:sz="8" w:color="auto"/>
              <w:right w:val="single" w:sz="8" w:color="auto"/>
            </w:tcBorders>
            <w:shd w:val="clear" w:color="auto" w:fill="2AD2C8"/>
          </w:tcPr>
          <w:p>
            <w:pPr>
              <w:spacing w:after="0"/>
              <w:rPr>
                <w:sz w:val="12"/>
                <w:szCs w:val="12"/>
                <w:color w:val="auto"/>
              </w:rPr>
            </w:pPr>
          </w:p>
        </w:tc>
        <w:tc>
          <w:tcPr>
            <w:tcW w:w="680" w:type="dxa"/>
            <w:vAlign w:val="bottom"/>
            <w:tcBorders>
              <w:top w:val="single" w:sz="8" w:color="auto"/>
            </w:tcBorders>
            <w:shd w:val="clear" w:color="auto" w:fill="2AD2C8"/>
          </w:tcPr>
          <w:p>
            <w:pPr>
              <w:spacing w:after="0"/>
              <w:rPr>
                <w:sz w:val="12"/>
                <w:szCs w:val="12"/>
                <w:color w:val="auto"/>
              </w:rPr>
            </w:pPr>
          </w:p>
        </w:tc>
        <w:tc>
          <w:tcPr>
            <w:tcW w:w="1360" w:type="dxa"/>
            <w:vAlign w:val="bottom"/>
            <w:tcBorders>
              <w:top w:val="single" w:sz="8" w:color="auto"/>
              <w:right w:val="single" w:sz="8" w:color="auto"/>
            </w:tcBorders>
            <w:gridSpan w:val="2"/>
            <w:shd w:val="clear" w:color="auto" w:fill="2AD2C8"/>
          </w:tcPr>
          <w:p>
            <w:pPr>
              <w:ind w:left="60"/>
              <w:spacing w:after="0"/>
              <w:rPr>
                <w:sz w:val="20"/>
                <w:szCs w:val="20"/>
                <w:color w:val="auto"/>
              </w:rPr>
            </w:pPr>
            <w:r>
              <w:rPr>
                <w:rFonts w:ascii="Arial" w:cs="Arial" w:eastAsia="Arial" w:hAnsi="Arial"/>
                <w:sz w:val="11"/>
                <w:szCs w:val="11"/>
                <w:b w:val="1"/>
                <w:bCs w:val="1"/>
                <w:color w:val="FFFFFF"/>
              </w:rPr>
              <w:t>% change</w:t>
            </w:r>
          </w:p>
        </w:tc>
        <w:tc>
          <w:tcPr>
            <w:tcW w:w="0" w:type="dxa"/>
            <w:vAlign w:val="bottom"/>
          </w:tcPr>
          <w:p>
            <w:pPr>
              <w:spacing w:after="0"/>
              <w:rPr>
                <w:sz w:val="1"/>
                <w:szCs w:val="1"/>
                <w:color w:val="auto"/>
              </w:rPr>
            </w:pPr>
          </w:p>
        </w:tc>
      </w:tr>
      <w:tr>
        <w:trPr>
          <w:trHeight w:val="149"/>
        </w:trPr>
        <w:tc>
          <w:tcPr>
            <w:tcW w:w="3620" w:type="dxa"/>
            <w:vAlign w:val="bottom"/>
            <w:tcBorders>
              <w:left w:val="single" w:sz="8" w:color="2AD2C8"/>
              <w:right w:val="single" w:sz="8" w:color="auto"/>
            </w:tcBorders>
            <w:shd w:val="clear" w:color="auto" w:fill="2AD2C8"/>
          </w:tcPr>
          <w:p>
            <w:pPr>
              <w:ind w:left="100"/>
              <w:spacing w:after="0"/>
              <w:rPr>
                <w:sz w:val="20"/>
                <w:szCs w:val="20"/>
                <w:color w:val="auto"/>
              </w:rPr>
            </w:pPr>
            <w:r>
              <w:rPr>
                <w:rFonts w:ascii="Arial" w:cs="Arial" w:eastAsia="Arial" w:hAnsi="Arial"/>
                <w:sz w:val="11"/>
                <w:szCs w:val="11"/>
                <w:b w:val="1"/>
                <w:bCs w:val="1"/>
                <w:color w:val="FFFFFF"/>
              </w:rPr>
              <w:t>S/000</w:t>
            </w:r>
          </w:p>
        </w:tc>
        <w:tc>
          <w:tcPr>
            <w:tcW w:w="1300" w:type="dxa"/>
            <w:vAlign w:val="bottom"/>
            <w:gridSpan w:val="2"/>
            <w:vMerge w:val="restart"/>
            <w:shd w:val="clear" w:color="auto" w:fill="2AD2C8"/>
          </w:tcPr>
          <w:p>
            <w:pPr>
              <w:ind w:left="380"/>
              <w:spacing w:after="0"/>
              <w:rPr>
                <w:sz w:val="20"/>
                <w:szCs w:val="20"/>
                <w:color w:val="auto"/>
              </w:rPr>
            </w:pPr>
            <w:r>
              <w:rPr>
                <w:rFonts w:ascii="Arial" w:cs="Arial" w:eastAsia="Arial" w:hAnsi="Arial"/>
                <w:sz w:val="11"/>
                <w:szCs w:val="11"/>
                <w:b w:val="1"/>
                <w:bCs w:val="1"/>
                <w:color w:val="FFFFFF"/>
              </w:rPr>
              <w:t>Sep 22</w:t>
            </w:r>
          </w:p>
        </w:tc>
        <w:tc>
          <w:tcPr>
            <w:tcW w:w="1100" w:type="dxa"/>
            <w:vAlign w:val="bottom"/>
            <w:gridSpan w:val="2"/>
            <w:vMerge w:val="restart"/>
            <w:shd w:val="clear" w:color="auto" w:fill="2AD2C8"/>
          </w:tcPr>
          <w:p>
            <w:pPr>
              <w:jc w:val="center"/>
              <w:ind w:right="400"/>
              <w:spacing w:after="0"/>
              <w:rPr>
                <w:sz w:val="20"/>
                <w:szCs w:val="20"/>
                <w:color w:val="auto"/>
              </w:rPr>
            </w:pPr>
            <w:r>
              <w:rPr>
                <w:rFonts w:ascii="Arial" w:cs="Arial" w:eastAsia="Arial" w:hAnsi="Arial"/>
                <w:sz w:val="11"/>
                <w:szCs w:val="11"/>
                <w:b w:val="1"/>
                <w:bCs w:val="1"/>
                <w:color w:val="FFFFFF"/>
                <w:w w:val="97"/>
              </w:rPr>
              <w:t>Jun 23</w:t>
            </w:r>
          </w:p>
        </w:tc>
        <w:tc>
          <w:tcPr>
            <w:tcW w:w="960" w:type="dxa"/>
            <w:vAlign w:val="bottom"/>
            <w:tcBorders>
              <w:right w:val="single" w:sz="8" w:color="auto"/>
            </w:tcBorders>
            <w:vMerge w:val="restart"/>
            <w:shd w:val="clear" w:color="auto" w:fill="2AD2C8"/>
          </w:tcPr>
          <w:p>
            <w:pPr>
              <w:jc w:val="right"/>
              <w:ind w:right="346"/>
              <w:spacing w:after="0"/>
              <w:rPr>
                <w:sz w:val="20"/>
                <w:szCs w:val="20"/>
                <w:color w:val="auto"/>
              </w:rPr>
            </w:pPr>
            <w:r>
              <w:rPr>
                <w:rFonts w:ascii="Arial" w:cs="Arial" w:eastAsia="Arial" w:hAnsi="Arial"/>
                <w:sz w:val="11"/>
                <w:szCs w:val="11"/>
                <w:b w:val="1"/>
                <w:bCs w:val="1"/>
                <w:color w:val="FFFFFF"/>
              </w:rPr>
              <w:t>Sep 23</w:t>
            </w:r>
          </w:p>
        </w:tc>
        <w:tc>
          <w:tcPr>
            <w:tcW w:w="680" w:type="dxa"/>
            <w:vAlign w:val="bottom"/>
            <w:vMerge w:val="restart"/>
            <w:shd w:val="clear" w:color="auto" w:fill="2AD2C8"/>
          </w:tcPr>
          <w:p>
            <w:pPr>
              <w:ind w:left="360"/>
              <w:spacing w:after="0"/>
              <w:rPr>
                <w:sz w:val="20"/>
                <w:szCs w:val="20"/>
                <w:color w:val="auto"/>
              </w:rPr>
            </w:pPr>
            <w:r>
              <w:rPr>
                <w:rFonts w:ascii="Arial" w:cs="Arial" w:eastAsia="Arial" w:hAnsi="Arial"/>
                <w:sz w:val="11"/>
                <w:szCs w:val="11"/>
                <w:b w:val="1"/>
                <w:bCs w:val="1"/>
                <w:color w:val="FFFFFF"/>
              </w:rPr>
              <w:t>QoQ</w:t>
            </w:r>
          </w:p>
        </w:tc>
        <w:tc>
          <w:tcPr>
            <w:tcW w:w="320" w:type="dxa"/>
            <w:vAlign w:val="bottom"/>
            <w:tcBorders>
              <w:right w:val="single" w:sz="8" w:color="2AD2C8"/>
            </w:tcBorders>
            <w:shd w:val="clear" w:color="auto" w:fill="2AD2C8"/>
          </w:tcPr>
          <w:p>
            <w:pPr>
              <w:spacing w:after="0"/>
              <w:rPr>
                <w:sz w:val="12"/>
                <w:szCs w:val="12"/>
                <w:color w:val="auto"/>
              </w:rPr>
            </w:pPr>
          </w:p>
        </w:tc>
        <w:tc>
          <w:tcPr>
            <w:tcW w:w="1040" w:type="dxa"/>
            <w:vAlign w:val="bottom"/>
            <w:tcBorders>
              <w:right w:val="single" w:sz="8" w:color="auto"/>
            </w:tcBorders>
            <w:vMerge w:val="restart"/>
            <w:shd w:val="clear" w:color="auto" w:fill="2AD2C8"/>
          </w:tcPr>
          <w:p>
            <w:pPr>
              <w:ind w:left="400"/>
              <w:spacing w:after="0"/>
              <w:rPr>
                <w:sz w:val="20"/>
                <w:szCs w:val="20"/>
                <w:color w:val="auto"/>
              </w:rPr>
            </w:pPr>
            <w:r>
              <w:rPr>
                <w:rFonts w:ascii="Arial" w:cs="Arial" w:eastAsia="Arial" w:hAnsi="Arial"/>
                <w:sz w:val="11"/>
                <w:szCs w:val="11"/>
                <w:b w:val="1"/>
                <w:bCs w:val="1"/>
                <w:color w:val="FFFFFF"/>
              </w:rPr>
              <w:t>YoY</w:t>
            </w:r>
          </w:p>
        </w:tc>
        <w:tc>
          <w:tcPr>
            <w:tcW w:w="0" w:type="dxa"/>
            <w:vAlign w:val="bottom"/>
          </w:tcPr>
          <w:p>
            <w:pPr>
              <w:spacing w:after="0"/>
              <w:rPr>
                <w:sz w:val="1"/>
                <w:szCs w:val="1"/>
                <w:color w:val="auto"/>
              </w:rPr>
            </w:pPr>
          </w:p>
        </w:tc>
      </w:tr>
      <w:tr>
        <w:trPr>
          <w:trHeight w:val="96"/>
        </w:trPr>
        <w:tc>
          <w:tcPr>
            <w:tcW w:w="3620" w:type="dxa"/>
            <w:vAlign w:val="bottom"/>
            <w:tcBorders>
              <w:left w:val="single" w:sz="8" w:color="2AD2C8"/>
              <w:bottom w:val="single" w:sz="8" w:color="auto"/>
              <w:right w:val="single" w:sz="8" w:color="auto"/>
            </w:tcBorders>
            <w:shd w:val="clear" w:color="auto" w:fill="2AD2C8"/>
          </w:tcPr>
          <w:p>
            <w:pPr>
              <w:spacing w:after="0"/>
              <w:rPr>
                <w:sz w:val="8"/>
                <w:szCs w:val="8"/>
                <w:color w:val="auto"/>
              </w:rPr>
            </w:pPr>
          </w:p>
        </w:tc>
        <w:tc>
          <w:tcPr>
            <w:tcW w:w="1300" w:type="dxa"/>
            <w:vAlign w:val="bottom"/>
            <w:tcBorders>
              <w:bottom w:val="single" w:sz="8" w:color="auto"/>
            </w:tcBorders>
            <w:gridSpan w:val="2"/>
            <w:vMerge w:val="continue"/>
            <w:shd w:val="clear" w:color="auto" w:fill="2AD2C8"/>
          </w:tcPr>
          <w:p>
            <w:pPr>
              <w:spacing w:after="0"/>
              <w:rPr>
                <w:sz w:val="8"/>
                <w:szCs w:val="8"/>
                <w:color w:val="auto"/>
              </w:rPr>
            </w:pPr>
          </w:p>
        </w:tc>
        <w:tc>
          <w:tcPr>
            <w:tcW w:w="1100" w:type="dxa"/>
            <w:vAlign w:val="bottom"/>
            <w:tcBorders>
              <w:bottom w:val="single" w:sz="8" w:color="auto"/>
            </w:tcBorders>
            <w:gridSpan w:val="2"/>
            <w:vMerge w:val="continue"/>
            <w:shd w:val="clear" w:color="auto" w:fill="2AD2C8"/>
          </w:tcPr>
          <w:p>
            <w:pPr>
              <w:spacing w:after="0"/>
              <w:rPr>
                <w:sz w:val="8"/>
                <w:szCs w:val="8"/>
                <w:color w:val="auto"/>
              </w:rPr>
            </w:pPr>
          </w:p>
        </w:tc>
        <w:tc>
          <w:tcPr>
            <w:tcW w:w="960" w:type="dxa"/>
            <w:vAlign w:val="bottom"/>
            <w:tcBorders>
              <w:bottom w:val="single" w:sz="8" w:color="auto"/>
              <w:right w:val="single" w:sz="8" w:color="auto"/>
            </w:tcBorders>
            <w:vMerge w:val="continue"/>
            <w:shd w:val="clear" w:color="auto" w:fill="2AD2C8"/>
          </w:tcPr>
          <w:p>
            <w:pPr>
              <w:spacing w:after="0"/>
              <w:rPr>
                <w:sz w:val="8"/>
                <w:szCs w:val="8"/>
                <w:color w:val="auto"/>
              </w:rPr>
            </w:pPr>
          </w:p>
        </w:tc>
        <w:tc>
          <w:tcPr>
            <w:tcW w:w="680" w:type="dxa"/>
            <w:vAlign w:val="bottom"/>
            <w:tcBorders>
              <w:bottom w:val="single" w:sz="8" w:color="auto"/>
            </w:tcBorders>
            <w:vMerge w:val="continue"/>
            <w:shd w:val="clear" w:color="auto" w:fill="2AD2C8"/>
          </w:tcPr>
          <w:p>
            <w:pPr>
              <w:spacing w:after="0"/>
              <w:rPr>
                <w:sz w:val="8"/>
                <w:szCs w:val="8"/>
                <w:color w:val="auto"/>
              </w:rPr>
            </w:pPr>
          </w:p>
        </w:tc>
        <w:tc>
          <w:tcPr>
            <w:tcW w:w="320" w:type="dxa"/>
            <w:vAlign w:val="bottom"/>
            <w:tcBorders>
              <w:bottom w:val="single" w:sz="8" w:color="auto"/>
              <w:right w:val="single" w:sz="8" w:color="2AD2C8"/>
            </w:tcBorders>
            <w:shd w:val="clear" w:color="auto" w:fill="2AD2C8"/>
          </w:tcPr>
          <w:p>
            <w:pPr>
              <w:spacing w:after="0"/>
              <w:rPr>
                <w:sz w:val="8"/>
                <w:szCs w:val="8"/>
                <w:color w:val="auto"/>
              </w:rPr>
            </w:pPr>
          </w:p>
        </w:tc>
        <w:tc>
          <w:tcPr>
            <w:tcW w:w="1040" w:type="dxa"/>
            <w:vAlign w:val="bottom"/>
            <w:tcBorders>
              <w:bottom w:val="single" w:sz="8" w:color="auto"/>
              <w:right w:val="single" w:sz="8" w:color="auto"/>
            </w:tcBorders>
            <w:vMerge w:val="continue"/>
            <w:shd w:val="clear" w:color="auto" w:fill="2AD2C8"/>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1"/>
                <w:szCs w:val="11"/>
                <w:color w:val="auto"/>
              </w:rPr>
              <w:t>Capital Stock</w:t>
            </w: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1"/>
                <w:szCs w:val="11"/>
                <w:color w:val="auto"/>
              </w:rPr>
              <w:t>1,318,993</w:t>
            </w:r>
          </w:p>
        </w:tc>
        <w:tc>
          <w:tcPr>
            <w:tcW w:w="1100" w:type="dxa"/>
            <w:vAlign w:val="bottom"/>
            <w:gridSpan w:val="2"/>
            <w:vMerge w:val="restart"/>
          </w:tcPr>
          <w:p>
            <w:pPr>
              <w:jc w:val="right"/>
              <w:ind w:right="200"/>
              <w:spacing w:after="0"/>
              <w:rPr>
                <w:sz w:val="20"/>
                <w:szCs w:val="20"/>
                <w:color w:val="auto"/>
              </w:rPr>
            </w:pPr>
            <w:r>
              <w:rPr>
                <w:rFonts w:ascii="Arial" w:cs="Arial" w:eastAsia="Arial" w:hAnsi="Arial"/>
                <w:sz w:val="11"/>
                <w:szCs w:val="11"/>
                <w:color w:val="auto"/>
              </w:rPr>
              <w:t>1,318,993</w:t>
            </w:r>
          </w:p>
        </w:tc>
        <w:tc>
          <w:tcPr>
            <w:tcW w:w="9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1,318,993</w:t>
            </w:r>
          </w:p>
        </w:tc>
        <w:tc>
          <w:tcPr>
            <w:tcW w:w="680" w:type="dxa"/>
            <w:vAlign w:val="bottom"/>
            <w:vMerge w:val="restart"/>
          </w:tcPr>
          <w:p>
            <w:pPr>
              <w:jc w:val="center"/>
              <w:ind w:left="226"/>
              <w:spacing w:after="0"/>
              <w:rPr>
                <w:sz w:val="20"/>
                <w:szCs w:val="20"/>
                <w:color w:val="auto"/>
              </w:rPr>
            </w:pPr>
            <w:r>
              <w:rPr>
                <w:rFonts w:ascii="Arial" w:cs="Arial" w:eastAsia="Arial" w:hAnsi="Arial"/>
                <w:sz w:val="11"/>
                <w:szCs w:val="11"/>
                <w:color w:val="auto"/>
                <w:w w:val="95"/>
              </w:rPr>
              <w:t>0.0%</w:t>
            </w:r>
          </w:p>
        </w:tc>
        <w:tc>
          <w:tcPr>
            <w:tcW w:w="1360" w:type="dxa"/>
            <w:vAlign w:val="bottom"/>
            <w:tcBorders>
              <w:right w:val="single" w:sz="8" w:color="auto"/>
            </w:tcBorders>
            <w:gridSpan w:val="2"/>
            <w:vMerge w:val="restart"/>
          </w:tcPr>
          <w:p>
            <w:pPr>
              <w:jc w:val="center"/>
              <w:ind w:left="226"/>
              <w:spacing w:after="0"/>
              <w:rPr>
                <w:sz w:val="20"/>
                <w:szCs w:val="20"/>
                <w:color w:val="auto"/>
              </w:rPr>
            </w:pPr>
            <w:r>
              <w:rPr>
                <w:rFonts w:ascii="Arial" w:cs="Arial" w:eastAsia="Arial" w:hAnsi="Arial"/>
                <w:sz w:val="11"/>
                <w:szCs w:val="11"/>
                <w:color w:val="auto"/>
                <w:w w:val="95"/>
              </w:rPr>
              <w:t>0.0%</w:t>
            </w:r>
          </w:p>
        </w:tc>
        <w:tc>
          <w:tcPr>
            <w:tcW w:w="0" w:type="dxa"/>
            <w:vAlign w:val="bottom"/>
          </w:tcPr>
          <w:p>
            <w:pPr>
              <w:spacing w:after="0"/>
              <w:rPr>
                <w:sz w:val="1"/>
                <w:szCs w:val="1"/>
                <w:color w:val="auto"/>
              </w:rPr>
            </w:pPr>
          </w:p>
        </w:tc>
      </w:tr>
      <w:tr>
        <w:trPr>
          <w:trHeight w:val="43"/>
        </w:trPr>
        <w:tc>
          <w:tcPr>
            <w:tcW w:w="36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1"/>
                <w:szCs w:val="11"/>
                <w:color w:val="auto"/>
              </w:rPr>
              <w:t>Treasury Stocks</w:t>
            </w:r>
          </w:p>
        </w:tc>
        <w:tc>
          <w:tcPr>
            <w:tcW w:w="1300" w:type="dxa"/>
            <w:vAlign w:val="bottom"/>
            <w:gridSpan w:val="2"/>
            <w:vMerge w:val="continue"/>
          </w:tcPr>
          <w:p>
            <w:pPr>
              <w:spacing w:after="0"/>
              <w:rPr>
                <w:sz w:val="3"/>
                <w:szCs w:val="3"/>
                <w:color w:val="auto"/>
              </w:rPr>
            </w:pPr>
          </w:p>
        </w:tc>
        <w:tc>
          <w:tcPr>
            <w:tcW w:w="1100" w:type="dxa"/>
            <w:vAlign w:val="bottom"/>
            <w:gridSpan w:val="2"/>
            <w:vMerge w:val="continue"/>
          </w:tcPr>
          <w:p>
            <w:pPr>
              <w:spacing w:after="0"/>
              <w:rPr>
                <w:sz w:val="3"/>
                <w:szCs w:val="3"/>
                <w:color w:val="auto"/>
              </w:rPr>
            </w:pPr>
          </w:p>
        </w:tc>
        <w:tc>
          <w:tcPr>
            <w:tcW w:w="960" w:type="dxa"/>
            <w:vAlign w:val="bottom"/>
            <w:tcBorders>
              <w:right w:val="single" w:sz="8" w:color="auto"/>
            </w:tcBorders>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1360" w:type="dxa"/>
            <w:vAlign w:val="bottom"/>
            <w:tcBorders>
              <w:right w:val="single" w:sz="8" w:color="auto"/>
            </w:tcBorders>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24"/>
        </w:trPr>
        <w:tc>
          <w:tcPr>
            <w:tcW w:w="3620" w:type="dxa"/>
            <w:vAlign w:val="bottom"/>
            <w:tcBorders>
              <w:right w:val="single" w:sz="8" w:color="auto"/>
            </w:tcBorders>
            <w:vMerge w:val="continue"/>
          </w:tcPr>
          <w:p>
            <w:pPr>
              <w:spacing w:after="0"/>
              <w:rPr>
                <w:sz w:val="10"/>
                <w:szCs w:val="10"/>
                <w:color w:val="auto"/>
              </w:rPr>
            </w:pP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1"/>
                <w:szCs w:val="11"/>
                <w:color w:val="auto"/>
              </w:rPr>
              <w:t>(207,518)</w:t>
            </w:r>
          </w:p>
        </w:tc>
        <w:tc>
          <w:tcPr>
            <w:tcW w:w="1100" w:type="dxa"/>
            <w:vAlign w:val="bottom"/>
            <w:gridSpan w:val="2"/>
            <w:vMerge w:val="restart"/>
          </w:tcPr>
          <w:p>
            <w:pPr>
              <w:jc w:val="right"/>
              <w:ind w:right="200"/>
              <w:spacing w:after="0"/>
              <w:rPr>
                <w:sz w:val="20"/>
                <w:szCs w:val="20"/>
                <w:color w:val="auto"/>
              </w:rPr>
            </w:pPr>
            <w:r>
              <w:rPr>
                <w:rFonts w:ascii="Arial" w:cs="Arial" w:eastAsia="Arial" w:hAnsi="Arial"/>
                <w:sz w:val="11"/>
                <w:szCs w:val="11"/>
                <w:color w:val="auto"/>
              </w:rPr>
              <w:t>(208,035)</w:t>
            </w:r>
          </w:p>
        </w:tc>
        <w:tc>
          <w:tcPr>
            <w:tcW w:w="9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(208,033)</w:t>
            </w:r>
          </w:p>
        </w:tc>
        <w:tc>
          <w:tcPr>
            <w:tcW w:w="680" w:type="dxa"/>
            <w:vAlign w:val="bottom"/>
            <w:vMerge w:val="restart"/>
          </w:tcPr>
          <w:p>
            <w:pPr>
              <w:jc w:val="center"/>
              <w:ind w:left="226"/>
              <w:spacing w:after="0"/>
              <w:rPr>
                <w:sz w:val="20"/>
                <w:szCs w:val="20"/>
                <w:color w:val="auto"/>
              </w:rPr>
            </w:pPr>
            <w:r>
              <w:rPr>
                <w:rFonts w:ascii="Arial" w:cs="Arial" w:eastAsia="Arial" w:hAnsi="Arial"/>
                <w:sz w:val="11"/>
                <w:szCs w:val="11"/>
                <w:color w:val="auto"/>
                <w:w w:val="95"/>
              </w:rPr>
              <w:t>0.0%</w:t>
            </w:r>
          </w:p>
        </w:tc>
        <w:tc>
          <w:tcPr>
            <w:tcW w:w="1360" w:type="dxa"/>
            <w:vAlign w:val="bottom"/>
            <w:tcBorders>
              <w:right w:val="single" w:sz="8" w:color="auto"/>
            </w:tcBorders>
            <w:gridSpan w:val="2"/>
            <w:vMerge w:val="restart"/>
          </w:tcPr>
          <w:p>
            <w:pPr>
              <w:jc w:val="center"/>
              <w:ind w:left="226"/>
              <w:spacing w:after="0"/>
              <w:rPr>
                <w:sz w:val="20"/>
                <w:szCs w:val="20"/>
                <w:color w:val="auto"/>
              </w:rPr>
            </w:pPr>
            <w:r>
              <w:rPr>
                <w:rFonts w:ascii="Arial" w:cs="Arial" w:eastAsia="Arial" w:hAnsi="Arial"/>
                <w:sz w:val="11"/>
                <w:szCs w:val="11"/>
                <w:color w:val="auto"/>
                <w:w w:val="95"/>
              </w:rPr>
              <w:t>0.2%</w:t>
            </w:r>
          </w:p>
        </w:tc>
        <w:tc>
          <w:tcPr>
            <w:tcW w:w="0" w:type="dxa"/>
            <w:vAlign w:val="bottom"/>
          </w:tcPr>
          <w:p>
            <w:pPr>
              <w:spacing w:after="0"/>
              <w:rPr>
                <w:sz w:val="1"/>
                <w:szCs w:val="1"/>
                <w:color w:val="auto"/>
              </w:rPr>
            </w:pPr>
          </w:p>
        </w:tc>
      </w:tr>
      <w:tr>
        <w:trPr>
          <w:trHeight w:val="49"/>
        </w:trPr>
        <w:tc>
          <w:tcPr>
            <w:tcW w:w="36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1"/>
                <w:szCs w:val="11"/>
                <w:color w:val="auto"/>
              </w:rPr>
              <w:t>Capital Surplus</w:t>
            </w:r>
          </w:p>
        </w:tc>
        <w:tc>
          <w:tcPr>
            <w:tcW w:w="1300" w:type="dxa"/>
            <w:vAlign w:val="bottom"/>
            <w:gridSpan w:val="2"/>
            <w:vMerge w:val="continue"/>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960" w:type="dxa"/>
            <w:vAlign w:val="bottom"/>
            <w:tcBorders>
              <w:right w:val="single" w:sz="8" w:color="auto"/>
            </w:tcBorders>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1360" w:type="dxa"/>
            <w:vAlign w:val="bottom"/>
            <w:tcBorders>
              <w:right w:val="single" w:sz="8" w:color="auto"/>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4"/>
        </w:trPr>
        <w:tc>
          <w:tcPr>
            <w:tcW w:w="3620" w:type="dxa"/>
            <w:vAlign w:val="bottom"/>
            <w:tcBorders>
              <w:right w:val="single" w:sz="8" w:color="auto"/>
            </w:tcBorders>
            <w:vMerge w:val="continue"/>
          </w:tcPr>
          <w:p>
            <w:pPr>
              <w:spacing w:after="0"/>
              <w:rPr>
                <w:sz w:val="10"/>
                <w:szCs w:val="10"/>
                <w:color w:val="auto"/>
              </w:rPr>
            </w:pP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1"/>
                <w:szCs w:val="11"/>
                <w:color w:val="auto"/>
              </w:rPr>
              <w:t>225,832</w:t>
            </w:r>
          </w:p>
        </w:tc>
        <w:tc>
          <w:tcPr>
            <w:tcW w:w="1100" w:type="dxa"/>
            <w:vAlign w:val="bottom"/>
            <w:gridSpan w:val="2"/>
            <w:vMerge w:val="restart"/>
          </w:tcPr>
          <w:p>
            <w:pPr>
              <w:jc w:val="right"/>
              <w:ind w:right="200"/>
              <w:spacing w:after="0"/>
              <w:rPr>
                <w:sz w:val="20"/>
                <w:szCs w:val="20"/>
                <w:color w:val="auto"/>
              </w:rPr>
            </w:pPr>
            <w:r>
              <w:rPr>
                <w:rFonts w:ascii="Arial" w:cs="Arial" w:eastAsia="Arial" w:hAnsi="Arial"/>
                <w:sz w:val="11"/>
                <w:szCs w:val="11"/>
                <w:color w:val="auto"/>
              </w:rPr>
              <w:t>231,019</w:t>
            </w:r>
          </w:p>
        </w:tc>
        <w:tc>
          <w:tcPr>
            <w:tcW w:w="9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225,338</w:t>
            </w:r>
          </w:p>
        </w:tc>
        <w:tc>
          <w:tcPr>
            <w:tcW w:w="680" w:type="dxa"/>
            <w:vAlign w:val="bottom"/>
            <w:vMerge w:val="restart"/>
          </w:tcPr>
          <w:p>
            <w:pPr>
              <w:jc w:val="center"/>
              <w:ind w:left="226"/>
              <w:spacing w:after="0"/>
              <w:rPr>
                <w:sz w:val="20"/>
                <w:szCs w:val="20"/>
                <w:color w:val="auto"/>
              </w:rPr>
            </w:pPr>
            <w:r>
              <w:rPr>
                <w:rFonts w:ascii="Arial" w:cs="Arial" w:eastAsia="Arial" w:hAnsi="Arial"/>
                <w:sz w:val="11"/>
                <w:szCs w:val="11"/>
                <w:color w:val="auto"/>
                <w:w w:val="97"/>
              </w:rPr>
              <w:t>-2.5%</w:t>
            </w:r>
          </w:p>
        </w:tc>
        <w:tc>
          <w:tcPr>
            <w:tcW w:w="1360" w:type="dxa"/>
            <w:vAlign w:val="bottom"/>
            <w:tcBorders>
              <w:right w:val="single" w:sz="8" w:color="auto"/>
            </w:tcBorders>
            <w:gridSpan w:val="2"/>
            <w:vMerge w:val="restart"/>
          </w:tcPr>
          <w:p>
            <w:pPr>
              <w:jc w:val="center"/>
              <w:ind w:left="226"/>
              <w:spacing w:after="0"/>
              <w:rPr>
                <w:sz w:val="20"/>
                <w:szCs w:val="20"/>
                <w:color w:val="auto"/>
              </w:rPr>
            </w:pPr>
            <w:r>
              <w:rPr>
                <w:rFonts w:ascii="Arial" w:cs="Arial" w:eastAsia="Arial" w:hAnsi="Arial"/>
                <w:sz w:val="11"/>
                <w:szCs w:val="11"/>
                <w:color w:val="auto"/>
                <w:w w:val="97"/>
              </w:rPr>
              <w:t>-0.2%</w:t>
            </w:r>
          </w:p>
        </w:tc>
        <w:tc>
          <w:tcPr>
            <w:tcW w:w="0" w:type="dxa"/>
            <w:vAlign w:val="bottom"/>
          </w:tcPr>
          <w:p>
            <w:pPr>
              <w:spacing w:after="0"/>
              <w:rPr>
                <w:sz w:val="1"/>
                <w:szCs w:val="1"/>
                <w:color w:val="auto"/>
              </w:rPr>
            </w:pPr>
          </w:p>
        </w:tc>
      </w:tr>
      <w:tr>
        <w:trPr>
          <w:trHeight w:val="49"/>
        </w:trPr>
        <w:tc>
          <w:tcPr>
            <w:tcW w:w="3620" w:type="dxa"/>
            <w:vAlign w:val="bottom"/>
            <w:tcBorders>
              <w:right w:val="single" w:sz="8" w:color="auto"/>
            </w:tcBorders>
          </w:tcPr>
          <w:p>
            <w:pPr>
              <w:spacing w:after="0"/>
              <w:rPr>
                <w:sz w:val="4"/>
                <w:szCs w:val="4"/>
                <w:color w:val="auto"/>
              </w:rPr>
            </w:pPr>
          </w:p>
        </w:tc>
        <w:tc>
          <w:tcPr>
            <w:tcW w:w="1300" w:type="dxa"/>
            <w:vAlign w:val="bottom"/>
            <w:gridSpan w:val="2"/>
            <w:vMerge w:val="continue"/>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960" w:type="dxa"/>
            <w:vAlign w:val="bottom"/>
            <w:tcBorders>
              <w:right w:val="single" w:sz="8" w:color="auto"/>
            </w:tcBorders>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1360" w:type="dxa"/>
            <w:vAlign w:val="bottom"/>
            <w:tcBorders>
              <w:right w:val="single" w:sz="8" w:color="auto"/>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3620" w:type="dxa"/>
            <w:vAlign w:val="bottom"/>
            <w:tcBorders>
              <w:right w:val="single" w:sz="8" w:color="auto"/>
            </w:tcBorders>
          </w:tcPr>
          <w:p>
            <w:pPr>
              <w:ind w:left="100"/>
              <w:spacing w:after="0" w:line="178" w:lineRule="exact"/>
              <w:rPr>
                <w:sz w:val="20"/>
                <w:szCs w:val="20"/>
                <w:color w:val="auto"/>
              </w:rPr>
            </w:pPr>
            <w:r>
              <w:rPr>
                <w:rFonts w:ascii="Arial" w:cs="Arial" w:eastAsia="Arial" w:hAnsi="Arial"/>
                <w:sz w:val="11"/>
                <w:szCs w:val="11"/>
                <w:color w:val="auto"/>
              </w:rPr>
              <w:t xml:space="preserve">Legal and Other capital reserves </w:t>
            </w:r>
            <w:r>
              <w:rPr>
                <w:rFonts w:ascii="Arial" w:cs="Arial" w:eastAsia="Arial" w:hAnsi="Arial"/>
                <w:sz w:val="17"/>
                <w:szCs w:val="17"/>
                <w:color w:val="auto"/>
                <w:vertAlign w:val="superscript"/>
              </w:rPr>
              <w:t>(1)</w:t>
            </w:r>
          </w:p>
        </w:tc>
        <w:tc>
          <w:tcPr>
            <w:tcW w:w="1300" w:type="dxa"/>
            <w:vAlign w:val="bottom"/>
            <w:gridSpan w:val="2"/>
          </w:tcPr>
          <w:p>
            <w:pPr>
              <w:jc w:val="right"/>
              <w:ind w:right="200"/>
              <w:spacing w:after="0"/>
              <w:rPr>
                <w:sz w:val="20"/>
                <w:szCs w:val="20"/>
                <w:color w:val="auto"/>
              </w:rPr>
            </w:pPr>
            <w:r>
              <w:rPr>
                <w:rFonts w:ascii="Arial" w:cs="Arial" w:eastAsia="Arial" w:hAnsi="Arial"/>
                <w:sz w:val="11"/>
                <w:szCs w:val="11"/>
                <w:color w:val="auto"/>
              </w:rPr>
              <w:t>23,687,946</w:t>
            </w:r>
          </w:p>
        </w:tc>
        <w:tc>
          <w:tcPr>
            <w:tcW w:w="1100" w:type="dxa"/>
            <w:vAlign w:val="bottom"/>
            <w:gridSpan w:val="2"/>
          </w:tcPr>
          <w:p>
            <w:pPr>
              <w:jc w:val="right"/>
              <w:ind w:right="200"/>
              <w:spacing w:after="0"/>
              <w:rPr>
                <w:sz w:val="20"/>
                <w:szCs w:val="20"/>
                <w:color w:val="auto"/>
              </w:rPr>
            </w:pPr>
            <w:r>
              <w:rPr>
                <w:rFonts w:ascii="Arial" w:cs="Arial" w:eastAsia="Arial" w:hAnsi="Arial"/>
                <w:sz w:val="11"/>
                <w:szCs w:val="11"/>
                <w:color w:val="auto"/>
              </w:rPr>
              <w:t>26,221,577</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26,239,162</w:t>
            </w:r>
          </w:p>
        </w:tc>
        <w:tc>
          <w:tcPr>
            <w:tcW w:w="680" w:type="dxa"/>
            <w:vAlign w:val="bottom"/>
          </w:tcPr>
          <w:p>
            <w:pPr>
              <w:jc w:val="center"/>
              <w:ind w:left="226"/>
              <w:spacing w:after="0"/>
              <w:rPr>
                <w:sz w:val="20"/>
                <w:szCs w:val="20"/>
                <w:color w:val="auto"/>
              </w:rPr>
            </w:pPr>
            <w:r>
              <w:rPr>
                <w:rFonts w:ascii="Arial" w:cs="Arial" w:eastAsia="Arial" w:hAnsi="Arial"/>
                <w:sz w:val="11"/>
                <w:szCs w:val="11"/>
                <w:color w:val="auto"/>
                <w:w w:val="95"/>
              </w:rPr>
              <w:t>0.1%</w:t>
            </w:r>
          </w:p>
        </w:tc>
        <w:tc>
          <w:tcPr>
            <w:tcW w:w="1360" w:type="dxa"/>
            <w:vAlign w:val="bottom"/>
            <w:tcBorders>
              <w:right w:val="single" w:sz="8" w:color="auto"/>
            </w:tcBorders>
            <w:gridSpan w:val="2"/>
          </w:tcPr>
          <w:p>
            <w:pPr>
              <w:jc w:val="center"/>
              <w:ind w:left="226"/>
              <w:spacing w:after="0"/>
              <w:rPr>
                <w:sz w:val="20"/>
                <w:szCs w:val="20"/>
                <w:color w:val="auto"/>
              </w:rPr>
            </w:pPr>
            <w:r>
              <w:rPr>
                <w:rFonts w:ascii="Arial" w:cs="Arial" w:eastAsia="Arial" w:hAnsi="Arial"/>
                <w:sz w:val="11"/>
                <w:szCs w:val="11"/>
                <w:color w:val="auto"/>
              </w:rPr>
              <w:t>10.8%</w:t>
            </w:r>
          </w:p>
        </w:tc>
        <w:tc>
          <w:tcPr>
            <w:tcW w:w="0" w:type="dxa"/>
            <w:vAlign w:val="bottom"/>
          </w:tcPr>
          <w:p>
            <w:pPr>
              <w:spacing w:after="0"/>
              <w:rPr>
                <w:sz w:val="1"/>
                <w:szCs w:val="1"/>
                <w:color w:val="auto"/>
              </w:rPr>
            </w:pPr>
          </w:p>
        </w:tc>
      </w:tr>
      <w:tr>
        <w:trPr>
          <w:trHeight w:val="173"/>
        </w:trPr>
        <w:tc>
          <w:tcPr>
            <w:tcW w:w="3620" w:type="dxa"/>
            <w:vAlign w:val="bottom"/>
            <w:tcBorders>
              <w:right w:val="single" w:sz="8" w:color="auto"/>
            </w:tcBorders>
          </w:tcPr>
          <w:p>
            <w:pPr>
              <w:ind w:left="100"/>
              <w:spacing w:after="0" w:line="173" w:lineRule="exact"/>
              <w:rPr>
                <w:sz w:val="20"/>
                <w:szCs w:val="20"/>
                <w:color w:val="auto"/>
              </w:rPr>
            </w:pPr>
            <w:r>
              <w:rPr>
                <w:rFonts w:ascii="Arial" w:cs="Arial" w:eastAsia="Arial" w:hAnsi="Arial"/>
                <w:sz w:val="11"/>
                <w:szCs w:val="11"/>
                <w:color w:val="auto"/>
              </w:rPr>
              <w:t xml:space="preserve">Minority interest </w:t>
            </w:r>
            <w:r>
              <w:rPr>
                <w:rFonts w:ascii="Arial" w:cs="Arial" w:eastAsia="Arial" w:hAnsi="Arial"/>
                <w:sz w:val="17"/>
                <w:szCs w:val="17"/>
                <w:color w:val="auto"/>
                <w:vertAlign w:val="superscript"/>
              </w:rPr>
              <w:t>(2)</w:t>
            </w:r>
          </w:p>
        </w:tc>
        <w:tc>
          <w:tcPr>
            <w:tcW w:w="1300" w:type="dxa"/>
            <w:vAlign w:val="bottom"/>
            <w:gridSpan w:val="2"/>
          </w:tcPr>
          <w:p>
            <w:pPr>
              <w:jc w:val="right"/>
              <w:ind w:right="200"/>
              <w:spacing w:after="0"/>
              <w:rPr>
                <w:sz w:val="20"/>
                <w:szCs w:val="20"/>
                <w:color w:val="auto"/>
              </w:rPr>
            </w:pPr>
            <w:r>
              <w:rPr>
                <w:rFonts w:ascii="Arial" w:cs="Arial" w:eastAsia="Arial" w:hAnsi="Arial"/>
                <w:sz w:val="11"/>
                <w:szCs w:val="11"/>
                <w:color w:val="auto"/>
              </w:rPr>
              <w:t>488,486</w:t>
            </w:r>
          </w:p>
        </w:tc>
        <w:tc>
          <w:tcPr>
            <w:tcW w:w="1100" w:type="dxa"/>
            <w:vAlign w:val="bottom"/>
            <w:gridSpan w:val="2"/>
          </w:tcPr>
          <w:p>
            <w:pPr>
              <w:jc w:val="right"/>
              <w:ind w:right="200"/>
              <w:spacing w:after="0"/>
              <w:rPr>
                <w:sz w:val="20"/>
                <w:szCs w:val="20"/>
                <w:color w:val="auto"/>
              </w:rPr>
            </w:pPr>
            <w:r>
              <w:rPr>
                <w:rFonts w:ascii="Arial" w:cs="Arial" w:eastAsia="Arial" w:hAnsi="Arial"/>
                <w:sz w:val="11"/>
                <w:szCs w:val="11"/>
                <w:color w:val="auto"/>
              </w:rPr>
              <w:t>207,919</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210,283</w:t>
            </w:r>
          </w:p>
        </w:tc>
        <w:tc>
          <w:tcPr>
            <w:tcW w:w="680" w:type="dxa"/>
            <w:vAlign w:val="bottom"/>
          </w:tcPr>
          <w:p>
            <w:pPr>
              <w:jc w:val="center"/>
              <w:ind w:left="226"/>
              <w:spacing w:after="0"/>
              <w:rPr>
                <w:sz w:val="20"/>
                <w:szCs w:val="20"/>
                <w:color w:val="auto"/>
              </w:rPr>
            </w:pPr>
            <w:r>
              <w:rPr>
                <w:rFonts w:ascii="Arial" w:cs="Arial" w:eastAsia="Arial" w:hAnsi="Arial"/>
                <w:sz w:val="11"/>
                <w:szCs w:val="11"/>
                <w:color w:val="auto"/>
                <w:w w:val="95"/>
              </w:rPr>
              <w:t>1.1%</w:t>
            </w:r>
          </w:p>
        </w:tc>
        <w:tc>
          <w:tcPr>
            <w:tcW w:w="1360" w:type="dxa"/>
            <w:vAlign w:val="bottom"/>
            <w:tcBorders>
              <w:right w:val="single" w:sz="8" w:color="auto"/>
            </w:tcBorders>
            <w:gridSpan w:val="2"/>
          </w:tcPr>
          <w:p>
            <w:pPr>
              <w:jc w:val="center"/>
              <w:ind w:left="206"/>
              <w:spacing w:after="0"/>
              <w:rPr>
                <w:sz w:val="20"/>
                <w:szCs w:val="20"/>
                <w:color w:val="auto"/>
              </w:rPr>
            </w:pPr>
            <w:r>
              <w:rPr>
                <w:rFonts w:ascii="Arial" w:cs="Arial" w:eastAsia="Arial" w:hAnsi="Arial"/>
                <w:sz w:val="11"/>
                <w:szCs w:val="11"/>
                <w:color w:val="auto"/>
                <w:w w:val="97"/>
              </w:rPr>
              <w:t>-57.0%</w:t>
            </w:r>
          </w:p>
        </w:tc>
        <w:tc>
          <w:tcPr>
            <w:tcW w:w="0" w:type="dxa"/>
            <w:vAlign w:val="bottom"/>
          </w:tcPr>
          <w:p>
            <w:pPr>
              <w:spacing w:after="0"/>
              <w:rPr>
                <w:sz w:val="1"/>
                <w:szCs w:val="1"/>
                <w:color w:val="auto"/>
              </w:rPr>
            </w:pPr>
          </w:p>
        </w:tc>
      </w:tr>
      <w:tr>
        <w:trPr>
          <w:trHeight w:val="155"/>
        </w:trPr>
        <w:tc>
          <w:tcPr>
            <w:tcW w:w="3620" w:type="dxa"/>
            <w:vAlign w:val="bottom"/>
            <w:tcBorders>
              <w:right w:val="single" w:sz="8" w:color="auto"/>
            </w:tcBorders>
          </w:tcPr>
          <w:p>
            <w:pPr>
              <w:ind w:left="100"/>
              <w:spacing w:after="0" w:line="155" w:lineRule="exact"/>
              <w:rPr>
                <w:sz w:val="20"/>
                <w:szCs w:val="20"/>
                <w:color w:val="auto"/>
              </w:rPr>
            </w:pPr>
            <w:r>
              <w:rPr>
                <w:rFonts w:ascii="Arial" w:cs="Arial" w:eastAsia="Arial" w:hAnsi="Arial"/>
                <w:sz w:val="11"/>
                <w:szCs w:val="11"/>
                <w:color w:val="auto"/>
              </w:rPr>
              <w:t xml:space="preserve">Loan loss reserves </w:t>
            </w:r>
            <w:r>
              <w:rPr>
                <w:rFonts w:ascii="Arial" w:cs="Arial" w:eastAsia="Arial" w:hAnsi="Arial"/>
                <w:sz w:val="17"/>
                <w:szCs w:val="17"/>
                <w:color w:val="auto"/>
                <w:vertAlign w:val="superscript"/>
              </w:rPr>
              <w:t>(3)</w:t>
            </w:r>
          </w:p>
        </w:tc>
        <w:tc>
          <w:tcPr>
            <w:tcW w:w="1300" w:type="dxa"/>
            <w:vAlign w:val="bottom"/>
            <w:gridSpan w:val="2"/>
          </w:tcPr>
          <w:p>
            <w:pPr>
              <w:jc w:val="right"/>
              <w:ind w:right="200"/>
              <w:spacing w:after="0"/>
              <w:rPr>
                <w:sz w:val="20"/>
                <w:szCs w:val="20"/>
                <w:color w:val="auto"/>
              </w:rPr>
            </w:pPr>
            <w:r>
              <w:rPr>
                <w:rFonts w:ascii="Arial" w:cs="Arial" w:eastAsia="Arial" w:hAnsi="Arial"/>
                <w:sz w:val="11"/>
                <w:szCs w:val="11"/>
                <w:color w:val="auto"/>
              </w:rPr>
              <w:t>2,139,971</w:t>
            </w:r>
          </w:p>
        </w:tc>
        <w:tc>
          <w:tcPr>
            <w:tcW w:w="1100" w:type="dxa"/>
            <w:vAlign w:val="bottom"/>
            <w:gridSpan w:val="2"/>
          </w:tcPr>
          <w:p>
            <w:pPr>
              <w:jc w:val="right"/>
              <w:ind w:right="200"/>
              <w:spacing w:after="0"/>
              <w:rPr>
                <w:sz w:val="20"/>
                <w:szCs w:val="20"/>
                <w:color w:val="auto"/>
              </w:rPr>
            </w:pPr>
            <w:r>
              <w:rPr>
                <w:rFonts w:ascii="Arial" w:cs="Arial" w:eastAsia="Arial" w:hAnsi="Arial"/>
                <w:sz w:val="11"/>
                <w:szCs w:val="11"/>
                <w:color w:val="auto"/>
              </w:rPr>
              <w:t>1,903,625</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1,946,059</w:t>
            </w:r>
          </w:p>
        </w:tc>
        <w:tc>
          <w:tcPr>
            <w:tcW w:w="680" w:type="dxa"/>
            <w:vAlign w:val="bottom"/>
          </w:tcPr>
          <w:p>
            <w:pPr>
              <w:jc w:val="center"/>
              <w:ind w:left="226"/>
              <w:spacing w:after="0"/>
              <w:rPr>
                <w:sz w:val="20"/>
                <w:szCs w:val="20"/>
                <w:color w:val="auto"/>
              </w:rPr>
            </w:pPr>
            <w:r>
              <w:rPr>
                <w:rFonts w:ascii="Arial" w:cs="Arial" w:eastAsia="Arial" w:hAnsi="Arial"/>
                <w:sz w:val="11"/>
                <w:szCs w:val="11"/>
                <w:color w:val="auto"/>
                <w:w w:val="95"/>
              </w:rPr>
              <w:t>2.2%</w:t>
            </w:r>
          </w:p>
        </w:tc>
        <w:tc>
          <w:tcPr>
            <w:tcW w:w="1360" w:type="dxa"/>
            <w:vAlign w:val="bottom"/>
            <w:tcBorders>
              <w:right w:val="single" w:sz="8" w:color="auto"/>
            </w:tcBorders>
            <w:gridSpan w:val="2"/>
          </w:tcPr>
          <w:p>
            <w:pPr>
              <w:jc w:val="center"/>
              <w:ind w:left="226"/>
              <w:spacing w:after="0"/>
              <w:rPr>
                <w:sz w:val="20"/>
                <w:szCs w:val="20"/>
                <w:color w:val="auto"/>
              </w:rPr>
            </w:pPr>
            <w:r>
              <w:rPr>
                <w:rFonts w:ascii="Arial" w:cs="Arial" w:eastAsia="Arial" w:hAnsi="Arial"/>
                <w:sz w:val="11"/>
                <w:szCs w:val="11"/>
                <w:color w:val="auto"/>
                <w:w w:val="97"/>
              </w:rPr>
              <w:t>-9.1%</w:t>
            </w:r>
          </w:p>
        </w:tc>
        <w:tc>
          <w:tcPr>
            <w:tcW w:w="0" w:type="dxa"/>
            <w:vAlign w:val="bottom"/>
          </w:tcPr>
          <w:p>
            <w:pPr>
              <w:spacing w:after="0"/>
              <w:rPr>
                <w:sz w:val="1"/>
                <w:szCs w:val="1"/>
                <w:color w:val="auto"/>
              </w:rPr>
            </w:pPr>
          </w:p>
        </w:tc>
      </w:tr>
      <w:tr>
        <w:trPr>
          <w:trHeight w:val="137"/>
        </w:trPr>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1"/>
                <w:szCs w:val="11"/>
                <w:color w:val="auto"/>
              </w:rPr>
              <w:t>Perpetual subordinated debt</w:t>
            </w: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1"/>
                <w:szCs w:val="11"/>
                <w:color w:val="auto"/>
              </w:rPr>
              <w:t>-</w:t>
            </w:r>
          </w:p>
        </w:tc>
        <w:tc>
          <w:tcPr>
            <w:tcW w:w="1100" w:type="dxa"/>
            <w:vAlign w:val="bottom"/>
            <w:gridSpan w:val="2"/>
            <w:vMerge w:val="restart"/>
          </w:tcPr>
          <w:p>
            <w:pPr>
              <w:jc w:val="right"/>
              <w:ind w:right="200"/>
              <w:spacing w:after="0"/>
              <w:rPr>
                <w:sz w:val="20"/>
                <w:szCs w:val="20"/>
                <w:color w:val="auto"/>
              </w:rPr>
            </w:pPr>
            <w:r>
              <w:rPr>
                <w:rFonts w:ascii="Arial" w:cs="Arial" w:eastAsia="Arial" w:hAnsi="Arial"/>
                <w:sz w:val="11"/>
                <w:szCs w:val="11"/>
                <w:color w:val="auto"/>
              </w:rPr>
              <w:t>-</w:t>
            </w:r>
          </w:p>
        </w:tc>
        <w:tc>
          <w:tcPr>
            <w:tcW w:w="9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w:t>
            </w:r>
          </w:p>
        </w:tc>
        <w:tc>
          <w:tcPr>
            <w:tcW w:w="680" w:type="dxa"/>
            <w:vAlign w:val="bottom"/>
            <w:vMerge w:val="restart"/>
          </w:tcPr>
          <w:p>
            <w:pPr>
              <w:jc w:val="center"/>
              <w:ind w:left="226"/>
              <w:spacing w:after="0"/>
              <w:rPr>
                <w:sz w:val="20"/>
                <w:szCs w:val="20"/>
                <w:color w:val="auto"/>
              </w:rPr>
            </w:pPr>
            <w:r>
              <w:rPr>
                <w:rFonts w:ascii="Arial" w:cs="Arial" w:eastAsia="Arial" w:hAnsi="Arial"/>
                <w:sz w:val="11"/>
                <w:szCs w:val="11"/>
                <w:color w:val="auto"/>
              </w:rPr>
              <w:t>-</w:t>
            </w:r>
          </w:p>
        </w:tc>
        <w:tc>
          <w:tcPr>
            <w:tcW w:w="1360" w:type="dxa"/>
            <w:vAlign w:val="bottom"/>
            <w:tcBorders>
              <w:right w:val="single" w:sz="8" w:color="auto"/>
            </w:tcBorders>
            <w:gridSpan w:val="2"/>
            <w:vMerge w:val="restart"/>
          </w:tcPr>
          <w:p>
            <w:pPr>
              <w:jc w:val="center"/>
              <w:ind w:left="22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49"/>
        </w:trPr>
        <w:tc>
          <w:tcPr>
            <w:tcW w:w="36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1"/>
                <w:szCs w:val="11"/>
                <w:color w:val="auto"/>
              </w:rPr>
              <w:t>Subordinated Debt</w:t>
            </w:r>
          </w:p>
        </w:tc>
        <w:tc>
          <w:tcPr>
            <w:tcW w:w="1300" w:type="dxa"/>
            <w:vAlign w:val="bottom"/>
            <w:gridSpan w:val="2"/>
            <w:vMerge w:val="continue"/>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960" w:type="dxa"/>
            <w:vAlign w:val="bottom"/>
            <w:tcBorders>
              <w:right w:val="single" w:sz="8" w:color="auto"/>
            </w:tcBorders>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1360" w:type="dxa"/>
            <w:vAlign w:val="bottom"/>
            <w:tcBorders>
              <w:right w:val="single" w:sz="8" w:color="auto"/>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4"/>
        </w:trPr>
        <w:tc>
          <w:tcPr>
            <w:tcW w:w="3620" w:type="dxa"/>
            <w:vAlign w:val="bottom"/>
            <w:tcBorders>
              <w:right w:val="single" w:sz="8" w:color="auto"/>
            </w:tcBorders>
            <w:vMerge w:val="continue"/>
          </w:tcPr>
          <w:p>
            <w:pPr>
              <w:spacing w:after="0"/>
              <w:rPr>
                <w:sz w:val="10"/>
                <w:szCs w:val="10"/>
                <w:color w:val="auto"/>
              </w:rPr>
            </w:pP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1"/>
                <w:szCs w:val="11"/>
                <w:color w:val="auto"/>
              </w:rPr>
              <w:t>6,015,765</w:t>
            </w:r>
          </w:p>
        </w:tc>
        <w:tc>
          <w:tcPr>
            <w:tcW w:w="1100" w:type="dxa"/>
            <w:vAlign w:val="bottom"/>
            <w:gridSpan w:val="2"/>
            <w:vMerge w:val="restart"/>
          </w:tcPr>
          <w:p>
            <w:pPr>
              <w:jc w:val="right"/>
              <w:ind w:right="200"/>
              <w:spacing w:after="0"/>
              <w:rPr>
                <w:sz w:val="20"/>
                <w:szCs w:val="20"/>
                <w:color w:val="auto"/>
              </w:rPr>
            </w:pPr>
            <w:r>
              <w:rPr>
                <w:rFonts w:ascii="Arial" w:cs="Arial" w:eastAsia="Arial" w:hAnsi="Arial"/>
                <w:sz w:val="11"/>
                <w:szCs w:val="11"/>
                <w:color w:val="auto"/>
              </w:rPr>
              <w:t>5,595,446</w:t>
            </w:r>
          </w:p>
        </w:tc>
        <w:tc>
          <w:tcPr>
            <w:tcW w:w="9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5,844,106</w:t>
            </w:r>
          </w:p>
        </w:tc>
        <w:tc>
          <w:tcPr>
            <w:tcW w:w="680" w:type="dxa"/>
            <w:vAlign w:val="bottom"/>
            <w:vMerge w:val="restart"/>
          </w:tcPr>
          <w:p>
            <w:pPr>
              <w:jc w:val="center"/>
              <w:ind w:left="226"/>
              <w:spacing w:after="0"/>
              <w:rPr>
                <w:sz w:val="20"/>
                <w:szCs w:val="20"/>
                <w:color w:val="auto"/>
              </w:rPr>
            </w:pPr>
            <w:r>
              <w:rPr>
                <w:rFonts w:ascii="Arial" w:cs="Arial" w:eastAsia="Arial" w:hAnsi="Arial"/>
                <w:sz w:val="11"/>
                <w:szCs w:val="11"/>
                <w:color w:val="auto"/>
                <w:w w:val="95"/>
              </w:rPr>
              <w:t>4.4%</w:t>
            </w:r>
          </w:p>
        </w:tc>
        <w:tc>
          <w:tcPr>
            <w:tcW w:w="1360" w:type="dxa"/>
            <w:vAlign w:val="bottom"/>
            <w:tcBorders>
              <w:right w:val="single" w:sz="8" w:color="auto"/>
            </w:tcBorders>
            <w:gridSpan w:val="2"/>
            <w:vMerge w:val="restart"/>
          </w:tcPr>
          <w:p>
            <w:pPr>
              <w:jc w:val="center"/>
              <w:ind w:left="226"/>
              <w:spacing w:after="0"/>
              <w:rPr>
                <w:sz w:val="20"/>
                <w:szCs w:val="20"/>
                <w:color w:val="auto"/>
              </w:rPr>
            </w:pPr>
            <w:r>
              <w:rPr>
                <w:rFonts w:ascii="Arial" w:cs="Arial" w:eastAsia="Arial" w:hAnsi="Arial"/>
                <w:sz w:val="11"/>
                <w:szCs w:val="11"/>
                <w:color w:val="auto"/>
                <w:w w:val="97"/>
              </w:rPr>
              <w:t>-2.9%</w:t>
            </w:r>
          </w:p>
        </w:tc>
        <w:tc>
          <w:tcPr>
            <w:tcW w:w="0" w:type="dxa"/>
            <w:vAlign w:val="bottom"/>
          </w:tcPr>
          <w:p>
            <w:pPr>
              <w:spacing w:after="0"/>
              <w:rPr>
                <w:sz w:val="1"/>
                <w:szCs w:val="1"/>
                <w:color w:val="auto"/>
              </w:rPr>
            </w:pPr>
          </w:p>
        </w:tc>
      </w:tr>
      <w:tr>
        <w:trPr>
          <w:trHeight w:val="49"/>
        </w:trPr>
        <w:tc>
          <w:tcPr>
            <w:tcW w:w="3620" w:type="dxa"/>
            <w:vAlign w:val="bottom"/>
            <w:tcBorders>
              <w:right w:val="single" w:sz="8" w:color="auto"/>
            </w:tcBorders>
            <w:vMerge w:val="restart"/>
          </w:tcPr>
          <w:p>
            <w:pPr>
              <w:ind w:left="100"/>
              <w:spacing w:after="0"/>
              <w:rPr>
                <w:sz w:val="20"/>
                <w:szCs w:val="20"/>
                <w:color w:val="auto"/>
              </w:rPr>
            </w:pPr>
            <w:r>
              <w:rPr>
                <w:rFonts w:ascii="Arial" w:cs="Arial" w:eastAsia="Arial" w:hAnsi="Arial"/>
                <w:sz w:val="11"/>
                <w:szCs w:val="11"/>
                <w:color w:val="auto"/>
              </w:rPr>
              <w:t>Investments in equity and subordinated debt of financial and insurance</w:t>
            </w:r>
          </w:p>
        </w:tc>
        <w:tc>
          <w:tcPr>
            <w:tcW w:w="1300" w:type="dxa"/>
            <w:vAlign w:val="bottom"/>
            <w:gridSpan w:val="2"/>
            <w:vMerge w:val="continue"/>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960" w:type="dxa"/>
            <w:vAlign w:val="bottom"/>
            <w:tcBorders>
              <w:right w:val="single" w:sz="8" w:color="auto"/>
            </w:tcBorders>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1360" w:type="dxa"/>
            <w:vAlign w:val="bottom"/>
            <w:tcBorders>
              <w:right w:val="single" w:sz="8" w:color="auto"/>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3"/>
        </w:trPr>
        <w:tc>
          <w:tcPr>
            <w:tcW w:w="3620" w:type="dxa"/>
            <w:vAlign w:val="bottom"/>
            <w:tcBorders>
              <w:right w:val="single" w:sz="8" w:color="auto"/>
            </w:tcBorders>
            <w:vMerge w:val="continue"/>
          </w:tcPr>
          <w:p>
            <w:pPr>
              <w:spacing w:after="0"/>
              <w:rPr>
                <w:sz w:val="10"/>
                <w:szCs w:val="10"/>
                <w:color w:val="auto"/>
              </w:rPr>
            </w:pPr>
          </w:p>
        </w:tc>
        <w:tc>
          <w:tcPr>
            <w:tcW w:w="1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Borders>
              <w:right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1"/>
                <w:szCs w:val="11"/>
                <w:color w:val="auto"/>
              </w:rPr>
              <w:t>companies</w:t>
            </w:r>
          </w:p>
        </w:tc>
        <w:tc>
          <w:tcPr>
            <w:tcW w:w="1300" w:type="dxa"/>
            <w:vAlign w:val="bottom"/>
            <w:gridSpan w:val="2"/>
          </w:tcPr>
          <w:p>
            <w:pPr>
              <w:jc w:val="right"/>
              <w:ind w:right="200"/>
              <w:spacing w:after="0"/>
              <w:rPr>
                <w:sz w:val="20"/>
                <w:szCs w:val="20"/>
                <w:color w:val="auto"/>
              </w:rPr>
            </w:pPr>
            <w:r>
              <w:rPr>
                <w:rFonts w:ascii="Arial" w:cs="Arial" w:eastAsia="Arial" w:hAnsi="Arial"/>
                <w:sz w:val="11"/>
                <w:szCs w:val="11"/>
                <w:color w:val="auto"/>
              </w:rPr>
              <w:t>(868,747)</w:t>
            </w:r>
          </w:p>
        </w:tc>
        <w:tc>
          <w:tcPr>
            <w:tcW w:w="1100" w:type="dxa"/>
            <w:vAlign w:val="bottom"/>
            <w:gridSpan w:val="2"/>
          </w:tcPr>
          <w:p>
            <w:pPr>
              <w:jc w:val="right"/>
              <w:ind w:right="200"/>
              <w:spacing w:after="0"/>
              <w:rPr>
                <w:sz w:val="20"/>
                <w:szCs w:val="20"/>
                <w:color w:val="auto"/>
              </w:rPr>
            </w:pPr>
            <w:r>
              <w:rPr>
                <w:rFonts w:ascii="Arial" w:cs="Arial" w:eastAsia="Arial" w:hAnsi="Arial"/>
                <w:sz w:val="11"/>
                <w:szCs w:val="11"/>
                <w:color w:val="auto"/>
              </w:rPr>
              <w:t>(1,265,052)</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(1,259,626)</w:t>
            </w:r>
          </w:p>
        </w:tc>
        <w:tc>
          <w:tcPr>
            <w:tcW w:w="680" w:type="dxa"/>
            <w:vAlign w:val="bottom"/>
          </w:tcPr>
          <w:p>
            <w:pPr>
              <w:jc w:val="center"/>
              <w:ind w:left="226"/>
              <w:spacing w:after="0"/>
              <w:rPr>
                <w:sz w:val="20"/>
                <w:szCs w:val="20"/>
                <w:color w:val="auto"/>
              </w:rPr>
            </w:pPr>
            <w:r>
              <w:rPr>
                <w:rFonts w:ascii="Arial" w:cs="Arial" w:eastAsia="Arial" w:hAnsi="Arial"/>
                <w:sz w:val="11"/>
                <w:szCs w:val="11"/>
                <w:color w:val="auto"/>
                <w:w w:val="97"/>
              </w:rPr>
              <w:t>-0.4%</w:t>
            </w:r>
          </w:p>
        </w:tc>
        <w:tc>
          <w:tcPr>
            <w:tcW w:w="1360" w:type="dxa"/>
            <w:vAlign w:val="bottom"/>
            <w:tcBorders>
              <w:right w:val="single" w:sz="8" w:color="auto"/>
            </w:tcBorders>
            <w:gridSpan w:val="2"/>
          </w:tcPr>
          <w:p>
            <w:pPr>
              <w:jc w:val="center"/>
              <w:ind w:left="226"/>
              <w:spacing w:after="0"/>
              <w:rPr>
                <w:sz w:val="20"/>
                <w:szCs w:val="20"/>
                <w:color w:val="auto"/>
              </w:rPr>
            </w:pPr>
            <w:r>
              <w:rPr>
                <w:rFonts w:ascii="Arial" w:cs="Arial" w:eastAsia="Arial" w:hAnsi="Arial"/>
                <w:sz w:val="11"/>
                <w:szCs w:val="11"/>
                <w:color w:val="auto"/>
              </w:rPr>
              <w:t>45.0%</w:t>
            </w:r>
          </w:p>
        </w:tc>
        <w:tc>
          <w:tcPr>
            <w:tcW w:w="0" w:type="dxa"/>
            <w:vAlign w:val="bottom"/>
          </w:tcPr>
          <w:p>
            <w:pPr>
              <w:spacing w:after="0"/>
              <w:rPr>
                <w:sz w:val="1"/>
                <w:szCs w:val="1"/>
                <w:color w:val="auto"/>
              </w:rPr>
            </w:pPr>
          </w:p>
        </w:tc>
      </w:tr>
      <w:tr>
        <w:trPr>
          <w:trHeight w:val="161"/>
        </w:trPr>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1"/>
                <w:szCs w:val="11"/>
                <w:color w:val="auto"/>
              </w:rPr>
              <w:t>Goodwill</w:t>
            </w:r>
          </w:p>
        </w:tc>
        <w:tc>
          <w:tcPr>
            <w:tcW w:w="1300" w:type="dxa"/>
            <w:vAlign w:val="bottom"/>
            <w:gridSpan w:val="2"/>
          </w:tcPr>
          <w:p>
            <w:pPr>
              <w:jc w:val="right"/>
              <w:ind w:right="200"/>
              <w:spacing w:after="0"/>
              <w:rPr>
                <w:sz w:val="20"/>
                <w:szCs w:val="20"/>
                <w:color w:val="auto"/>
              </w:rPr>
            </w:pPr>
            <w:r>
              <w:rPr>
                <w:rFonts w:ascii="Arial" w:cs="Arial" w:eastAsia="Arial" w:hAnsi="Arial"/>
                <w:sz w:val="11"/>
                <w:szCs w:val="11"/>
                <w:color w:val="auto"/>
              </w:rPr>
              <w:t>(788,179)</w:t>
            </w:r>
          </w:p>
        </w:tc>
        <w:tc>
          <w:tcPr>
            <w:tcW w:w="1100" w:type="dxa"/>
            <w:vAlign w:val="bottom"/>
            <w:gridSpan w:val="2"/>
          </w:tcPr>
          <w:p>
            <w:pPr>
              <w:jc w:val="right"/>
              <w:ind w:right="200"/>
              <w:spacing w:after="0"/>
              <w:rPr>
                <w:sz w:val="20"/>
                <w:szCs w:val="20"/>
                <w:color w:val="auto"/>
              </w:rPr>
            </w:pPr>
            <w:r>
              <w:rPr>
                <w:rFonts w:ascii="Arial" w:cs="Arial" w:eastAsia="Arial" w:hAnsi="Arial"/>
                <w:sz w:val="11"/>
                <w:szCs w:val="11"/>
                <w:color w:val="auto"/>
              </w:rPr>
              <w:t>(830,725)</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(842,678)</w:t>
            </w:r>
          </w:p>
        </w:tc>
        <w:tc>
          <w:tcPr>
            <w:tcW w:w="680" w:type="dxa"/>
            <w:vAlign w:val="bottom"/>
          </w:tcPr>
          <w:p>
            <w:pPr>
              <w:jc w:val="center"/>
              <w:ind w:left="226"/>
              <w:spacing w:after="0"/>
              <w:rPr>
                <w:sz w:val="20"/>
                <w:szCs w:val="20"/>
                <w:color w:val="auto"/>
              </w:rPr>
            </w:pPr>
            <w:r>
              <w:rPr>
                <w:rFonts w:ascii="Arial" w:cs="Arial" w:eastAsia="Arial" w:hAnsi="Arial"/>
                <w:sz w:val="11"/>
                <w:szCs w:val="11"/>
                <w:color w:val="auto"/>
                <w:w w:val="95"/>
              </w:rPr>
              <w:t>1.4%</w:t>
            </w:r>
          </w:p>
        </w:tc>
        <w:tc>
          <w:tcPr>
            <w:tcW w:w="1360" w:type="dxa"/>
            <w:vAlign w:val="bottom"/>
            <w:tcBorders>
              <w:right w:val="single" w:sz="8" w:color="auto"/>
            </w:tcBorders>
            <w:gridSpan w:val="2"/>
          </w:tcPr>
          <w:p>
            <w:pPr>
              <w:jc w:val="center"/>
              <w:ind w:left="226"/>
              <w:spacing w:after="0"/>
              <w:rPr>
                <w:sz w:val="20"/>
                <w:szCs w:val="20"/>
                <w:color w:val="auto"/>
              </w:rPr>
            </w:pPr>
            <w:r>
              <w:rPr>
                <w:rFonts w:ascii="Arial" w:cs="Arial" w:eastAsia="Arial" w:hAnsi="Arial"/>
                <w:sz w:val="11"/>
                <w:szCs w:val="11"/>
                <w:color w:val="auto"/>
                <w:w w:val="95"/>
              </w:rPr>
              <w:t>6.9%</w:t>
            </w:r>
          </w:p>
        </w:tc>
        <w:tc>
          <w:tcPr>
            <w:tcW w:w="0" w:type="dxa"/>
            <w:vAlign w:val="bottom"/>
          </w:tcPr>
          <w:p>
            <w:pPr>
              <w:spacing w:after="0"/>
              <w:rPr>
                <w:sz w:val="1"/>
                <w:szCs w:val="1"/>
                <w:color w:val="auto"/>
              </w:rPr>
            </w:pPr>
          </w:p>
        </w:tc>
      </w:tr>
      <w:tr>
        <w:trPr>
          <w:trHeight w:val="137"/>
        </w:trPr>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1"/>
                <w:szCs w:val="11"/>
                <w:color w:val="auto"/>
              </w:rPr>
              <w:t>Current year Net Loss</w:t>
            </w: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1"/>
                <w:szCs w:val="11"/>
                <w:color w:val="auto"/>
              </w:rPr>
              <w:t>-</w:t>
            </w:r>
          </w:p>
        </w:tc>
        <w:tc>
          <w:tcPr>
            <w:tcW w:w="1100" w:type="dxa"/>
            <w:vAlign w:val="bottom"/>
            <w:gridSpan w:val="2"/>
            <w:vMerge w:val="restart"/>
          </w:tcPr>
          <w:p>
            <w:pPr>
              <w:jc w:val="right"/>
              <w:ind w:right="200"/>
              <w:spacing w:after="0"/>
              <w:rPr>
                <w:sz w:val="20"/>
                <w:szCs w:val="20"/>
                <w:color w:val="auto"/>
              </w:rPr>
            </w:pPr>
            <w:r>
              <w:rPr>
                <w:rFonts w:ascii="Arial" w:cs="Arial" w:eastAsia="Arial" w:hAnsi="Arial"/>
                <w:sz w:val="11"/>
                <w:szCs w:val="11"/>
                <w:color w:val="auto"/>
              </w:rPr>
              <w:t>-</w:t>
            </w:r>
          </w:p>
        </w:tc>
        <w:tc>
          <w:tcPr>
            <w:tcW w:w="9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w:t>
            </w:r>
          </w:p>
        </w:tc>
        <w:tc>
          <w:tcPr>
            <w:tcW w:w="680" w:type="dxa"/>
            <w:vAlign w:val="bottom"/>
            <w:vMerge w:val="restart"/>
          </w:tcPr>
          <w:p>
            <w:pPr>
              <w:jc w:val="center"/>
              <w:ind w:left="226"/>
              <w:spacing w:after="0"/>
              <w:rPr>
                <w:sz w:val="20"/>
                <w:szCs w:val="20"/>
                <w:color w:val="auto"/>
              </w:rPr>
            </w:pPr>
            <w:r>
              <w:rPr>
                <w:rFonts w:ascii="Arial" w:cs="Arial" w:eastAsia="Arial" w:hAnsi="Arial"/>
                <w:sz w:val="11"/>
                <w:szCs w:val="11"/>
                <w:color w:val="auto"/>
              </w:rPr>
              <w:t>-</w:t>
            </w:r>
          </w:p>
        </w:tc>
        <w:tc>
          <w:tcPr>
            <w:tcW w:w="1360" w:type="dxa"/>
            <w:vAlign w:val="bottom"/>
            <w:tcBorders>
              <w:right w:val="single" w:sz="8" w:color="auto"/>
            </w:tcBorders>
            <w:gridSpan w:val="2"/>
            <w:vMerge w:val="restart"/>
          </w:tcPr>
          <w:p>
            <w:pPr>
              <w:jc w:val="center"/>
              <w:ind w:left="22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49"/>
        </w:trPr>
        <w:tc>
          <w:tcPr>
            <w:tcW w:w="3620" w:type="dxa"/>
            <w:vAlign w:val="bottom"/>
            <w:tcBorders>
              <w:right w:val="single" w:sz="8" w:color="auto"/>
            </w:tcBorders>
          </w:tcPr>
          <w:p>
            <w:pPr>
              <w:spacing w:after="0"/>
              <w:rPr>
                <w:sz w:val="4"/>
                <w:szCs w:val="4"/>
                <w:color w:val="auto"/>
              </w:rPr>
            </w:pPr>
          </w:p>
        </w:tc>
        <w:tc>
          <w:tcPr>
            <w:tcW w:w="1300" w:type="dxa"/>
            <w:vAlign w:val="bottom"/>
            <w:gridSpan w:val="2"/>
            <w:vMerge w:val="continue"/>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960" w:type="dxa"/>
            <w:vAlign w:val="bottom"/>
            <w:tcBorders>
              <w:right w:val="single" w:sz="8" w:color="auto"/>
            </w:tcBorders>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1360" w:type="dxa"/>
            <w:vAlign w:val="bottom"/>
            <w:tcBorders>
              <w:right w:val="single" w:sz="8" w:color="auto"/>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1"/>
                <w:szCs w:val="11"/>
                <w:color w:val="auto"/>
                <w:w w:val="97"/>
              </w:rPr>
              <w:t>Deduction for subordinated debt limit (50% of Tier I excluding deductions)</w:t>
            </w: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1"/>
                <w:szCs w:val="11"/>
                <w:color w:val="auto"/>
              </w:rPr>
              <w:t>-</w:t>
            </w:r>
          </w:p>
        </w:tc>
        <w:tc>
          <w:tcPr>
            <w:tcW w:w="1100" w:type="dxa"/>
            <w:vAlign w:val="bottom"/>
            <w:gridSpan w:val="2"/>
            <w:vMerge w:val="restart"/>
          </w:tcPr>
          <w:p>
            <w:pPr>
              <w:jc w:val="right"/>
              <w:ind w:right="200"/>
              <w:spacing w:after="0"/>
              <w:rPr>
                <w:sz w:val="20"/>
                <w:szCs w:val="20"/>
                <w:color w:val="auto"/>
              </w:rPr>
            </w:pPr>
            <w:r>
              <w:rPr>
                <w:rFonts w:ascii="Arial" w:cs="Arial" w:eastAsia="Arial" w:hAnsi="Arial"/>
                <w:sz w:val="11"/>
                <w:szCs w:val="11"/>
                <w:color w:val="auto"/>
              </w:rPr>
              <w:t>-</w:t>
            </w:r>
          </w:p>
        </w:tc>
        <w:tc>
          <w:tcPr>
            <w:tcW w:w="9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color w:val="auto"/>
              </w:rPr>
              <w:t>-</w:t>
            </w:r>
          </w:p>
        </w:tc>
        <w:tc>
          <w:tcPr>
            <w:tcW w:w="680" w:type="dxa"/>
            <w:vAlign w:val="bottom"/>
            <w:vMerge w:val="restart"/>
          </w:tcPr>
          <w:p>
            <w:pPr>
              <w:jc w:val="center"/>
              <w:ind w:left="226"/>
              <w:spacing w:after="0"/>
              <w:rPr>
                <w:sz w:val="20"/>
                <w:szCs w:val="20"/>
                <w:color w:val="auto"/>
              </w:rPr>
            </w:pPr>
            <w:r>
              <w:rPr>
                <w:rFonts w:ascii="Arial" w:cs="Arial" w:eastAsia="Arial" w:hAnsi="Arial"/>
                <w:sz w:val="11"/>
                <w:szCs w:val="11"/>
                <w:color w:val="auto"/>
              </w:rPr>
              <w:t>-</w:t>
            </w:r>
          </w:p>
        </w:tc>
        <w:tc>
          <w:tcPr>
            <w:tcW w:w="1360" w:type="dxa"/>
            <w:vAlign w:val="bottom"/>
            <w:tcBorders>
              <w:right w:val="single" w:sz="8" w:color="auto"/>
            </w:tcBorders>
            <w:gridSpan w:val="2"/>
            <w:vMerge w:val="restart"/>
          </w:tcPr>
          <w:p>
            <w:pPr>
              <w:jc w:val="center"/>
              <w:ind w:left="22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9"/>
        </w:trPr>
        <w:tc>
          <w:tcPr>
            <w:tcW w:w="3620" w:type="dxa"/>
            <w:vAlign w:val="bottom"/>
            <w:tcBorders>
              <w:right w:val="single" w:sz="8" w:color="auto"/>
            </w:tcBorders>
          </w:tcPr>
          <w:p>
            <w:pPr>
              <w:ind w:left="100"/>
              <w:spacing w:after="0"/>
              <w:rPr>
                <w:sz w:val="20"/>
                <w:szCs w:val="20"/>
                <w:color w:val="auto"/>
              </w:rPr>
            </w:pPr>
            <w:r>
              <w:rPr>
                <w:rFonts w:ascii="Arial" w:cs="Arial" w:eastAsia="Arial" w:hAnsi="Arial"/>
                <w:sz w:val="9"/>
                <w:szCs w:val="9"/>
                <w:color w:val="auto"/>
              </w:rPr>
              <w:t>(4)</w:t>
            </w:r>
          </w:p>
        </w:tc>
        <w:tc>
          <w:tcPr>
            <w:tcW w:w="1300" w:type="dxa"/>
            <w:vAlign w:val="bottom"/>
            <w:gridSpan w:val="2"/>
            <w:vMerge w:val="continue"/>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960" w:type="dxa"/>
            <w:vAlign w:val="bottom"/>
            <w:tcBorders>
              <w:right w:val="single" w:sz="8" w:color="auto"/>
            </w:tcBorders>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136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3620" w:type="dxa"/>
            <w:vAlign w:val="bottom"/>
            <w:tcBorders>
              <w:bottom w:val="single" w:sz="8" w:color="auto"/>
              <w:right w:val="single" w:sz="8" w:color="auto"/>
            </w:tcBorders>
          </w:tcPr>
          <w:p>
            <w:pPr>
              <w:ind w:left="100"/>
              <w:spacing w:after="0" w:line="166" w:lineRule="exact"/>
              <w:rPr>
                <w:sz w:val="20"/>
                <w:szCs w:val="20"/>
                <w:color w:val="auto"/>
              </w:rPr>
            </w:pPr>
            <w:r>
              <w:rPr>
                <w:rFonts w:ascii="Arial" w:cs="Arial" w:eastAsia="Arial" w:hAnsi="Arial"/>
                <w:sz w:val="11"/>
                <w:szCs w:val="11"/>
                <w:color w:val="auto"/>
              </w:rPr>
              <w:t xml:space="preserve">Deduction for Tier I Limit (50% of Regulatory capital) </w:t>
            </w:r>
            <w:r>
              <w:rPr>
                <w:rFonts w:ascii="Arial" w:cs="Arial" w:eastAsia="Arial" w:hAnsi="Arial"/>
                <w:sz w:val="17"/>
                <w:szCs w:val="17"/>
                <w:color w:val="auto"/>
                <w:vertAlign w:val="superscript"/>
              </w:rPr>
              <w:t>(4)</w:t>
            </w:r>
          </w:p>
        </w:tc>
        <w:tc>
          <w:tcPr>
            <w:tcW w:w="13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1"/>
                <w:szCs w:val="11"/>
                <w:color w:val="auto"/>
              </w:rPr>
              <w:t>-</w:t>
            </w:r>
          </w:p>
        </w:tc>
        <w:tc>
          <w:tcPr>
            <w:tcW w:w="11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1"/>
                <w:szCs w:val="11"/>
                <w:color w:val="auto"/>
              </w:rPr>
              <w:t>-</w:t>
            </w:r>
          </w:p>
        </w:tc>
        <w:tc>
          <w:tcPr>
            <w:tcW w:w="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tcPr>
          <w:p>
            <w:pPr>
              <w:jc w:val="center"/>
              <w:ind w:left="226"/>
              <w:spacing w:after="0"/>
              <w:rPr>
                <w:sz w:val="20"/>
                <w:szCs w:val="20"/>
                <w:color w:val="auto"/>
              </w:rPr>
            </w:pPr>
            <w:r>
              <w:rPr>
                <w:rFonts w:ascii="Arial" w:cs="Arial" w:eastAsia="Arial" w:hAnsi="Arial"/>
                <w:sz w:val="11"/>
                <w:szCs w:val="11"/>
                <w:color w:val="auto"/>
              </w:rPr>
              <w:t>-</w:t>
            </w:r>
          </w:p>
        </w:tc>
        <w:tc>
          <w:tcPr>
            <w:tcW w:w="1360" w:type="dxa"/>
            <w:vAlign w:val="bottom"/>
            <w:tcBorders>
              <w:bottom w:val="single" w:sz="8" w:color="auto"/>
              <w:right w:val="single" w:sz="8" w:color="auto"/>
            </w:tcBorders>
            <w:gridSpan w:val="2"/>
          </w:tcPr>
          <w:p>
            <w:pPr>
              <w:jc w:val="center"/>
              <w:ind w:left="22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1"/>
        </w:trPr>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1"/>
                <w:szCs w:val="11"/>
                <w:b w:val="1"/>
                <w:bCs w:val="1"/>
                <w:color w:val="auto"/>
              </w:rPr>
              <w:t>Total Regulatory Capital (A)</w:t>
            </w: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1"/>
                <w:szCs w:val="11"/>
                <w:b w:val="1"/>
                <w:bCs w:val="1"/>
                <w:color w:val="auto"/>
              </w:rPr>
              <w:t>32,012,549</w:t>
            </w:r>
          </w:p>
        </w:tc>
        <w:tc>
          <w:tcPr>
            <w:tcW w:w="1100" w:type="dxa"/>
            <w:vAlign w:val="bottom"/>
            <w:gridSpan w:val="2"/>
            <w:vMerge w:val="restart"/>
          </w:tcPr>
          <w:p>
            <w:pPr>
              <w:jc w:val="right"/>
              <w:ind w:right="200"/>
              <w:spacing w:after="0"/>
              <w:rPr>
                <w:sz w:val="20"/>
                <w:szCs w:val="20"/>
                <w:color w:val="auto"/>
              </w:rPr>
            </w:pPr>
            <w:r>
              <w:rPr>
                <w:rFonts w:ascii="Arial" w:cs="Arial" w:eastAsia="Arial" w:hAnsi="Arial"/>
                <w:sz w:val="11"/>
                <w:szCs w:val="11"/>
                <w:b w:val="1"/>
                <w:bCs w:val="1"/>
                <w:color w:val="auto"/>
              </w:rPr>
              <w:t>33,174,767</w:t>
            </w:r>
          </w:p>
        </w:tc>
        <w:tc>
          <w:tcPr>
            <w:tcW w:w="9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1"/>
                <w:szCs w:val="11"/>
                <w:b w:val="1"/>
                <w:bCs w:val="1"/>
                <w:color w:val="auto"/>
              </w:rPr>
              <w:t>33,473,604</w:t>
            </w:r>
          </w:p>
        </w:tc>
        <w:tc>
          <w:tcPr>
            <w:tcW w:w="680" w:type="dxa"/>
            <w:vAlign w:val="bottom"/>
            <w:vMerge w:val="restart"/>
          </w:tcPr>
          <w:p>
            <w:pPr>
              <w:jc w:val="center"/>
              <w:ind w:left="226"/>
              <w:spacing w:after="0"/>
              <w:rPr>
                <w:sz w:val="20"/>
                <w:szCs w:val="20"/>
                <w:color w:val="auto"/>
              </w:rPr>
            </w:pPr>
            <w:r>
              <w:rPr>
                <w:rFonts w:ascii="Arial" w:cs="Arial" w:eastAsia="Arial" w:hAnsi="Arial"/>
                <w:sz w:val="11"/>
                <w:szCs w:val="11"/>
                <w:b w:val="1"/>
                <w:bCs w:val="1"/>
                <w:color w:val="auto"/>
                <w:w w:val="95"/>
              </w:rPr>
              <w:t>0.9%</w:t>
            </w:r>
          </w:p>
        </w:tc>
        <w:tc>
          <w:tcPr>
            <w:tcW w:w="1360" w:type="dxa"/>
            <w:vAlign w:val="bottom"/>
            <w:tcBorders>
              <w:right w:val="single" w:sz="8" w:color="auto"/>
            </w:tcBorders>
            <w:gridSpan w:val="2"/>
            <w:vMerge w:val="restart"/>
          </w:tcPr>
          <w:p>
            <w:pPr>
              <w:jc w:val="center"/>
              <w:ind w:left="226"/>
              <w:spacing w:after="0"/>
              <w:rPr>
                <w:sz w:val="20"/>
                <w:szCs w:val="20"/>
                <w:color w:val="auto"/>
              </w:rPr>
            </w:pPr>
            <w:r>
              <w:rPr>
                <w:rFonts w:ascii="Arial" w:cs="Arial" w:eastAsia="Arial" w:hAnsi="Arial"/>
                <w:sz w:val="11"/>
                <w:szCs w:val="11"/>
                <w:b w:val="1"/>
                <w:bCs w:val="1"/>
                <w:color w:val="auto"/>
                <w:w w:val="95"/>
              </w:rPr>
              <w:t>4.6%</w:t>
            </w:r>
          </w:p>
        </w:tc>
        <w:tc>
          <w:tcPr>
            <w:tcW w:w="0" w:type="dxa"/>
            <w:vAlign w:val="bottom"/>
          </w:tcPr>
          <w:p>
            <w:pPr>
              <w:spacing w:after="0"/>
              <w:rPr>
                <w:sz w:val="1"/>
                <w:szCs w:val="1"/>
                <w:color w:val="auto"/>
              </w:rPr>
            </w:pPr>
          </w:p>
        </w:tc>
      </w:tr>
      <w:tr>
        <w:trPr>
          <w:trHeight w:val="25"/>
        </w:trPr>
        <w:tc>
          <w:tcPr>
            <w:tcW w:w="362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tcBorders>
            <w:gridSpan w:val="2"/>
            <w:vMerge w:val="continue"/>
          </w:tcPr>
          <w:p>
            <w:pPr>
              <w:spacing w:after="0"/>
              <w:rPr>
                <w:sz w:val="2"/>
                <w:szCs w:val="2"/>
                <w:color w:val="auto"/>
              </w:rPr>
            </w:pPr>
          </w:p>
        </w:tc>
        <w:tc>
          <w:tcPr>
            <w:tcW w:w="1100" w:type="dxa"/>
            <w:vAlign w:val="bottom"/>
            <w:tcBorders>
              <w:bottom w:val="single" w:sz="8" w:color="auto"/>
            </w:tcBorders>
            <w:gridSpan w:val="2"/>
            <w:vMerge w:val="continue"/>
          </w:tcPr>
          <w:p>
            <w:pPr>
              <w:spacing w:after="0"/>
              <w:rPr>
                <w:sz w:val="2"/>
                <w:szCs w:val="2"/>
                <w:color w:val="auto"/>
              </w:rPr>
            </w:pPr>
          </w:p>
        </w:tc>
        <w:tc>
          <w:tcPr>
            <w:tcW w:w="960" w:type="dxa"/>
            <w:vAlign w:val="bottom"/>
            <w:tcBorders>
              <w:bottom w:val="single" w:sz="8" w:color="auto"/>
              <w:right w:val="single" w:sz="8" w:color="auto"/>
            </w:tcBorders>
            <w:vMerge w:val="continue"/>
          </w:tcPr>
          <w:p>
            <w:pPr>
              <w:spacing w:after="0"/>
              <w:rPr>
                <w:sz w:val="2"/>
                <w:szCs w:val="2"/>
                <w:color w:val="auto"/>
              </w:rPr>
            </w:pPr>
          </w:p>
        </w:tc>
        <w:tc>
          <w:tcPr>
            <w:tcW w:w="680" w:type="dxa"/>
            <w:vAlign w:val="bottom"/>
            <w:tcBorders>
              <w:bottom w:val="single" w:sz="8" w:color="auto"/>
            </w:tcBorders>
            <w:vMerge w:val="continue"/>
          </w:tcPr>
          <w:p>
            <w:pPr>
              <w:spacing w:after="0"/>
              <w:rPr>
                <w:sz w:val="2"/>
                <w:szCs w:val="2"/>
                <w:color w:val="auto"/>
              </w:rPr>
            </w:pPr>
          </w:p>
        </w:tc>
        <w:tc>
          <w:tcPr>
            <w:tcW w:w="1360" w:type="dxa"/>
            <w:vAlign w:val="bottom"/>
            <w:tcBorders>
              <w:bottom w:val="single" w:sz="8" w:color="auto"/>
              <w:right w:val="single" w:sz="8" w:color="auto"/>
            </w:tcBorders>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36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3620" w:type="dxa"/>
            <w:vAlign w:val="bottom"/>
            <w:tcBorders>
              <w:left w:val="single" w:sz="8" w:color="auto"/>
              <w:right w:val="single" w:sz="8" w:color="auto"/>
            </w:tcBorders>
          </w:tcPr>
          <w:p>
            <w:pPr>
              <w:ind w:left="120"/>
              <w:spacing w:after="0" w:line="176" w:lineRule="exact"/>
              <w:rPr>
                <w:sz w:val="20"/>
                <w:szCs w:val="20"/>
                <w:color w:val="auto"/>
              </w:rPr>
            </w:pPr>
            <w:r>
              <w:rPr>
                <w:rFonts w:ascii="Arial" w:cs="Arial" w:eastAsia="Arial" w:hAnsi="Arial"/>
                <w:sz w:val="11"/>
                <w:szCs w:val="11"/>
                <w:color w:val="auto"/>
              </w:rPr>
              <w:t xml:space="preserve">Tier 1 </w:t>
            </w:r>
            <w:r>
              <w:rPr>
                <w:rFonts w:ascii="Arial" w:cs="Arial" w:eastAsia="Arial" w:hAnsi="Arial"/>
                <w:sz w:val="17"/>
                <w:szCs w:val="17"/>
                <w:color w:val="auto"/>
                <w:vertAlign w:val="superscript"/>
              </w:rPr>
              <w:t>(5)</w:t>
            </w:r>
          </w:p>
        </w:tc>
        <w:tc>
          <w:tcPr>
            <w:tcW w:w="1300" w:type="dxa"/>
            <w:vAlign w:val="bottom"/>
            <w:gridSpan w:val="2"/>
          </w:tcPr>
          <w:p>
            <w:pPr>
              <w:jc w:val="right"/>
              <w:ind w:right="200"/>
              <w:spacing w:after="0"/>
              <w:rPr>
                <w:sz w:val="20"/>
                <w:szCs w:val="20"/>
                <w:color w:val="auto"/>
              </w:rPr>
            </w:pPr>
            <w:r>
              <w:rPr>
                <w:rFonts w:ascii="Arial" w:cs="Arial" w:eastAsia="Arial" w:hAnsi="Arial"/>
                <w:sz w:val="11"/>
                <w:szCs w:val="11"/>
                <w:color w:val="auto"/>
              </w:rPr>
              <w:t>16,961,210</w:t>
            </w:r>
          </w:p>
        </w:tc>
        <w:tc>
          <w:tcPr>
            <w:tcW w:w="1100" w:type="dxa"/>
            <w:vAlign w:val="bottom"/>
            <w:gridSpan w:val="2"/>
          </w:tcPr>
          <w:p>
            <w:pPr>
              <w:jc w:val="right"/>
              <w:ind w:right="200"/>
              <w:spacing w:after="0"/>
              <w:rPr>
                <w:sz w:val="20"/>
                <w:szCs w:val="20"/>
                <w:color w:val="auto"/>
              </w:rPr>
            </w:pPr>
            <w:r>
              <w:rPr>
                <w:rFonts w:ascii="Arial" w:cs="Arial" w:eastAsia="Arial" w:hAnsi="Arial"/>
                <w:sz w:val="11"/>
                <w:szCs w:val="11"/>
                <w:color w:val="auto"/>
              </w:rPr>
              <w:t>17,834,543</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17,821,987</w:t>
            </w:r>
          </w:p>
        </w:tc>
        <w:tc>
          <w:tcPr>
            <w:tcW w:w="680" w:type="dxa"/>
            <w:vAlign w:val="bottom"/>
          </w:tcPr>
          <w:p>
            <w:pPr>
              <w:jc w:val="center"/>
              <w:ind w:left="226"/>
              <w:spacing w:after="0"/>
              <w:rPr>
                <w:sz w:val="20"/>
                <w:szCs w:val="20"/>
                <w:color w:val="auto"/>
              </w:rPr>
            </w:pPr>
            <w:r>
              <w:rPr>
                <w:rFonts w:ascii="Arial" w:cs="Arial" w:eastAsia="Arial" w:hAnsi="Arial"/>
                <w:sz w:val="11"/>
                <w:szCs w:val="11"/>
                <w:color w:val="auto"/>
                <w:w w:val="97"/>
              </w:rPr>
              <w:t>-0.1%</w:t>
            </w:r>
          </w:p>
        </w:tc>
        <w:tc>
          <w:tcPr>
            <w:tcW w:w="1360" w:type="dxa"/>
            <w:vAlign w:val="bottom"/>
            <w:tcBorders>
              <w:right w:val="single" w:sz="8" w:color="auto"/>
            </w:tcBorders>
            <w:gridSpan w:val="2"/>
          </w:tcPr>
          <w:p>
            <w:pPr>
              <w:jc w:val="center"/>
              <w:ind w:left="226"/>
              <w:spacing w:after="0"/>
              <w:rPr>
                <w:sz w:val="20"/>
                <w:szCs w:val="20"/>
                <w:color w:val="auto"/>
              </w:rPr>
            </w:pPr>
            <w:r>
              <w:rPr>
                <w:rFonts w:ascii="Arial" w:cs="Arial" w:eastAsia="Arial" w:hAnsi="Arial"/>
                <w:sz w:val="11"/>
                <w:szCs w:val="11"/>
                <w:color w:val="auto"/>
                <w:w w:val="95"/>
              </w:rPr>
              <w:t>5.1%</w:t>
            </w:r>
          </w:p>
        </w:tc>
        <w:tc>
          <w:tcPr>
            <w:tcW w:w="0" w:type="dxa"/>
            <w:vAlign w:val="bottom"/>
          </w:tcPr>
          <w:p>
            <w:pPr>
              <w:spacing w:after="0"/>
              <w:rPr>
                <w:sz w:val="1"/>
                <w:szCs w:val="1"/>
                <w:color w:val="auto"/>
              </w:rPr>
            </w:pPr>
          </w:p>
        </w:tc>
      </w:tr>
      <w:tr>
        <w:trPr>
          <w:trHeight w:val="159"/>
        </w:trPr>
        <w:tc>
          <w:tcPr>
            <w:tcW w:w="36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1"/>
                <w:szCs w:val="11"/>
                <w:color w:val="auto"/>
              </w:rPr>
              <w:t xml:space="preserve">Tier 2 </w:t>
            </w:r>
            <w:r>
              <w:rPr>
                <w:rFonts w:ascii="Arial" w:cs="Arial" w:eastAsia="Arial" w:hAnsi="Arial"/>
                <w:sz w:val="7"/>
                <w:szCs w:val="7"/>
                <w:color w:val="auto"/>
              </w:rPr>
              <w:t>(6)</w:t>
            </w:r>
            <w:r>
              <w:rPr>
                <w:rFonts w:ascii="Arial" w:cs="Arial" w:eastAsia="Arial" w:hAnsi="Arial"/>
                <w:sz w:val="11"/>
                <w:szCs w:val="11"/>
                <w:color w:val="auto"/>
              </w:rPr>
              <w:t xml:space="preserve"> + Tier 3 </w:t>
            </w:r>
            <w:r>
              <w:rPr>
                <w:rFonts w:ascii="Arial" w:cs="Arial" w:eastAsia="Arial" w:hAnsi="Arial"/>
                <w:sz w:val="7"/>
                <w:szCs w:val="7"/>
                <w:color w:val="auto"/>
              </w:rPr>
              <w:t>(7)</w:t>
            </w:r>
          </w:p>
        </w:tc>
        <w:tc>
          <w:tcPr>
            <w:tcW w:w="13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1"/>
                <w:szCs w:val="11"/>
                <w:color w:val="auto"/>
              </w:rPr>
              <w:t>15,051,339</w:t>
            </w:r>
          </w:p>
        </w:tc>
        <w:tc>
          <w:tcPr>
            <w:tcW w:w="11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1"/>
                <w:szCs w:val="11"/>
                <w:color w:val="auto"/>
              </w:rPr>
              <w:t>15,340,224</w:t>
            </w:r>
          </w:p>
        </w:tc>
        <w:tc>
          <w:tcPr>
            <w:tcW w:w="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15,651,617</w:t>
            </w:r>
          </w:p>
        </w:tc>
        <w:tc>
          <w:tcPr>
            <w:tcW w:w="680" w:type="dxa"/>
            <w:vAlign w:val="bottom"/>
            <w:tcBorders>
              <w:bottom w:val="single" w:sz="8" w:color="auto"/>
            </w:tcBorders>
          </w:tcPr>
          <w:p>
            <w:pPr>
              <w:jc w:val="center"/>
              <w:ind w:left="226"/>
              <w:spacing w:after="0"/>
              <w:rPr>
                <w:sz w:val="20"/>
                <w:szCs w:val="20"/>
                <w:color w:val="auto"/>
              </w:rPr>
            </w:pPr>
            <w:r>
              <w:rPr>
                <w:rFonts w:ascii="Arial" w:cs="Arial" w:eastAsia="Arial" w:hAnsi="Arial"/>
                <w:sz w:val="11"/>
                <w:szCs w:val="11"/>
                <w:color w:val="auto"/>
                <w:w w:val="95"/>
              </w:rPr>
              <w:t>2.0%</w:t>
            </w:r>
          </w:p>
        </w:tc>
        <w:tc>
          <w:tcPr>
            <w:tcW w:w="1360" w:type="dxa"/>
            <w:vAlign w:val="bottom"/>
            <w:tcBorders>
              <w:bottom w:val="single" w:sz="8" w:color="auto"/>
              <w:right w:val="single" w:sz="8" w:color="auto"/>
            </w:tcBorders>
            <w:gridSpan w:val="2"/>
          </w:tcPr>
          <w:p>
            <w:pPr>
              <w:jc w:val="center"/>
              <w:ind w:left="226"/>
              <w:spacing w:after="0"/>
              <w:rPr>
                <w:sz w:val="20"/>
                <w:szCs w:val="20"/>
                <w:color w:val="auto"/>
              </w:rPr>
            </w:pPr>
            <w:r>
              <w:rPr>
                <w:rFonts w:ascii="Arial" w:cs="Arial" w:eastAsia="Arial" w:hAnsi="Arial"/>
                <w:sz w:val="11"/>
                <w:szCs w:val="11"/>
                <w:color w:val="auto"/>
                <w:w w:val="95"/>
              </w:rPr>
              <w:t>4.0%</w:t>
            </w:r>
          </w:p>
        </w:tc>
        <w:tc>
          <w:tcPr>
            <w:tcW w:w="0" w:type="dxa"/>
            <w:vAlign w:val="bottom"/>
          </w:tcPr>
          <w:p>
            <w:pPr>
              <w:spacing w:after="0"/>
              <w:rPr>
                <w:sz w:val="1"/>
                <w:szCs w:val="1"/>
                <w:color w:val="auto"/>
              </w:rPr>
            </w:pPr>
          </w:p>
        </w:tc>
      </w:tr>
      <w:tr>
        <w:trPr>
          <w:trHeight w:val="180"/>
        </w:trPr>
        <w:tc>
          <w:tcPr>
            <w:tcW w:w="36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3620" w:type="dxa"/>
            <w:vAlign w:val="bottom"/>
            <w:tcBorders>
              <w:right w:val="single" w:sz="8" w:color="auto"/>
            </w:tcBorders>
          </w:tcPr>
          <w:p>
            <w:pPr>
              <w:ind w:left="100"/>
              <w:spacing w:after="0" w:line="159" w:lineRule="exact"/>
              <w:rPr>
                <w:sz w:val="20"/>
                <w:szCs w:val="20"/>
                <w:color w:val="auto"/>
              </w:rPr>
            </w:pPr>
            <w:r>
              <w:rPr>
                <w:rFonts w:ascii="Arial" w:cs="Arial" w:eastAsia="Arial" w:hAnsi="Arial"/>
                <w:sz w:val="11"/>
                <w:szCs w:val="11"/>
                <w:color w:val="auto"/>
                <w:w w:val="96"/>
              </w:rPr>
              <w:t xml:space="preserve">Financial Consolidated Group (FCG) Regulatory Capital Requirements </w:t>
            </w:r>
            <w:r>
              <w:rPr>
                <w:rFonts w:ascii="Arial" w:cs="Arial" w:eastAsia="Arial" w:hAnsi="Arial"/>
                <w:sz w:val="17"/>
                <w:szCs w:val="17"/>
                <w:color w:val="auto"/>
                <w:w w:val="96"/>
                <w:vertAlign w:val="superscript"/>
              </w:rPr>
              <w:t>(8)</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20,973,716</w:t>
            </w:r>
          </w:p>
        </w:tc>
        <w:tc>
          <w:tcPr>
            <w:tcW w:w="200" w:type="dxa"/>
            <w:vAlign w:val="bottom"/>
          </w:tcPr>
          <w:p>
            <w:pPr>
              <w:spacing w:after="0"/>
              <w:rPr>
                <w:sz w:val="13"/>
                <w:szCs w:val="13"/>
                <w:color w:val="auto"/>
              </w:rPr>
            </w:pP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21,863,219</w:t>
            </w:r>
          </w:p>
        </w:tc>
        <w:tc>
          <w:tcPr>
            <w:tcW w:w="180" w:type="dxa"/>
            <w:vAlign w:val="bottom"/>
          </w:tcPr>
          <w:p>
            <w:pPr>
              <w:spacing w:after="0"/>
              <w:rPr>
                <w:sz w:val="13"/>
                <w:szCs w:val="13"/>
                <w:color w:val="auto"/>
              </w:rPr>
            </w:pP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22,387,961</w:t>
            </w:r>
          </w:p>
        </w:tc>
        <w:tc>
          <w:tcPr>
            <w:tcW w:w="680" w:type="dxa"/>
            <w:vAlign w:val="bottom"/>
          </w:tcPr>
          <w:p>
            <w:pPr>
              <w:jc w:val="center"/>
              <w:ind w:left="226"/>
              <w:spacing w:after="0"/>
              <w:rPr>
                <w:sz w:val="20"/>
                <w:szCs w:val="20"/>
                <w:color w:val="auto"/>
              </w:rPr>
            </w:pPr>
            <w:r>
              <w:rPr>
                <w:rFonts w:ascii="Arial" w:cs="Arial" w:eastAsia="Arial" w:hAnsi="Arial"/>
                <w:sz w:val="11"/>
                <w:szCs w:val="11"/>
                <w:color w:val="auto"/>
                <w:w w:val="95"/>
              </w:rPr>
              <w:t>2.4%</w:t>
            </w:r>
          </w:p>
        </w:tc>
        <w:tc>
          <w:tcPr>
            <w:tcW w:w="320" w:type="dxa"/>
            <w:vAlign w:val="bottom"/>
            <w:tcBorders>
              <w:right w:val="single" w:sz="8" w:color="auto"/>
            </w:tcBorders>
          </w:tcPr>
          <w:p>
            <w:pPr>
              <w:spacing w:after="0"/>
              <w:rPr>
                <w:sz w:val="13"/>
                <w:szCs w:val="13"/>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6.7%</w:t>
            </w:r>
          </w:p>
        </w:tc>
        <w:tc>
          <w:tcPr>
            <w:tcW w:w="0" w:type="dxa"/>
            <w:vAlign w:val="bottom"/>
          </w:tcPr>
          <w:p>
            <w:pPr>
              <w:spacing w:after="0"/>
              <w:rPr>
                <w:sz w:val="1"/>
                <w:szCs w:val="1"/>
                <w:color w:val="auto"/>
              </w:rPr>
            </w:pPr>
          </w:p>
        </w:tc>
      </w:tr>
      <w:tr>
        <w:trPr>
          <w:trHeight w:val="173"/>
        </w:trPr>
        <w:tc>
          <w:tcPr>
            <w:tcW w:w="3620" w:type="dxa"/>
            <w:vAlign w:val="bottom"/>
            <w:tcBorders>
              <w:right w:val="single" w:sz="8" w:color="auto"/>
            </w:tcBorders>
          </w:tcPr>
          <w:p>
            <w:pPr>
              <w:ind w:left="100"/>
              <w:spacing w:after="0" w:line="173" w:lineRule="exact"/>
              <w:rPr>
                <w:sz w:val="20"/>
                <w:szCs w:val="20"/>
                <w:color w:val="auto"/>
              </w:rPr>
            </w:pPr>
            <w:r>
              <w:rPr>
                <w:rFonts w:ascii="Arial" w:cs="Arial" w:eastAsia="Arial" w:hAnsi="Arial"/>
                <w:sz w:val="11"/>
                <w:szCs w:val="11"/>
                <w:color w:val="auto"/>
              </w:rPr>
              <w:t xml:space="preserve">Insurance Consolidated Group (ICG) Capital Requirements </w:t>
            </w:r>
            <w:r>
              <w:rPr>
                <w:rFonts w:ascii="Arial" w:cs="Arial" w:eastAsia="Arial" w:hAnsi="Arial"/>
                <w:sz w:val="17"/>
                <w:szCs w:val="17"/>
                <w:color w:val="auto"/>
                <w:vertAlign w:val="superscript"/>
              </w:rPr>
              <w:t>(9)</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1,558,334</w:t>
            </w:r>
          </w:p>
        </w:tc>
        <w:tc>
          <w:tcPr>
            <w:tcW w:w="200" w:type="dxa"/>
            <w:vAlign w:val="bottom"/>
          </w:tcPr>
          <w:p>
            <w:pPr>
              <w:spacing w:after="0"/>
              <w:rPr>
                <w:sz w:val="15"/>
                <w:szCs w:val="15"/>
                <w:color w:val="auto"/>
              </w:rPr>
            </w:pP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1,532,425</w:t>
            </w:r>
          </w:p>
        </w:tc>
        <w:tc>
          <w:tcPr>
            <w:tcW w:w="180" w:type="dxa"/>
            <w:vAlign w:val="bottom"/>
          </w:tcPr>
          <w:p>
            <w:pPr>
              <w:spacing w:after="0"/>
              <w:rPr>
                <w:sz w:val="15"/>
                <w:szCs w:val="15"/>
                <w:color w:val="auto"/>
              </w:rPr>
            </w:pP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1,550,765</w:t>
            </w:r>
          </w:p>
        </w:tc>
        <w:tc>
          <w:tcPr>
            <w:tcW w:w="680" w:type="dxa"/>
            <w:vAlign w:val="bottom"/>
          </w:tcPr>
          <w:p>
            <w:pPr>
              <w:jc w:val="center"/>
              <w:ind w:left="226"/>
              <w:spacing w:after="0"/>
              <w:rPr>
                <w:sz w:val="20"/>
                <w:szCs w:val="20"/>
                <w:color w:val="auto"/>
              </w:rPr>
            </w:pPr>
            <w:r>
              <w:rPr>
                <w:rFonts w:ascii="Arial" w:cs="Arial" w:eastAsia="Arial" w:hAnsi="Arial"/>
                <w:sz w:val="11"/>
                <w:szCs w:val="11"/>
                <w:color w:val="auto"/>
                <w:w w:val="95"/>
              </w:rPr>
              <w:t>1.2%</w:t>
            </w:r>
          </w:p>
        </w:tc>
        <w:tc>
          <w:tcPr>
            <w:tcW w:w="32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-0.5%</w:t>
            </w:r>
          </w:p>
        </w:tc>
        <w:tc>
          <w:tcPr>
            <w:tcW w:w="0" w:type="dxa"/>
            <w:vAlign w:val="bottom"/>
          </w:tcPr>
          <w:p>
            <w:pPr>
              <w:spacing w:after="0"/>
              <w:rPr>
                <w:sz w:val="1"/>
                <w:szCs w:val="1"/>
                <w:color w:val="auto"/>
              </w:rPr>
            </w:pPr>
          </w:p>
        </w:tc>
      </w:tr>
      <w:tr>
        <w:trPr>
          <w:trHeight w:val="137"/>
        </w:trPr>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1"/>
                <w:szCs w:val="11"/>
                <w:color w:val="auto"/>
              </w:rPr>
              <w:t>FCG Capital Requirements related to operations with ICG</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(465,143)</w:t>
            </w:r>
          </w:p>
        </w:tc>
        <w:tc>
          <w:tcPr>
            <w:tcW w:w="200" w:type="dxa"/>
            <w:vAlign w:val="bottom"/>
          </w:tcPr>
          <w:p>
            <w:pPr>
              <w:spacing w:after="0"/>
              <w:rPr>
                <w:sz w:val="11"/>
                <w:szCs w:val="11"/>
                <w:color w:val="auto"/>
              </w:rPr>
            </w:pP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(625,441)</w:t>
            </w:r>
          </w:p>
        </w:tc>
        <w:tc>
          <w:tcPr>
            <w:tcW w:w="180" w:type="dxa"/>
            <w:vAlign w:val="bottom"/>
          </w:tcPr>
          <w:p>
            <w:pPr>
              <w:spacing w:after="0"/>
              <w:rPr>
                <w:sz w:val="11"/>
                <w:szCs w:val="11"/>
                <w:color w:val="auto"/>
              </w:rPr>
            </w:pP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(680,628)</w:t>
            </w:r>
          </w:p>
        </w:tc>
        <w:tc>
          <w:tcPr>
            <w:tcW w:w="680" w:type="dxa"/>
            <w:vAlign w:val="bottom"/>
          </w:tcPr>
          <w:p>
            <w:pPr>
              <w:jc w:val="center"/>
              <w:ind w:left="226"/>
              <w:spacing w:after="0"/>
              <w:rPr>
                <w:sz w:val="20"/>
                <w:szCs w:val="20"/>
                <w:color w:val="auto"/>
              </w:rPr>
            </w:pPr>
            <w:r>
              <w:rPr>
                <w:rFonts w:ascii="Arial" w:cs="Arial" w:eastAsia="Arial" w:hAnsi="Arial"/>
                <w:sz w:val="11"/>
                <w:szCs w:val="11"/>
                <w:color w:val="auto"/>
                <w:w w:val="95"/>
              </w:rPr>
              <w:t>8.8%</w:t>
            </w:r>
          </w:p>
        </w:tc>
        <w:tc>
          <w:tcPr>
            <w:tcW w:w="32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46.3%</w:t>
            </w:r>
          </w:p>
        </w:tc>
        <w:tc>
          <w:tcPr>
            <w:tcW w:w="0" w:type="dxa"/>
            <w:vAlign w:val="bottom"/>
          </w:tcPr>
          <w:p>
            <w:pPr>
              <w:spacing w:after="0"/>
              <w:rPr>
                <w:sz w:val="1"/>
                <w:szCs w:val="1"/>
                <w:color w:val="auto"/>
              </w:rPr>
            </w:pPr>
          </w:p>
        </w:tc>
      </w:tr>
      <w:tr>
        <w:trPr>
          <w:trHeight w:val="173"/>
        </w:trPr>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1"/>
                <w:szCs w:val="11"/>
                <w:color w:val="auto"/>
              </w:rPr>
              <w:t>ICG Capital Requirements related to operations with FCG</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5"/>
                <w:szCs w:val="15"/>
                <w:color w:val="auto"/>
              </w:rPr>
            </w:pP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5"/>
                <w:szCs w:val="15"/>
                <w:color w:val="auto"/>
              </w:rPr>
            </w:pP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680" w:type="dxa"/>
            <w:vAlign w:val="bottom"/>
          </w:tcPr>
          <w:p>
            <w:pPr>
              <w:jc w:val="center"/>
              <w:ind w:left="226"/>
              <w:spacing w:after="0"/>
              <w:rPr>
                <w:sz w:val="20"/>
                <w:szCs w:val="20"/>
                <w:color w:val="auto"/>
              </w:rPr>
            </w:pPr>
            <w:r>
              <w:rPr>
                <w:rFonts w:ascii="Arial" w:cs="Arial" w:eastAsia="Arial" w:hAnsi="Arial"/>
                <w:sz w:val="11"/>
                <w:szCs w:val="11"/>
                <w:color w:val="auto"/>
              </w:rPr>
              <w:t>-</w:t>
            </w:r>
          </w:p>
        </w:tc>
        <w:tc>
          <w:tcPr>
            <w:tcW w:w="320" w:type="dxa"/>
            <w:vAlign w:val="bottom"/>
            <w:tcBorders>
              <w:right w:val="single" w:sz="8" w:color="auto"/>
            </w:tcBorders>
          </w:tcPr>
          <w:p>
            <w:pPr>
              <w:spacing w:after="0"/>
              <w:rPr>
                <w:sz w:val="15"/>
                <w:szCs w:val="15"/>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42"/>
        </w:trPr>
        <w:tc>
          <w:tcPr>
            <w:tcW w:w="3620" w:type="dxa"/>
            <w:vAlign w:val="bottom"/>
            <w:tcBorders>
              <w:bottom w:val="single" w:sz="8" w:color="auto"/>
              <w:right w:val="single" w:sz="8" w:color="auto"/>
            </w:tcBorders>
          </w:tcPr>
          <w:p>
            <w:pPr>
              <w:spacing w:after="0"/>
              <w:rPr>
                <w:sz w:val="3"/>
                <w:szCs w:val="3"/>
                <w:color w:val="auto"/>
              </w:rPr>
            </w:pPr>
          </w:p>
        </w:tc>
        <w:tc>
          <w:tcPr>
            <w:tcW w:w="1100" w:type="dxa"/>
            <w:vAlign w:val="bottom"/>
            <w:tcBorders>
              <w:bottom w:val="single" w:sz="8" w:color="auto"/>
              <w:right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right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right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10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1"/>
        </w:trPr>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1"/>
                <w:szCs w:val="11"/>
                <w:b w:val="1"/>
                <w:bCs w:val="1"/>
                <w:color w:val="auto"/>
              </w:rPr>
              <w:t>Total Regulatory Capital Requirements (B)</w:t>
            </w:r>
          </w:p>
        </w:tc>
        <w:tc>
          <w:tcPr>
            <w:tcW w:w="1100" w:type="dxa"/>
            <w:vAlign w:val="bottom"/>
            <w:tcBorders>
              <w:right w:val="single" w:sz="8" w:color="auto"/>
            </w:tcBorders>
          </w:tcPr>
          <w:p>
            <w:pPr>
              <w:jc w:val="right"/>
              <w:spacing w:after="0"/>
              <w:rPr>
                <w:sz w:val="20"/>
                <w:szCs w:val="20"/>
                <w:color w:val="auto"/>
              </w:rPr>
            </w:pPr>
            <w:r>
              <w:rPr>
                <w:rFonts w:ascii="Arial" w:cs="Arial" w:eastAsia="Arial" w:hAnsi="Arial"/>
                <w:sz w:val="11"/>
                <w:szCs w:val="11"/>
                <w:b w:val="1"/>
                <w:bCs w:val="1"/>
                <w:color w:val="auto"/>
              </w:rPr>
              <w:t>22,066,907</w:t>
            </w:r>
          </w:p>
        </w:tc>
        <w:tc>
          <w:tcPr>
            <w:tcW w:w="200" w:type="dxa"/>
            <w:vAlign w:val="bottom"/>
          </w:tcPr>
          <w:p>
            <w:pPr>
              <w:spacing w:after="0"/>
              <w:rPr>
                <w:sz w:val="12"/>
                <w:szCs w:val="12"/>
                <w:color w:val="auto"/>
              </w:rPr>
            </w:pP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1"/>
                <w:szCs w:val="11"/>
                <w:b w:val="1"/>
                <w:bCs w:val="1"/>
                <w:color w:val="auto"/>
              </w:rPr>
              <w:t>22,770,203</w:t>
            </w:r>
          </w:p>
        </w:tc>
        <w:tc>
          <w:tcPr>
            <w:tcW w:w="180" w:type="dxa"/>
            <w:vAlign w:val="bottom"/>
          </w:tcPr>
          <w:p>
            <w:pPr>
              <w:spacing w:after="0"/>
              <w:rPr>
                <w:sz w:val="12"/>
                <w:szCs w:val="12"/>
                <w:color w:val="auto"/>
              </w:rPr>
            </w:pP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1"/>
                <w:szCs w:val="11"/>
                <w:b w:val="1"/>
                <w:bCs w:val="1"/>
                <w:color w:val="auto"/>
              </w:rPr>
              <w:t>23,258,098</w:t>
            </w:r>
          </w:p>
        </w:tc>
        <w:tc>
          <w:tcPr>
            <w:tcW w:w="680" w:type="dxa"/>
            <w:vAlign w:val="bottom"/>
          </w:tcPr>
          <w:p>
            <w:pPr>
              <w:jc w:val="center"/>
              <w:ind w:left="226"/>
              <w:spacing w:after="0"/>
              <w:rPr>
                <w:sz w:val="20"/>
                <w:szCs w:val="20"/>
                <w:color w:val="auto"/>
              </w:rPr>
            </w:pPr>
            <w:r>
              <w:rPr>
                <w:rFonts w:ascii="Arial" w:cs="Arial" w:eastAsia="Arial" w:hAnsi="Arial"/>
                <w:sz w:val="11"/>
                <w:szCs w:val="11"/>
                <w:b w:val="1"/>
                <w:bCs w:val="1"/>
                <w:color w:val="auto"/>
                <w:w w:val="95"/>
              </w:rPr>
              <w:t>2.1%</w:t>
            </w:r>
          </w:p>
        </w:tc>
        <w:tc>
          <w:tcPr>
            <w:tcW w:w="32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5.4%</w:t>
            </w:r>
          </w:p>
        </w:tc>
        <w:tc>
          <w:tcPr>
            <w:tcW w:w="0" w:type="dxa"/>
            <w:vAlign w:val="bottom"/>
          </w:tcPr>
          <w:p>
            <w:pPr>
              <w:spacing w:after="0"/>
              <w:rPr>
                <w:sz w:val="1"/>
                <w:szCs w:val="1"/>
                <w:color w:val="auto"/>
              </w:rPr>
            </w:pPr>
          </w:p>
        </w:tc>
      </w:tr>
      <w:tr>
        <w:trPr>
          <w:trHeight w:val="24"/>
        </w:trPr>
        <w:tc>
          <w:tcPr>
            <w:tcW w:w="362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2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3620" w:type="dxa"/>
            <w:vAlign w:val="bottom"/>
            <w:tcBorders>
              <w:right w:val="single" w:sz="8" w:color="auto"/>
            </w:tcBorders>
          </w:tcPr>
          <w:p>
            <w:pPr>
              <w:ind w:left="100"/>
              <w:spacing w:after="0"/>
              <w:rPr>
                <w:sz w:val="20"/>
                <w:szCs w:val="20"/>
                <w:color w:val="auto"/>
              </w:rPr>
            </w:pPr>
            <w:r>
              <w:rPr>
                <w:rFonts w:ascii="Arial" w:cs="Arial" w:eastAsia="Arial" w:hAnsi="Arial"/>
                <w:sz w:val="11"/>
                <w:szCs w:val="11"/>
                <w:b w:val="1"/>
                <w:bCs w:val="1"/>
                <w:color w:val="auto"/>
              </w:rPr>
              <w:t>Regulatory Capital Ratio (A) / (B)</w:t>
            </w:r>
          </w:p>
        </w:tc>
        <w:tc>
          <w:tcPr>
            <w:tcW w:w="1100" w:type="dxa"/>
            <w:vAlign w:val="bottom"/>
            <w:tcBorders>
              <w:right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1.45</w:t>
            </w:r>
          </w:p>
        </w:tc>
        <w:tc>
          <w:tcPr>
            <w:tcW w:w="200" w:type="dxa"/>
            <w:vAlign w:val="bottom"/>
          </w:tcPr>
          <w:p>
            <w:pPr>
              <w:spacing w:after="0"/>
              <w:rPr>
                <w:sz w:val="12"/>
                <w:szCs w:val="12"/>
                <w:color w:val="auto"/>
              </w:rPr>
            </w:pPr>
          </w:p>
        </w:tc>
        <w:tc>
          <w:tcPr>
            <w:tcW w:w="920" w:type="dxa"/>
            <w:vAlign w:val="bottom"/>
            <w:tcBorders>
              <w:right w:val="single" w:sz="8" w:color="auto"/>
            </w:tcBorders>
          </w:tcPr>
          <w:p>
            <w:pPr>
              <w:jc w:val="right"/>
              <w:ind w:right="286"/>
              <w:spacing w:after="0"/>
              <w:rPr>
                <w:sz w:val="20"/>
                <w:szCs w:val="20"/>
                <w:color w:val="auto"/>
              </w:rPr>
            </w:pPr>
            <w:r>
              <w:rPr>
                <w:rFonts w:ascii="Arial" w:cs="Arial" w:eastAsia="Arial" w:hAnsi="Arial"/>
                <w:sz w:val="11"/>
                <w:szCs w:val="11"/>
                <w:b w:val="1"/>
                <w:bCs w:val="1"/>
                <w:color w:val="auto"/>
              </w:rPr>
              <w:t>1.46</w:t>
            </w:r>
          </w:p>
        </w:tc>
        <w:tc>
          <w:tcPr>
            <w:tcW w:w="180" w:type="dxa"/>
            <w:vAlign w:val="bottom"/>
          </w:tcPr>
          <w:p>
            <w:pPr>
              <w:spacing w:after="0"/>
              <w:rPr>
                <w:sz w:val="12"/>
                <w:szCs w:val="12"/>
                <w:color w:val="auto"/>
              </w:rPr>
            </w:pPr>
          </w:p>
        </w:tc>
        <w:tc>
          <w:tcPr>
            <w:tcW w:w="960" w:type="dxa"/>
            <w:vAlign w:val="bottom"/>
            <w:tcBorders>
              <w:right w:val="single" w:sz="8" w:color="auto"/>
            </w:tcBorders>
          </w:tcPr>
          <w:p>
            <w:pPr>
              <w:jc w:val="right"/>
              <w:ind w:right="146"/>
              <w:spacing w:after="0"/>
              <w:rPr>
                <w:sz w:val="20"/>
                <w:szCs w:val="20"/>
                <w:color w:val="auto"/>
              </w:rPr>
            </w:pPr>
            <w:r>
              <w:rPr>
                <w:rFonts w:ascii="Arial" w:cs="Arial" w:eastAsia="Arial" w:hAnsi="Arial"/>
                <w:sz w:val="11"/>
                <w:szCs w:val="11"/>
                <w:b w:val="1"/>
                <w:bCs w:val="1"/>
                <w:color w:val="auto"/>
              </w:rPr>
              <w:t>1.44</w:t>
            </w: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
        </w:trPr>
        <w:tc>
          <w:tcPr>
            <w:tcW w:w="362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3620" w:type="dxa"/>
            <w:vAlign w:val="bottom"/>
            <w:tcBorders>
              <w:bottom w:val="single" w:sz="8" w:color="auto"/>
              <w:right w:val="single" w:sz="8" w:color="auto"/>
            </w:tcBorders>
          </w:tcPr>
          <w:p>
            <w:pPr>
              <w:ind w:left="100"/>
              <w:spacing w:after="0" w:line="166" w:lineRule="exact"/>
              <w:rPr>
                <w:sz w:val="20"/>
                <w:szCs w:val="20"/>
                <w:color w:val="auto"/>
              </w:rPr>
            </w:pPr>
            <w:r>
              <w:rPr>
                <w:rFonts w:ascii="Arial" w:cs="Arial" w:eastAsia="Arial" w:hAnsi="Arial"/>
                <w:sz w:val="11"/>
                <w:szCs w:val="11"/>
                <w:b w:val="1"/>
                <w:bCs w:val="1"/>
                <w:color w:val="auto"/>
              </w:rPr>
              <w:t xml:space="preserve">Required Regulatory Capital Ratio </w:t>
            </w:r>
            <w:r>
              <w:rPr>
                <w:rFonts w:ascii="Arial" w:cs="Arial" w:eastAsia="Arial" w:hAnsi="Arial"/>
                <w:sz w:val="17"/>
                <w:szCs w:val="17"/>
                <w:color w:val="auto"/>
                <w:vertAlign w:val="superscript"/>
              </w:rPr>
              <w:t>(10)</w:t>
            </w:r>
          </w:p>
        </w:tc>
        <w:tc>
          <w:tcPr>
            <w:tcW w:w="1100" w:type="dxa"/>
            <w:vAlign w:val="bottom"/>
            <w:tcBorders>
              <w:bottom w:val="single" w:sz="8" w:color="auto"/>
              <w:right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1.00</w:t>
            </w: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jc w:val="right"/>
              <w:ind w:right="286"/>
              <w:spacing w:after="0"/>
              <w:rPr>
                <w:sz w:val="20"/>
                <w:szCs w:val="20"/>
                <w:color w:val="auto"/>
              </w:rPr>
            </w:pPr>
            <w:r>
              <w:rPr>
                <w:rFonts w:ascii="Arial" w:cs="Arial" w:eastAsia="Arial" w:hAnsi="Arial"/>
                <w:sz w:val="11"/>
                <w:szCs w:val="11"/>
                <w:b w:val="1"/>
                <w:bCs w:val="1"/>
                <w:color w:val="auto"/>
              </w:rPr>
              <w:t>1.00</w:t>
            </w: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jc w:val="right"/>
              <w:ind w:right="146"/>
              <w:spacing w:after="0"/>
              <w:rPr>
                <w:sz w:val="20"/>
                <w:szCs w:val="20"/>
                <w:color w:val="auto"/>
              </w:rPr>
            </w:pPr>
            <w:r>
              <w:rPr>
                <w:rFonts w:ascii="Arial" w:cs="Arial" w:eastAsia="Arial" w:hAnsi="Arial"/>
                <w:sz w:val="11"/>
                <w:szCs w:val="11"/>
                <w:b w:val="1"/>
                <w:bCs w:val="1"/>
                <w:color w:val="auto"/>
              </w:rPr>
              <w:t>1.00</w:t>
            </w: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1040" w:hanging="151"/>
        <w:spacing w:after="0"/>
        <w:tabs>
          <w:tab w:leader="none" w:pos="1040" w:val="left"/>
        </w:tabs>
        <w:numPr>
          <w:ilvl w:val="0"/>
          <w:numId w:val="62"/>
        </w:numPr>
        <w:rPr>
          <w:rFonts w:ascii="Arial" w:cs="Arial" w:eastAsia="Arial" w:hAnsi="Arial"/>
          <w:sz w:val="11"/>
          <w:szCs w:val="11"/>
          <w:color w:val="auto"/>
        </w:rPr>
      </w:pPr>
      <w:r>
        <w:rPr>
          <w:rFonts w:ascii="Arial" w:cs="Arial" w:eastAsia="Arial" w:hAnsi="Arial"/>
          <w:sz w:val="11"/>
          <w:szCs w:val="11"/>
          <w:color w:val="auto"/>
        </w:rPr>
        <w:t>Legal and other capital reserves include restricted capital reserves (PEN 14,745 million) and optional capital reserves (PEN 6,661 million).</w:t>
      </w:r>
    </w:p>
    <w:p>
      <w:pPr>
        <w:ind w:left="1040" w:hanging="151"/>
        <w:spacing w:after="0" w:line="234" w:lineRule="auto"/>
        <w:tabs>
          <w:tab w:leader="none" w:pos="1040" w:val="left"/>
        </w:tabs>
        <w:numPr>
          <w:ilvl w:val="0"/>
          <w:numId w:val="62"/>
        </w:numPr>
        <w:rPr>
          <w:rFonts w:ascii="Arial" w:cs="Arial" w:eastAsia="Arial" w:hAnsi="Arial"/>
          <w:sz w:val="11"/>
          <w:szCs w:val="11"/>
          <w:color w:val="auto"/>
        </w:rPr>
      </w:pPr>
      <w:r>
        <w:rPr>
          <w:rFonts w:ascii="Arial" w:cs="Arial" w:eastAsia="Arial" w:hAnsi="Arial"/>
          <w:sz w:val="11"/>
          <w:szCs w:val="11"/>
          <w:color w:val="auto"/>
        </w:rPr>
        <w:t>Minority interest includes Tier I (PEN 421 million)</w:t>
      </w:r>
    </w:p>
    <w:p>
      <w:pPr>
        <w:ind w:left="1040" w:hanging="151"/>
        <w:spacing w:after="0" w:line="234" w:lineRule="auto"/>
        <w:tabs>
          <w:tab w:leader="none" w:pos="1040" w:val="left"/>
        </w:tabs>
        <w:numPr>
          <w:ilvl w:val="0"/>
          <w:numId w:val="62"/>
        </w:numPr>
        <w:rPr>
          <w:rFonts w:ascii="Arial" w:cs="Arial" w:eastAsia="Arial" w:hAnsi="Arial"/>
          <w:sz w:val="11"/>
          <w:szCs w:val="11"/>
          <w:color w:val="auto"/>
        </w:rPr>
      </w:pPr>
      <w:r>
        <w:rPr>
          <w:rFonts w:ascii="Arial" w:cs="Arial" w:eastAsia="Arial" w:hAnsi="Arial"/>
          <w:sz w:val="11"/>
          <w:szCs w:val="11"/>
          <w:color w:val="auto"/>
        </w:rPr>
        <w:t>Up to 1.25% of total risk-weighted assets of Banco de Credito del Peru, Solucion Empresa Administradora Hipotecaria, Mibanco and ASB Bank Corp.</w:t>
      </w:r>
    </w:p>
    <w:p>
      <w:pPr>
        <w:ind w:left="1040" w:hanging="151"/>
        <w:spacing w:after="0"/>
        <w:tabs>
          <w:tab w:leader="none" w:pos="1040" w:val="left"/>
        </w:tabs>
        <w:numPr>
          <w:ilvl w:val="0"/>
          <w:numId w:val="62"/>
        </w:numPr>
        <w:rPr>
          <w:rFonts w:ascii="Arial" w:cs="Arial" w:eastAsia="Arial" w:hAnsi="Arial"/>
          <w:sz w:val="11"/>
          <w:szCs w:val="11"/>
          <w:color w:val="auto"/>
        </w:rPr>
      </w:pPr>
      <w:r>
        <w:rPr>
          <w:rFonts w:ascii="Arial" w:cs="Arial" w:eastAsia="Arial" w:hAnsi="Arial"/>
          <w:sz w:val="11"/>
          <w:szCs w:val="11"/>
          <w:color w:val="auto"/>
        </w:rPr>
        <w:t>Tier II + Tier III cannot be more than 50% of total regulatory capital.</w:t>
      </w:r>
    </w:p>
    <w:p>
      <w:pPr>
        <w:spacing w:after="0" w:line="2" w:lineRule="exact"/>
        <w:rPr>
          <w:rFonts w:ascii="Arial" w:cs="Arial" w:eastAsia="Arial" w:hAnsi="Arial"/>
          <w:sz w:val="11"/>
          <w:szCs w:val="11"/>
          <w:color w:val="auto"/>
        </w:rPr>
      </w:pPr>
    </w:p>
    <w:p>
      <w:pPr>
        <w:ind w:left="1040" w:hanging="151"/>
        <w:spacing w:after="0"/>
        <w:tabs>
          <w:tab w:leader="none" w:pos="1040" w:val="left"/>
        </w:tabs>
        <w:numPr>
          <w:ilvl w:val="0"/>
          <w:numId w:val="62"/>
        </w:numPr>
        <w:rPr>
          <w:rFonts w:ascii="Arial" w:cs="Arial" w:eastAsia="Arial" w:hAnsi="Arial"/>
          <w:sz w:val="11"/>
          <w:szCs w:val="11"/>
          <w:color w:val="auto"/>
        </w:rPr>
      </w:pPr>
      <w:r>
        <w:rPr>
          <w:rFonts w:ascii="Arial" w:cs="Arial" w:eastAsia="Arial" w:hAnsi="Arial"/>
          <w:sz w:val="11"/>
          <w:szCs w:val="11"/>
          <w:color w:val="auto"/>
        </w:rPr>
        <w:t>Tier I = capital + restricted capital reserves + Tier I minority interest - goodwill - (0.5 x investment in equity and subordinated debt of financial and insurance companies) + perpetual subordinated debt.</w:t>
      </w:r>
    </w:p>
    <w:p>
      <w:pPr>
        <w:spacing w:after="0" w:line="4" w:lineRule="exact"/>
        <w:rPr>
          <w:rFonts w:ascii="Arial" w:cs="Arial" w:eastAsia="Arial" w:hAnsi="Arial"/>
          <w:sz w:val="11"/>
          <w:szCs w:val="11"/>
          <w:color w:val="auto"/>
        </w:rPr>
      </w:pPr>
    </w:p>
    <w:p>
      <w:pPr>
        <w:ind w:left="1040" w:hanging="151"/>
        <w:spacing w:after="0" w:line="234" w:lineRule="auto"/>
        <w:tabs>
          <w:tab w:leader="none" w:pos="1040" w:val="left"/>
        </w:tabs>
        <w:numPr>
          <w:ilvl w:val="0"/>
          <w:numId w:val="62"/>
        </w:numPr>
        <w:rPr>
          <w:rFonts w:ascii="Arial" w:cs="Arial" w:eastAsia="Arial" w:hAnsi="Arial"/>
          <w:sz w:val="11"/>
          <w:szCs w:val="11"/>
          <w:color w:val="auto"/>
        </w:rPr>
      </w:pPr>
      <w:r>
        <w:rPr>
          <w:rFonts w:ascii="Arial" w:cs="Arial" w:eastAsia="Arial" w:hAnsi="Arial"/>
          <w:sz w:val="11"/>
          <w:szCs w:val="11"/>
          <w:color w:val="auto"/>
        </w:rPr>
        <w:t>Tier II = subordinated debt + TierII minority interest tier + loan loss reserves - (0.5 x investment in equity and subordinated debt of financial and insurance companies).</w:t>
      </w:r>
    </w:p>
    <w:p>
      <w:pPr>
        <w:ind w:left="1040" w:hanging="151"/>
        <w:spacing w:after="0" w:line="234" w:lineRule="auto"/>
        <w:tabs>
          <w:tab w:leader="none" w:pos="1040" w:val="left"/>
        </w:tabs>
        <w:numPr>
          <w:ilvl w:val="0"/>
          <w:numId w:val="62"/>
        </w:numPr>
        <w:rPr>
          <w:rFonts w:ascii="Arial" w:cs="Arial" w:eastAsia="Arial" w:hAnsi="Arial"/>
          <w:sz w:val="11"/>
          <w:szCs w:val="11"/>
          <w:color w:val="auto"/>
        </w:rPr>
      </w:pPr>
      <w:r>
        <w:rPr>
          <w:rFonts w:ascii="Arial" w:cs="Arial" w:eastAsia="Arial" w:hAnsi="Arial"/>
          <w:sz w:val="11"/>
          <w:szCs w:val="11"/>
          <w:color w:val="auto"/>
        </w:rPr>
        <w:t>Tier III = Subordinated debt covering market risk only.</w:t>
      </w:r>
    </w:p>
    <w:p>
      <w:pPr>
        <w:ind w:left="1040" w:hanging="151"/>
        <w:spacing w:after="0" w:line="234" w:lineRule="auto"/>
        <w:tabs>
          <w:tab w:leader="none" w:pos="1040" w:val="left"/>
        </w:tabs>
        <w:numPr>
          <w:ilvl w:val="0"/>
          <w:numId w:val="62"/>
        </w:numPr>
        <w:rPr>
          <w:rFonts w:ascii="Arial" w:cs="Arial" w:eastAsia="Arial" w:hAnsi="Arial"/>
          <w:sz w:val="11"/>
          <w:szCs w:val="11"/>
          <w:color w:val="auto"/>
        </w:rPr>
      </w:pPr>
      <w:r>
        <w:rPr>
          <w:rFonts w:ascii="Arial" w:cs="Arial" w:eastAsia="Arial" w:hAnsi="Arial"/>
          <w:sz w:val="11"/>
          <w:szCs w:val="11"/>
          <w:color w:val="auto"/>
        </w:rPr>
        <w:t>Includes regulatory capital requirements of the financial consolidated group.</w:t>
      </w:r>
    </w:p>
    <w:p>
      <w:pPr>
        <w:ind w:left="1040" w:hanging="151"/>
        <w:spacing w:after="0" w:line="234" w:lineRule="auto"/>
        <w:tabs>
          <w:tab w:leader="none" w:pos="1040" w:val="left"/>
        </w:tabs>
        <w:numPr>
          <w:ilvl w:val="0"/>
          <w:numId w:val="62"/>
        </w:numPr>
        <w:rPr>
          <w:rFonts w:ascii="Arial" w:cs="Arial" w:eastAsia="Arial" w:hAnsi="Arial"/>
          <w:sz w:val="11"/>
          <w:szCs w:val="11"/>
          <w:color w:val="auto"/>
        </w:rPr>
      </w:pPr>
      <w:r>
        <w:rPr>
          <w:rFonts w:ascii="Arial" w:cs="Arial" w:eastAsia="Arial" w:hAnsi="Arial"/>
          <w:sz w:val="11"/>
          <w:szCs w:val="11"/>
          <w:color w:val="auto"/>
        </w:rPr>
        <w:t>Includes regulatory capital requirements of the insurance consolidated group.</w:t>
      </w:r>
    </w:p>
    <w:p>
      <w:pPr>
        <w:ind w:left="1100" w:hanging="211"/>
        <w:spacing w:after="0"/>
        <w:tabs>
          <w:tab w:leader="none" w:pos="1100" w:val="left"/>
        </w:tabs>
        <w:numPr>
          <w:ilvl w:val="0"/>
          <w:numId w:val="62"/>
        </w:numPr>
        <w:rPr>
          <w:rFonts w:ascii="Arial" w:cs="Arial" w:eastAsia="Arial" w:hAnsi="Arial"/>
          <w:sz w:val="11"/>
          <w:szCs w:val="11"/>
          <w:color w:val="auto"/>
        </w:rPr>
      </w:pPr>
      <w:r>
        <w:rPr>
          <w:rFonts w:ascii="Arial" w:cs="Arial" w:eastAsia="Arial" w:hAnsi="Arial"/>
          <w:sz w:val="11"/>
          <w:szCs w:val="11"/>
          <w:color w:val="auto"/>
        </w:rPr>
        <w:t>Regulatory Capital / Total Regulatory Capital Requirements (legal minimum = 1.00).</w:t>
      </w:r>
    </w:p>
    <w:p>
      <w:pPr>
        <w:spacing w:after="0" w:line="31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43750" cy="1587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9" w:name="page60"/>
    <w:bookmarkEnd w:id="59"/>
    <w:p>
      <w:pPr>
        <w:ind w:left="2920"/>
        <w:spacing w:after="0"/>
        <w:tabs>
          <w:tab w:leader="none" w:pos="3100" w:val="left"/>
          <w:tab w:leader="none" w:pos="7660" w:val="left"/>
        </w:tabs>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202565</wp:posOffset>
            </wp:positionH>
            <wp:positionV relativeFrom="page">
              <wp:posOffset>88900</wp:posOffset>
            </wp:positionV>
            <wp:extent cx="7143750" cy="41592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3750" cy="415925"/>
                    </a:xfrm>
                    <a:prstGeom prst="rect">
                      <a:avLst/>
                    </a:prstGeom>
                    <a:noFill/>
                  </pic:spPr>
                </pic:pic>
              </a:graphicData>
            </a:graphic>
          </wp:anchor>
        </w:drawing>
        <w:t>|</w:t>
      </w:r>
      <w:r>
        <w:rPr>
          <w:sz w:val="20"/>
          <w:szCs w:val="20"/>
          <w:color w:val="auto"/>
        </w:rPr>
        <w:tab/>
      </w:r>
      <w:r>
        <w:rPr>
          <w:rFonts w:ascii="Arial" w:cs="Arial" w:eastAsia="Arial" w:hAnsi="Arial"/>
          <w:sz w:val="16"/>
          <w:szCs w:val="16"/>
          <w:b w:val="1"/>
          <w:bCs w:val="1"/>
          <w:color w:val="FFFFFF"/>
        </w:rPr>
        <w:t>Earnings Release 3Q / 2023</w:t>
      </w:r>
      <w:r>
        <w:rPr>
          <w:sz w:val="20"/>
          <w:szCs w:val="20"/>
          <w:color w:val="auto"/>
        </w:rPr>
        <w:tab/>
      </w:r>
      <w:r>
        <w:rPr>
          <w:rFonts w:ascii="Arial" w:cs="Arial" w:eastAsia="Arial" w:hAnsi="Arial"/>
          <w:sz w:val="18"/>
          <w:szCs w:val="18"/>
          <w:b w:val="1"/>
          <w:bCs w:val="1"/>
          <w:color w:val="E93CAC"/>
        </w:rPr>
        <w:t>Analysis of 3Q23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175260</wp:posOffset>
            </wp:positionV>
            <wp:extent cx="7143750" cy="2038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3750" cy="203835"/>
                    </a:xfrm>
                    <a:prstGeom prst="rect">
                      <a:avLst/>
                    </a:prstGeom>
                    <a:noFill/>
                  </pic:spPr>
                </pic:pic>
              </a:graphicData>
            </a:graphic>
          </wp:anchor>
        </w:drawing>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b w:val="1"/>
          <w:bCs w:val="1"/>
          <w:color w:val="FFFFFF"/>
        </w:rPr>
        <w:t>12. Appendix</w:t>
      </w:r>
    </w:p>
    <w:p>
      <w:pPr>
        <w:spacing w:after="0" w:line="249"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Regulatory and Capital Adequacy Ratios at BCP Stand-alone</w:t>
      </w:r>
    </w:p>
    <w:p>
      <w:pPr>
        <w:spacing w:after="0" w:line="4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(S/ thousands, IFRS)</w:t>
      </w:r>
    </w:p>
    <w:p>
      <w:pPr>
        <w:spacing w:after="0" w:line="156" w:lineRule="exact"/>
        <w:rPr>
          <w:sz w:val="20"/>
          <w:szCs w:val="20"/>
          <w:color w:val="auto"/>
        </w:rPr>
      </w:pPr>
    </w:p>
    <w:tbl>
      <w:tblPr>
        <w:tblLayout w:type="fixed"/>
        <w:tblInd w:w="1090" w:type="dxa"/>
        <w:tblCellMar>
          <w:top w:w="0" w:type="dxa"/>
          <w:left w:w="0" w:type="dxa"/>
          <w:bottom w:w="0" w:type="dxa"/>
          <w:right w:w="0" w:type="dxa"/>
        </w:tblCellMar>
      </w:tblPr>
      <w:tr>
        <w:trPr>
          <w:trHeight w:val="126"/>
        </w:trPr>
        <w:tc>
          <w:tcPr>
            <w:tcW w:w="4960" w:type="dxa"/>
            <w:vAlign w:val="bottom"/>
            <w:tcBorders>
              <w:top w:val="single" w:sz="8" w:color="auto"/>
              <w:left w:val="single" w:sz="8" w:color="33CCCC"/>
              <w:right w:val="single" w:sz="8" w:color="auto"/>
            </w:tcBorders>
            <w:shd w:val="clear" w:color="auto" w:fill="33CCCC"/>
          </w:tcPr>
          <w:p>
            <w:pPr>
              <w:ind w:left="20"/>
              <w:spacing w:after="0"/>
              <w:rPr>
                <w:sz w:val="20"/>
                <w:szCs w:val="20"/>
                <w:color w:val="auto"/>
              </w:rPr>
            </w:pPr>
            <w:r>
              <w:rPr>
                <w:rFonts w:ascii="Arial" w:cs="Arial" w:eastAsia="Arial" w:hAnsi="Arial"/>
                <w:sz w:val="11"/>
                <w:szCs w:val="11"/>
                <w:b w:val="1"/>
                <w:bCs w:val="1"/>
                <w:color w:val="FFFFFF"/>
              </w:rPr>
              <w:t>Regulatory Capital</w:t>
            </w:r>
          </w:p>
        </w:tc>
        <w:tc>
          <w:tcPr>
            <w:tcW w:w="1580" w:type="dxa"/>
            <w:vAlign w:val="bottom"/>
            <w:tcBorders>
              <w:top w:val="single" w:sz="8" w:color="auto"/>
            </w:tcBorders>
            <w:vMerge w:val="restart"/>
            <w:shd w:val="clear" w:color="auto" w:fill="33CCCC"/>
          </w:tcPr>
          <w:p>
            <w:pPr>
              <w:ind w:left="480"/>
              <w:spacing w:after="0"/>
              <w:rPr>
                <w:sz w:val="20"/>
                <w:szCs w:val="20"/>
                <w:color w:val="auto"/>
              </w:rPr>
            </w:pPr>
            <w:r>
              <w:rPr>
                <w:rFonts w:ascii="Arial" w:cs="Arial" w:eastAsia="Arial" w:hAnsi="Arial"/>
                <w:sz w:val="11"/>
                <w:szCs w:val="11"/>
                <w:b w:val="1"/>
                <w:bCs w:val="1"/>
                <w:color w:val="FFFFFF"/>
              </w:rPr>
              <w:t>Jun 23</w:t>
            </w:r>
          </w:p>
        </w:tc>
        <w:tc>
          <w:tcPr>
            <w:tcW w:w="1120" w:type="dxa"/>
            <w:vAlign w:val="bottom"/>
            <w:tcBorders>
              <w:top w:val="single" w:sz="8" w:color="auto"/>
              <w:right w:val="single" w:sz="8" w:color="auto"/>
            </w:tcBorders>
            <w:vMerge w:val="restart"/>
            <w:shd w:val="clear" w:color="auto" w:fill="33CCCC"/>
          </w:tcPr>
          <w:p>
            <w:pPr>
              <w:ind w:left="240"/>
              <w:spacing w:after="0"/>
              <w:rPr>
                <w:sz w:val="20"/>
                <w:szCs w:val="20"/>
                <w:color w:val="auto"/>
              </w:rPr>
            </w:pPr>
            <w:r>
              <w:rPr>
                <w:rFonts w:ascii="Arial" w:cs="Arial" w:eastAsia="Arial" w:hAnsi="Arial"/>
                <w:sz w:val="11"/>
                <w:szCs w:val="11"/>
                <w:b w:val="1"/>
                <w:bCs w:val="1"/>
                <w:color w:val="FFFFFF"/>
              </w:rPr>
              <w:t>Sep 23</w:t>
            </w:r>
          </w:p>
        </w:tc>
        <w:tc>
          <w:tcPr>
            <w:tcW w:w="1360" w:type="dxa"/>
            <w:vAlign w:val="bottom"/>
            <w:tcBorders>
              <w:top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1"/>
                <w:szCs w:val="11"/>
                <w:b w:val="1"/>
                <w:bCs w:val="1"/>
                <w:color w:val="FFFFFF"/>
                <w:w w:val="97"/>
              </w:rPr>
              <w:t>Change %</w:t>
            </w:r>
          </w:p>
        </w:tc>
        <w:tc>
          <w:tcPr>
            <w:tcW w:w="0" w:type="dxa"/>
            <w:vAlign w:val="bottom"/>
          </w:tcPr>
          <w:p>
            <w:pPr>
              <w:spacing w:after="0"/>
              <w:rPr>
                <w:sz w:val="1"/>
                <w:szCs w:val="1"/>
                <w:color w:val="auto"/>
              </w:rPr>
            </w:pPr>
          </w:p>
        </w:tc>
      </w:tr>
      <w:tr>
        <w:trPr>
          <w:trHeight w:val="134"/>
        </w:trPr>
        <w:tc>
          <w:tcPr>
            <w:tcW w:w="4960" w:type="dxa"/>
            <w:vAlign w:val="bottom"/>
            <w:tcBorders>
              <w:left w:val="single" w:sz="8" w:color="33CCCC"/>
              <w:bottom w:val="single" w:sz="8" w:color="33CCCC"/>
              <w:right w:val="single" w:sz="8" w:color="auto"/>
            </w:tcBorders>
            <w:shd w:val="clear" w:color="auto" w:fill="33CCCC"/>
          </w:tcPr>
          <w:p>
            <w:pPr>
              <w:ind w:left="40"/>
              <w:spacing w:after="0"/>
              <w:rPr>
                <w:sz w:val="20"/>
                <w:szCs w:val="20"/>
                <w:color w:val="auto"/>
              </w:rPr>
            </w:pPr>
            <w:r>
              <w:rPr>
                <w:rFonts w:ascii="Arial" w:cs="Arial" w:eastAsia="Arial" w:hAnsi="Arial"/>
                <w:sz w:val="11"/>
                <w:szCs w:val="11"/>
                <w:color w:val="FFFFFF"/>
              </w:rPr>
              <w:t>(S/ thousand)</w:t>
            </w:r>
          </w:p>
        </w:tc>
        <w:tc>
          <w:tcPr>
            <w:tcW w:w="1580" w:type="dxa"/>
            <w:vAlign w:val="bottom"/>
            <w:tcBorders>
              <w:bottom w:val="single" w:sz="8" w:color="33CCCC"/>
            </w:tcBorders>
            <w:vMerge w:val="continue"/>
            <w:shd w:val="clear" w:color="auto" w:fill="33CCCC"/>
          </w:tcPr>
          <w:p>
            <w:pPr>
              <w:spacing w:after="0"/>
              <w:rPr>
                <w:sz w:val="11"/>
                <w:szCs w:val="11"/>
                <w:color w:val="auto"/>
              </w:rPr>
            </w:pPr>
          </w:p>
        </w:tc>
        <w:tc>
          <w:tcPr>
            <w:tcW w:w="1120" w:type="dxa"/>
            <w:vAlign w:val="bottom"/>
            <w:tcBorders>
              <w:bottom w:val="single" w:sz="8" w:color="33CCCC"/>
              <w:right w:val="single" w:sz="8" w:color="auto"/>
            </w:tcBorders>
            <w:vMerge w:val="continue"/>
            <w:shd w:val="clear" w:color="auto" w:fill="33CCCC"/>
          </w:tcPr>
          <w:p>
            <w:pPr>
              <w:spacing w:after="0"/>
              <w:rPr>
                <w:sz w:val="11"/>
                <w:szCs w:val="11"/>
                <w:color w:val="auto"/>
              </w:rPr>
            </w:pPr>
          </w:p>
        </w:tc>
        <w:tc>
          <w:tcPr>
            <w:tcW w:w="1360" w:type="dxa"/>
            <w:vAlign w:val="bottom"/>
            <w:tcBorders>
              <w:bottom w:val="single" w:sz="8" w:color="33CCCC"/>
              <w:right w:val="single" w:sz="8" w:color="auto"/>
            </w:tcBorders>
            <w:shd w:val="clear" w:color="auto" w:fill="33CCCC"/>
          </w:tcPr>
          <w:p>
            <w:pPr>
              <w:jc w:val="center"/>
              <w:spacing w:after="0"/>
              <w:rPr>
                <w:sz w:val="20"/>
                <w:szCs w:val="20"/>
                <w:color w:val="auto"/>
              </w:rPr>
            </w:pPr>
            <w:r>
              <w:rPr>
                <w:rFonts w:ascii="Arial" w:cs="Arial" w:eastAsia="Arial" w:hAnsi="Arial"/>
                <w:sz w:val="11"/>
                <w:szCs w:val="11"/>
                <w:b w:val="1"/>
                <w:bCs w:val="1"/>
                <w:color w:val="FFFFFF"/>
              </w:rPr>
              <w:t>QoQ</w:t>
            </w:r>
          </w:p>
        </w:tc>
        <w:tc>
          <w:tcPr>
            <w:tcW w:w="0" w:type="dxa"/>
            <w:vAlign w:val="bottom"/>
          </w:tcPr>
          <w:p>
            <w:pPr>
              <w:spacing w:after="0"/>
              <w:rPr>
                <w:sz w:val="1"/>
                <w:szCs w:val="1"/>
                <w:color w:val="auto"/>
              </w:rPr>
            </w:pPr>
          </w:p>
        </w:tc>
      </w:tr>
      <w:tr>
        <w:trPr>
          <w:trHeight w:val="129"/>
        </w:trPr>
        <w:tc>
          <w:tcPr>
            <w:tcW w:w="49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1"/>
                <w:szCs w:val="11"/>
                <w:color w:val="auto"/>
              </w:rPr>
              <w:t>Capital Stock</w:t>
            </w:r>
          </w:p>
        </w:tc>
        <w:tc>
          <w:tcPr>
            <w:tcW w:w="1580" w:type="dxa"/>
            <w:vAlign w:val="bottom"/>
            <w:tcBorders>
              <w:top w:val="single" w:sz="8" w:color="auto"/>
            </w:tcBorders>
          </w:tcPr>
          <w:p>
            <w:pPr>
              <w:jc w:val="right"/>
              <w:ind w:right="206"/>
              <w:spacing w:after="0"/>
              <w:rPr>
                <w:sz w:val="20"/>
                <w:szCs w:val="20"/>
                <w:color w:val="auto"/>
              </w:rPr>
            </w:pPr>
            <w:r>
              <w:rPr>
                <w:rFonts w:ascii="Arial" w:cs="Arial" w:eastAsia="Arial" w:hAnsi="Arial"/>
                <w:sz w:val="11"/>
                <w:szCs w:val="11"/>
                <w:color w:val="auto"/>
              </w:rPr>
              <w:t>12,973,175</w:t>
            </w:r>
          </w:p>
        </w:tc>
        <w:tc>
          <w:tcPr>
            <w:tcW w:w="112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12,973,175</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n.a</w:t>
            </w:r>
          </w:p>
        </w:tc>
        <w:tc>
          <w:tcPr>
            <w:tcW w:w="0" w:type="dxa"/>
            <w:vAlign w:val="bottom"/>
          </w:tcPr>
          <w:p>
            <w:pPr>
              <w:spacing w:after="0"/>
              <w:rPr>
                <w:sz w:val="1"/>
                <w:szCs w:val="1"/>
                <w:color w:val="auto"/>
              </w:rPr>
            </w:pPr>
          </w:p>
        </w:tc>
      </w:tr>
      <w:tr>
        <w:trPr>
          <w:trHeight w:val="167"/>
        </w:trPr>
        <w:tc>
          <w:tcPr>
            <w:tcW w:w="4960" w:type="dxa"/>
            <w:vAlign w:val="bottom"/>
            <w:tcBorders>
              <w:right w:val="single" w:sz="8" w:color="auto"/>
            </w:tcBorders>
          </w:tcPr>
          <w:p>
            <w:pPr>
              <w:ind w:left="100"/>
              <w:spacing w:after="0"/>
              <w:rPr>
                <w:sz w:val="20"/>
                <w:szCs w:val="20"/>
                <w:color w:val="auto"/>
              </w:rPr>
            </w:pPr>
            <w:r>
              <w:rPr>
                <w:rFonts w:ascii="Arial" w:cs="Arial" w:eastAsia="Arial" w:hAnsi="Arial"/>
                <w:sz w:val="11"/>
                <w:szCs w:val="11"/>
                <w:color w:val="auto"/>
              </w:rPr>
              <w:t>Reserves</w:t>
            </w:r>
          </w:p>
        </w:tc>
        <w:tc>
          <w:tcPr>
            <w:tcW w:w="1580" w:type="dxa"/>
            <w:vAlign w:val="bottom"/>
          </w:tcPr>
          <w:p>
            <w:pPr>
              <w:jc w:val="right"/>
              <w:ind w:right="206"/>
              <w:spacing w:after="0"/>
              <w:rPr>
                <w:sz w:val="20"/>
                <w:szCs w:val="20"/>
                <w:color w:val="auto"/>
              </w:rPr>
            </w:pPr>
            <w:r>
              <w:rPr>
                <w:rFonts w:ascii="Arial" w:cs="Arial" w:eastAsia="Arial" w:hAnsi="Arial"/>
                <w:sz w:val="11"/>
                <w:szCs w:val="11"/>
                <w:color w:val="auto"/>
              </w:rPr>
              <w:t>7,039,359</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7,039,793</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n.a</w:t>
            </w:r>
          </w:p>
        </w:tc>
        <w:tc>
          <w:tcPr>
            <w:tcW w:w="0" w:type="dxa"/>
            <w:vAlign w:val="bottom"/>
          </w:tcPr>
          <w:p>
            <w:pPr>
              <w:spacing w:after="0"/>
              <w:rPr>
                <w:sz w:val="1"/>
                <w:szCs w:val="1"/>
                <w:color w:val="auto"/>
              </w:rPr>
            </w:pPr>
          </w:p>
        </w:tc>
      </w:tr>
      <w:tr>
        <w:trPr>
          <w:trHeight w:val="173"/>
        </w:trPr>
        <w:tc>
          <w:tcPr>
            <w:tcW w:w="4960" w:type="dxa"/>
            <w:vAlign w:val="bottom"/>
            <w:tcBorders>
              <w:right w:val="single" w:sz="8" w:color="auto"/>
            </w:tcBorders>
          </w:tcPr>
          <w:p>
            <w:pPr>
              <w:ind w:left="100"/>
              <w:spacing w:after="0"/>
              <w:rPr>
                <w:sz w:val="20"/>
                <w:szCs w:val="20"/>
                <w:color w:val="auto"/>
              </w:rPr>
            </w:pPr>
            <w:r>
              <w:rPr>
                <w:rFonts w:ascii="Arial" w:cs="Arial" w:eastAsia="Arial" w:hAnsi="Arial"/>
                <w:sz w:val="11"/>
                <w:szCs w:val="11"/>
                <w:color w:val="auto"/>
              </w:rPr>
              <w:t>Accumulated earnings</w:t>
            </w:r>
          </w:p>
        </w:tc>
        <w:tc>
          <w:tcPr>
            <w:tcW w:w="1580" w:type="dxa"/>
            <w:vAlign w:val="bottom"/>
          </w:tcPr>
          <w:p>
            <w:pPr>
              <w:jc w:val="right"/>
              <w:ind w:right="206"/>
              <w:spacing w:after="0"/>
              <w:rPr>
                <w:sz w:val="20"/>
                <w:szCs w:val="20"/>
                <w:color w:val="auto"/>
              </w:rPr>
            </w:pPr>
            <w:r>
              <w:rPr>
                <w:rFonts w:ascii="Arial" w:cs="Arial" w:eastAsia="Arial" w:hAnsi="Arial"/>
                <w:sz w:val="11"/>
                <w:szCs w:val="11"/>
                <w:color w:val="auto"/>
              </w:rPr>
              <w:t>3,346,790</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4,474,351</w:t>
            </w:r>
          </w:p>
        </w:tc>
        <w:tc>
          <w:tcPr>
            <w:tcW w:w="1360" w:type="dxa"/>
            <w:vAlign w:val="bottom"/>
            <w:tcBorders>
              <w:right w:val="single" w:sz="8" w:color="auto"/>
            </w:tcBorders>
          </w:tcPr>
          <w:p>
            <w:pPr>
              <w:jc w:val="center"/>
              <w:ind w:right="6"/>
              <w:spacing w:after="0"/>
              <w:rPr>
                <w:sz w:val="20"/>
                <w:szCs w:val="20"/>
                <w:color w:val="auto"/>
              </w:rPr>
            </w:pPr>
            <w:r>
              <w:rPr>
                <w:rFonts w:ascii="Arial" w:cs="Arial" w:eastAsia="Arial" w:hAnsi="Arial"/>
                <w:sz w:val="11"/>
                <w:szCs w:val="11"/>
                <w:color w:val="auto"/>
                <w:w w:val="96"/>
              </w:rPr>
              <w:t>33.7%</w:t>
            </w:r>
          </w:p>
        </w:tc>
        <w:tc>
          <w:tcPr>
            <w:tcW w:w="0" w:type="dxa"/>
            <w:vAlign w:val="bottom"/>
          </w:tcPr>
          <w:p>
            <w:pPr>
              <w:spacing w:after="0"/>
              <w:rPr>
                <w:sz w:val="1"/>
                <w:szCs w:val="1"/>
                <w:color w:val="auto"/>
              </w:rPr>
            </w:pPr>
          </w:p>
        </w:tc>
      </w:tr>
      <w:tr>
        <w:trPr>
          <w:trHeight w:val="173"/>
        </w:trPr>
        <w:tc>
          <w:tcPr>
            <w:tcW w:w="4960" w:type="dxa"/>
            <w:vAlign w:val="bottom"/>
            <w:tcBorders>
              <w:right w:val="single" w:sz="8" w:color="auto"/>
            </w:tcBorders>
          </w:tcPr>
          <w:p>
            <w:pPr>
              <w:ind w:left="100"/>
              <w:spacing w:after="0"/>
              <w:rPr>
                <w:sz w:val="20"/>
                <w:szCs w:val="20"/>
                <w:color w:val="auto"/>
              </w:rPr>
            </w:pPr>
            <w:r>
              <w:rPr>
                <w:rFonts w:ascii="Arial" w:cs="Arial" w:eastAsia="Arial" w:hAnsi="Arial"/>
                <w:sz w:val="11"/>
                <w:szCs w:val="11"/>
                <w:color w:val="auto"/>
              </w:rPr>
              <w:t>Loan loss reserves (1)</w:t>
            </w:r>
          </w:p>
        </w:tc>
        <w:tc>
          <w:tcPr>
            <w:tcW w:w="1580" w:type="dxa"/>
            <w:vAlign w:val="bottom"/>
          </w:tcPr>
          <w:p>
            <w:pPr>
              <w:jc w:val="right"/>
              <w:ind w:right="206"/>
              <w:spacing w:after="0"/>
              <w:rPr>
                <w:sz w:val="20"/>
                <w:szCs w:val="20"/>
                <w:color w:val="auto"/>
              </w:rPr>
            </w:pPr>
            <w:r>
              <w:rPr>
                <w:rFonts w:ascii="Arial" w:cs="Arial" w:eastAsia="Arial" w:hAnsi="Arial"/>
                <w:sz w:val="11"/>
                <w:szCs w:val="11"/>
                <w:color w:val="auto"/>
              </w:rPr>
              <w:t>1,625,735</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1,667,750</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2.6%</w:t>
            </w:r>
          </w:p>
        </w:tc>
        <w:tc>
          <w:tcPr>
            <w:tcW w:w="0" w:type="dxa"/>
            <w:vAlign w:val="bottom"/>
          </w:tcPr>
          <w:p>
            <w:pPr>
              <w:spacing w:after="0"/>
              <w:rPr>
                <w:sz w:val="1"/>
                <w:szCs w:val="1"/>
                <w:color w:val="auto"/>
              </w:rPr>
            </w:pPr>
          </w:p>
        </w:tc>
      </w:tr>
      <w:tr>
        <w:trPr>
          <w:trHeight w:val="173"/>
        </w:trPr>
        <w:tc>
          <w:tcPr>
            <w:tcW w:w="4960" w:type="dxa"/>
            <w:vAlign w:val="bottom"/>
            <w:tcBorders>
              <w:right w:val="single" w:sz="8" w:color="auto"/>
            </w:tcBorders>
          </w:tcPr>
          <w:p>
            <w:pPr>
              <w:ind w:left="100"/>
              <w:spacing w:after="0"/>
              <w:rPr>
                <w:sz w:val="20"/>
                <w:szCs w:val="20"/>
                <w:color w:val="auto"/>
              </w:rPr>
            </w:pPr>
            <w:r>
              <w:rPr>
                <w:rFonts w:ascii="Arial" w:cs="Arial" w:eastAsia="Arial" w:hAnsi="Arial"/>
                <w:sz w:val="11"/>
                <w:szCs w:val="11"/>
                <w:color w:val="auto"/>
              </w:rPr>
              <w:t>Perpetual subordinated debt</w:t>
            </w:r>
          </w:p>
        </w:tc>
        <w:tc>
          <w:tcPr>
            <w:tcW w:w="1580" w:type="dxa"/>
            <w:vAlign w:val="bottom"/>
          </w:tcPr>
          <w:p>
            <w:pPr>
              <w:jc w:val="right"/>
              <w:ind w:right="206"/>
              <w:spacing w:after="0"/>
              <w:rPr>
                <w:sz w:val="20"/>
                <w:szCs w:val="20"/>
                <w:color w:val="auto"/>
              </w:rPr>
            </w:pPr>
            <w:r>
              <w:rPr>
                <w:rFonts w:ascii="Arial" w:cs="Arial" w:eastAsia="Arial" w:hAnsi="Arial"/>
                <w:sz w:val="11"/>
                <w:szCs w:val="11"/>
                <w:color w:val="auto"/>
              </w:rPr>
              <w:t>-</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n.a</w:t>
            </w:r>
          </w:p>
        </w:tc>
        <w:tc>
          <w:tcPr>
            <w:tcW w:w="0" w:type="dxa"/>
            <w:vAlign w:val="bottom"/>
          </w:tcPr>
          <w:p>
            <w:pPr>
              <w:spacing w:after="0"/>
              <w:rPr>
                <w:sz w:val="1"/>
                <w:szCs w:val="1"/>
                <w:color w:val="auto"/>
              </w:rPr>
            </w:pPr>
          </w:p>
        </w:tc>
      </w:tr>
      <w:tr>
        <w:trPr>
          <w:trHeight w:val="173"/>
        </w:trPr>
        <w:tc>
          <w:tcPr>
            <w:tcW w:w="4960" w:type="dxa"/>
            <w:vAlign w:val="bottom"/>
            <w:tcBorders>
              <w:right w:val="single" w:sz="8" w:color="auto"/>
            </w:tcBorders>
          </w:tcPr>
          <w:p>
            <w:pPr>
              <w:ind w:left="100"/>
              <w:spacing w:after="0"/>
              <w:rPr>
                <w:sz w:val="20"/>
                <w:szCs w:val="20"/>
                <w:color w:val="auto"/>
              </w:rPr>
            </w:pPr>
            <w:r>
              <w:rPr>
                <w:rFonts w:ascii="Arial" w:cs="Arial" w:eastAsia="Arial" w:hAnsi="Arial"/>
                <w:sz w:val="11"/>
                <w:szCs w:val="11"/>
                <w:color w:val="auto"/>
              </w:rPr>
              <w:t>Subordinated Debt</w:t>
            </w:r>
          </w:p>
        </w:tc>
        <w:tc>
          <w:tcPr>
            <w:tcW w:w="1580" w:type="dxa"/>
            <w:vAlign w:val="bottom"/>
          </w:tcPr>
          <w:p>
            <w:pPr>
              <w:jc w:val="right"/>
              <w:ind w:right="206"/>
              <w:spacing w:after="0"/>
              <w:rPr>
                <w:sz w:val="20"/>
                <w:szCs w:val="20"/>
                <w:color w:val="auto"/>
              </w:rPr>
            </w:pPr>
            <w:r>
              <w:rPr>
                <w:rFonts w:ascii="Arial" w:cs="Arial" w:eastAsia="Arial" w:hAnsi="Arial"/>
                <w:sz w:val="11"/>
                <w:szCs w:val="11"/>
                <w:color w:val="auto"/>
              </w:rPr>
              <w:t>4,897,800</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5,120,550</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4.5%</w:t>
            </w:r>
          </w:p>
        </w:tc>
        <w:tc>
          <w:tcPr>
            <w:tcW w:w="0" w:type="dxa"/>
            <w:vAlign w:val="bottom"/>
          </w:tcPr>
          <w:p>
            <w:pPr>
              <w:spacing w:after="0"/>
              <w:rPr>
                <w:sz w:val="1"/>
                <w:szCs w:val="1"/>
                <w:color w:val="auto"/>
              </w:rPr>
            </w:pPr>
          </w:p>
        </w:tc>
      </w:tr>
      <w:tr>
        <w:trPr>
          <w:trHeight w:val="173"/>
        </w:trPr>
        <w:tc>
          <w:tcPr>
            <w:tcW w:w="4960" w:type="dxa"/>
            <w:vAlign w:val="bottom"/>
            <w:tcBorders>
              <w:right w:val="single" w:sz="8" w:color="auto"/>
            </w:tcBorders>
          </w:tcPr>
          <w:p>
            <w:pPr>
              <w:ind w:left="100"/>
              <w:spacing w:after="0"/>
              <w:rPr>
                <w:sz w:val="20"/>
                <w:szCs w:val="20"/>
                <w:color w:val="auto"/>
              </w:rPr>
            </w:pPr>
            <w:r>
              <w:rPr>
                <w:rFonts w:ascii="Arial" w:cs="Arial" w:eastAsia="Arial" w:hAnsi="Arial"/>
                <w:sz w:val="11"/>
                <w:szCs w:val="11"/>
                <w:color w:val="auto"/>
              </w:rPr>
              <w:t>Unrealized Profit or Losses</w:t>
            </w:r>
          </w:p>
        </w:tc>
        <w:tc>
          <w:tcPr>
            <w:tcW w:w="1580" w:type="dxa"/>
            <w:vAlign w:val="bottom"/>
          </w:tcPr>
          <w:p>
            <w:pPr>
              <w:jc w:val="right"/>
              <w:ind w:right="206"/>
              <w:spacing w:after="0"/>
              <w:rPr>
                <w:sz w:val="20"/>
                <w:szCs w:val="20"/>
                <w:color w:val="auto"/>
              </w:rPr>
            </w:pPr>
            <w:r>
              <w:rPr>
                <w:rFonts w:ascii="Arial" w:cs="Arial" w:eastAsia="Arial" w:hAnsi="Arial"/>
                <w:sz w:val="11"/>
                <w:szCs w:val="11"/>
                <w:color w:val="auto"/>
              </w:rPr>
              <w:t>(834,411)</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(916,337)</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9.8%</w:t>
            </w:r>
          </w:p>
        </w:tc>
        <w:tc>
          <w:tcPr>
            <w:tcW w:w="0" w:type="dxa"/>
            <w:vAlign w:val="bottom"/>
          </w:tcPr>
          <w:p>
            <w:pPr>
              <w:spacing w:after="0"/>
              <w:rPr>
                <w:sz w:val="1"/>
                <w:szCs w:val="1"/>
                <w:color w:val="auto"/>
              </w:rPr>
            </w:pPr>
          </w:p>
        </w:tc>
      </w:tr>
      <w:tr>
        <w:trPr>
          <w:trHeight w:val="173"/>
        </w:trPr>
        <w:tc>
          <w:tcPr>
            <w:tcW w:w="4960" w:type="dxa"/>
            <w:vAlign w:val="bottom"/>
            <w:tcBorders>
              <w:right w:val="single" w:sz="8" w:color="auto"/>
            </w:tcBorders>
          </w:tcPr>
          <w:p>
            <w:pPr>
              <w:ind w:left="100"/>
              <w:spacing w:after="0"/>
              <w:rPr>
                <w:sz w:val="20"/>
                <w:szCs w:val="20"/>
                <w:color w:val="auto"/>
              </w:rPr>
            </w:pPr>
            <w:r>
              <w:rPr>
                <w:rFonts w:ascii="Arial" w:cs="Arial" w:eastAsia="Arial" w:hAnsi="Arial"/>
                <w:sz w:val="11"/>
                <w:szCs w:val="11"/>
                <w:color w:val="auto"/>
              </w:rPr>
              <w:t>Investment in subsidiaries and others, net of unrealized profit and net income in subsidiaries</w:t>
            </w:r>
          </w:p>
        </w:tc>
        <w:tc>
          <w:tcPr>
            <w:tcW w:w="1580" w:type="dxa"/>
            <w:vAlign w:val="bottom"/>
          </w:tcPr>
          <w:p>
            <w:pPr>
              <w:jc w:val="right"/>
              <w:ind w:right="206"/>
              <w:spacing w:after="0"/>
              <w:rPr>
                <w:sz w:val="20"/>
                <w:szCs w:val="20"/>
                <w:color w:val="auto"/>
              </w:rPr>
            </w:pPr>
            <w:r>
              <w:rPr>
                <w:rFonts w:ascii="Arial" w:cs="Arial" w:eastAsia="Arial" w:hAnsi="Arial"/>
                <w:sz w:val="11"/>
                <w:szCs w:val="11"/>
                <w:color w:val="auto"/>
              </w:rPr>
              <w:t>(2,667,540)</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(2,714,749)</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1.8%</w:t>
            </w:r>
          </w:p>
        </w:tc>
        <w:tc>
          <w:tcPr>
            <w:tcW w:w="0" w:type="dxa"/>
            <w:vAlign w:val="bottom"/>
          </w:tcPr>
          <w:p>
            <w:pPr>
              <w:spacing w:after="0"/>
              <w:rPr>
                <w:sz w:val="1"/>
                <w:szCs w:val="1"/>
                <w:color w:val="auto"/>
              </w:rPr>
            </w:pPr>
          </w:p>
        </w:tc>
      </w:tr>
      <w:tr>
        <w:trPr>
          <w:trHeight w:val="173"/>
        </w:trPr>
        <w:tc>
          <w:tcPr>
            <w:tcW w:w="4960" w:type="dxa"/>
            <w:vAlign w:val="bottom"/>
            <w:tcBorders>
              <w:right w:val="single" w:sz="8" w:color="auto"/>
            </w:tcBorders>
          </w:tcPr>
          <w:p>
            <w:pPr>
              <w:ind w:left="100"/>
              <w:spacing w:after="0"/>
              <w:rPr>
                <w:sz w:val="20"/>
                <w:szCs w:val="20"/>
                <w:color w:val="auto"/>
              </w:rPr>
            </w:pPr>
            <w:r>
              <w:rPr>
                <w:rFonts w:ascii="Arial" w:cs="Arial" w:eastAsia="Arial" w:hAnsi="Arial"/>
                <w:sz w:val="11"/>
                <w:szCs w:val="11"/>
                <w:color w:val="auto"/>
              </w:rPr>
              <w:t>Intangibles</w:t>
            </w:r>
          </w:p>
        </w:tc>
        <w:tc>
          <w:tcPr>
            <w:tcW w:w="1580" w:type="dxa"/>
            <w:vAlign w:val="bottom"/>
          </w:tcPr>
          <w:p>
            <w:pPr>
              <w:jc w:val="right"/>
              <w:ind w:right="206"/>
              <w:spacing w:after="0"/>
              <w:rPr>
                <w:sz w:val="20"/>
                <w:szCs w:val="20"/>
                <w:color w:val="auto"/>
              </w:rPr>
            </w:pPr>
            <w:r>
              <w:rPr>
                <w:rFonts w:ascii="Arial" w:cs="Arial" w:eastAsia="Arial" w:hAnsi="Arial"/>
                <w:sz w:val="11"/>
                <w:szCs w:val="11"/>
                <w:color w:val="auto"/>
              </w:rPr>
              <w:t>(1,036,167)</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(1,124,983)</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8.6%</w:t>
            </w:r>
          </w:p>
        </w:tc>
        <w:tc>
          <w:tcPr>
            <w:tcW w:w="0" w:type="dxa"/>
            <w:vAlign w:val="bottom"/>
          </w:tcPr>
          <w:p>
            <w:pPr>
              <w:spacing w:after="0"/>
              <w:rPr>
                <w:sz w:val="1"/>
                <w:szCs w:val="1"/>
                <w:color w:val="auto"/>
              </w:rPr>
            </w:pPr>
          </w:p>
        </w:tc>
      </w:tr>
      <w:tr>
        <w:trPr>
          <w:trHeight w:val="173"/>
        </w:trPr>
        <w:tc>
          <w:tcPr>
            <w:tcW w:w="4960" w:type="dxa"/>
            <w:vAlign w:val="bottom"/>
            <w:tcBorders>
              <w:right w:val="single" w:sz="8" w:color="auto"/>
            </w:tcBorders>
          </w:tcPr>
          <w:p>
            <w:pPr>
              <w:ind w:left="100"/>
              <w:spacing w:after="0"/>
              <w:rPr>
                <w:sz w:val="20"/>
                <w:szCs w:val="20"/>
                <w:color w:val="auto"/>
              </w:rPr>
            </w:pPr>
            <w:r>
              <w:rPr>
                <w:rFonts w:ascii="Arial" w:cs="Arial" w:eastAsia="Arial" w:hAnsi="Arial"/>
                <w:sz w:val="11"/>
                <w:szCs w:val="11"/>
                <w:color w:val="auto"/>
              </w:rPr>
              <w:t>Goodwill</w:t>
            </w:r>
          </w:p>
        </w:tc>
        <w:tc>
          <w:tcPr>
            <w:tcW w:w="1580" w:type="dxa"/>
            <w:vAlign w:val="bottom"/>
          </w:tcPr>
          <w:p>
            <w:pPr>
              <w:jc w:val="right"/>
              <w:ind w:right="206"/>
              <w:spacing w:after="0"/>
              <w:rPr>
                <w:sz w:val="20"/>
                <w:szCs w:val="20"/>
                <w:color w:val="auto"/>
              </w:rPr>
            </w:pPr>
            <w:r>
              <w:rPr>
                <w:rFonts w:ascii="Arial" w:cs="Arial" w:eastAsia="Arial" w:hAnsi="Arial"/>
                <w:sz w:val="11"/>
                <w:szCs w:val="11"/>
                <w:color w:val="auto"/>
              </w:rPr>
              <w:t>(122,083)</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(122,083)</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rPr>
              <w:t>n.a</w:t>
            </w:r>
          </w:p>
        </w:tc>
        <w:tc>
          <w:tcPr>
            <w:tcW w:w="0" w:type="dxa"/>
            <w:vAlign w:val="bottom"/>
          </w:tcPr>
          <w:p>
            <w:pPr>
              <w:spacing w:after="0"/>
              <w:rPr>
                <w:sz w:val="1"/>
                <w:szCs w:val="1"/>
                <w:color w:val="auto"/>
              </w:rPr>
            </w:pPr>
          </w:p>
        </w:tc>
      </w:tr>
      <w:tr>
        <w:trPr>
          <w:trHeight w:val="42"/>
        </w:trPr>
        <w:tc>
          <w:tcPr>
            <w:tcW w:w="4960" w:type="dxa"/>
            <w:vAlign w:val="bottom"/>
            <w:tcBorders>
              <w:bottom w:val="single" w:sz="8" w:color="auto"/>
              <w:right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120" w:type="dxa"/>
            <w:vAlign w:val="bottom"/>
            <w:tcBorders>
              <w:bottom w:val="single" w:sz="8" w:color="auto"/>
              <w:right w:val="single" w:sz="8" w:color="auto"/>
            </w:tcBorders>
          </w:tcPr>
          <w:p>
            <w:pPr>
              <w:spacing w:after="0"/>
              <w:rPr>
                <w:sz w:val="3"/>
                <w:szCs w:val="3"/>
                <w:color w:val="auto"/>
              </w:rPr>
            </w:pPr>
          </w:p>
        </w:tc>
        <w:tc>
          <w:tcPr>
            <w:tcW w:w="1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1"/>
        </w:trPr>
        <w:tc>
          <w:tcPr>
            <w:tcW w:w="4960" w:type="dxa"/>
            <w:vAlign w:val="bottom"/>
            <w:tcBorders>
              <w:right w:val="single" w:sz="8" w:color="auto"/>
            </w:tcBorders>
          </w:tcPr>
          <w:p>
            <w:pPr>
              <w:ind w:left="100"/>
              <w:spacing w:after="0"/>
              <w:rPr>
                <w:sz w:val="20"/>
                <w:szCs w:val="20"/>
                <w:color w:val="auto"/>
              </w:rPr>
            </w:pPr>
            <w:r>
              <w:rPr>
                <w:rFonts w:ascii="Arial" w:cs="Arial" w:eastAsia="Arial" w:hAnsi="Arial"/>
                <w:sz w:val="11"/>
                <w:szCs w:val="11"/>
                <w:b w:val="1"/>
                <w:bCs w:val="1"/>
                <w:color w:val="auto"/>
              </w:rPr>
              <w:t>Total Regulatory Capital</w:t>
            </w:r>
          </w:p>
        </w:tc>
        <w:tc>
          <w:tcPr>
            <w:tcW w:w="1580" w:type="dxa"/>
            <w:vAlign w:val="bottom"/>
          </w:tcPr>
          <w:p>
            <w:pPr>
              <w:jc w:val="right"/>
              <w:ind w:right="206"/>
              <w:spacing w:after="0"/>
              <w:rPr>
                <w:sz w:val="20"/>
                <w:szCs w:val="20"/>
                <w:color w:val="auto"/>
              </w:rPr>
            </w:pPr>
            <w:r>
              <w:rPr>
                <w:rFonts w:ascii="Arial" w:cs="Arial" w:eastAsia="Arial" w:hAnsi="Arial"/>
                <w:sz w:val="11"/>
                <w:szCs w:val="11"/>
                <w:b w:val="1"/>
                <w:bCs w:val="1"/>
                <w:color w:val="auto"/>
              </w:rPr>
              <w:t>25,222,659</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1"/>
                <w:szCs w:val="11"/>
                <w:b w:val="1"/>
                <w:bCs w:val="1"/>
                <w:color w:val="auto"/>
              </w:rPr>
              <w:t>26,397,466</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4.7%</w:t>
            </w:r>
          </w:p>
        </w:tc>
        <w:tc>
          <w:tcPr>
            <w:tcW w:w="0" w:type="dxa"/>
            <w:vAlign w:val="bottom"/>
          </w:tcPr>
          <w:p>
            <w:pPr>
              <w:spacing w:after="0"/>
              <w:rPr>
                <w:sz w:val="1"/>
                <w:szCs w:val="1"/>
                <w:color w:val="auto"/>
              </w:rPr>
            </w:pPr>
          </w:p>
        </w:tc>
      </w:tr>
      <w:tr>
        <w:trPr>
          <w:trHeight w:val="24"/>
        </w:trPr>
        <w:tc>
          <w:tcPr>
            <w:tcW w:w="496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4960" w:type="dxa"/>
            <w:vAlign w:val="bottom"/>
            <w:tcBorders>
              <w:right w:val="single" w:sz="8" w:color="auto"/>
            </w:tcBorders>
          </w:tcPr>
          <w:p>
            <w:pPr>
              <w:ind w:left="100"/>
              <w:spacing w:after="0"/>
              <w:rPr>
                <w:sz w:val="20"/>
                <w:szCs w:val="20"/>
                <w:color w:val="auto"/>
              </w:rPr>
            </w:pPr>
            <w:r>
              <w:rPr>
                <w:rFonts w:ascii="Arial" w:cs="Arial" w:eastAsia="Arial" w:hAnsi="Arial"/>
                <w:sz w:val="11"/>
                <w:szCs w:val="11"/>
                <w:b w:val="1"/>
                <w:bCs w:val="1"/>
                <w:color w:val="auto"/>
              </w:rPr>
              <w:t>Tier 1 Common Equity (2)</w:t>
            </w:r>
          </w:p>
        </w:tc>
        <w:tc>
          <w:tcPr>
            <w:tcW w:w="1580" w:type="dxa"/>
            <w:vAlign w:val="bottom"/>
          </w:tcPr>
          <w:p>
            <w:pPr>
              <w:jc w:val="right"/>
              <w:ind w:right="206"/>
              <w:spacing w:after="0"/>
              <w:rPr>
                <w:sz w:val="20"/>
                <w:szCs w:val="20"/>
                <w:color w:val="auto"/>
              </w:rPr>
            </w:pPr>
            <w:r>
              <w:rPr>
                <w:rFonts w:ascii="Arial" w:cs="Arial" w:eastAsia="Arial" w:hAnsi="Arial"/>
                <w:sz w:val="11"/>
                <w:szCs w:val="11"/>
                <w:b w:val="1"/>
                <w:bCs w:val="1"/>
                <w:color w:val="auto"/>
              </w:rPr>
              <w:t>18,699,124</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1"/>
                <w:szCs w:val="11"/>
                <w:b w:val="1"/>
                <w:bCs w:val="1"/>
                <w:color w:val="auto"/>
              </w:rPr>
              <w:t>19,609,166</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4.9%</w:t>
            </w:r>
          </w:p>
        </w:tc>
        <w:tc>
          <w:tcPr>
            <w:tcW w:w="0" w:type="dxa"/>
            <w:vAlign w:val="bottom"/>
          </w:tcPr>
          <w:p>
            <w:pPr>
              <w:spacing w:after="0"/>
              <w:rPr>
                <w:sz w:val="1"/>
                <w:szCs w:val="1"/>
                <w:color w:val="auto"/>
              </w:rPr>
            </w:pPr>
          </w:p>
        </w:tc>
      </w:tr>
      <w:tr>
        <w:trPr>
          <w:trHeight w:val="24"/>
        </w:trPr>
        <w:tc>
          <w:tcPr>
            <w:tcW w:w="496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4960" w:type="dxa"/>
            <w:vAlign w:val="bottom"/>
            <w:tcBorders>
              <w:right w:val="single" w:sz="8" w:color="auto"/>
            </w:tcBorders>
          </w:tcPr>
          <w:p>
            <w:pPr>
              <w:ind w:left="100"/>
              <w:spacing w:after="0"/>
              <w:rPr>
                <w:sz w:val="20"/>
                <w:szCs w:val="20"/>
                <w:color w:val="auto"/>
              </w:rPr>
            </w:pPr>
            <w:r>
              <w:rPr>
                <w:rFonts w:ascii="Arial" w:cs="Arial" w:eastAsia="Arial" w:hAnsi="Arial"/>
                <w:sz w:val="11"/>
                <w:szCs w:val="11"/>
                <w:b w:val="1"/>
                <w:bCs w:val="1"/>
                <w:color w:val="auto"/>
              </w:rPr>
              <w:t>Regulatory Tier 1 Capital (3)</w:t>
            </w:r>
          </w:p>
        </w:tc>
        <w:tc>
          <w:tcPr>
            <w:tcW w:w="1580" w:type="dxa"/>
            <w:vAlign w:val="bottom"/>
          </w:tcPr>
          <w:p>
            <w:pPr>
              <w:jc w:val="right"/>
              <w:ind w:right="206"/>
              <w:spacing w:after="0"/>
              <w:rPr>
                <w:sz w:val="20"/>
                <w:szCs w:val="20"/>
                <w:color w:val="auto"/>
              </w:rPr>
            </w:pPr>
            <w:r>
              <w:rPr>
                <w:rFonts w:ascii="Arial" w:cs="Arial" w:eastAsia="Arial" w:hAnsi="Arial"/>
                <w:sz w:val="11"/>
                <w:szCs w:val="11"/>
                <w:b w:val="1"/>
                <w:bCs w:val="1"/>
                <w:color w:val="auto"/>
              </w:rPr>
              <w:t>18,699,124</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1"/>
                <w:szCs w:val="11"/>
                <w:b w:val="1"/>
                <w:bCs w:val="1"/>
                <w:color w:val="auto"/>
              </w:rPr>
              <w:t>19,609,166</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4.9%</w:t>
            </w:r>
          </w:p>
        </w:tc>
        <w:tc>
          <w:tcPr>
            <w:tcW w:w="0" w:type="dxa"/>
            <w:vAlign w:val="bottom"/>
          </w:tcPr>
          <w:p>
            <w:pPr>
              <w:spacing w:after="0"/>
              <w:rPr>
                <w:sz w:val="1"/>
                <w:szCs w:val="1"/>
                <w:color w:val="auto"/>
              </w:rPr>
            </w:pPr>
          </w:p>
        </w:tc>
      </w:tr>
      <w:tr>
        <w:trPr>
          <w:trHeight w:val="24"/>
        </w:trPr>
        <w:tc>
          <w:tcPr>
            <w:tcW w:w="496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4960" w:type="dxa"/>
            <w:vAlign w:val="bottom"/>
            <w:tcBorders>
              <w:right w:val="single" w:sz="8" w:color="auto"/>
            </w:tcBorders>
          </w:tcPr>
          <w:p>
            <w:pPr>
              <w:ind w:left="100"/>
              <w:spacing w:after="0"/>
              <w:rPr>
                <w:sz w:val="20"/>
                <w:szCs w:val="20"/>
                <w:color w:val="auto"/>
              </w:rPr>
            </w:pPr>
            <w:r>
              <w:rPr>
                <w:rFonts w:ascii="Arial" w:cs="Arial" w:eastAsia="Arial" w:hAnsi="Arial"/>
                <w:sz w:val="11"/>
                <w:szCs w:val="11"/>
                <w:b w:val="1"/>
                <w:bCs w:val="1"/>
                <w:color w:val="auto"/>
              </w:rPr>
              <w:t>Regulatory Tier 2 Capital (4)</w:t>
            </w:r>
          </w:p>
        </w:tc>
        <w:tc>
          <w:tcPr>
            <w:tcW w:w="1580" w:type="dxa"/>
            <w:vAlign w:val="bottom"/>
          </w:tcPr>
          <w:p>
            <w:pPr>
              <w:jc w:val="right"/>
              <w:ind w:right="206"/>
              <w:spacing w:after="0"/>
              <w:rPr>
                <w:sz w:val="20"/>
                <w:szCs w:val="20"/>
                <w:color w:val="auto"/>
              </w:rPr>
            </w:pPr>
            <w:r>
              <w:rPr>
                <w:rFonts w:ascii="Arial" w:cs="Arial" w:eastAsia="Arial" w:hAnsi="Arial"/>
                <w:sz w:val="11"/>
                <w:szCs w:val="11"/>
                <w:b w:val="1"/>
                <w:bCs w:val="1"/>
                <w:color w:val="auto"/>
              </w:rPr>
              <w:t>6,523,535</w:t>
            </w:r>
          </w:p>
        </w:tc>
        <w:tc>
          <w:tcPr>
            <w:tcW w:w="1120" w:type="dxa"/>
            <w:vAlign w:val="bottom"/>
            <w:tcBorders>
              <w:right w:val="single" w:sz="8" w:color="auto"/>
            </w:tcBorders>
          </w:tcPr>
          <w:p>
            <w:pPr>
              <w:jc w:val="right"/>
              <w:spacing w:after="0"/>
              <w:rPr>
                <w:sz w:val="20"/>
                <w:szCs w:val="20"/>
                <w:color w:val="auto"/>
              </w:rPr>
            </w:pPr>
            <w:r>
              <w:rPr>
                <w:rFonts w:ascii="Arial" w:cs="Arial" w:eastAsia="Arial" w:hAnsi="Arial"/>
                <w:sz w:val="11"/>
                <w:szCs w:val="11"/>
                <w:b w:val="1"/>
                <w:bCs w:val="1"/>
                <w:color w:val="auto"/>
              </w:rPr>
              <w:t>6,788,300</w:t>
            </w:r>
          </w:p>
        </w:tc>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5"/>
              </w:rPr>
              <w:t>4.1%</w:t>
            </w:r>
          </w:p>
        </w:tc>
        <w:tc>
          <w:tcPr>
            <w:tcW w:w="0" w:type="dxa"/>
            <w:vAlign w:val="bottom"/>
          </w:tcPr>
          <w:p>
            <w:pPr>
              <w:spacing w:after="0"/>
              <w:rPr>
                <w:sz w:val="1"/>
                <w:szCs w:val="1"/>
                <w:color w:val="auto"/>
              </w:rPr>
            </w:pPr>
          </w:p>
        </w:tc>
      </w:tr>
      <w:tr>
        <w:trPr>
          <w:trHeight w:val="24"/>
        </w:trPr>
        <w:tc>
          <w:tcPr>
            <w:tcW w:w="496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49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4960" w:type="dxa"/>
            <w:vAlign w:val="bottom"/>
            <w:tcBorders>
              <w:left w:val="single" w:sz="8" w:color="33CCCC"/>
              <w:right w:val="single" w:sz="8" w:color="auto"/>
            </w:tcBorders>
            <w:shd w:val="clear" w:color="auto" w:fill="33CCCC"/>
          </w:tcPr>
          <w:p>
            <w:pPr>
              <w:ind w:left="100"/>
              <w:spacing w:after="0" w:line="106" w:lineRule="exact"/>
              <w:rPr>
                <w:sz w:val="20"/>
                <w:szCs w:val="20"/>
                <w:color w:val="auto"/>
              </w:rPr>
            </w:pPr>
            <w:r>
              <w:rPr>
                <w:rFonts w:ascii="Arial" w:cs="Arial" w:eastAsia="Arial" w:hAnsi="Arial"/>
                <w:sz w:val="11"/>
                <w:szCs w:val="11"/>
                <w:color w:val="FFFFFF"/>
              </w:rPr>
              <w:t>Total risk-weighted assets</w:t>
            </w:r>
          </w:p>
        </w:tc>
        <w:tc>
          <w:tcPr>
            <w:tcW w:w="1580" w:type="dxa"/>
            <w:vAlign w:val="bottom"/>
            <w:vMerge w:val="restart"/>
            <w:shd w:val="clear" w:color="auto" w:fill="33CCCC"/>
          </w:tcPr>
          <w:p>
            <w:pPr>
              <w:ind w:left="480"/>
              <w:spacing w:after="0"/>
              <w:rPr>
                <w:sz w:val="20"/>
                <w:szCs w:val="20"/>
                <w:color w:val="auto"/>
              </w:rPr>
            </w:pPr>
            <w:r>
              <w:rPr>
                <w:rFonts w:ascii="Arial" w:cs="Arial" w:eastAsia="Arial" w:hAnsi="Arial"/>
                <w:sz w:val="11"/>
                <w:szCs w:val="11"/>
                <w:b w:val="1"/>
                <w:bCs w:val="1"/>
                <w:color w:val="FFFFFF"/>
              </w:rPr>
              <w:t>Jun 23</w:t>
            </w:r>
          </w:p>
        </w:tc>
        <w:tc>
          <w:tcPr>
            <w:tcW w:w="1120" w:type="dxa"/>
            <w:vAlign w:val="bottom"/>
            <w:tcBorders>
              <w:right w:val="single" w:sz="8" w:color="auto"/>
            </w:tcBorders>
            <w:vMerge w:val="restart"/>
            <w:shd w:val="clear" w:color="auto" w:fill="33CCCC"/>
          </w:tcPr>
          <w:p>
            <w:pPr>
              <w:ind w:left="240"/>
              <w:spacing w:after="0"/>
              <w:rPr>
                <w:sz w:val="20"/>
                <w:szCs w:val="20"/>
                <w:color w:val="auto"/>
              </w:rPr>
            </w:pPr>
            <w:r>
              <w:rPr>
                <w:rFonts w:ascii="Arial" w:cs="Arial" w:eastAsia="Arial" w:hAnsi="Arial"/>
                <w:sz w:val="11"/>
                <w:szCs w:val="11"/>
                <w:b w:val="1"/>
                <w:bCs w:val="1"/>
                <w:color w:val="FFFFFF"/>
              </w:rPr>
              <w:t>Sep 23</w:t>
            </w:r>
          </w:p>
        </w:tc>
        <w:tc>
          <w:tcPr>
            <w:tcW w:w="1360" w:type="dxa"/>
            <w:vAlign w:val="bottom"/>
            <w:tcBorders>
              <w:right w:val="single" w:sz="8" w:color="auto"/>
            </w:tcBorders>
            <w:shd w:val="clear" w:color="auto" w:fill="33CCCC"/>
          </w:tcPr>
          <w:p>
            <w:pPr>
              <w:jc w:val="center"/>
              <w:spacing w:after="0" w:line="106" w:lineRule="exact"/>
              <w:rPr>
                <w:sz w:val="20"/>
                <w:szCs w:val="20"/>
                <w:color w:val="auto"/>
              </w:rPr>
            </w:pPr>
            <w:r>
              <w:rPr>
                <w:rFonts w:ascii="Arial" w:cs="Arial" w:eastAsia="Arial" w:hAnsi="Arial"/>
                <w:sz w:val="11"/>
                <w:szCs w:val="11"/>
                <w:b w:val="1"/>
                <w:bCs w:val="1"/>
                <w:color w:val="FFFFFF"/>
                <w:w w:val="97"/>
              </w:rPr>
              <w:t>Change %</w:t>
            </w:r>
          </w:p>
        </w:tc>
        <w:tc>
          <w:tcPr>
            <w:tcW w:w="0" w:type="dxa"/>
            <w:vAlign w:val="bottom"/>
          </w:tcPr>
          <w:p>
            <w:pPr>
              <w:spacing w:after="0"/>
              <w:rPr>
                <w:sz w:val="1"/>
                <w:szCs w:val="1"/>
                <w:color w:val="auto"/>
              </w:rPr>
            </w:pPr>
          </w:p>
        </w:tc>
      </w:tr>
      <w:tr>
        <w:trPr>
          <w:trHeight w:val="134"/>
        </w:trPr>
        <w:tc>
          <w:tcPr>
            <w:tcW w:w="4960" w:type="dxa"/>
            <w:vAlign w:val="bottom"/>
            <w:tcBorders>
              <w:left w:val="single" w:sz="8" w:color="33CCCC"/>
              <w:bottom w:val="single" w:sz="8" w:color="33CCCC"/>
              <w:right w:val="single" w:sz="8" w:color="auto"/>
            </w:tcBorders>
            <w:shd w:val="clear" w:color="auto" w:fill="33CCCC"/>
          </w:tcPr>
          <w:p>
            <w:pPr>
              <w:ind w:left="100"/>
              <w:spacing w:after="0"/>
              <w:rPr>
                <w:sz w:val="20"/>
                <w:szCs w:val="20"/>
                <w:color w:val="auto"/>
              </w:rPr>
            </w:pPr>
            <w:r>
              <w:rPr>
                <w:rFonts w:ascii="Arial" w:cs="Arial" w:eastAsia="Arial" w:hAnsi="Arial"/>
                <w:sz w:val="11"/>
                <w:szCs w:val="11"/>
                <w:color w:val="FFFFFF"/>
              </w:rPr>
              <w:t>(S/ thousand)</w:t>
            </w:r>
          </w:p>
        </w:tc>
        <w:tc>
          <w:tcPr>
            <w:tcW w:w="1580" w:type="dxa"/>
            <w:vAlign w:val="bottom"/>
            <w:tcBorders>
              <w:bottom w:val="single" w:sz="8" w:color="33CCCC"/>
            </w:tcBorders>
            <w:vMerge w:val="continue"/>
            <w:shd w:val="clear" w:color="auto" w:fill="33CCCC"/>
          </w:tcPr>
          <w:p>
            <w:pPr>
              <w:spacing w:after="0"/>
              <w:rPr>
                <w:sz w:val="11"/>
                <w:szCs w:val="11"/>
                <w:color w:val="auto"/>
              </w:rPr>
            </w:pPr>
          </w:p>
        </w:tc>
        <w:tc>
          <w:tcPr>
            <w:tcW w:w="1120" w:type="dxa"/>
            <w:vAlign w:val="bottom"/>
            <w:tcBorders>
              <w:bottom w:val="single" w:sz="8" w:color="33CCCC"/>
              <w:right w:val="single" w:sz="8" w:color="auto"/>
            </w:tcBorders>
            <w:vMerge w:val="continue"/>
            <w:shd w:val="clear" w:color="auto" w:fill="33CCCC"/>
          </w:tcPr>
          <w:p>
            <w:pPr>
              <w:spacing w:after="0"/>
              <w:rPr>
                <w:sz w:val="11"/>
                <w:szCs w:val="11"/>
                <w:color w:val="auto"/>
              </w:rPr>
            </w:pPr>
          </w:p>
        </w:tc>
        <w:tc>
          <w:tcPr>
            <w:tcW w:w="1360" w:type="dxa"/>
            <w:vAlign w:val="bottom"/>
            <w:tcBorders>
              <w:bottom w:val="single" w:sz="8" w:color="33CCCC"/>
              <w:right w:val="single" w:sz="8" w:color="auto"/>
            </w:tcBorders>
            <w:shd w:val="clear" w:color="auto" w:fill="33CCCC"/>
          </w:tcPr>
          <w:p>
            <w:pPr>
              <w:jc w:val="center"/>
              <w:spacing w:after="0"/>
              <w:rPr>
                <w:sz w:val="20"/>
                <w:szCs w:val="20"/>
                <w:color w:val="auto"/>
              </w:rPr>
            </w:pPr>
            <w:r>
              <w:rPr>
                <w:rFonts w:ascii="Arial" w:cs="Arial" w:eastAsia="Arial" w:hAnsi="Arial"/>
                <w:sz w:val="11"/>
                <w:szCs w:val="11"/>
                <w:b w:val="1"/>
                <w:bCs w:val="1"/>
                <w:color w:val="FFFFFF"/>
              </w:rPr>
              <w:t>QoQ</w:t>
            </w:r>
          </w:p>
        </w:tc>
        <w:tc>
          <w:tcPr>
            <w:tcW w:w="0" w:type="dxa"/>
            <w:vAlign w:val="bottom"/>
          </w:tcPr>
          <w:p>
            <w:pPr>
              <w:spacing w:after="0"/>
              <w:rPr>
                <w:sz w:val="1"/>
                <w:szCs w:val="1"/>
                <w:color w:val="auto"/>
              </w:rPr>
            </w:pPr>
          </w:p>
        </w:tc>
      </w:tr>
      <w:tr>
        <w:trPr>
          <w:trHeight w:val="110"/>
        </w:trPr>
        <w:tc>
          <w:tcPr>
            <w:tcW w:w="4960" w:type="dxa"/>
            <w:vAlign w:val="bottom"/>
            <w:tcBorders>
              <w:top w:val="single" w:sz="8" w:color="auto"/>
              <w:right w:val="single" w:sz="8" w:color="auto"/>
            </w:tcBorders>
          </w:tcPr>
          <w:p>
            <w:pPr>
              <w:ind w:left="100"/>
              <w:spacing w:after="0" w:line="110" w:lineRule="exact"/>
              <w:rPr>
                <w:sz w:val="20"/>
                <w:szCs w:val="20"/>
                <w:color w:val="auto"/>
              </w:rPr>
            </w:pPr>
            <w:r>
              <w:rPr>
                <w:rFonts w:ascii="Arial" w:cs="Arial" w:eastAsia="Arial" w:hAnsi="Arial"/>
                <w:sz w:val="11"/>
                <w:szCs w:val="11"/>
                <w:color w:val="auto"/>
              </w:rPr>
              <w:t>Market risk-weighted assets (5)</w:t>
            </w:r>
          </w:p>
        </w:tc>
        <w:tc>
          <w:tcPr>
            <w:tcW w:w="1580" w:type="dxa"/>
            <w:vAlign w:val="bottom"/>
            <w:tcBorders>
              <w:top w:val="single" w:sz="8" w:color="auto"/>
            </w:tcBorders>
          </w:tcPr>
          <w:p>
            <w:pPr>
              <w:jc w:val="right"/>
              <w:ind w:right="206"/>
              <w:spacing w:after="0" w:line="110" w:lineRule="exact"/>
              <w:rPr>
                <w:sz w:val="20"/>
                <w:szCs w:val="20"/>
                <w:color w:val="auto"/>
              </w:rPr>
            </w:pPr>
            <w:r>
              <w:rPr>
                <w:rFonts w:ascii="Arial" w:cs="Arial" w:eastAsia="Arial" w:hAnsi="Arial"/>
                <w:sz w:val="11"/>
                <w:szCs w:val="11"/>
                <w:color w:val="auto"/>
              </w:rPr>
              <w:t>2,307,252</w:t>
            </w:r>
          </w:p>
        </w:tc>
        <w:tc>
          <w:tcPr>
            <w:tcW w:w="1120" w:type="dxa"/>
            <w:vAlign w:val="bottom"/>
            <w:tcBorders>
              <w:top w:val="single" w:sz="8" w:color="auto"/>
              <w:right w:val="single" w:sz="8" w:color="auto"/>
            </w:tcBorders>
          </w:tcPr>
          <w:p>
            <w:pPr>
              <w:jc w:val="right"/>
              <w:spacing w:after="0" w:line="110" w:lineRule="exact"/>
              <w:rPr>
                <w:sz w:val="20"/>
                <w:szCs w:val="20"/>
                <w:color w:val="auto"/>
              </w:rPr>
            </w:pPr>
            <w:r>
              <w:rPr>
                <w:rFonts w:ascii="Arial" w:cs="Arial" w:eastAsia="Arial" w:hAnsi="Arial"/>
                <w:sz w:val="11"/>
                <w:szCs w:val="11"/>
                <w:color w:val="auto"/>
              </w:rPr>
              <w:t>2,576,734</w:t>
            </w:r>
          </w:p>
        </w:tc>
        <w:tc>
          <w:tcPr>
            <w:tcW w:w="1360" w:type="dxa"/>
            <w:vAlign w:val="bottom"/>
            <w:tcBorders>
              <w:top w:val="single" w:sz="8" w:color="auto"/>
              <w:right w:val="single" w:sz="8" w:color="auto"/>
            </w:tcBorders>
          </w:tcPr>
          <w:p>
            <w:pPr>
              <w:jc w:val="center"/>
              <w:spacing w:after="0" w:line="110" w:lineRule="exact"/>
              <w:rPr>
                <w:sz w:val="20"/>
                <w:szCs w:val="20"/>
                <w:color w:val="auto"/>
              </w:rPr>
            </w:pPr>
            <w:r>
              <w:rPr>
                <w:rFonts w:ascii="Arial" w:cs="Arial" w:eastAsia="Arial" w:hAnsi="Arial"/>
                <w:sz w:val="11"/>
                <w:szCs w:val="11"/>
                <w:color w:val="auto"/>
                <w:w w:val="89"/>
              </w:rPr>
              <w:t>11.7%</w:t>
            </w:r>
          </w:p>
        </w:tc>
        <w:tc>
          <w:tcPr>
            <w:tcW w:w="0" w:type="dxa"/>
            <w:vAlign w:val="bottom"/>
          </w:tcPr>
          <w:p>
            <w:pPr>
              <w:spacing w:after="0"/>
              <w:rPr>
                <w:sz w:val="1"/>
                <w:szCs w:val="1"/>
                <w:color w:val="auto"/>
              </w:rPr>
            </w:pPr>
          </w:p>
        </w:tc>
      </w:tr>
      <w:tr>
        <w:trPr>
          <w:trHeight w:val="124"/>
        </w:trPr>
        <w:tc>
          <w:tcPr>
            <w:tcW w:w="4960" w:type="dxa"/>
            <w:vAlign w:val="bottom"/>
            <w:tcBorders>
              <w:right w:val="single" w:sz="8" w:color="auto"/>
            </w:tcBorders>
          </w:tcPr>
          <w:p>
            <w:pPr>
              <w:ind w:left="100"/>
              <w:spacing w:after="0" w:line="124" w:lineRule="exact"/>
              <w:rPr>
                <w:sz w:val="20"/>
                <w:szCs w:val="20"/>
                <w:color w:val="auto"/>
              </w:rPr>
            </w:pPr>
            <w:r>
              <w:rPr>
                <w:rFonts w:ascii="Arial" w:cs="Arial" w:eastAsia="Arial" w:hAnsi="Arial"/>
                <w:sz w:val="11"/>
                <w:szCs w:val="11"/>
                <w:color w:val="auto"/>
              </w:rPr>
              <w:t>Credit risk-weighted assets</w:t>
            </w:r>
          </w:p>
        </w:tc>
        <w:tc>
          <w:tcPr>
            <w:tcW w:w="1580" w:type="dxa"/>
            <w:vAlign w:val="bottom"/>
          </w:tcPr>
          <w:p>
            <w:pPr>
              <w:jc w:val="right"/>
              <w:ind w:right="206"/>
              <w:spacing w:after="0" w:line="124" w:lineRule="exact"/>
              <w:rPr>
                <w:sz w:val="20"/>
                <w:szCs w:val="20"/>
                <w:color w:val="auto"/>
              </w:rPr>
            </w:pPr>
            <w:r>
              <w:rPr>
                <w:rFonts w:ascii="Arial" w:cs="Arial" w:eastAsia="Arial" w:hAnsi="Arial"/>
                <w:sz w:val="11"/>
                <w:szCs w:val="11"/>
                <w:color w:val="auto"/>
              </w:rPr>
              <w:t>128,912,504</w:t>
            </w:r>
          </w:p>
        </w:tc>
        <w:tc>
          <w:tcPr>
            <w:tcW w:w="112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132,297,592</w:t>
            </w:r>
          </w:p>
        </w:tc>
        <w:tc>
          <w:tcPr>
            <w:tcW w:w="136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5"/>
              </w:rPr>
              <w:t>2.6%</w:t>
            </w:r>
          </w:p>
        </w:tc>
        <w:tc>
          <w:tcPr>
            <w:tcW w:w="0" w:type="dxa"/>
            <w:vAlign w:val="bottom"/>
          </w:tcPr>
          <w:p>
            <w:pPr>
              <w:spacing w:after="0"/>
              <w:rPr>
                <w:sz w:val="1"/>
                <w:szCs w:val="1"/>
                <w:color w:val="auto"/>
              </w:rPr>
            </w:pPr>
          </w:p>
        </w:tc>
      </w:tr>
      <w:tr>
        <w:trPr>
          <w:trHeight w:val="130"/>
        </w:trPr>
        <w:tc>
          <w:tcPr>
            <w:tcW w:w="4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1"/>
                <w:szCs w:val="11"/>
                <w:color w:val="auto"/>
              </w:rPr>
              <w:t>Operational risk-weighted assets</w:t>
            </w:r>
          </w:p>
        </w:tc>
        <w:tc>
          <w:tcPr>
            <w:tcW w:w="158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color w:val="auto"/>
              </w:rPr>
              <w:t>15,407,799</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15,862,960</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5"/>
              </w:rPr>
              <w:t>3.0%</w:t>
            </w:r>
          </w:p>
        </w:tc>
        <w:tc>
          <w:tcPr>
            <w:tcW w:w="0" w:type="dxa"/>
            <w:vAlign w:val="bottom"/>
          </w:tcPr>
          <w:p>
            <w:pPr>
              <w:spacing w:after="0"/>
              <w:rPr>
                <w:sz w:val="1"/>
                <w:szCs w:val="1"/>
                <w:color w:val="auto"/>
              </w:rPr>
            </w:pPr>
          </w:p>
        </w:tc>
      </w:tr>
      <w:tr>
        <w:trPr>
          <w:trHeight w:val="116"/>
        </w:trPr>
        <w:tc>
          <w:tcPr>
            <w:tcW w:w="4960" w:type="dxa"/>
            <w:vAlign w:val="bottom"/>
            <w:tcBorders>
              <w:bottom w:val="single" w:sz="8" w:color="auto"/>
              <w:right w:val="single" w:sz="8" w:color="auto"/>
            </w:tcBorders>
          </w:tcPr>
          <w:p>
            <w:pPr>
              <w:ind w:left="100"/>
              <w:spacing w:after="0" w:line="116" w:lineRule="exact"/>
              <w:rPr>
                <w:sz w:val="20"/>
                <w:szCs w:val="20"/>
                <w:color w:val="auto"/>
              </w:rPr>
            </w:pPr>
            <w:r>
              <w:rPr>
                <w:rFonts w:ascii="Arial" w:cs="Arial" w:eastAsia="Arial" w:hAnsi="Arial"/>
                <w:sz w:val="11"/>
                <w:szCs w:val="11"/>
                <w:b w:val="1"/>
                <w:bCs w:val="1"/>
                <w:color w:val="auto"/>
              </w:rPr>
              <w:t>Total</w:t>
            </w:r>
          </w:p>
        </w:tc>
        <w:tc>
          <w:tcPr>
            <w:tcW w:w="1580" w:type="dxa"/>
            <w:vAlign w:val="bottom"/>
            <w:tcBorders>
              <w:bottom w:val="single" w:sz="8" w:color="auto"/>
            </w:tcBorders>
          </w:tcPr>
          <w:p>
            <w:pPr>
              <w:jc w:val="right"/>
              <w:ind w:right="206"/>
              <w:spacing w:after="0" w:line="116" w:lineRule="exact"/>
              <w:rPr>
                <w:sz w:val="20"/>
                <w:szCs w:val="20"/>
                <w:color w:val="auto"/>
              </w:rPr>
            </w:pPr>
            <w:r>
              <w:rPr>
                <w:rFonts w:ascii="Arial" w:cs="Arial" w:eastAsia="Arial" w:hAnsi="Arial"/>
                <w:sz w:val="11"/>
                <w:szCs w:val="11"/>
                <w:b w:val="1"/>
                <w:bCs w:val="1"/>
                <w:color w:val="auto"/>
              </w:rPr>
              <w:t>146,627,555</w:t>
            </w:r>
          </w:p>
        </w:tc>
        <w:tc>
          <w:tcPr>
            <w:tcW w:w="1120" w:type="dxa"/>
            <w:vAlign w:val="bottom"/>
            <w:tcBorders>
              <w:bottom w:val="single" w:sz="8" w:color="auto"/>
              <w:right w:val="single" w:sz="8" w:color="auto"/>
            </w:tcBorders>
          </w:tcPr>
          <w:p>
            <w:pPr>
              <w:jc w:val="right"/>
              <w:spacing w:after="0" w:line="116" w:lineRule="exact"/>
              <w:rPr>
                <w:sz w:val="20"/>
                <w:szCs w:val="20"/>
                <w:color w:val="auto"/>
              </w:rPr>
            </w:pPr>
            <w:r>
              <w:rPr>
                <w:rFonts w:ascii="Arial" w:cs="Arial" w:eastAsia="Arial" w:hAnsi="Arial"/>
                <w:sz w:val="11"/>
                <w:szCs w:val="11"/>
                <w:b w:val="1"/>
                <w:bCs w:val="1"/>
                <w:color w:val="auto"/>
              </w:rPr>
              <w:t>150,737,286</w:t>
            </w:r>
          </w:p>
        </w:tc>
        <w:tc>
          <w:tcPr>
            <w:tcW w:w="1360" w:type="dxa"/>
            <w:vAlign w:val="bottom"/>
            <w:tcBorders>
              <w:bottom w:val="single" w:sz="8" w:color="auto"/>
              <w:right w:val="single" w:sz="8" w:color="auto"/>
            </w:tcBorders>
          </w:tcPr>
          <w:p>
            <w:pPr>
              <w:jc w:val="center"/>
              <w:spacing w:after="0" w:line="116" w:lineRule="exact"/>
              <w:rPr>
                <w:sz w:val="20"/>
                <w:szCs w:val="20"/>
                <w:color w:val="auto"/>
              </w:rPr>
            </w:pPr>
            <w:r>
              <w:rPr>
                <w:rFonts w:ascii="Arial" w:cs="Arial" w:eastAsia="Arial" w:hAnsi="Arial"/>
                <w:sz w:val="11"/>
                <w:szCs w:val="11"/>
                <w:b w:val="1"/>
                <w:bCs w:val="1"/>
                <w:color w:val="auto"/>
                <w:w w:val="95"/>
              </w:rPr>
              <w:t>2.8%</w:t>
            </w:r>
          </w:p>
        </w:tc>
        <w:tc>
          <w:tcPr>
            <w:tcW w:w="0" w:type="dxa"/>
            <w:vAlign w:val="bottom"/>
          </w:tcPr>
          <w:p>
            <w:pPr>
              <w:spacing w:after="0"/>
              <w:rPr>
                <w:sz w:val="1"/>
                <w:szCs w:val="1"/>
                <w:color w:val="auto"/>
              </w:rPr>
            </w:pPr>
          </w:p>
        </w:tc>
      </w:tr>
      <w:tr>
        <w:trPr>
          <w:trHeight w:val="165"/>
        </w:trPr>
        <w:tc>
          <w:tcPr>
            <w:tcW w:w="49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4960" w:type="dxa"/>
            <w:vAlign w:val="bottom"/>
            <w:tcBorders>
              <w:left w:val="single" w:sz="8" w:color="33CCCC"/>
              <w:right w:val="single" w:sz="8" w:color="auto"/>
            </w:tcBorders>
            <w:shd w:val="clear" w:color="auto" w:fill="33CCCC"/>
          </w:tcPr>
          <w:p>
            <w:pPr>
              <w:ind w:left="100"/>
              <w:spacing w:after="0" w:line="106" w:lineRule="exact"/>
              <w:rPr>
                <w:sz w:val="20"/>
                <w:szCs w:val="20"/>
                <w:color w:val="auto"/>
              </w:rPr>
            </w:pPr>
            <w:r>
              <w:rPr>
                <w:rFonts w:ascii="Arial" w:cs="Arial" w:eastAsia="Arial" w:hAnsi="Arial"/>
                <w:sz w:val="11"/>
                <w:szCs w:val="11"/>
                <w:b w:val="1"/>
                <w:bCs w:val="1"/>
                <w:color w:val="FFFFFF"/>
              </w:rPr>
              <w:t>Capital requirement</w:t>
            </w:r>
          </w:p>
        </w:tc>
        <w:tc>
          <w:tcPr>
            <w:tcW w:w="1580" w:type="dxa"/>
            <w:vAlign w:val="bottom"/>
            <w:vMerge w:val="restart"/>
            <w:shd w:val="clear" w:color="auto" w:fill="33CCCC"/>
          </w:tcPr>
          <w:p>
            <w:pPr>
              <w:ind w:left="480"/>
              <w:spacing w:after="0"/>
              <w:rPr>
                <w:sz w:val="20"/>
                <w:szCs w:val="20"/>
                <w:color w:val="auto"/>
              </w:rPr>
            </w:pPr>
            <w:r>
              <w:rPr>
                <w:rFonts w:ascii="Arial" w:cs="Arial" w:eastAsia="Arial" w:hAnsi="Arial"/>
                <w:sz w:val="11"/>
                <w:szCs w:val="11"/>
                <w:b w:val="1"/>
                <w:bCs w:val="1"/>
                <w:color w:val="FFFFFF"/>
              </w:rPr>
              <w:t>Jun 23</w:t>
            </w:r>
          </w:p>
        </w:tc>
        <w:tc>
          <w:tcPr>
            <w:tcW w:w="1120" w:type="dxa"/>
            <w:vAlign w:val="bottom"/>
            <w:tcBorders>
              <w:right w:val="single" w:sz="8" w:color="auto"/>
            </w:tcBorders>
            <w:vMerge w:val="restart"/>
            <w:shd w:val="clear" w:color="auto" w:fill="33CCCC"/>
          </w:tcPr>
          <w:p>
            <w:pPr>
              <w:ind w:left="240"/>
              <w:spacing w:after="0"/>
              <w:rPr>
                <w:sz w:val="20"/>
                <w:szCs w:val="20"/>
                <w:color w:val="auto"/>
              </w:rPr>
            </w:pPr>
            <w:r>
              <w:rPr>
                <w:rFonts w:ascii="Arial" w:cs="Arial" w:eastAsia="Arial" w:hAnsi="Arial"/>
                <w:sz w:val="11"/>
                <w:szCs w:val="11"/>
                <w:b w:val="1"/>
                <w:bCs w:val="1"/>
                <w:color w:val="FFFFFF"/>
              </w:rPr>
              <w:t>Sep 23</w:t>
            </w:r>
          </w:p>
        </w:tc>
        <w:tc>
          <w:tcPr>
            <w:tcW w:w="1360" w:type="dxa"/>
            <w:vAlign w:val="bottom"/>
            <w:tcBorders>
              <w:right w:val="single" w:sz="8" w:color="auto"/>
            </w:tcBorders>
            <w:shd w:val="clear" w:color="auto" w:fill="33CCCC"/>
          </w:tcPr>
          <w:p>
            <w:pPr>
              <w:jc w:val="center"/>
              <w:spacing w:after="0" w:line="106" w:lineRule="exact"/>
              <w:rPr>
                <w:sz w:val="20"/>
                <w:szCs w:val="20"/>
                <w:color w:val="auto"/>
              </w:rPr>
            </w:pPr>
            <w:r>
              <w:rPr>
                <w:rFonts w:ascii="Arial" w:cs="Arial" w:eastAsia="Arial" w:hAnsi="Arial"/>
                <w:sz w:val="11"/>
                <w:szCs w:val="11"/>
                <w:b w:val="1"/>
                <w:bCs w:val="1"/>
                <w:color w:val="FFFFFF"/>
                <w:w w:val="97"/>
              </w:rPr>
              <w:t>Change %</w:t>
            </w:r>
          </w:p>
        </w:tc>
        <w:tc>
          <w:tcPr>
            <w:tcW w:w="0" w:type="dxa"/>
            <w:vAlign w:val="bottom"/>
          </w:tcPr>
          <w:p>
            <w:pPr>
              <w:spacing w:after="0"/>
              <w:rPr>
                <w:sz w:val="1"/>
                <w:szCs w:val="1"/>
                <w:color w:val="auto"/>
              </w:rPr>
            </w:pPr>
          </w:p>
        </w:tc>
      </w:tr>
      <w:tr>
        <w:trPr>
          <w:trHeight w:val="134"/>
        </w:trPr>
        <w:tc>
          <w:tcPr>
            <w:tcW w:w="4960" w:type="dxa"/>
            <w:vAlign w:val="bottom"/>
            <w:tcBorders>
              <w:left w:val="single" w:sz="8" w:color="33CCCC"/>
              <w:bottom w:val="single" w:sz="8" w:color="33CCCC"/>
              <w:right w:val="single" w:sz="8" w:color="auto"/>
            </w:tcBorders>
            <w:shd w:val="clear" w:color="auto" w:fill="33CCCC"/>
          </w:tcPr>
          <w:p>
            <w:pPr>
              <w:ind w:left="140"/>
              <w:spacing w:after="0"/>
              <w:rPr>
                <w:sz w:val="20"/>
                <w:szCs w:val="20"/>
                <w:color w:val="auto"/>
              </w:rPr>
            </w:pPr>
            <w:r>
              <w:rPr>
                <w:rFonts w:ascii="Arial" w:cs="Arial" w:eastAsia="Arial" w:hAnsi="Arial"/>
                <w:sz w:val="11"/>
                <w:szCs w:val="11"/>
                <w:color w:val="FFFFFF"/>
              </w:rPr>
              <w:t>(S/ thousand)</w:t>
            </w:r>
          </w:p>
        </w:tc>
        <w:tc>
          <w:tcPr>
            <w:tcW w:w="1580" w:type="dxa"/>
            <w:vAlign w:val="bottom"/>
            <w:tcBorders>
              <w:bottom w:val="single" w:sz="8" w:color="33CCCC"/>
            </w:tcBorders>
            <w:vMerge w:val="continue"/>
            <w:shd w:val="clear" w:color="auto" w:fill="33CCCC"/>
          </w:tcPr>
          <w:p>
            <w:pPr>
              <w:spacing w:after="0"/>
              <w:rPr>
                <w:sz w:val="11"/>
                <w:szCs w:val="11"/>
                <w:color w:val="auto"/>
              </w:rPr>
            </w:pPr>
          </w:p>
        </w:tc>
        <w:tc>
          <w:tcPr>
            <w:tcW w:w="1120" w:type="dxa"/>
            <w:vAlign w:val="bottom"/>
            <w:tcBorders>
              <w:bottom w:val="single" w:sz="8" w:color="33CCCC"/>
              <w:right w:val="single" w:sz="8" w:color="auto"/>
            </w:tcBorders>
            <w:vMerge w:val="continue"/>
            <w:shd w:val="clear" w:color="auto" w:fill="33CCCC"/>
          </w:tcPr>
          <w:p>
            <w:pPr>
              <w:spacing w:after="0"/>
              <w:rPr>
                <w:sz w:val="11"/>
                <w:szCs w:val="11"/>
                <w:color w:val="auto"/>
              </w:rPr>
            </w:pPr>
          </w:p>
        </w:tc>
        <w:tc>
          <w:tcPr>
            <w:tcW w:w="1360" w:type="dxa"/>
            <w:vAlign w:val="bottom"/>
            <w:tcBorders>
              <w:bottom w:val="single" w:sz="8" w:color="33CCCC"/>
              <w:right w:val="single" w:sz="8" w:color="auto"/>
            </w:tcBorders>
            <w:shd w:val="clear" w:color="auto" w:fill="33CCCC"/>
          </w:tcPr>
          <w:p>
            <w:pPr>
              <w:jc w:val="center"/>
              <w:spacing w:after="0"/>
              <w:rPr>
                <w:sz w:val="20"/>
                <w:szCs w:val="20"/>
                <w:color w:val="auto"/>
              </w:rPr>
            </w:pPr>
            <w:r>
              <w:rPr>
                <w:rFonts w:ascii="Arial" w:cs="Arial" w:eastAsia="Arial" w:hAnsi="Arial"/>
                <w:sz w:val="11"/>
                <w:szCs w:val="11"/>
                <w:b w:val="1"/>
                <w:bCs w:val="1"/>
                <w:color w:val="FFFFFF"/>
              </w:rPr>
              <w:t>QoQ</w:t>
            </w:r>
          </w:p>
        </w:tc>
        <w:tc>
          <w:tcPr>
            <w:tcW w:w="0" w:type="dxa"/>
            <w:vAlign w:val="bottom"/>
          </w:tcPr>
          <w:p>
            <w:pPr>
              <w:spacing w:after="0"/>
              <w:rPr>
                <w:sz w:val="1"/>
                <w:szCs w:val="1"/>
                <w:color w:val="auto"/>
              </w:rPr>
            </w:pPr>
          </w:p>
        </w:tc>
      </w:tr>
      <w:tr>
        <w:trPr>
          <w:trHeight w:val="110"/>
        </w:trPr>
        <w:tc>
          <w:tcPr>
            <w:tcW w:w="4960" w:type="dxa"/>
            <w:vAlign w:val="bottom"/>
            <w:tcBorders>
              <w:top w:val="single" w:sz="8" w:color="auto"/>
              <w:right w:val="single" w:sz="8" w:color="auto"/>
            </w:tcBorders>
          </w:tcPr>
          <w:p>
            <w:pPr>
              <w:ind w:left="100"/>
              <w:spacing w:after="0" w:line="110" w:lineRule="exact"/>
              <w:rPr>
                <w:sz w:val="20"/>
                <w:szCs w:val="20"/>
                <w:color w:val="auto"/>
              </w:rPr>
            </w:pPr>
            <w:r>
              <w:rPr>
                <w:rFonts w:ascii="Arial" w:cs="Arial" w:eastAsia="Arial" w:hAnsi="Arial"/>
                <w:sz w:val="11"/>
                <w:szCs w:val="11"/>
                <w:color w:val="auto"/>
              </w:rPr>
              <w:t>Market risk capital requirement (5)</w:t>
            </w:r>
          </w:p>
        </w:tc>
        <w:tc>
          <w:tcPr>
            <w:tcW w:w="1580" w:type="dxa"/>
            <w:vAlign w:val="bottom"/>
            <w:tcBorders>
              <w:top w:val="single" w:sz="8" w:color="auto"/>
            </w:tcBorders>
          </w:tcPr>
          <w:p>
            <w:pPr>
              <w:jc w:val="right"/>
              <w:ind w:right="206"/>
              <w:spacing w:after="0" w:line="110" w:lineRule="exact"/>
              <w:rPr>
                <w:sz w:val="20"/>
                <w:szCs w:val="20"/>
                <w:color w:val="auto"/>
              </w:rPr>
            </w:pPr>
            <w:r>
              <w:rPr>
                <w:rFonts w:ascii="Arial" w:cs="Arial" w:eastAsia="Arial" w:hAnsi="Arial"/>
                <w:sz w:val="11"/>
                <w:szCs w:val="11"/>
                <w:color w:val="auto"/>
              </w:rPr>
              <w:t>230,725</w:t>
            </w:r>
          </w:p>
        </w:tc>
        <w:tc>
          <w:tcPr>
            <w:tcW w:w="1120" w:type="dxa"/>
            <w:vAlign w:val="bottom"/>
            <w:tcBorders>
              <w:top w:val="single" w:sz="8" w:color="auto"/>
              <w:right w:val="single" w:sz="8" w:color="auto"/>
            </w:tcBorders>
          </w:tcPr>
          <w:p>
            <w:pPr>
              <w:jc w:val="right"/>
              <w:spacing w:after="0" w:line="110" w:lineRule="exact"/>
              <w:rPr>
                <w:sz w:val="20"/>
                <w:szCs w:val="20"/>
                <w:color w:val="auto"/>
              </w:rPr>
            </w:pPr>
            <w:r>
              <w:rPr>
                <w:rFonts w:ascii="Arial" w:cs="Arial" w:eastAsia="Arial" w:hAnsi="Arial"/>
                <w:sz w:val="11"/>
                <w:szCs w:val="11"/>
                <w:color w:val="auto"/>
              </w:rPr>
              <w:t>257,673</w:t>
            </w:r>
          </w:p>
        </w:tc>
        <w:tc>
          <w:tcPr>
            <w:tcW w:w="1360" w:type="dxa"/>
            <w:vAlign w:val="bottom"/>
            <w:tcBorders>
              <w:top w:val="single" w:sz="8" w:color="auto"/>
              <w:right w:val="single" w:sz="8" w:color="auto"/>
            </w:tcBorders>
          </w:tcPr>
          <w:p>
            <w:pPr>
              <w:jc w:val="center"/>
              <w:spacing w:after="0" w:line="110" w:lineRule="exact"/>
              <w:rPr>
                <w:sz w:val="20"/>
                <w:szCs w:val="20"/>
                <w:color w:val="auto"/>
              </w:rPr>
            </w:pPr>
            <w:r>
              <w:rPr>
                <w:rFonts w:ascii="Arial" w:cs="Arial" w:eastAsia="Arial" w:hAnsi="Arial"/>
                <w:sz w:val="11"/>
                <w:szCs w:val="11"/>
                <w:color w:val="auto"/>
                <w:w w:val="89"/>
              </w:rPr>
              <w:t>11.7%</w:t>
            </w:r>
          </w:p>
        </w:tc>
        <w:tc>
          <w:tcPr>
            <w:tcW w:w="0" w:type="dxa"/>
            <w:vAlign w:val="bottom"/>
          </w:tcPr>
          <w:p>
            <w:pPr>
              <w:spacing w:after="0"/>
              <w:rPr>
                <w:sz w:val="1"/>
                <w:szCs w:val="1"/>
                <w:color w:val="auto"/>
              </w:rPr>
            </w:pPr>
          </w:p>
        </w:tc>
      </w:tr>
      <w:tr>
        <w:trPr>
          <w:trHeight w:val="124"/>
        </w:trPr>
        <w:tc>
          <w:tcPr>
            <w:tcW w:w="4960" w:type="dxa"/>
            <w:vAlign w:val="bottom"/>
            <w:tcBorders>
              <w:right w:val="single" w:sz="8" w:color="auto"/>
            </w:tcBorders>
          </w:tcPr>
          <w:p>
            <w:pPr>
              <w:ind w:left="100"/>
              <w:spacing w:after="0" w:line="124" w:lineRule="exact"/>
              <w:rPr>
                <w:sz w:val="20"/>
                <w:szCs w:val="20"/>
                <w:color w:val="auto"/>
              </w:rPr>
            </w:pPr>
            <w:r>
              <w:rPr>
                <w:rFonts w:ascii="Arial" w:cs="Arial" w:eastAsia="Arial" w:hAnsi="Arial"/>
                <w:sz w:val="11"/>
                <w:szCs w:val="11"/>
                <w:color w:val="auto"/>
              </w:rPr>
              <w:t>Credit risk capital requirement</w:t>
            </w:r>
          </w:p>
        </w:tc>
        <w:tc>
          <w:tcPr>
            <w:tcW w:w="1580" w:type="dxa"/>
            <w:vAlign w:val="bottom"/>
          </w:tcPr>
          <w:p>
            <w:pPr>
              <w:jc w:val="right"/>
              <w:ind w:right="206"/>
              <w:spacing w:after="0" w:line="124" w:lineRule="exact"/>
              <w:rPr>
                <w:sz w:val="20"/>
                <w:szCs w:val="20"/>
                <w:color w:val="auto"/>
              </w:rPr>
            </w:pPr>
            <w:r>
              <w:rPr>
                <w:rFonts w:ascii="Arial" w:cs="Arial" w:eastAsia="Arial" w:hAnsi="Arial"/>
                <w:sz w:val="11"/>
                <w:szCs w:val="11"/>
                <w:color w:val="auto"/>
              </w:rPr>
              <w:t>11,602,125</w:t>
            </w:r>
          </w:p>
        </w:tc>
        <w:tc>
          <w:tcPr>
            <w:tcW w:w="112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11,906,783</w:t>
            </w:r>
          </w:p>
        </w:tc>
        <w:tc>
          <w:tcPr>
            <w:tcW w:w="136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5"/>
              </w:rPr>
              <w:t>2.6%</w:t>
            </w:r>
          </w:p>
        </w:tc>
        <w:tc>
          <w:tcPr>
            <w:tcW w:w="0" w:type="dxa"/>
            <w:vAlign w:val="bottom"/>
          </w:tcPr>
          <w:p>
            <w:pPr>
              <w:spacing w:after="0"/>
              <w:rPr>
                <w:sz w:val="1"/>
                <w:szCs w:val="1"/>
                <w:color w:val="auto"/>
              </w:rPr>
            </w:pPr>
          </w:p>
        </w:tc>
      </w:tr>
      <w:tr>
        <w:trPr>
          <w:trHeight w:val="124"/>
        </w:trPr>
        <w:tc>
          <w:tcPr>
            <w:tcW w:w="4960" w:type="dxa"/>
            <w:vAlign w:val="bottom"/>
            <w:tcBorders>
              <w:right w:val="single" w:sz="8" w:color="auto"/>
            </w:tcBorders>
          </w:tcPr>
          <w:p>
            <w:pPr>
              <w:ind w:left="100"/>
              <w:spacing w:after="0" w:line="124" w:lineRule="exact"/>
              <w:rPr>
                <w:sz w:val="20"/>
                <w:szCs w:val="20"/>
                <w:color w:val="auto"/>
              </w:rPr>
            </w:pPr>
            <w:r>
              <w:rPr>
                <w:rFonts w:ascii="Arial" w:cs="Arial" w:eastAsia="Arial" w:hAnsi="Arial"/>
                <w:sz w:val="11"/>
                <w:szCs w:val="11"/>
                <w:color w:val="auto"/>
              </w:rPr>
              <w:t>Operational risk capital requirement</w:t>
            </w:r>
          </w:p>
        </w:tc>
        <w:tc>
          <w:tcPr>
            <w:tcW w:w="1580" w:type="dxa"/>
            <w:vAlign w:val="bottom"/>
          </w:tcPr>
          <w:p>
            <w:pPr>
              <w:jc w:val="right"/>
              <w:ind w:right="206"/>
              <w:spacing w:after="0" w:line="124" w:lineRule="exact"/>
              <w:rPr>
                <w:sz w:val="20"/>
                <w:szCs w:val="20"/>
                <w:color w:val="auto"/>
              </w:rPr>
            </w:pPr>
            <w:r>
              <w:rPr>
                <w:rFonts w:ascii="Arial" w:cs="Arial" w:eastAsia="Arial" w:hAnsi="Arial"/>
                <w:sz w:val="11"/>
                <w:szCs w:val="11"/>
                <w:color w:val="auto"/>
              </w:rPr>
              <w:t>1,540,780</w:t>
            </w:r>
          </w:p>
        </w:tc>
        <w:tc>
          <w:tcPr>
            <w:tcW w:w="112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1,586,296</w:t>
            </w:r>
          </w:p>
        </w:tc>
        <w:tc>
          <w:tcPr>
            <w:tcW w:w="136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5"/>
              </w:rPr>
              <w:t>3.0%</w:t>
            </w:r>
          </w:p>
        </w:tc>
        <w:tc>
          <w:tcPr>
            <w:tcW w:w="0" w:type="dxa"/>
            <w:vAlign w:val="bottom"/>
          </w:tcPr>
          <w:p>
            <w:pPr>
              <w:spacing w:after="0"/>
              <w:rPr>
                <w:sz w:val="1"/>
                <w:szCs w:val="1"/>
                <w:color w:val="auto"/>
              </w:rPr>
            </w:pPr>
          </w:p>
        </w:tc>
      </w:tr>
      <w:tr>
        <w:trPr>
          <w:trHeight w:val="130"/>
        </w:trPr>
        <w:tc>
          <w:tcPr>
            <w:tcW w:w="4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1"/>
                <w:szCs w:val="11"/>
                <w:color w:val="auto"/>
              </w:rPr>
              <w:t>Additional capital requirements</w:t>
            </w:r>
          </w:p>
        </w:tc>
        <w:tc>
          <w:tcPr>
            <w:tcW w:w="1580" w:type="dxa"/>
            <w:vAlign w:val="bottom"/>
            <w:tcBorders>
              <w:bottom w:val="single" w:sz="8" w:color="auto"/>
            </w:tcBorders>
          </w:tcPr>
          <w:p>
            <w:pPr>
              <w:jc w:val="right"/>
              <w:ind w:right="206"/>
              <w:spacing w:after="0"/>
              <w:rPr>
                <w:sz w:val="20"/>
                <w:szCs w:val="20"/>
                <w:color w:val="auto"/>
              </w:rPr>
            </w:pPr>
            <w:r>
              <w:rPr>
                <w:rFonts w:ascii="Arial" w:cs="Arial" w:eastAsia="Arial" w:hAnsi="Arial"/>
                <w:sz w:val="11"/>
                <w:szCs w:val="11"/>
                <w:color w:val="auto"/>
              </w:rPr>
              <w:t>3,494,025</w:t>
            </w:r>
          </w:p>
        </w:tc>
        <w:tc>
          <w:tcPr>
            <w:tcW w:w="11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3,595,810</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5"/>
              </w:rPr>
              <w:t>2.9%</w:t>
            </w:r>
          </w:p>
        </w:tc>
        <w:tc>
          <w:tcPr>
            <w:tcW w:w="0" w:type="dxa"/>
            <w:vAlign w:val="bottom"/>
          </w:tcPr>
          <w:p>
            <w:pPr>
              <w:spacing w:after="0"/>
              <w:rPr>
                <w:sz w:val="1"/>
                <w:szCs w:val="1"/>
                <w:color w:val="auto"/>
              </w:rPr>
            </w:pPr>
          </w:p>
        </w:tc>
      </w:tr>
      <w:tr>
        <w:trPr>
          <w:trHeight w:val="116"/>
        </w:trPr>
        <w:tc>
          <w:tcPr>
            <w:tcW w:w="4960" w:type="dxa"/>
            <w:vAlign w:val="bottom"/>
            <w:tcBorders>
              <w:bottom w:val="single" w:sz="8" w:color="auto"/>
              <w:right w:val="single" w:sz="8" w:color="auto"/>
            </w:tcBorders>
          </w:tcPr>
          <w:p>
            <w:pPr>
              <w:ind w:left="100"/>
              <w:spacing w:after="0" w:line="116" w:lineRule="exact"/>
              <w:rPr>
                <w:sz w:val="20"/>
                <w:szCs w:val="20"/>
                <w:color w:val="auto"/>
              </w:rPr>
            </w:pPr>
            <w:r>
              <w:rPr>
                <w:rFonts w:ascii="Arial" w:cs="Arial" w:eastAsia="Arial" w:hAnsi="Arial"/>
                <w:sz w:val="11"/>
                <w:szCs w:val="11"/>
                <w:b w:val="1"/>
                <w:bCs w:val="1"/>
                <w:color w:val="auto"/>
              </w:rPr>
              <w:t>Total</w:t>
            </w:r>
          </w:p>
        </w:tc>
        <w:tc>
          <w:tcPr>
            <w:tcW w:w="1580" w:type="dxa"/>
            <w:vAlign w:val="bottom"/>
            <w:tcBorders>
              <w:bottom w:val="single" w:sz="8" w:color="auto"/>
            </w:tcBorders>
          </w:tcPr>
          <w:p>
            <w:pPr>
              <w:jc w:val="right"/>
              <w:ind w:right="206"/>
              <w:spacing w:after="0" w:line="116" w:lineRule="exact"/>
              <w:rPr>
                <w:sz w:val="20"/>
                <w:szCs w:val="20"/>
                <w:color w:val="auto"/>
              </w:rPr>
            </w:pPr>
            <w:r>
              <w:rPr>
                <w:rFonts w:ascii="Arial" w:cs="Arial" w:eastAsia="Arial" w:hAnsi="Arial"/>
                <w:sz w:val="11"/>
                <w:szCs w:val="11"/>
                <w:b w:val="1"/>
                <w:bCs w:val="1"/>
                <w:color w:val="auto"/>
              </w:rPr>
              <w:t>16,867,655</w:t>
            </w:r>
          </w:p>
        </w:tc>
        <w:tc>
          <w:tcPr>
            <w:tcW w:w="1120" w:type="dxa"/>
            <w:vAlign w:val="bottom"/>
            <w:tcBorders>
              <w:bottom w:val="single" w:sz="8" w:color="auto"/>
              <w:right w:val="single" w:sz="8" w:color="auto"/>
            </w:tcBorders>
          </w:tcPr>
          <w:p>
            <w:pPr>
              <w:jc w:val="right"/>
              <w:spacing w:after="0" w:line="116" w:lineRule="exact"/>
              <w:rPr>
                <w:sz w:val="20"/>
                <w:szCs w:val="20"/>
                <w:color w:val="auto"/>
              </w:rPr>
            </w:pPr>
            <w:r>
              <w:rPr>
                <w:rFonts w:ascii="Arial" w:cs="Arial" w:eastAsia="Arial" w:hAnsi="Arial"/>
                <w:sz w:val="11"/>
                <w:szCs w:val="11"/>
                <w:b w:val="1"/>
                <w:bCs w:val="1"/>
                <w:color w:val="auto"/>
              </w:rPr>
              <w:t>17,346,562</w:t>
            </w:r>
          </w:p>
        </w:tc>
        <w:tc>
          <w:tcPr>
            <w:tcW w:w="1360" w:type="dxa"/>
            <w:vAlign w:val="bottom"/>
            <w:tcBorders>
              <w:bottom w:val="single" w:sz="8" w:color="auto"/>
              <w:right w:val="single" w:sz="8" w:color="auto"/>
            </w:tcBorders>
          </w:tcPr>
          <w:p>
            <w:pPr>
              <w:jc w:val="center"/>
              <w:spacing w:after="0" w:line="116" w:lineRule="exact"/>
              <w:rPr>
                <w:sz w:val="20"/>
                <w:szCs w:val="20"/>
                <w:color w:val="auto"/>
              </w:rPr>
            </w:pPr>
            <w:r>
              <w:rPr>
                <w:rFonts w:ascii="Arial" w:cs="Arial" w:eastAsia="Arial" w:hAnsi="Arial"/>
                <w:sz w:val="11"/>
                <w:szCs w:val="11"/>
                <w:b w:val="1"/>
                <w:bCs w:val="1"/>
                <w:color w:val="auto"/>
                <w:w w:val="95"/>
              </w:rPr>
              <w:t>2.8%</w:t>
            </w:r>
          </w:p>
        </w:tc>
        <w:tc>
          <w:tcPr>
            <w:tcW w:w="0" w:type="dxa"/>
            <w:vAlign w:val="bottom"/>
          </w:tcPr>
          <w:p>
            <w:pPr>
              <w:spacing w:after="0"/>
              <w:rPr>
                <w:sz w:val="1"/>
                <w:szCs w:val="1"/>
                <w:color w:val="auto"/>
              </w:rPr>
            </w:pPr>
          </w:p>
        </w:tc>
      </w:tr>
      <w:tr>
        <w:trPr>
          <w:trHeight w:val="165"/>
        </w:trPr>
        <w:tc>
          <w:tcPr>
            <w:tcW w:w="4960" w:type="dxa"/>
            <w:vAlign w:val="bottom"/>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960" w:type="dxa"/>
            <w:vAlign w:val="bottom"/>
            <w:tcBorders>
              <w:right w:val="single" w:sz="8" w:color="auto"/>
            </w:tcBorders>
          </w:tcPr>
          <w:p>
            <w:pPr>
              <w:spacing w:after="0"/>
              <w:rPr>
                <w:sz w:val="12"/>
                <w:szCs w:val="12"/>
                <w:color w:val="auto"/>
              </w:rPr>
            </w:pPr>
          </w:p>
        </w:tc>
        <w:tc>
          <w:tcPr>
            <w:tcW w:w="1580" w:type="dxa"/>
            <w:vAlign w:val="bottom"/>
            <w:vMerge w:val="restart"/>
            <w:shd w:val="clear" w:color="auto" w:fill="33CCCC"/>
          </w:tcPr>
          <w:p>
            <w:pPr>
              <w:ind w:left="480"/>
              <w:spacing w:after="0"/>
              <w:rPr>
                <w:sz w:val="20"/>
                <w:szCs w:val="20"/>
                <w:color w:val="auto"/>
              </w:rPr>
            </w:pPr>
            <w:r>
              <w:rPr>
                <w:rFonts w:ascii="Arial" w:cs="Arial" w:eastAsia="Arial" w:hAnsi="Arial"/>
                <w:sz w:val="11"/>
                <w:szCs w:val="11"/>
                <w:b w:val="1"/>
                <w:bCs w:val="1"/>
                <w:color w:val="FFFFFF"/>
              </w:rPr>
              <w:t>Jun 23</w:t>
            </w:r>
          </w:p>
        </w:tc>
        <w:tc>
          <w:tcPr>
            <w:tcW w:w="1120" w:type="dxa"/>
            <w:vAlign w:val="bottom"/>
            <w:tcBorders>
              <w:right w:val="single" w:sz="8" w:color="auto"/>
            </w:tcBorders>
            <w:vMerge w:val="restart"/>
            <w:shd w:val="clear" w:color="auto" w:fill="33CCCC"/>
          </w:tcPr>
          <w:p>
            <w:pPr>
              <w:ind w:left="240"/>
              <w:spacing w:after="0"/>
              <w:rPr>
                <w:sz w:val="20"/>
                <w:szCs w:val="20"/>
                <w:color w:val="auto"/>
              </w:rPr>
            </w:pPr>
            <w:r>
              <w:rPr>
                <w:rFonts w:ascii="Arial" w:cs="Arial" w:eastAsia="Arial" w:hAnsi="Arial"/>
                <w:sz w:val="11"/>
                <w:szCs w:val="11"/>
                <w:b w:val="1"/>
                <w:bCs w:val="1"/>
                <w:color w:val="FFFFFF"/>
              </w:rPr>
              <w:t>Sep 23</w:t>
            </w:r>
          </w:p>
        </w:tc>
        <w:tc>
          <w:tcPr>
            <w:tcW w:w="1360" w:type="dxa"/>
            <w:vAlign w:val="bottom"/>
            <w:tcBorders>
              <w:right w:val="single" w:sz="8" w:color="auto"/>
            </w:tcBorders>
            <w:shd w:val="clear" w:color="auto" w:fill="33CCCC"/>
          </w:tcPr>
          <w:p>
            <w:pPr>
              <w:jc w:val="center"/>
              <w:spacing w:after="0"/>
              <w:rPr>
                <w:sz w:val="20"/>
                <w:szCs w:val="20"/>
                <w:color w:val="auto"/>
              </w:rPr>
            </w:pPr>
            <w:r>
              <w:rPr>
                <w:rFonts w:ascii="Arial" w:cs="Arial" w:eastAsia="Arial" w:hAnsi="Arial"/>
                <w:sz w:val="11"/>
                <w:szCs w:val="11"/>
                <w:b w:val="1"/>
                <w:bCs w:val="1"/>
                <w:color w:val="FFFFFF"/>
                <w:w w:val="99"/>
              </w:rPr>
              <w:t>Change</w:t>
            </w:r>
          </w:p>
        </w:tc>
        <w:tc>
          <w:tcPr>
            <w:tcW w:w="0" w:type="dxa"/>
            <w:vAlign w:val="bottom"/>
          </w:tcPr>
          <w:p>
            <w:pPr>
              <w:spacing w:after="0"/>
              <w:rPr>
                <w:sz w:val="1"/>
                <w:szCs w:val="1"/>
                <w:color w:val="auto"/>
              </w:rPr>
            </w:pPr>
          </w:p>
        </w:tc>
      </w:tr>
      <w:tr>
        <w:trPr>
          <w:trHeight w:val="87"/>
        </w:trPr>
        <w:tc>
          <w:tcPr>
            <w:tcW w:w="4960" w:type="dxa"/>
            <w:vAlign w:val="bottom"/>
            <w:tcBorders>
              <w:right w:val="single" w:sz="8" w:color="auto"/>
            </w:tcBorders>
            <w:vMerge w:val="restart"/>
          </w:tcPr>
          <w:p>
            <w:pPr>
              <w:spacing w:after="0"/>
              <w:rPr>
                <w:sz w:val="20"/>
                <w:szCs w:val="20"/>
                <w:color w:val="auto"/>
              </w:rPr>
            </w:pPr>
            <w:r>
              <w:rPr>
                <w:rFonts w:ascii="Arial" w:cs="Arial" w:eastAsia="Arial" w:hAnsi="Arial"/>
                <w:sz w:val="12"/>
                <w:szCs w:val="12"/>
                <w:b w:val="1"/>
                <w:bCs w:val="1"/>
                <w:color w:val="auto"/>
              </w:rPr>
              <w:t>Capital ratios under Local Regulation</w:t>
            </w:r>
          </w:p>
        </w:tc>
        <w:tc>
          <w:tcPr>
            <w:tcW w:w="1580" w:type="dxa"/>
            <w:vAlign w:val="bottom"/>
            <w:vMerge w:val="continue"/>
            <w:shd w:val="clear" w:color="auto" w:fill="33CCCC"/>
          </w:tcPr>
          <w:p>
            <w:pPr>
              <w:spacing w:after="0"/>
              <w:rPr>
                <w:sz w:val="7"/>
                <w:szCs w:val="7"/>
                <w:color w:val="auto"/>
              </w:rPr>
            </w:pPr>
          </w:p>
        </w:tc>
        <w:tc>
          <w:tcPr>
            <w:tcW w:w="1120" w:type="dxa"/>
            <w:vAlign w:val="bottom"/>
            <w:tcBorders>
              <w:right w:val="single" w:sz="8" w:color="auto"/>
            </w:tcBorders>
            <w:vMerge w:val="continue"/>
            <w:shd w:val="clear" w:color="auto" w:fill="33CCCC"/>
          </w:tcPr>
          <w:p>
            <w:pPr>
              <w:spacing w:after="0"/>
              <w:rPr>
                <w:sz w:val="7"/>
                <w:szCs w:val="7"/>
                <w:color w:val="auto"/>
              </w:rPr>
            </w:pPr>
          </w:p>
        </w:tc>
        <w:tc>
          <w:tcPr>
            <w:tcW w:w="1360" w:type="dxa"/>
            <w:vAlign w:val="bottom"/>
            <w:tcBorders>
              <w:right w:val="single" w:sz="8" w:color="auto"/>
            </w:tcBorders>
            <w:vMerge w:val="restart"/>
            <w:shd w:val="clear" w:color="auto" w:fill="33CCCC"/>
          </w:tcPr>
          <w:p>
            <w:pPr>
              <w:jc w:val="center"/>
              <w:spacing w:after="0"/>
              <w:rPr>
                <w:sz w:val="20"/>
                <w:szCs w:val="20"/>
                <w:color w:val="auto"/>
              </w:rPr>
            </w:pPr>
            <w:r>
              <w:rPr>
                <w:rFonts w:ascii="Arial" w:cs="Arial" w:eastAsia="Arial" w:hAnsi="Arial"/>
                <w:sz w:val="11"/>
                <w:szCs w:val="11"/>
                <w:b w:val="1"/>
                <w:bCs w:val="1"/>
                <w:color w:val="FFFFFF"/>
              </w:rPr>
              <w:t>QoQ</w:t>
            </w:r>
          </w:p>
        </w:tc>
        <w:tc>
          <w:tcPr>
            <w:tcW w:w="0" w:type="dxa"/>
            <w:vAlign w:val="bottom"/>
          </w:tcPr>
          <w:p>
            <w:pPr>
              <w:spacing w:after="0"/>
              <w:rPr>
                <w:sz w:val="1"/>
                <w:szCs w:val="1"/>
                <w:color w:val="auto"/>
              </w:rPr>
            </w:pPr>
          </w:p>
        </w:tc>
      </w:tr>
      <w:tr>
        <w:trPr>
          <w:trHeight w:val="84"/>
        </w:trPr>
        <w:tc>
          <w:tcPr>
            <w:tcW w:w="4960" w:type="dxa"/>
            <w:vAlign w:val="bottom"/>
            <w:tcBorders>
              <w:bottom w:val="single" w:sz="8" w:color="auto"/>
              <w:right w:val="single" w:sz="8" w:color="auto"/>
            </w:tcBorders>
            <w:vMerge w:val="continue"/>
          </w:tcPr>
          <w:p>
            <w:pPr>
              <w:spacing w:after="0"/>
              <w:rPr>
                <w:sz w:val="7"/>
                <w:szCs w:val="7"/>
                <w:color w:val="auto"/>
              </w:rPr>
            </w:pPr>
          </w:p>
        </w:tc>
        <w:tc>
          <w:tcPr>
            <w:tcW w:w="1580" w:type="dxa"/>
            <w:vAlign w:val="bottom"/>
            <w:tcBorders>
              <w:bottom w:val="single" w:sz="8" w:color="auto"/>
            </w:tcBorders>
            <w:shd w:val="clear" w:color="auto" w:fill="33CCCC"/>
          </w:tcPr>
          <w:p>
            <w:pPr>
              <w:spacing w:after="0"/>
              <w:rPr>
                <w:sz w:val="7"/>
                <w:szCs w:val="7"/>
                <w:color w:val="auto"/>
              </w:rPr>
            </w:pPr>
          </w:p>
        </w:tc>
        <w:tc>
          <w:tcPr>
            <w:tcW w:w="1120" w:type="dxa"/>
            <w:vAlign w:val="bottom"/>
            <w:tcBorders>
              <w:bottom w:val="single" w:sz="8" w:color="auto"/>
              <w:right w:val="single" w:sz="8" w:color="auto"/>
            </w:tcBorders>
            <w:shd w:val="clear" w:color="auto" w:fill="33CCCC"/>
          </w:tcPr>
          <w:p>
            <w:pPr>
              <w:spacing w:after="0"/>
              <w:rPr>
                <w:sz w:val="7"/>
                <w:szCs w:val="7"/>
                <w:color w:val="auto"/>
              </w:rPr>
            </w:pPr>
          </w:p>
        </w:tc>
        <w:tc>
          <w:tcPr>
            <w:tcW w:w="1360" w:type="dxa"/>
            <w:vAlign w:val="bottom"/>
            <w:tcBorders>
              <w:bottom w:val="single" w:sz="8" w:color="auto"/>
              <w:right w:val="single" w:sz="8" w:color="auto"/>
            </w:tcBorders>
            <w:vMerge w:val="continue"/>
            <w:shd w:val="clear" w:color="auto" w:fill="33CCCC"/>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4960" w:type="dxa"/>
            <w:vAlign w:val="bottom"/>
            <w:tcBorders>
              <w:left w:val="single" w:sz="8" w:color="auto"/>
              <w:right w:val="single" w:sz="8" w:color="auto"/>
            </w:tcBorders>
          </w:tcPr>
          <w:p>
            <w:pPr>
              <w:ind w:left="100"/>
              <w:spacing w:after="0" w:line="106" w:lineRule="exact"/>
              <w:rPr>
                <w:sz w:val="20"/>
                <w:szCs w:val="20"/>
                <w:color w:val="auto"/>
              </w:rPr>
            </w:pPr>
            <w:r>
              <w:rPr>
                <w:rFonts w:ascii="Arial" w:cs="Arial" w:eastAsia="Arial" w:hAnsi="Arial"/>
                <w:sz w:val="11"/>
                <w:szCs w:val="11"/>
                <w:b w:val="1"/>
                <w:bCs w:val="1"/>
                <w:color w:val="auto"/>
              </w:rPr>
              <w:t>Common Equity Tier 1 ratio</w:t>
            </w:r>
          </w:p>
        </w:tc>
        <w:tc>
          <w:tcPr>
            <w:tcW w:w="1580" w:type="dxa"/>
            <w:vAlign w:val="bottom"/>
          </w:tcPr>
          <w:p>
            <w:pPr>
              <w:ind w:left="480"/>
              <w:spacing w:after="0" w:line="106" w:lineRule="exact"/>
              <w:rPr>
                <w:sz w:val="20"/>
                <w:szCs w:val="20"/>
                <w:color w:val="auto"/>
              </w:rPr>
            </w:pPr>
            <w:r>
              <w:rPr>
                <w:rFonts w:ascii="Arial" w:cs="Arial" w:eastAsia="Arial" w:hAnsi="Arial"/>
                <w:sz w:val="11"/>
                <w:szCs w:val="11"/>
                <w:color w:val="auto"/>
              </w:rPr>
              <w:t>12.75%</w:t>
            </w:r>
          </w:p>
        </w:tc>
        <w:tc>
          <w:tcPr>
            <w:tcW w:w="1120" w:type="dxa"/>
            <w:vAlign w:val="bottom"/>
            <w:tcBorders>
              <w:right w:val="single" w:sz="8" w:color="auto"/>
            </w:tcBorders>
          </w:tcPr>
          <w:p>
            <w:pPr>
              <w:ind w:left="240"/>
              <w:spacing w:after="0" w:line="106" w:lineRule="exact"/>
              <w:rPr>
                <w:sz w:val="20"/>
                <w:szCs w:val="20"/>
                <w:color w:val="auto"/>
              </w:rPr>
            </w:pPr>
            <w:r>
              <w:rPr>
                <w:rFonts w:ascii="Arial" w:cs="Arial" w:eastAsia="Arial" w:hAnsi="Arial"/>
                <w:sz w:val="11"/>
                <w:szCs w:val="11"/>
                <w:color w:val="auto"/>
              </w:rPr>
              <w:t>13.01%</w:t>
            </w:r>
          </w:p>
        </w:tc>
        <w:tc>
          <w:tcPr>
            <w:tcW w:w="136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1"/>
                <w:szCs w:val="11"/>
                <w:color w:val="auto"/>
                <w:w w:val="96"/>
              </w:rPr>
              <w:t>26 bps</w:t>
            </w:r>
          </w:p>
        </w:tc>
        <w:tc>
          <w:tcPr>
            <w:tcW w:w="0" w:type="dxa"/>
            <w:vAlign w:val="bottom"/>
          </w:tcPr>
          <w:p>
            <w:pPr>
              <w:spacing w:after="0"/>
              <w:rPr>
                <w:sz w:val="1"/>
                <w:szCs w:val="1"/>
                <w:color w:val="auto"/>
              </w:rPr>
            </w:pPr>
          </w:p>
        </w:tc>
      </w:tr>
      <w:tr>
        <w:trPr>
          <w:trHeight w:val="124"/>
        </w:trPr>
        <w:tc>
          <w:tcPr>
            <w:tcW w:w="4960" w:type="dxa"/>
            <w:vAlign w:val="bottom"/>
            <w:tcBorders>
              <w:left w:val="single" w:sz="8" w:color="auto"/>
              <w:right w:val="single" w:sz="8" w:color="auto"/>
            </w:tcBorders>
          </w:tcPr>
          <w:p>
            <w:pPr>
              <w:ind w:left="100"/>
              <w:spacing w:after="0" w:line="124" w:lineRule="exact"/>
              <w:rPr>
                <w:sz w:val="20"/>
                <w:szCs w:val="20"/>
                <w:color w:val="auto"/>
              </w:rPr>
            </w:pPr>
            <w:r>
              <w:rPr>
                <w:rFonts w:ascii="Arial" w:cs="Arial" w:eastAsia="Arial" w:hAnsi="Arial"/>
                <w:sz w:val="11"/>
                <w:szCs w:val="11"/>
                <w:b w:val="1"/>
                <w:bCs w:val="1"/>
                <w:color w:val="auto"/>
              </w:rPr>
              <w:t>Tier 1 Capital ratio</w:t>
            </w:r>
          </w:p>
        </w:tc>
        <w:tc>
          <w:tcPr>
            <w:tcW w:w="1580" w:type="dxa"/>
            <w:vAlign w:val="bottom"/>
          </w:tcPr>
          <w:p>
            <w:pPr>
              <w:ind w:left="480"/>
              <w:spacing w:after="0" w:line="124" w:lineRule="exact"/>
              <w:rPr>
                <w:sz w:val="20"/>
                <w:szCs w:val="20"/>
                <w:color w:val="auto"/>
              </w:rPr>
            </w:pPr>
            <w:r>
              <w:rPr>
                <w:rFonts w:ascii="Arial" w:cs="Arial" w:eastAsia="Arial" w:hAnsi="Arial"/>
                <w:sz w:val="11"/>
                <w:szCs w:val="11"/>
                <w:color w:val="auto"/>
              </w:rPr>
              <w:t>12.75%</w:t>
            </w:r>
          </w:p>
        </w:tc>
        <w:tc>
          <w:tcPr>
            <w:tcW w:w="1120" w:type="dxa"/>
            <w:vAlign w:val="bottom"/>
            <w:tcBorders>
              <w:right w:val="single" w:sz="8" w:color="auto"/>
            </w:tcBorders>
          </w:tcPr>
          <w:p>
            <w:pPr>
              <w:ind w:left="240"/>
              <w:spacing w:after="0" w:line="124" w:lineRule="exact"/>
              <w:rPr>
                <w:sz w:val="20"/>
                <w:szCs w:val="20"/>
                <w:color w:val="auto"/>
              </w:rPr>
            </w:pPr>
            <w:r>
              <w:rPr>
                <w:rFonts w:ascii="Arial" w:cs="Arial" w:eastAsia="Arial" w:hAnsi="Arial"/>
                <w:sz w:val="11"/>
                <w:szCs w:val="11"/>
                <w:color w:val="auto"/>
              </w:rPr>
              <w:t>13.01%</w:t>
            </w:r>
          </w:p>
        </w:tc>
        <w:tc>
          <w:tcPr>
            <w:tcW w:w="136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6"/>
              </w:rPr>
              <w:t>26 bps</w:t>
            </w:r>
          </w:p>
        </w:tc>
        <w:tc>
          <w:tcPr>
            <w:tcW w:w="0" w:type="dxa"/>
            <w:vAlign w:val="bottom"/>
          </w:tcPr>
          <w:p>
            <w:pPr>
              <w:spacing w:after="0"/>
              <w:rPr>
                <w:sz w:val="1"/>
                <w:szCs w:val="1"/>
                <w:color w:val="auto"/>
              </w:rPr>
            </w:pPr>
          </w:p>
        </w:tc>
      </w:tr>
      <w:tr>
        <w:trPr>
          <w:trHeight w:val="134"/>
        </w:trPr>
        <w:tc>
          <w:tcPr>
            <w:tcW w:w="496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1"/>
                <w:szCs w:val="11"/>
                <w:b w:val="1"/>
                <w:bCs w:val="1"/>
                <w:color w:val="auto"/>
              </w:rPr>
              <w:t>Regulatory Global Capital ratio</w:t>
            </w:r>
          </w:p>
        </w:tc>
        <w:tc>
          <w:tcPr>
            <w:tcW w:w="1580" w:type="dxa"/>
            <w:vAlign w:val="bottom"/>
            <w:tcBorders>
              <w:bottom w:val="single" w:sz="8" w:color="auto"/>
            </w:tcBorders>
          </w:tcPr>
          <w:p>
            <w:pPr>
              <w:ind w:left="480"/>
              <w:spacing w:after="0"/>
              <w:rPr>
                <w:sz w:val="20"/>
                <w:szCs w:val="20"/>
                <w:color w:val="auto"/>
              </w:rPr>
            </w:pPr>
            <w:r>
              <w:rPr>
                <w:rFonts w:ascii="Arial" w:cs="Arial" w:eastAsia="Arial" w:hAnsi="Arial"/>
                <w:sz w:val="11"/>
                <w:szCs w:val="11"/>
                <w:color w:val="auto"/>
              </w:rPr>
              <w:t>17.20%</w:t>
            </w:r>
          </w:p>
        </w:tc>
        <w:tc>
          <w:tcPr>
            <w:tcW w:w="1120" w:type="dxa"/>
            <w:vAlign w:val="bottom"/>
            <w:tcBorders>
              <w:bottom w:val="single" w:sz="8" w:color="auto"/>
              <w:right w:val="single" w:sz="8" w:color="auto"/>
            </w:tcBorders>
          </w:tcPr>
          <w:p>
            <w:pPr>
              <w:ind w:left="240"/>
              <w:spacing w:after="0"/>
              <w:rPr>
                <w:sz w:val="20"/>
                <w:szCs w:val="20"/>
                <w:color w:val="auto"/>
              </w:rPr>
            </w:pPr>
            <w:r>
              <w:rPr>
                <w:rFonts w:ascii="Arial" w:cs="Arial" w:eastAsia="Arial" w:hAnsi="Arial"/>
                <w:sz w:val="11"/>
                <w:szCs w:val="11"/>
                <w:color w:val="auto"/>
              </w:rPr>
              <w:t>17.51%</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6"/>
              </w:rPr>
              <w:t>31 bps</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840" w:hanging="139"/>
        <w:spacing w:after="0"/>
        <w:tabs>
          <w:tab w:leader="none" w:pos="840" w:val="left"/>
        </w:tabs>
        <w:numPr>
          <w:ilvl w:val="0"/>
          <w:numId w:val="63"/>
        </w:numPr>
        <w:rPr>
          <w:rFonts w:ascii="Arial" w:cs="Arial" w:eastAsia="Arial" w:hAnsi="Arial"/>
          <w:sz w:val="11"/>
          <w:szCs w:val="11"/>
          <w:color w:val="auto"/>
        </w:rPr>
      </w:pPr>
      <w:r>
        <w:rPr>
          <w:rFonts w:ascii="Arial" w:cs="Arial" w:eastAsia="Arial" w:hAnsi="Arial"/>
          <w:sz w:val="11"/>
          <w:szCs w:val="11"/>
          <w:color w:val="auto"/>
        </w:rPr>
        <w:t>Up to 1.25% of total risk-weighted assets.</w:t>
      </w:r>
    </w:p>
    <w:p>
      <w:pPr>
        <w:spacing w:after="0" w:line="10" w:lineRule="exact"/>
        <w:rPr>
          <w:rFonts w:ascii="Arial" w:cs="Arial" w:eastAsia="Arial" w:hAnsi="Arial"/>
          <w:sz w:val="11"/>
          <w:szCs w:val="11"/>
          <w:color w:val="auto"/>
        </w:rPr>
      </w:pPr>
    </w:p>
    <w:p>
      <w:pPr>
        <w:ind w:left="700" w:right="260" w:firstLine="1"/>
        <w:spacing w:after="0" w:line="241" w:lineRule="auto"/>
        <w:tabs>
          <w:tab w:leader="none" w:pos="842" w:val="left"/>
        </w:tabs>
        <w:numPr>
          <w:ilvl w:val="0"/>
          <w:numId w:val="63"/>
        </w:numPr>
        <w:rPr>
          <w:rFonts w:ascii="Arial" w:cs="Arial" w:eastAsia="Arial" w:hAnsi="Arial"/>
          <w:sz w:val="11"/>
          <w:szCs w:val="11"/>
          <w:color w:val="auto"/>
        </w:rPr>
      </w:pPr>
      <w:r>
        <w:rPr>
          <w:rFonts w:ascii="Arial" w:cs="Arial" w:eastAsia="Arial" w:hAnsi="Arial"/>
          <w:sz w:val="11"/>
          <w:szCs w:val="11"/>
          <w:color w:val="auto"/>
        </w:rPr>
        <w:t>Common Equity Tier 1 = Capital Stock + Reserves + Accumulated earnings – Unrealized profits or losses - 100% deductions (investment in subsidiaries, goodwill, intangible assets and deferred tax assets based on future returns).</w:t>
      </w:r>
    </w:p>
    <w:p>
      <w:pPr>
        <w:ind w:left="840" w:hanging="139"/>
        <w:spacing w:after="0" w:line="234" w:lineRule="auto"/>
        <w:tabs>
          <w:tab w:leader="none" w:pos="840" w:val="left"/>
        </w:tabs>
        <w:numPr>
          <w:ilvl w:val="0"/>
          <w:numId w:val="63"/>
        </w:numPr>
        <w:rPr>
          <w:rFonts w:ascii="Arial" w:cs="Arial" w:eastAsia="Arial" w:hAnsi="Arial"/>
          <w:sz w:val="11"/>
          <w:szCs w:val="11"/>
          <w:color w:val="auto"/>
        </w:rPr>
      </w:pPr>
      <w:r>
        <w:rPr>
          <w:rFonts w:ascii="Arial" w:cs="Arial" w:eastAsia="Arial" w:hAnsi="Arial"/>
          <w:sz w:val="11"/>
          <w:szCs w:val="11"/>
          <w:color w:val="auto"/>
        </w:rPr>
        <w:t>Regulatory Tier 1 Capital = Common Equity Tier 1 + Tier 1 Subordinated Debt (Perpetual).</w:t>
      </w:r>
    </w:p>
    <w:p>
      <w:pPr>
        <w:ind w:left="840" w:hanging="139"/>
        <w:spacing w:after="0"/>
        <w:tabs>
          <w:tab w:leader="none" w:pos="840" w:val="left"/>
        </w:tabs>
        <w:numPr>
          <w:ilvl w:val="0"/>
          <w:numId w:val="63"/>
        </w:numPr>
        <w:rPr>
          <w:rFonts w:ascii="Arial" w:cs="Arial" w:eastAsia="Arial" w:hAnsi="Arial"/>
          <w:sz w:val="11"/>
          <w:szCs w:val="11"/>
          <w:color w:val="auto"/>
        </w:rPr>
      </w:pPr>
      <w:r>
        <w:rPr>
          <w:rFonts w:ascii="Arial" w:cs="Arial" w:eastAsia="Arial" w:hAnsi="Arial"/>
          <w:sz w:val="11"/>
          <w:szCs w:val="11"/>
          <w:color w:val="auto"/>
        </w:rPr>
        <w:t>Regulatory Tier 2 Capital = Subordinated Debt + Loan loss reserves.</w:t>
      </w:r>
    </w:p>
    <w:p>
      <w:pPr>
        <w:spacing w:after="0" w:line="31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33020</wp:posOffset>
            </wp:positionV>
            <wp:extent cx="7143750" cy="1587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00"/>
          </w:cols>
          <w:pgMar w:left="360" w:top="337" w:right="339" w:bottom="1440" w:gutter="0" w:footer="0" w:header="0"/>
        </w:sectPr>
      </w:pPr>
    </w:p>
    <w:bookmarkStart w:id="60" w:name="page61"/>
    <w:bookmarkEnd w:id="60"/>
    <w:p>
      <w:pPr>
        <w:ind w:left="2920"/>
        <w:spacing w:after="0"/>
        <w:tabs>
          <w:tab w:leader="none" w:pos="3100" w:val="left"/>
          <w:tab w:leader="none" w:pos="7660" w:val="left"/>
        </w:tabs>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202565</wp:posOffset>
            </wp:positionH>
            <wp:positionV relativeFrom="page">
              <wp:posOffset>88900</wp:posOffset>
            </wp:positionV>
            <wp:extent cx="7143750" cy="41592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3750" cy="415925"/>
                    </a:xfrm>
                    <a:prstGeom prst="rect">
                      <a:avLst/>
                    </a:prstGeom>
                    <a:noFill/>
                  </pic:spPr>
                </pic:pic>
              </a:graphicData>
            </a:graphic>
          </wp:anchor>
        </w:drawing>
        <w:t>|</w:t>
      </w:r>
      <w:r>
        <w:rPr>
          <w:sz w:val="20"/>
          <w:szCs w:val="20"/>
          <w:color w:val="auto"/>
        </w:rPr>
        <w:tab/>
      </w:r>
      <w:r>
        <w:rPr>
          <w:rFonts w:ascii="Arial" w:cs="Arial" w:eastAsia="Arial" w:hAnsi="Arial"/>
          <w:sz w:val="16"/>
          <w:szCs w:val="16"/>
          <w:b w:val="1"/>
          <w:bCs w:val="1"/>
          <w:color w:val="FFFFFF"/>
        </w:rPr>
        <w:t>Earnings Release 3Q / 2023</w:t>
      </w:r>
      <w:r>
        <w:rPr>
          <w:sz w:val="20"/>
          <w:szCs w:val="20"/>
          <w:color w:val="auto"/>
        </w:rPr>
        <w:tab/>
      </w:r>
      <w:r>
        <w:rPr>
          <w:rFonts w:ascii="Arial" w:cs="Arial" w:eastAsia="Arial" w:hAnsi="Arial"/>
          <w:sz w:val="18"/>
          <w:szCs w:val="18"/>
          <w:b w:val="1"/>
          <w:bCs w:val="1"/>
          <w:color w:val="E93CAC"/>
        </w:rPr>
        <w:t>Analysis of 3Q23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175260</wp:posOffset>
            </wp:positionV>
            <wp:extent cx="7143750" cy="2038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3750" cy="203835"/>
                    </a:xfrm>
                    <a:prstGeom prst="rect">
                      <a:avLst/>
                    </a:prstGeom>
                    <a:noFill/>
                  </pic:spPr>
                </pic:pic>
              </a:graphicData>
            </a:graphic>
          </wp:anchor>
        </w:drawing>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b w:val="1"/>
          <w:bCs w:val="1"/>
          <w:color w:val="FFFFFF"/>
        </w:rPr>
        <w:t>12. Appendix</w:t>
      </w:r>
    </w:p>
    <w:p>
      <w:pPr>
        <w:spacing w:after="0" w:line="249"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Regulatory Capital and Capital Adequacy Ratios at Mibanco</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(S/ thousands, IFRS)</w:t>
      </w:r>
    </w:p>
    <w:p>
      <w:pPr>
        <w:spacing w:after="0" w:line="168" w:lineRule="exact"/>
        <w:rPr>
          <w:sz w:val="20"/>
          <w:szCs w:val="20"/>
          <w:color w:val="auto"/>
        </w:rPr>
      </w:pPr>
    </w:p>
    <w:tbl>
      <w:tblPr>
        <w:tblLayout w:type="fixed"/>
        <w:tblInd w:w="1090" w:type="dxa"/>
        <w:tblCellMar>
          <w:top w:w="0" w:type="dxa"/>
          <w:left w:w="0" w:type="dxa"/>
          <w:bottom w:w="0" w:type="dxa"/>
          <w:right w:w="0" w:type="dxa"/>
        </w:tblCellMar>
      </w:tblPr>
      <w:tr>
        <w:trPr>
          <w:trHeight w:val="194"/>
        </w:trPr>
        <w:tc>
          <w:tcPr>
            <w:tcW w:w="5440" w:type="dxa"/>
            <w:vAlign w:val="bottom"/>
            <w:tcBorders>
              <w:top w:val="single" w:sz="8" w:color="auto"/>
              <w:left w:val="single" w:sz="8" w:color="auto"/>
              <w:right w:val="single" w:sz="8" w:color="auto"/>
            </w:tcBorders>
            <w:shd w:val="clear" w:color="auto" w:fill="2AD2C8"/>
          </w:tcPr>
          <w:p>
            <w:pPr>
              <w:ind w:left="100"/>
              <w:spacing w:after="0"/>
              <w:rPr>
                <w:sz w:val="20"/>
                <w:szCs w:val="20"/>
                <w:color w:val="auto"/>
              </w:rPr>
            </w:pPr>
            <w:r>
              <w:rPr>
                <w:rFonts w:ascii="Arial" w:cs="Arial" w:eastAsia="Arial" w:hAnsi="Arial"/>
                <w:sz w:val="13"/>
                <w:szCs w:val="13"/>
                <w:b w:val="1"/>
                <w:bCs w:val="1"/>
                <w:color w:val="FFFFFF"/>
              </w:rPr>
              <w:t>Regulatory Capital</w:t>
            </w:r>
          </w:p>
        </w:tc>
        <w:tc>
          <w:tcPr>
            <w:tcW w:w="1240" w:type="dxa"/>
            <w:vAlign w:val="bottom"/>
            <w:tcBorders>
              <w:top w:val="single" w:sz="8" w:color="auto"/>
            </w:tcBorders>
            <w:vMerge w:val="restart"/>
            <w:shd w:val="clear" w:color="auto" w:fill="2AD2C8"/>
          </w:tcPr>
          <w:p>
            <w:pPr>
              <w:ind w:left="300"/>
              <w:spacing w:after="0"/>
              <w:rPr>
                <w:sz w:val="20"/>
                <w:szCs w:val="20"/>
                <w:color w:val="auto"/>
              </w:rPr>
            </w:pPr>
            <w:r>
              <w:rPr>
                <w:rFonts w:ascii="Arial" w:cs="Arial" w:eastAsia="Arial" w:hAnsi="Arial"/>
                <w:sz w:val="13"/>
                <w:szCs w:val="13"/>
                <w:b w:val="1"/>
                <w:bCs w:val="1"/>
                <w:color w:val="FFFFFF"/>
              </w:rPr>
              <w:t>Jun 23</w:t>
            </w:r>
          </w:p>
        </w:tc>
        <w:tc>
          <w:tcPr>
            <w:tcW w:w="1000" w:type="dxa"/>
            <w:vAlign w:val="bottom"/>
            <w:tcBorders>
              <w:top w:val="single" w:sz="8" w:color="auto"/>
              <w:right w:val="single" w:sz="8" w:color="auto"/>
            </w:tcBorders>
            <w:vMerge w:val="restart"/>
            <w:shd w:val="clear" w:color="auto" w:fill="2AD2C8"/>
          </w:tcPr>
          <w:p>
            <w:pPr>
              <w:ind w:left="180"/>
              <w:spacing w:after="0"/>
              <w:rPr>
                <w:sz w:val="20"/>
                <w:szCs w:val="20"/>
                <w:color w:val="auto"/>
              </w:rPr>
            </w:pPr>
            <w:r>
              <w:rPr>
                <w:rFonts w:ascii="Arial" w:cs="Arial" w:eastAsia="Arial" w:hAnsi="Arial"/>
                <w:sz w:val="13"/>
                <w:szCs w:val="13"/>
                <w:b w:val="1"/>
                <w:bCs w:val="1"/>
                <w:color w:val="FFFFFF"/>
              </w:rPr>
              <w:t>Sep 23</w:t>
            </w:r>
          </w:p>
        </w:tc>
        <w:tc>
          <w:tcPr>
            <w:tcW w:w="1340" w:type="dxa"/>
            <w:vAlign w:val="bottom"/>
            <w:tcBorders>
              <w:top w:val="single" w:sz="8" w:color="auto"/>
              <w:right w:val="single" w:sz="8" w:color="auto"/>
            </w:tcBorders>
            <w:vMerge w:val="restart"/>
            <w:shd w:val="clear" w:color="auto" w:fill="2AD2C8"/>
          </w:tcPr>
          <w:p>
            <w:pPr>
              <w:jc w:val="center"/>
              <w:spacing w:after="0"/>
              <w:rPr>
                <w:sz w:val="20"/>
                <w:szCs w:val="20"/>
                <w:color w:val="auto"/>
              </w:rPr>
            </w:pPr>
            <w:r>
              <w:rPr>
                <w:rFonts w:ascii="Arial" w:cs="Arial" w:eastAsia="Arial" w:hAnsi="Arial"/>
                <w:sz w:val="13"/>
                <w:szCs w:val="13"/>
                <w:b w:val="1"/>
                <w:bCs w:val="1"/>
                <w:color w:val="FFFFFF"/>
              </w:rPr>
              <w:t>% Change QoQ</w:t>
            </w:r>
          </w:p>
        </w:tc>
        <w:tc>
          <w:tcPr>
            <w:tcW w:w="0" w:type="dxa"/>
            <w:vAlign w:val="bottom"/>
          </w:tcPr>
          <w:p>
            <w:pPr>
              <w:spacing w:after="0"/>
              <w:rPr>
                <w:sz w:val="1"/>
                <w:szCs w:val="1"/>
                <w:color w:val="auto"/>
              </w:rPr>
            </w:pPr>
          </w:p>
        </w:tc>
      </w:tr>
      <w:tr>
        <w:trPr>
          <w:trHeight w:val="76"/>
        </w:trPr>
        <w:tc>
          <w:tcPr>
            <w:tcW w:w="5440" w:type="dxa"/>
            <w:vAlign w:val="bottom"/>
            <w:tcBorders>
              <w:left w:val="single" w:sz="8" w:color="auto"/>
              <w:right w:val="single" w:sz="8" w:color="auto"/>
            </w:tcBorders>
            <w:vMerge w:val="restart"/>
            <w:shd w:val="clear" w:color="auto" w:fill="2AD2C8"/>
          </w:tcPr>
          <w:p>
            <w:pPr>
              <w:ind w:left="100"/>
              <w:spacing w:after="0"/>
              <w:rPr>
                <w:sz w:val="20"/>
                <w:szCs w:val="20"/>
                <w:color w:val="auto"/>
              </w:rPr>
            </w:pPr>
            <w:r>
              <w:rPr>
                <w:rFonts w:ascii="Arial" w:cs="Arial" w:eastAsia="Arial" w:hAnsi="Arial"/>
                <w:sz w:val="13"/>
                <w:szCs w:val="13"/>
                <w:color w:val="FFFFFF"/>
              </w:rPr>
              <w:t>(S/ thousand)</w:t>
            </w:r>
          </w:p>
        </w:tc>
        <w:tc>
          <w:tcPr>
            <w:tcW w:w="1240" w:type="dxa"/>
            <w:vAlign w:val="bottom"/>
            <w:vMerge w:val="continue"/>
            <w:shd w:val="clear" w:color="auto" w:fill="2AD2C8"/>
          </w:tcPr>
          <w:p>
            <w:pPr>
              <w:spacing w:after="0"/>
              <w:rPr>
                <w:sz w:val="6"/>
                <w:szCs w:val="6"/>
                <w:color w:val="auto"/>
              </w:rPr>
            </w:pPr>
          </w:p>
        </w:tc>
        <w:tc>
          <w:tcPr>
            <w:tcW w:w="1000" w:type="dxa"/>
            <w:vAlign w:val="bottom"/>
            <w:tcBorders>
              <w:right w:val="single" w:sz="8" w:color="auto"/>
            </w:tcBorders>
            <w:vMerge w:val="continue"/>
            <w:shd w:val="clear" w:color="auto" w:fill="2AD2C8"/>
          </w:tcPr>
          <w:p>
            <w:pPr>
              <w:spacing w:after="0"/>
              <w:rPr>
                <w:sz w:val="6"/>
                <w:szCs w:val="6"/>
                <w:color w:val="auto"/>
              </w:rPr>
            </w:pPr>
          </w:p>
        </w:tc>
        <w:tc>
          <w:tcPr>
            <w:tcW w:w="1340" w:type="dxa"/>
            <w:vAlign w:val="bottom"/>
            <w:tcBorders>
              <w:right w:val="single" w:sz="8" w:color="auto"/>
            </w:tcBorders>
            <w:vMerge w:val="continue"/>
            <w:shd w:val="clear" w:color="auto" w:fill="2AD2C8"/>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5440" w:type="dxa"/>
            <w:vAlign w:val="bottom"/>
            <w:tcBorders>
              <w:left w:val="single" w:sz="8" w:color="auto"/>
              <w:bottom w:val="single" w:sz="8" w:color="auto"/>
              <w:right w:val="single" w:sz="8" w:color="auto"/>
            </w:tcBorders>
            <w:vMerge w:val="continue"/>
            <w:shd w:val="clear" w:color="auto" w:fill="2AD2C8"/>
          </w:tcPr>
          <w:p>
            <w:pPr>
              <w:spacing w:after="0"/>
              <w:rPr>
                <w:sz w:val="6"/>
                <w:szCs w:val="6"/>
                <w:color w:val="auto"/>
              </w:rPr>
            </w:pPr>
          </w:p>
        </w:tc>
        <w:tc>
          <w:tcPr>
            <w:tcW w:w="1240" w:type="dxa"/>
            <w:vAlign w:val="bottom"/>
            <w:tcBorders>
              <w:bottom w:val="single" w:sz="8" w:color="auto"/>
            </w:tcBorders>
            <w:shd w:val="clear" w:color="auto" w:fill="2AD2C8"/>
          </w:tcPr>
          <w:p>
            <w:pPr>
              <w:spacing w:after="0"/>
              <w:rPr>
                <w:sz w:val="6"/>
                <w:szCs w:val="6"/>
                <w:color w:val="auto"/>
              </w:rPr>
            </w:pPr>
          </w:p>
        </w:tc>
        <w:tc>
          <w:tcPr>
            <w:tcW w:w="1000" w:type="dxa"/>
            <w:vAlign w:val="bottom"/>
            <w:tcBorders>
              <w:bottom w:val="single" w:sz="8" w:color="auto"/>
              <w:right w:val="single" w:sz="8" w:color="auto"/>
            </w:tcBorders>
            <w:shd w:val="clear" w:color="auto" w:fill="2AD2C8"/>
          </w:tcPr>
          <w:p>
            <w:pPr>
              <w:spacing w:after="0"/>
              <w:rPr>
                <w:sz w:val="6"/>
                <w:szCs w:val="6"/>
                <w:color w:val="auto"/>
              </w:rPr>
            </w:pPr>
          </w:p>
        </w:tc>
        <w:tc>
          <w:tcPr>
            <w:tcW w:w="1340" w:type="dxa"/>
            <w:vAlign w:val="bottom"/>
            <w:tcBorders>
              <w:bottom w:val="single" w:sz="8" w:color="auto"/>
              <w:right w:val="single" w:sz="8" w:color="auto"/>
            </w:tcBorders>
            <w:shd w:val="clear" w:color="auto" w:fill="2AD2C8"/>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54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Capital Stock</w:t>
            </w:r>
          </w:p>
        </w:tc>
        <w:tc>
          <w:tcPr>
            <w:tcW w:w="1240" w:type="dxa"/>
            <w:vAlign w:val="bottom"/>
          </w:tcPr>
          <w:p>
            <w:pPr>
              <w:jc w:val="right"/>
              <w:ind w:right="114"/>
              <w:spacing w:after="0"/>
              <w:rPr>
                <w:sz w:val="20"/>
                <w:szCs w:val="20"/>
                <w:color w:val="auto"/>
              </w:rPr>
            </w:pPr>
            <w:r>
              <w:rPr>
                <w:rFonts w:ascii="Arial" w:cs="Arial" w:eastAsia="Arial" w:hAnsi="Arial"/>
                <w:sz w:val="13"/>
                <w:szCs w:val="13"/>
                <w:color w:val="auto"/>
              </w:rPr>
              <w:t>1,840,606</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1,840,606</w:t>
            </w:r>
          </w:p>
        </w:tc>
        <w:tc>
          <w:tcPr>
            <w:tcW w:w="1340" w:type="dxa"/>
            <w:vAlign w:val="bottom"/>
            <w:tcBorders>
              <w:right w:val="single" w:sz="8" w:color="auto"/>
            </w:tcBorders>
          </w:tcPr>
          <w:p>
            <w:pPr>
              <w:jc w:val="center"/>
              <w:ind w:right="14"/>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65"/>
        </w:trPr>
        <w:tc>
          <w:tcPr>
            <w:tcW w:w="54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Reserves</w:t>
            </w:r>
          </w:p>
        </w:tc>
        <w:tc>
          <w:tcPr>
            <w:tcW w:w="1240" w:type="dxa"/>
            <w:vAlign w:val="bottom"/>
          </w:tcPr>
          <w:p>
            <w:pPr>
              <w:jc w:val="right"/>
              <w:ind w:right="114"/>
              <w:spacing w:after="0"/>
              <w:rPr>
                <w:sz w:val="20"/>
                <w:szCs w:val="20"/>
                <w:color w:val="auto"/>
              </w:rPr>
            </w:pPr>
            <w:r>
              <w:rPr>
                <w:rFonts w:ascii="Arial" w:cs="Arial" w:eastAsia="Arial" w:hAnsi="Arial"/>
                <w:sz w:val="13"/>
                <w:szCs w:val="13"/>
                <w:color w:val="auto"/>
              </w:rPr>
              <w:t>308,056</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308,056</w:t>
            </w:r>
          </w:p>
        </w:tc>
        <w:tc>
          <w:tcPr>
            <w:tcW w:w="1340" w:type="dxa"/>
            <w:vAlign w:val="bottom"/>
            <w:tcBorders>
              <w:right w:val="single" w:sz="8" w:color="auto"/>
            </w:tcBorders>
          </w:tcPr>
          <w:p>
            <w:pPr>
              <w:jc w:val="center"/>
              <w:ind w:right="14"/>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73"/>
        </w:trPr>
        <w:tc>
          <w:tcPr>
            <w:tcW w:w="54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Accumulated earnings</w:t>
            </w:r>
          </w:p>
        </w:tc>
        <w:tc>
          <w:tcPr>
            <w:tcW w:w="1240" w:type="dxa"/>
            <w:vAlign w:val="bottom"/>
          </w:tcPr>
          <w:p>
            <w:pPr>
              <w:jc w:val="right"/>
              <w:ind w:right="114"/>
              <w:spacing w:after="0"/>
              <w:rPr>
                <w:sz w:val="20"/>
                <w:szCs w:val="20"/>
                <w:color w:val="auto"/>
              </w:rPr>
            </w:pPr>
            <w:r>
              <w:rPr>
                <w:rFonts w:ascii="Arial" w:cs="Arial" w:eastAsia="Arial" w:hAnsi="Arial"/>
                <w:sz w:val="13"/>
                <w:szCs w:val="13"/>
                <w:color w:val="auto"/>
              </w:rPr>
              <w:t>611,151</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669,894</w:t>
            </w:r>
          </w:p>
        </w:tc>
        <w:tc>
          <w:tcPr>
            <w:tcW w:w="1340" w:type="dxa"/>
            <w:vAlign w:val="bottom"/>
            <w:tcBorders>
              <w:right w:val="single" w:sz="8" w:color="auto"/>
            </w:tcBorders>
          </w:tcPr>
          <w:p>
            <w:pPr>
              <w:jc w:val="center"/>
              <w:ind w:right="14"/>
              <w:spacing w:after="0"/>
              <w:rPr>
                <w:sz w:val="20"/>
                <w:szCs w:val="20"/>
                <w:color w:val="auto"/>
              </w:rPr>
            </w:pPr>
            <w:r>
              <w:rPr>
                <w:rFonts w:ascii="Arial" w:cs="Arial" w:eastAsia="Arial" w:hAnsi="Arial"/>
                <w:sz w:val="13"/>
                <w:szCs w:val="13"/>
                <w:color w:val="auto"/>
              </w:rPr>
              <w:t>9.6%</w:t>
            </w:r>
          </w:p>
        </w:tc>
        <w:tc>
          <w:tcPr>
            <w:tcW w:w="0" w:type="dxa"/>
            <w:vAlign w:val="bottom"/>
          </w:tcPr>
          <w:p>
            <w:pPr>
              <w:spacing w:after="0"/>
              <w:rPr>
                <w:sz w:val="1"/>
                <w:szCs w:val="1"/>
                <w:color w:val="auto"/>
              </w:rPr>
            </w:pPr>
          </w:p>
        </w:tc>
      </w:tr>
      <w:tr>
        <w:trPr>
          <w:trHeight w:val="173"/>
        </w:trPr>
        <w:tc>
          <w:tcPr>
            <w:tcW w:w="54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Loan loss reserves</w:t>
            </w:r>
          </w:p>
        </w:tc>
        <w:tc>
          <w:tcPr>
            <w:tcW w:w="1240" w:type="dxa"/>
            <w:vAlign w:val="bottom"/>
          </w:tcPr>
          <w:p>
            <w:pPr>
              <w:jc w:val="right"/>
              <w:ind w:right="114"/>
              <w:spacing w:after="0"/>
              <w:rPr>
                <w:sz w:val="20"/>
                <w:szCs w:val="20"/>
                <w:color w:val="auto"/>
              </w:rPr>
            </w:pPr>
            <w:r>
              <w:rPr>
                <w:rFonts w:ascii="Arial" w:cs="Arial" w:eastAsia="Arial" w:hAnsi="Arial"/>
                <w:sz w:val="13"/>
                <w:szCs w:val="13"/>
                <w:color w:val="auto"/>
              </w:rPr>
              <w:t>170,901</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163,158</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173"/>
        </w:trPr>
        <w:tc>
          <w:tcPr>
            <w:tcW w:w="54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Perpetual subordinated debt</w:t>
            </w:r>
          </w:p>
        </w:tc>
        <w:tc>
          <w:tcPr>
            <w:tcW w:w="1240" w:type="dxa"/>
            <w:vAlign w:val="bottom"/>
          </w:tcPr>
          <w:p>
            <w:pPr>
              <w:jc w:val="right"/>
              <w:ind w:right="114"/>
              <w:spacing w:after="0"/>
              <w:rPr>
                <w:sz w:val="20"/>
                <w:szCs w:val="20"/>
                <w:color w:val="auto"/>
              </w:rPr>
            </w:pPr>
            <w:r>
              <w:rPr>
                <w:rFonts w:ascii="Arial" w:cs="Arial" w:eastAsia="Arial" w:hAnsi="Arial"/>
                <w:sz w:val="13"/>
                <w:szCs w:val="13"/>
                <w:color w:val="auto"/>
              </w:rPr>
              <w:t>-</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40" w:type="dxa"/>
            <w:vAlign w:val="bottom"/>
            <w:tcBorders>
              <w:right w:val="single" w:sz="8" w:color="auto"/>
            </w:tcBorders>
          </w:tcPr>
          <w:p>
            <w:pPr>
              <w:jc w:val="center"/>
              <w:ind w:right="14"/>
              <w:spacing w:after="0"/>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73"/>
        </w:trPr>
        <w:tc>
          <w:tcPr>
            <w:tcW w:w="54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Subordinated debt</w:t>
            </w:r>
          </w:p>
        </w:tc>
        <w:tc>
          <w:tcPr>
            <w:tcW w:w="1240" w:type="dxa"/>
            <w:vAlign w:val="bottom"/>
          </w:tcPr>
          <w:p>
            <w:pPr>
              <w:jc w:val="right"/>
              <w:ind w:right="114"/>
              <w:spacing w:after="0"/>
              <w:rPr>
                <w:sz w:val="20"/>
                <w:szCs w:val="20"/>
                <w:color w:val="auto"/>
              </w:rPr>
            </w:pPr>
            <w:r>
              <w:rPr>
                <w:rFonts w:ascii="Arial" w:cs="Arial" w:eastAsia="Arial" w:hAnsi="Arial"/>
                <w:sz w:val="13"/>
                <w:szCs w:val="13"/>
                <w:color w:val="auto"/>
              </w:rPr>
              <w:t>173,000</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173,000</w:t>
            </w:r>
          </w:p>
        </w:tc>
        <w:tc>
          <w:tcPr>
            <w:tcW w:w="1340" w:type="dxa"/>
            <w:vAlign w:val="bottom"/>
            <w:tcBorders>
              <w:right w:val="single" w:sz="8" w:color="auto"/>
            </w:tcBorders>
          </w:tcPr>
          <w:p>
            <w:pPr>
              <w:jc w:val="center"/>
              <w:ind w:right="14"/>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73"/>
        </w:trPr>
        <w:tc>
          <w:tcPr>
            <w:tcW w:w="54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Unrealized Profit or Losses</w:t>
            </w:r>
          </w:p>
        </w:tc>
        <w:tc>
          <w:tcPr>
            <w:tcW w:w="1240" w:type="dxa"/>
            <w:vAlign w:val="bottom"/>
          </w:tcPr>
          <w:p>
            <w:pPr>
              <w:jc w:val="right"/>
              <w:ind w:right="114"/>
              <w:spacing w:after="0"/>
              <w:rPr>
                <w:sz w:val="20"/>
                <w:szCs w:val="20"/>
                <w:color w:val="auto"/>
              </w:rPr>
            </w:pPr>
            <w:r>
              <w:rPr>
                <w:rFonts w:ascii="Arial" w:cs="Arial" w:eastAsia="Arial" w:hAnsi="Arial"/>
                <w:sz w:val="13"/>
                <w:szCs w:val="13"/>
                <w:color w:val="auto"/>
              </w:rPr>
              <w:t>(4,727)</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(13,584)</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9"/>
              </w:rPr>
              <w:t>187.3%</w:t>
            </w:r>
          </w:p>
        </w:tc>
        <w:tc>
          <w:tcPr>
            <w:tcW w:w="0" w:type="dxa"/>
            <w:vAlign w:val="bottom"/>
          </w:tcPr>
          <w:p>
            <w:pPr>
              <w:spacing w:after="0"/>
              <w:rPr>
                <w:sz w:val="1"/>
                <w:szCs w:val="1"/>
                <w:color w:val="auto"/>
              </w:rPr>
            </w:pPr>
          </w:p>
        </w:tc>
      </w:tr>
      <w:tr>
        <w:trPr>
          <w:trHeight w:val="181"/>
        </w:trPr>
        <w:tc>
          <w:tcPr>
            <w:tcW w:w="54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Investment in subsidiaries and others, net of unrealized profit and net income in</w:t>
            </w:r>
          </w:p>
        </w:tc>
        <w:tc>
          <w:tcPr>
            <w:tcW w:w="1240" w:type="dxa"/>
            <w:vAlign w:val="bottom"/>
          </w:tcPr>
          <w:p>
            <w:pPr>
              <w:jc w:val="right"/>
              <w:ind w:right="114"/>
              <w:spacing w:after="0"/>
              <w:rPr>
                <w:sz w:val="20"/>
                <w:szCs w:val="20"/>
                <w:color w:val="auto"/>
              </w:rPr>
            </w:pPr>
            <w:r>
              <w:rPr>
                <w:rFonts w:ascii="Arial" w:cs="Arial" w:eastAsia="Arial" w:hAnsi="Arial"/>
                <w:sz w:val="13"/>
                <w:szCs w:val="13"/>
                <w:color w:val="auto"/>
              </w:rPr>
              <w:t>(275)</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(276)</w:t>
            </w:r>
          </w:p>
        </w:tc>
        <w:tc>
          <w:tcPr>
            <w:tcW w:w="1340" w:type="dxa"/>
            <w:vAlign w:val="bottom"/>
            <w:tcBorders>
              <w:right w:val="single" w:sz="8" w:color="auto"/>
            </w:tcBorders>
          </w:tcPr>
          <w:p>
            <w:pPr>
              <w:jc w:val="center"/>
              <w:ind w:right="14"/>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48"/>
        </w:trPr>
        <w:tc>
          <w:tcPr>
            <w:tcW w:w="5440" w:type="dxa"/>
            <w:vAlign w:val="bottom"/>
            <w:tcBorders>
              <w:left w:val="single" w:sz="8" w:color="auto"/>
              <w:right w:val="single" w:sz="8" w:color="auto"/>
            </w:tcBorders>
          </w:tcPr>
          <w:p>
            <w:pPr>
              <w:ind w:left="100"/>
              <w:spacing w:after="0" w:line="149" w:lineRule="exact"/>
              <w:rPr>
                <w:sz w:val="20"/>
                <w:szCs w:val="20"/>
                <w:color w:val="auto"/>
              </w:rPr>
            </w:pPr>
            <w:r>
              <w:rPr>
                <w:rFonts w:ascii="Arial" w:cs="Arial" w:eastAsia="Arial" w:hAnsi="Arial"/>
                <w:sz w:val="13"/>
                <w:szCs w:val="13"/>
                <w:color w:val="auto"/>
              </w:rPr>
              <w:t>subsidiaries</w:t>
            </w:r>
          </w:p>
        </w:tc>
        <w:tc>
          <w:tcPr>
            <w:tcW w:w="1240" w:type="dxa"/>
            <w:vAlign w:val="bottom"/>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54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Intangibles</w:t>
            </w:r>
          </w:p>
        </w:tc>
        <w:tc>
          <w:tcPr>
            <w:tcW w:w="1240" w:type="dxa"/>
            <w:vAlign w:val="bottom"/>
          </w:tcPr>
          <w:p>
            <w:pPr>
              <w:jc w:val="right"/>
              <w:ind w:right="114"/>
              <w:spacing w:after="0"/>
              <w:rPr>
                <w:sz w:val="20"/>
                <w:szCs w:val="20"/>
                <w:color w:val="auto"/>
              </w:rPr>
            </w:pPr>
            <w:r>
              <w:rPr>
                <w:rFonts w:ascii="Arial" w:cs="Arial" w:eastAsia="Arial" w:hAnsi="Arial"/>
                <w:sz w:val="13"/>
                <w:szCs w:val="13"/>
                <w:color w:val="auto"/>
              </w:rPr>
              <w:t>(138,239)</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(140,573)</w:t>
            </w:r>
          </w:p>
        </w:tc>
        <w:tc>
          <w:tcPr>
            <w:tcW w:w="1340" w:type="dxa"/>
            <w:vAlign w:val="bottom"/>
            <w:tcBorders>
              <w:right w:val="single" w:sz="8" w:color="auto"/>
            </w:tcBorders>
          </w:tcPr>
          <w:p>
            <w:pPr>
              <w:jc w:val="center"/>
              <w:ind w:right="14"/>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73"/>
        </w:trPr>
        <w:tc>
          <w:tcPr>
            <w:tcW w:w="54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Goodwill</w:t>
            </w:r>
          </w:p>
        </w:tc>
        <w:tc>
          <w:tcPr>
            <w:tcW w:w="1240" w:type="dxa"/>
            <w:vAlign w:val="bottom"/>
          </w:tcPr>
          <w:p>
            <w:pPr>
              <w:jc w:val="right"/>
              <w:ind w:right="114"/>
              <w:spacing w:after="0"/>
              <w:rPr>
                <w:sz w:val="20"/>
                <w:szCs w:val="20"/>
                <w:color w:val="auto"/>
              </w:rPr>
            </w:pPr>
            <w:r>
              <w:rPr>
                <w:rFonts w:ascii="Arial" w:cs="Arial" w:eastAsia="Arial" w:hAnsi="Arial"/>
                <w:sz w:val="13"/>
                <w:szCs w:val="13"/>
                <w:color w:val="auto"/>
              </w:rPr>
              <w:t>(139,180)</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(139,180)</w:t>
            </w:r>
          </w:p>
        </w:tc>
        <w:tc>
          <w:tcPr>
            <w:tcW w:w="1340" w:type="dxa"/>
            <w:vAlign w:val="bottom"/>
            <w:tcBorders>
              <w:right w:val="single" w:sz="8" w:color="auto"/>
            </w:tcBorders>
          </w:tcPr>
          <w:p>
            <w:pPr>
              <w:jc w:val="center"/>
              <w:ind w:right="14"/>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24"/>
        </w:trPr>
        <w:tc>
          <w:tcPr>
            <w:tcW w:w="5440" w:type="dxa"/>
            <w:vAlign w:val="bottom"/>
            <w:tcBorders>
              <w:left w:val="single" w:sz="8" w:color="auto"/>
              <w:bottom w:val="single" w:sz="8" w:color="auto"/>
              <w:right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54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3"/>
                <w:szCs w:val="13"/>
                <w:b w:val="1"/>
                <w:bCs w:val="1"/>
                <w:color w:val="auto"/>
              </w:rPr>
              <w:t>Total Regulatory Capital</w:t>
            </w:r>
          </w:p>
        </w:tc>
        <w:tc>
          <w:tcPr>
            <w:tcW w:w="124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b w:val="1"/>
                <w:bCs w:val="1"/>
                <w:color w:val="auto"/>
              </w:rPr>
              <w:t>2,821,292</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2,861,101</w:t>
            </w:r>
          </w:p>
        </w:tc>
        <w:tc>
          <w:tcPr>
            <w:tcW w:w="1340" w:type="dxa"/>
            <w:vAlign w:val="bottom"/>
            <w:tcBorders>
              <w:bottom w:val="single" w:sz="8" w:color="auto"/>
              <w:right w:val="single" w:sz="8" w:color="auto"/>
            </w:tcBorders>
          </w:tcPr>
          <w:p>
            <w:pPr>
              <w:jc w:val="center"/>
              <w:ind w:right="14"/>
              <w:spacing w:after="0"/>
              <w:rPr>
                <w:sz w:val="20"/>
                <w:szCs w:val="20"/>
                <w:color w:val="auto"/>
              </w:rPr>
            </w:pPr>
            <w:r>
              <w:rPr>
                <w:rFonts w:ascii="Arial" w:cs="Arial" w:eastAsia="Arial" w:hAnsi="Arial"/>
                <w:sz w:val="13"/>
                <w:szCs w:val="13"/>
                <w:b w:val="1"/>
                <w:bCs w:val="1"/>
                <w:color w:val="auto"/>
              </w:rPr>
              <w:t>1.4%</w:t>
            </w:r>
          </w:p>
        </w:tc>
        <w:tc>
          <w:tcPr>
            <w:tcW w:w="0" w:type="dxa"/>
            <w:vAlign w:val="bottom"/>
          </w:tcPr>
          <w:p>
            <w:pPr>
              <w:spacing w:after="0"/>
              <w:rPr>
                <w:sz w:val="1"/>
                <w:szCs w:val="1"/>
                <w:color w:val="auto"/>
              </w:rPr>
            </w:pPr>
          </w:p>
        </w:tc>
      </w:tr>
      <w:tr>
        <w:trPr>
          <w:trHeight w:val="165"/>
        </w:trPr>
        <w:tc>
          <w:tcPr>
            <w:tcW w:w="54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3"/>
                <w:szCs w:val="13"/>
                <w:b w:val="1"/>
                <w:bCs w:val="1"/>
                <w:color w:val="auto"/>
              </w:rPr>
              <w:t>Tier Common Equity (2)</w:t>
            </w:r>
          </w:p>
        </w:tc>
        <w:tc>
          <w:tcPr>
            <w:tcW w:w="124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b w:val="1"/>
                <w:bCs w:val="1"/>
                <w:color w:val="auto"/>
              </w:rPr>
              <w:t>2,477,391</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2,524,943</w:t>
            </w:r>
          </w:p>
        </w:tc>
        <w:tc>
          <w:tcPr>
            <w:tcW w:w="1340" w:type="dxa"/>
            <w:vAlign w:val="bottom"/>
            <w:tcBorders>
              <w:bottom w:val="single" w:sz="8" w:color="auto"/>
              <w:right w:val="single" w:sz="8" w:color="auto"/>
            </w:tcBorders>
          </w:tcPr>
          <w:p>
            <w:pPr>
              <w:jc w:val="center"/>
              <w:ind w:right="14"/>
              <w:spacing w:after="0"/>
              <w:rPr>
                <w:sz w:val="20"/>
                <w:szCs w:val="20"/>
                <w:color w:val="auto"/>
              </w:rPr>
            </w:pPr>
            <w:r>
              <w:rPr>
                <w:rFonts w:ascii="Arial" w:cs="Arial" w:eastAsia="Arial" w:hAnsi="Arial"/>
                <w:sz w:val="13"/>
                <w:szCs w:val="13"/>
                <w:b w:val="1"/>
                <w:bCs w:val="1"/>
                <w:color w:val="auto"/>
              </w:rPr>
              <w:t>1.9%</w:t>
            </w:r>
          </w:p>
        </w:tc>
        <w:tc>
          <w:tcPr>
            <w:tcW w:w="0" w:type="dxa"/>
            <w:vAlign w:val="bottom"/>
          </w:tcPr>
          <w:p>
            <w:pPr>
              <w:spacing w:after="0"/>
              <w:rPr>
                <w:sz w:val="1"/>
                <w:szCs w:val="1"/>
                <w:color w:val="auto"/>
              </w:rPr>
            </w:pPr>
          </w:p>
        </w:tc>
      </w:tr>
      <w:tr>
        <w:trPr>
          <w:trHeight w:val="165"/>
        </w:trPr>
        <w:tc>
          <w:tcPr>
            <w:tcW w:w="54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3"/>
                <w:szCs w:val="13"/>
                <w:b w:val="1"/>
                <w:bCs w:val="1"/>
                <w:color w:val="auto"/>
              </w:rPr>
              <w:t>Regulatory Tier 1 Capital (3)</w:t>
            </w:r>
          </w:p>
        </w:tc>
        <w:tc>
          <w:tcPr>
            <w:tcW w:w="124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b w:val="1"/>
                <w:bCs w:val="1"/>
                <w:color w:val="auto"/>
              </w:rPr>
              <w:t>2,477,391</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2,524,943</w:t>
            </w:r>
          </w:p>
        </w:tc>
        <w:tc>
          <w:tcPr>
            <w:tcW w:w="1340" w:type="dxa"/>
            <w:vAlign w:val="bottom"/>
            <w:tcBorders>
              <w:bottom w:val="single" w:sz="8" w:color="auto"/>
              <w:right w:val="single" w:sz="8" w:color="auto"/>
            </w:tcBorders>
          </w:tcPr>
          <w:p>
            <w:pPr>
              <w:jc w:val="center"/>
              <w:ind w:right="14"/>
              <w:spacing w:after="0"/>
              <w:rPr>
                <w:sz w:val="20"/>
                <w:szCs w:val="20"/>
                <w:color w:val="auto"/>
              </w:rPr>
            </w:pPr>
            <w:r>
              <w:rPr>
                <w:rFonts w:ascii="Arial" w:cs="Arial" w:eastAsia="Arial" w:hAnsi="Arial"/>
                <w:sz w:val="13"/>
                <w:szCs w:val="13"/>
                <w:b w:val="1"/>
                <w:bCs w:val="1"/>
                <w:color w:val="auto"/>
              </w:rPr>
              <w:t>1.9%</w:t>
            </w:r>
          </w:p>
        </w:tc>
        <w:tc>
          <w:tcPr>
            <w:tcW w:w="0" w:type="dxa"/>
            <w:vAlign w:val="bottom"/>
          </w:tcPr>
          <w:p>
            <w:pPr>
              <w:spacing w:after="0"/>
              <w:rPr>
                <w:sz w:val="1"/>
                <w:szCs w:val="1"/>
                <w:color w:val="auto"/>
              </w:rPr>
            </w:pPr>
          </w:p>
        </w:tc>
      </w:tr>
      <w:tr>
        <w:trPr>
          <w:trHeight w:val="165"/>
        </w:trPr>
        <w:tc>
          <w:tcPr>
            <w:tcW w:w="54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3"/>
                <w:szCs w:val="13"/>
                <w:b w:val="1"/>
                <w:bCs w:val="1"/>
                <w:color w:val="auto"/>
              </w:rPr>
              <w:t>Regulatory Tier 2 Capital (4)</w:t>
            </w:r>
          </w:p>
        </w:tc>
        <w:tc>
          <w:tcPr>
            <w:tcW w:w="124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b w:val="1"/>
                <w:bCs w:val="1"/>
                <w:color w:val="auto"/>
              </w:rPr>
              <w:t>343,901</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336,158</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-2.3%</w:t>
            </w:r>
          </w:p>
        </w:tc>
        <w:tc>
          <w:tcPr>
            <w:tcW w:w="0" w:type="dxa"/>
            <w:vAlign w:val="bottom"/>
          </w:tcPr>
          <w:p>
            <w:pPr>
              <w:spacing w:after="0"/>
              <w:rPr>
                <w:sz w:val="1"/>
                <w:szCs w:val="1"/>
                <w:color w:val="auto"/>
              </w:rPr>
            </w:pPr>
          </w:p>
        </w:tc>
      </w:tr>
      <w:tr>
        <w:trPr>
          <w:trHeight w:val="165"/>
        </w:trPr>
        <w:tc>
          <w:tcPr>
            <w:tcW w:w="54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440" w:type="dxa"/>
            <w:vAlign w:val="bottom"/>
            <w:tcBorders>
              <w:left w:val="single" w:sz="8" w:color="auto"/>
              <w:right w:val="single" w:sz="8" w:color="auto"/>
            </w:tcBorders>
            <w:shd w:val="clear" w:color="auto" w:fill="2AD2C8"/>
          </w:tcPr>
          <w:p>
            <w:pPr>
              <w:ind w:left="100"/>
              <w:spacing w:after="0"/>
              <w:rPr>
                <w:sz w:val="20"/>
                <w:szCs w:val="20"/>
                <w:color w:val="auto"/>
              </w:rPr>
            </w:pPr>
            <w:r>
              <w:rPr>
                <w:rFonts w:ascii="Arial" w:cs="Arial" w:eastAsia="Arial" w:hAnsi="Arial"/>
                <w:sz w:val="13"/>
                <w:szCs w:val="13"/>
                <w:b w:val="1"/>
                <w:bCs w:val="1"/>
                <w:color w:val="FFFFFF"/>
              </w:rPr>
              <w:t>Total risk-weighted assets</w:t>
            </w:r>
          </w:p>
        </w:tc>
        <w:tc>
          <w:tcPr>
            <w:tcW w:w="1240" w:type="dxa"/>
            <w:vAlign w:val="bottom"/>
            <w:vMerge w:val="restart"/>
            <w:shd w:val="clear" w:color="auto" w:fill="2AD2C8"/>
          </w:tcPr>
          <w:p>
            <w:pPr>
              <w:ind w:left="300"/>
              <w:spacing w:after="0"/>
              <w:rPr>
                <w:sz w:val="20"/>
                <w:szCs w:val="20"/>
                <w:color w:val="auto"/>
              </w:rPr>
            </w:pPr>
            <w:r>
              <w:rPr>
                <w:rFonts w:ascii="Arial" w:cs="Arial" w:eastAsia="Arial" w:hAnsi="Arial"/>
                <w:sz w:val="13"/>
                <w:szCs w:val="13"/>
                <w:b w:val="1"/>
                <w:bCs w:val="1"/>
                <w:color w:val="FFFFFF"/>
              </w:rPr>
              <w:t>Jun 23</w:t>
            </w:r>
          </w:p>
        </w:tc>
        <w:tc>
          <w:tcPr>
            <w:tcW w:w="1000" w:type="dxa"/>
            <w:vAlign w:val="bottom"/>
            <w:tcBorders>
              <w:right w:val="single" w:sz="8" w:color="auto"/>
            </w:tcBorders>
            <w:vMerge w:val="restart"/>
            <w:shd w:val="clear" w:color="auto" w:fill="2AD2C8"/>
          </w:tcPr>
          <w:p>
            <w:pPr>
              <w:ind w:left="180"/>
              <w:spacing w:after="0"/>
              <w:rPr>
                <w:sz w:val="20"/>
                <w:szCs w:val="20"/>
                <w:color w:val="auto"/>
              </w:rPr>
            </w:pPr>
            <w:r>
              <w:rPr>
                <w:rFonts w:ascii="Arial" w:cs="Arial" w:eastAsia="Arial" w:hAnsi="Arial"/>
                <w:sz w:val="13"/>
                <w:szCs w:val="13"/>
                <w:b w:val="1"/>
                <w:bCs w:val="1"/>
                <w:color w:val="FFFFFF"/>
              </w:rPr>
              <w:t>Sep 23</w:t>
            </w:r>
          </w:p>
        </w:tc>
        <w:tc>
          <w:tcPr>
            <w:tcW w:w="1340" w:type="dxa"/>
            <w:vAlign w:val="bottom"/>
            <w:tcBorders>
              <w:right w:val="single" w:sz="8" w:color="auto"/>
            </w:tcBorders>
            <w:shd w:val="clear" w:color="auto" w:fill="2AD2C8"/>
          </w:tcPr>
          <w:p>
            <w:pPr>
              <w:jc w:val="center"/>
              <w:spacing w:after="0"/>
              <w:rPr>
                <w:sz w:val="20"/>
                <w:szCs w:val="20"/>
                <w:color w:val="auto"/>
              </w:rPr>
            </w:pPr>
            <w:r>
              <w:rPr>
                <w:rFonts w:ascii="Arial" w:cs="Arial" w:eastAsia="Arial" w:hAnsi="Arial"/>
                <w:sz w:val="13"/>
                <w:szCs w:val="13"/>
                <w:b w:val="1"/>
                <w:bCs w:val="1"/>
                <w:color w:val="FFFFFF"/>
              </w:rPr>
              <w:t>% Change</w:t>
            </w:r>
          </w:p>
        </w:tc>
        <w:tc>
          <w:tcPr>
            <w:tcW w:w="0" w:type="dxa"/>
            <w:vAlign w:val="bottom"/>
          </w:tcPr>
          <w:p>
            <w:pPr>
              <w:spacing w:after="0"/>
              <w:rPr>
                <w:sz w:val="1"/>
                <w:szCs w:val="1"/>
                <w:color w:val="auto"/>
              </w:rPr>
            </w:pPr>
          </w:p>
        </w:tc>
      </w:tr>
      <w:tr>
        <w:trPr>
          <w:trHeight w:val="99"/>
        </w:trPr>
        <w:tc>
          <w:tcPr>
            <w:tcW w:w="5440" w:type="dxa"/>
            <w:vAlign w:val="bottom"/>
            <w:tcBorders>
              <w:left w:val="single" w:sz="8" w:color="auto"/>
              <w:right w:val="single" w:sz="8" w:color="auto"/>
            </w:tcBorders>
            <w:vMerge w:val="restart"/>
            <w:shd w:val="clear" w:color="auto" w:fill="2AD2C8"/>
          </w:tcPr>
          <w:p>
            <w:pPr>
              <w:ind w:left="100"/>
              <w:spacing w:after="0"/>
              <w:rPr>
                <w:sz w:val="20"/>
                <w:szCs w:val="20"/>
                <w:color w:val="auto"/>
              </w:rPr>
            </w:pPr>
            <w:r>
              <w:rPr>
                <w:rFonts w:ascii="Arial" w:cs="Arial" w:eastAsia="Arial" w:hAnsi="Arial"/>
                <w:sz w:val="13"/>
                <w:szCs w:val="13"/>
                <w:color w:val="FFFFFF"/>
              </w:rPr>
              <w:t>(S/ thousand)</w:t>
            </w:r>
          </w:p>
        </w:tc>
        <w:tc>
          <w:tcPr>
            <w:tcW w:w="1240" w:type="dxa"/>
            <w:vAlign w:val="bottom"/>
            <w:vMerge w:val="continue"/>
            <w:shd w:val="clear" w:color="auto" w:fill="2AD2C8"/>
          </w:tcPr>
          <w:p>
            <w:pPr>
              <w:spacing w:after="0"/>
              <w:rPr>
                <w:sz w:val="8"/>
                <w:szCs w:val="8"/>
                <w:color w:val="auto"/>
              </w:rPr>
            </w:pPr>
          </w:p>
        </w:tc>
        <w:tc>
          <w:tcPr>
            <w:tcW w:w="1000" w:type="dxa"/>
            <w:vAlign w:val="bottom"/>
            <w:tcBorders>
              <w:right w:val="single" w:sz="8" w:color="auto"/>
            </w:tcBorders>
            <w:vMerge w:val="continue"/>
            <w:shd w:val="clear" w:color="auto" w:fill="2AD2C8"/>
          </w:tcPr>
          <w:p>
            <w:pPr>
              <w:spacing w:after="0"/>
              <w:rPr>
                <w:sz w:val="8"/>
                <w:szCs w:val="8"/>
                <w:color w:val="auto"/>
              </w:rPr>
            </w:pPr>
          </w:p>
        </w:tc>
        <w:tc>
          <w:tcPr>
            <w:tcW w:w="1340" w:type="dxa"/>
            <w:vAlign w:val="bottom"/>
            <w:tcBorders>
              <w:right w:val="single" w:sz="8" w:color="auto"/>
            </w:tcBorders>
            <w:vMerge w:val="restart"/>
            <w:shd w:val="clear" w:color="auto" w:fill="2AD2C8"/>
          </w:tcPr>
          <w:p>
            <w:pPr>
              <w:jc w:val="center"/>
              <w:spacing w:after="0"/>
              <w:rPr>
                <w:sz w:val="20"/>
                <w:szCs w:val="20"/>
                <w:color w:val="auto"/>
              </w:rPr>
            </w:pPr>
            <w:r>
              <w:rPr>
                <w:rFonts w:ascii="Arial" w:cs="Arial" w:eastAsia="Arial" w:hAnsi="Arial"/>
                <w:sz w:val="13"/>
                <w:szCs w:val="13"/>
                <w:b w:val="1"/>
                <w:bCs w:val="1"/>
                <w:color w:val="FFFFFF"/>
                <w:w w:val="99"/>
              </w:rPr>
              <w:t>QoQ</w:t>
            </w:r>
          </w:p>
        </w:tc>
        <w:tc>
          <w:tcPr>
            <w:tcW w:w="0" w:type="dxa"/>
            <w:vAlign w:val="bottom"/>
          </w:tcPr>
          <w:p>
            <w:pPr>
              <w:spacing w:after="0"/>
              <w:rPr>
                <w:sz w:val="1"/>
                <w:szCs w:val="1"/>
                <w:color w:val="auto"/>
              </w:rPr>
            </w:pPr>
          </w:p>
        </w:tc>
      </w:tr>
      <w:tr>
        <w:trPr>
          <w:trHeight w:val="63"/>
        </w:trPr>
        <w:tc>
          <w:tcPr>
            <w:tcW w:w="5440" w:type="dxa"/>
            <w:vAlign w:val="bottom"/>
            <w:tcBorders>
              <w:left w:val="single" w:sz="8" w:color="auto"/>
              <w:bottom w:val="single" w:sz="8" w:color="auto"/>
              <w:right w:val="single" w:sz="8" w:color="auto"/>
            </w:tcBorders>
            <w:vMerge w:val="continue"/>
            <w:shd w:val="clear" w:color="auto" w:fill="2AD2C8"/>
          </w:tcPr>
          <w:p>
            <w:pPr>
              <w:spacing w:after="0"/>
              <w:rPr>
                <w:sz w:val="5"/>
                <w:szCs w:val="5"/>
                <w:color w:val="auto"/>
              </w:rPr>
            </w:pPr>
          </w:p>
        </w:tc>
        <w:tc>
          <w:tcPr>
            <w:tcW w:w="1240" w:type="dxa"/>
            <w:vAlign w:val="bottom"/>
            <w:tcBorders>
              <w:bottom w:val="single" w:sz="8" w:color="auto"/>
            </w:tcBorders>
            <w:shd w:val="clear" w:color="auto" w:fill="2AD2C8"/>
          </w:tcPr>
          <w:p>
            <w:pPr>
              <w:spacing w:after="0"/>
              <w:rPr>
                <w:sz w:val="5"/>
                <w:szCs w:val="5"/>
                <w:color w:val="auto"/>
              </w:rPr>
            </w:pPr>
          </w:p>
        </w:tc>
        <w:tc>
          <w:tcPr>
            <w:tcW w:w="1000" w:type="dxa"/>
            <w:vAlign w:val="bottom"/>
            <w:tcBorders>
              <w:bottom w:val="single" w:sz="8" w:color="auto"/>
              <w:right w:val="single" w:sz="8" w:color="auto"/>
            </w:tcBorders>
            <w:shd w:val="clear" w:color="auto" w:fill="2AD2C8"/>
          </w:tcPr>
          <w:p>
            <w:pPr>
              <w:spacing w:after="0"/>
              <w:rPr>
                <w:sz w:val="5"/>
                <w:szCs w:val="5"/>
                <w:color w:val="auto"/>
              </w:rPr>
            </w:pPr>
          </w:p>
        </w:tc>
        <w:tc>
          <w:tcPr>
            <w:tcW w:w="1340" w:type="dxa"/>
            <w:vAlign w:val="bottom"/>
            <w:tcBorders>
              <w:bottom w:val="single" w:sz="8" w:color="auto"/>
              <w:right w:val="single" w:sz="8" w:color="auto"/>
            </w:tcBorders>
            <w:vMerge w:val="continue"/>
            <w:shd w:val="clear" w:color="auto" w:fill="2AD2C8"/>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54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Market risk-weighted assets</w:t>
            </w:r>
          </w:p>
        </w:tc>
        <w:tc>
          <w:tcPr>
            <w:tcW w:w="1240" w:type="dxa"/>
            <w:vAlign w:val="bottom"/>
          </w:tcPr>
          <w:p>
            <w:pPr>
              <w:jc w:val="right"/>
              <w:ind w:right="114"/>
              <w:spacing w:after="0"/>
              <w:rPr>
                <w:sz w:val="20"/>
                <w:szCs w:val="20"/>
                <w:color w:val="auto"/>
              </w:rPr>
            </w:pPr>
            <w:r>
              <w:rPr>
                <w:rFonts w:ascii="Arial" w:cs="Arial" w:eastAsia="Arial" w:hAnsi="Arial"/>
                <w:sz w:val="13"/>
                <w:szCs w:val="13"/>
                <w:color w:val="auto"/>
              </w:rPr>
              <w:t>181,227</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163,853</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-9.6%</w:t>
            </w:r>
          </w:p>
        </w:tc>
        <w:tc>
          <w:tcPr>
            <w:tcW w:w="0" w:type="dxa"/>
            <w:vAlign w:val="bottom"/>
          </w:tcPr>
          <w:p>
            <w:pPr>
              <w:spacing w:after="0"/>
              <w:rPr>
                <w:sz w:val="1"/>
                <w:szCs w:val="1"/>
                <w:color w:val="auto"/>
              </w:rPr>
            </w:pPr>
          </w:p>
        </w:tc>
      </w:tr>
      <w:tr>
        <w:trPr>
          <w:trHeight w:val="165"/>
        </w:trPr>
        <w:tc>
          <w:tcPr>
            <w:tcW w:w="54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Credit risk-weighted assets</w:t>
            </w:r>
          </w:p>
        </w:tc>
        <w:tc>
          <w:tcPr>
            <w:tcW w:w="1240" w:type="dxa"/>
            <w:vAlign w:val="bottom"/>
          </w:tcPr>
          <w:p>
            <w:pPr>
              <w:jc w:val="right"/>
              <w:ind w:right="114"/>
              <w:spacing w:after="0"/>
              <w:rPr>
                <w:sz w:val="20"/>
                <w:szCs w:val="20"/>
                <w:color w:val="auto"/>
              </w:rPr>
            </w:pPr>
            <w:r>
              <w:rPr>
                <w:rFonts w:ascii="Arial" w:cs="Arial" w:eastAsia="Arial" w:hAnsi="Arial"/>
                <w:sz w:val="13"/>
                <w:szCs w:val="13"/>
                <w:color w:val="auto"/>
              </w:rPr>
              <w:t>13,372,354</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12,799,766</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185"/>
        </w:trPr>
        <w:tc>
          <w:tcPr>
            <w:tcW w:w="54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Operational risk-weighted assets</w:t>
            </w:r>
          </w:p>
        </w:tc>
        <w:tc>
          <w:tcPr>
            <w:tcW w:w="124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color w:val="auto"/>
              </w:rPr>
              <w:t>1,470,726</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1,522,681</w:t>
            </w:r>
          </w:p>
        </w:tc>
        <w:tc>
          <w:tcPr>
            <w:tcW w:w="1340" w:type="dxa"/>
            <w:vAlign w:val="bottom"/>
            <w:tcBorders>
              <w:bottom w:val="single" w:sz="8" w:color="auto"/>
              <w:right w:val="single" w:sz="8" w:color="auto"/>
            </w:tcBorders>
          </w:tcPr>
          <w:p>
            <w:pPr>
              <w:jc w:val="center"/>
              <w:ind w:right="14"/>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165"/>
        </w:trPr>
        <w:tc>
          <w:tcPr>
            <w:tcW w:w="54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3"/>
                <w:szCs w:val="13"/>
                <w:b w:val="1"/>
                <w:bCs w:val="1"/>
                <w:color w:val="auto"/>
              </w:rPr>
              <w:t>Total</w:t>
            </w:r>
          </w:p>
        </w:tc>
        <w:tc>
          <w:tcPr>
            <w:tcW w:w="124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b w:val="1"/>
                <w:bCs w:val="1"/>
                <w:color w:val="auto"/>
              </w:rPr>
              <w:t>15,024,307</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14,486,300</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-3.6%</w:t>
            </w:r>
          </w:p>
        </w:tc>
        <w:tc>
          <w:tcPr>
            <w:tcW w:w="0" w:type="dxa"/>
            <w:vAlign w:val="bottom"/>
          </w:tcPr>
          <w:p>
            <w:pPr>
              <w:spacing w:after="0"/>
              <w:rPr>
                <w:sz w:val="1"/>
                <w:szCs w:val="1"/>
                <w:color w:val="auto"/>
              </w:rPr>
            </w:pPr>
          </w:p>
        </w:tc>
      </w:tr>
      <w:tr>
        <w:trPr>
          <w:trHeight w:val="178"/>
        </w:trPr>
        <w:tc>
          <w:tcPr>
            <w:tcW w:w="54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40" w:type="dxa"/>
            <w:vAlign w:val="bottom"/>
            <w:tcBorders>
              <w:left w:val="single" w:sz="8" w:color="auto"/>
              <w:right w:val="single" w:sz="8" w:color="auto"/>
            </w:tcBorders>
            <w:shd w:val="clear" w:color="auto" w:fill="2AD2C8"/>
          </w:tcPr>
          <w:p>
            <w:pPr>
              <w:ind w:left="100"/>
              <w:spacing w:after="0"/>
              <w:rPr>
                <w:sz w:val="20"/>
                <w:szCs w:val="20"/>
                <w:color w:val="auto"/>
              </w:rPr>
            </w:pPr>
            <w:r>
              <w:rPr>
                <w:rFonts w:ascii="Arial" w:cs="Arial" w:eastAsia="Arial" w:hAnsi="Arial"/>
                <w:sz w:val="13"/>
                <w:szCs w:val="13"/>
                <w:b w:val="1"/>
                <w:bCs w:val="1"/>
                <w:color w:val="FFFFFF"/>
              </w:rPr>
              <w:t>Capital requirement</w:t>
            </w:r>
          </w:p>
        </w:tc>
        <w:tc>
          <w:tcPr>
            <w:tcW w:w="1240" w:type="dxa"/>
            <w:vAlign w:val="bottom"/>
            <w:vMerge w:val="restart"/>
            <w:shd w:val="clear" w:color="auto" w:fill="2AD2C8"/>
          </w:tcPr>
          <w:p>
            <w:pPr>
              <w:ind w:left="300"/>
              <w:spacing w:after="0"/>
              <w:rPr>
                <w:sz w:val="20"/>
                <w:szCs w:val="20"/>
                <w:color w:val="auto"/>
              </w:rPr>
            </w:pPr>
            <w:r>
              <w:rPr>
                <w:rFonts w:ascii="Arial" w:cs="Arial" w:eastAsia="Arial" w:hAnsi="Arial"/>
                <w:sz w:val="13"/>
                <w:szCs w:val="13"/>
                <w:b w:val="1"/>
                <w:bCs w:val="1"/>
                <w:color w:val="FFFFFF"/>
              </w:rPr>
              <w:t>Jun 23</w:t>
            </w:r>
          </w:p>
        </w:tc>
        <w:tc>
          <w:tcPr>
            <w:tcW w:w="1000" w:type="dxa"/>
            <w:vAlign w:val="bottom"/>
            <w:tcBorders>
              <w:right w:val="single" w:sz="8" w:color="auto"/>
            </w:tcBorders>
            <w:vMerge w:val="restart"/>
            <w:shd w:val="clear" w:color="auto" w:fill="2AD2C8"/>
          </w:tcPr>
          <w:p>
            <w:pPr>
              <w:ind w:left="180"/>
              <w:spacing w:after="0"/>
              <w:rPr>
                <w:sz w:val="20"/>
                <w:szCs w:val="20"/>
                <w:color w:val="auto"/>
              </w:rPr>
            </w:pPr>
            <w:r>
              <w:rPr>
                <w:rFonts w:ascii="Arial" w:cs="Arial" w:eastAsia="Arial" w:hAnsi="Arial"/>
                <w:sz w:val="13"/>
                <w:szCs w:val="13"/>
                <w:b w:val="1"/>
                <w:bCs w:val="1"/>
                <w:color w:val="FFFFFF"/>
              </w:rPr>
              <w:t>Sep 23</w:t>
            </w:r>
          </w:p>
        </w:tc>
        <w:tc>
          <w:tcPr>
            <w:tcW w:w="1340" w:type="dxa"/>
            <w:vAlign w:val="bottom"/>
            <w:tcBorders>
              <w:right w:val="single" w:sz="8" w:color="auto"/>
            </w:tcBorders>
            <w:shd w:val="clear" w:color="auto" w:fill="2AD2C8"/>
          </w:tcPr>
          <w:p>
            <w:pPr>
              <w:jc w:val="center"/>
              <w:spacing w:after="0"/>
              <w:rPr>
                <w:sz w:val="20"/>
                <w:szCs w:val="20"/>
                <w:color w:val="auto"/>
              </w:rPr>
            </w:pPr>
            <w:r>
              <w:rPr>
                <w:rFonts w:ascii="Arial" w:cs="Arial" w:eastAsia="Arial" w:hAnsi="Arial"/>
                <w:sz w:val="13"/>
                <w:szCs w:val="13"/>
                <w:b w:val="1"/>
                <w:bCs w:val="1"/>
                <w:color w:val="FFFFFF"/>
              </w:rPr>
              <w:t>% Change</w:t>
            </w:r>
          </w:p>
        </w:tc>
        <w:tc>
          <w:tcPr>
            <w:tcW w:w="0" w:type="dxa"/>
            <w:vAlign w:val="bottom"/>
          </w:tcPr>
          <w:p>
            <w:pPr>
              <w:spacing w:after="0"/>
              <w:rPr>
                <w:sz w:val="1"/>
                <w:szCs w:val="1"/>
                <w:color w:val="auto"/>
              </w:rPr>
            </w:pPr>
          </w:p>
        </w:tc>
      </w:tr>
      <w:tr>
        <w:trPr>
          <w:trHeight w:val="87"/>
        </w:trPr>
        <w:tc>
          <w:tcPr>
            <w:tcW w:w="5440" w:type="dxa"/>
            <w:vAlign w:val="bottom"/>
            <w:tcBorders>
              <w:left w:val="single" w:sz="8" w:color="auto"/>
              <w:right w:val="single" w:sz="8" w:color="auto"/>
            </w:tcBorders>
            <w:vMerge w:val="restart"/>
            <w:shd w:val="clear" w:color="auto" w:fill="2AD2C8"/>
          </w:tcPr>
          <w:p>
            <w:pPr>
              <w:ind w:left="100"/>
              <w:spacing w:after="0"/>
              <w:rPr>
                <w:sz w:val="20"/>
                <w:szCs w:val="20"/>
                <w:color w:val="auto"/>
              </w:rPr>
            </w:pPr>
            <w:r>
              <w:rPr>
                <w:rFonts w:ascii="Arial" w:cs="Arial" w:eastAsia="Arial" w:hAnsi="Arial"/>
                <w:sz w:val="13"/>
                <w:szCs w:val="13"/>
                <w:color w:val="FFFFFF"/>
              </w:rPr>
              <w:t>(S/ thousand)</w:t>
            </w:r>
          </w:p>
        </w:tc>
        <w:tc>
          <w:tcPr>
            <w:tcW w:w="1240" w:type="dxa"/>
            <w:vAlign w:val="bottom"/>
            <w:vMerge w:val="continue"/>
            <w:shd w:val="clear" w:color="auto" w:fill="2AD2C8"/>
          </w:tcPr>
          <w:p>
            <w:pPr>
              <w:spacing w:after="0"/>
              <w:rPr>
                <w:sz w:val="7"/>
                <w:szCs w:val="7"/>
                <w:color w:val="auto"/>
              </w:rPr>
            </w:pPr>
          </w:p>
        </w:tc>
        <w:tc>
          <w:tcPr>
            <w:tcW w:w="1000" w:type="dxa"/>
            <w:vAlign w:val="bottom"/>
            <w:tcBorders>
              <w:right w:val="single" w:sz="8" w:color="auto"/>
            </w:tcBorders>
            <w:vMerge w:val="continue"/>
            <w:shd w:val="clear" w:color="auto" w:fill="2AD2C8"/>
          </w:tcPr>
          <w:p>
            <w:pPr>
              <w:spacing w:after="0"/>
              <w:rPr>
                <w:sz w:val="7"/>
                <w:szCs w:val="7"/>
                <w:color w:val="auto"/>
              </w:rPr>
            </w:pPr>
          </w:p>
        </w:tc>
        <w:tc>
          <w:tcPr>
            <w:tcW w:w="1340" w:type="dxa"/>
            <w:vAlign w:val="bottom"/>
            <w:tcBorders>
              <w:right w:val="single" w:sz="8" w:color="auto"/>
            </w:tcBorders>
            <w:vMerge w:val="restart"/>
            <w:shd w:val="clear" w:color="auto" w:fill="2AD2C8"/>
          </w:tcPr>
          <w:p>
            <w:pPr>
              <w:jc w:val="center"/>
              <w:spacing w:after="0"/>
              <w:rPr>
                <w:sz w:val="20"/>
                <w:szCs w:val="20"/>
                <w:color w:val="auto"/>
              </w:rPr>
            </w:pPr>
            <w:r>
              <w:rPr>
                <w:rFonts w:ascii="Arial" w:cs="Arial" w:eastAsia="Arial" w:hAnsi="Arial"/>
                <w:sz w:val="13"/>
                <w:szCs w:val="13"/>
                <w:b w:val="1"/>
                <w:bCs w:val="1"/>
                <w:color w:val="FFFFFF"/>
                <w:w w:val="99"/>
              </w:rPr>
              <w:t>QoQ</w:t>
            </w:r>
          </w:p>
        </w:tc>
        <w:tc>
          <w:tcPr>
            <w:tcW w:w="0" w:type="dxa"/>
            <w:vAlign w:val="bottom"/>
          </w:tcPr>
          <w:p>
            <w:pPr>
              <w:spacing w:after="0"/>
              <w:rPr>
                <w:sz w:val="1"/>
                <w:szCs w:val="1"/>
                <w:color w:val="auto"/>
              </w:rPr>
            </w:pPr>
          </w:p>
        </w:tc>
      </w:tr>
      <w:tr>
        <w:trPr>
          <w:trHeight w:val="76"/>
        </w:trPr>
        <w:tc>
          <w:tcPr>
            <w:tcW w:w="5440" w:type="dxa"/>
            <w:vAlign w:val="bottom"/>
            <w:tcBorders>
              <w:left w:val="single" w:sz="8" w:color="auto"/>
              <w:bottom w:val="single" w:sz="8" w:color="auto"/>
              <w:right w:val="single" w:sz="8" w:color="auto"/>
            </w:tcBorders>
            <w:vMerge w:val="continue"/>
            <w:shd w:val="clear" w:color="auto" w:fill="2AD2C8"/>
          </w:tcPr>
          <w:p>
            <w:pPr>
              <w:spacing w:after="0"/>
              <w:rPr>
                <w:sz w:val="6"/>
                <w:szCs w:val="6"/>
                <w:color w:val="auto"/>
              </w:rPr>
            </w:pPr>
          </w:p>
        </w:tc>
        <w:tc>
          <w:tcPr>
            <w:tcW w:w="1240" w:type="dxa"/>
            <w:vAlign w:val="bottom"/>
            <w:tcBorders>
              <w:bottom w:val="single" w:sz="8" w:color="auto"/>
            </w:tcBorders>
            <w:shd w:val="clear" w:color="auto" w:fill="2AD2C8"/>
          </w:tcPr>
          <w:p>
            <w:pPr>
              <w:spacing w:after="0"/>
              <w:rPr>
                <w:sz w:val="6"/>
                <w:szCs w:val="6"/>
                <w:color w:val="auto"/>
              </w:rPr>
            </w:pPr>
          </w:p>
        </w:tc>
        <w:tc>
          <w:tcPr>
            <w:tcW w:w="1000" w:type="dxa"/>
            <w:vAlign w:val="bottom"/>
            <w:tcBorders>
              <w:bottom w:val="single" w:sz="8" w:color="auto"/>
              <w:right w:val="single" w:sz="8" w:color="auto"/>
            </w:tcBorders>
            <w:shd w:val="clear" w:color="auto" w:fill="2AD2C8"/>
          </w:tcPr>
          <w:p>
            <w:pPr>
              <w:spacing w:after="0"/>
              <w:rPr>
                <w:sz w:val="6"/>
                <w:szCs w:val="6"/>
                <w:color w:val="auto"/>
              </w:rPr>
            </w:pPr>
          </w:p>
        </w:tc>
        <w:tc>
          <w:tcPr>
            <w:tcW w:w="1340" w:type="dxa"/>
            <w:vAlign w:val="bottom"/>
            <w:tcBorders>
              <w:bottom w:val="single" w:sz="8" w:color="auto"/>
              <w:right w:val="single" w:sz="8" w:color="auto"/>
            </w:tcBorders>
            <w:vMerge w:val="continue"/>
            <w:shd w:val="clear" w:color="auto" w:fill="2AD2C8"/>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54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Market risk capital requirement (5)</w:t>
            </w:r>
          </w:p>
        </w:tc>
        <w:tc>
          <w:tcPr>
            <w:tcW w:w="1240" w:type="dxa"/>
            <w:vAlign w:val="bottom"/>
          </w:tcPr>
          <w:p>
            <w:pPr>
              <w:jc w:val="right"/>
              <w:ind w:right="114"/>
              <w:spacing w:after="0"/>
              <w:rPr>
                <w:sz w:val="20"/>
                <w:szCs w:val="20"/>
                <w:color w:val="auto"/>
              </w:rPr>
            </w:pPr>
            <w:r>
              <w:rPr>
                <w:rFonts w:ascii="Arial" w:cs="Arial" w:eastAsia="Arial" w:hAnsi="Arial"/>
                <w:sz w:val="13"/>
                <w:szCs w:val="13"/>
                <w:color w:val="auto"/>
              </w:rPr>
              <w:t>18,123</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16,385</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-9.6%</w:t>
            </w:r>
          </w:p>
        </w:tc>
        <w:tc>
          <w:tcPr>
            <w:tcW w:w="0" w:type="dxa"/>
            <w:vAlign w:val="bottom"/>
          </w:tcPr>
          <w:p>
            <w:pPr>
              <w:spacing w:after="0"/>
              <w:rPr>
                <w:sz w:val="1"/>
                <w:szCs w:val="1"/>
                <w:color w:val="auto"/>
              </w:rPr>
            </w:pPr>
          </w:p>
        </w:tc>
      </w:tr>
      <w:tr>
        <w:trPr>
          <w:trHeight w:val="165"/>
        </w:trPr>
        <w:tc>
          <w:tcPr>
            <w:tcW w:w="54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Credit risk capital requirement</w:t>
            </w:r>
          </w:p>
        </w:tc>
        <w:tc>
          <w:tcPr>
            <w:tcW w:w="1240" w:type="dxa"/>
            <w:vAlign w:val="bottom"/>
          </w:tcPr>
          <w:p>
            <w:pPr>
              <w:jc w:val="right"/>
              <w:ind w:right="114"/>
              <w:spacing w:after="0"/>
              <w:rPr>
                <w:sz w:val="20"/>
                <w:szCs w:val="20"/>
                <w:color w:val="auto"/>
              </w:rPr>
            </w:pPr>
            <w:r>
              <w:rPr>
                <w:rFonts w:ascii="Arial" w:cs="Arial" w:eastAsia="Arial" w:hAnsi="Arial"/>
                <w:sz w:val="13"/>
                <w:szCs w:val="13"/>
                <w:color w:val="auto"/>
              </w:rPr>
              <w:t>1,203,512</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1,215,978</w:t>
            </w:r>
          </w:p>
        </w:tc>
        <w:tc>
          <w:tcPr>
            <w:tcW w:w="1340" w:type="dxa"/>
            <w:vAlign w:val="bottom"/>
            <w:tcBorders>
              <w:right w:val="single" w:sz="8" w:color="auto"/>
            </w:tcBorders>
          </w:tcPr>
          <w:p>
            <w:pPr>
              <w:jc w:val="center"/>
              <w:ind w:right="14"/>
              <w:spacing w:after="0"/>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73"/>
        </w:trPr>
        <w:tc>
          <w:tcPr>
            <w:tcW w:w="54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Operational risk capital requirement</w:t>
            </w:r>
          </w:p>
        </w:tc>
        <w:tc>
          <w:tcPr>
            <w:tcW w:w="1240" w:type="dxa"/>
            <w:vAlign w:val="bottom"/>
          </w:tcPr>
          <w:p>
            <w:pPr>
              <w:jc w:val="right"/>
              <w:ind w:right="114"/>
              <w:spacing w:after="0"/>
              <w:rPr>
                <w:sz w:val="20"/>
                <w:szCs w:val="20"/>
                <w:color w:val="auto"/>
              </w:rPr>
            </w:pPr>
            <w:r>
              <w:rPr>
                <w:rFonts w:ascii="Arial" w:cs="Arial" w:eastAsia="Arial" w:hAnsi="Arial"/>
                <w:sz w:val="13"/>
                <w:szCs w:val="13"/>
                <w:color w:val="auto"/>
              </w:rPr>
              <w:t>147,073</w:t>
            </w:r>
          </w:p>
        </w:tc>
        <w:tc>
          <w:tcPr>
            <w:tcW w:w="100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152,268</w:t>
            </w:r>
          </w:p>
        </w:tc>
        <w:tc>
          <w:tcPr>
            <w:tcW w:w="1340" w:type="dxa"/>
            <w:vAlign w:val="bottom"/>
            <w:tcBorders>
              <w:right w:val="single" w:sz="8" w:color="auto"/>
            </w:tcBorders>
          </w:tcPr>
          <w:p>
            <w:pPr>
              <w:jc w:val="center"/>
              <w:ind w:right="14"/>
              <w:spacing w:after="0"/>
              <w:rPr>
                <w:sz w:val="20"/>
                <w:szCs w:val="20"/>
                <w:color w:val="auto"/>
              </w:rPr>
            </w:pPr>
            <w:r>
              <w:rPr>
                <w:rFonts w:ascii="Arial" w:cs="Arial" w:eastAsia="Arial" w:hAnsi="Arial"/>
                <w:sz w:val="13"/>
                <w:szCs w:val="13"/>
                <w:color w:val="auto"/>
              </w:rPr>
              <w:t>3.5%</w:t>
            </w:r>
          </w:p>
        </w:tc>
        <w:tc>
          <w:tcPr>
            <w:tcW w:w="0" w:type="dxa"/>
            <w:vAlign w:val="bottom"/>
          </w:tcPr>
          <w:p>
            <w:pPr>
              <w:spacing w:after="0"/>
              <w:rPr>
                <w:sz w:val="1"/>
                <w:szCs w:val="1"/>
                <w:color w:val="auto"/>
              </w:rPr>
            </w:pPr>
          </w:p>
        </w:tc>
      </w:tr>
      <w:tr>
        <w:trPr>
          <w:trHeight w:val="179"/>
        </w:trPr>
        <w:tc>
          <w:tcPr>
            <w:tcW w:w="54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Additional capital requirements</w:t>
            </w:r>
          </w:p>
        </w:tc>
        <w:tc>
          <w:tcPr>
            <w:tcW w:w="124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color w:val="auto"/>
              </w:rPr>
              <w:t>405,891</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399,691</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71"/>
        </w:trPr>
        <w:tc>
          <w:tcPr>
            <w:tcW w:w="54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3"/>
                <w:szCs w:val="13"/>
                <w:b w:val="1"/>
                <w:bCs w:val="1"/>
                <w:color w:val="auto"/>
              </w:rPr>
              <w:t>Total</w:t>
            </w:r>
          </w:p>
        </w:tc>
        <w:tc>
          <w:tcPr>
            <w:tcW w:w="1240" w:type="dxa"/>
            <w:vAlign w:val="bottom"/>
            <w:tcBorders>
              <w:bottom w:val="single" w:sz="8" w:color="auto"/>
            </w:tcBorders>
          </w:tcPr>
          <w:p>
            <w:pPr>
              <w:jc w:val="right"/>
              <w:ind w:right="114"/>
              <w:spacing w:after="0"/>
              <w:rPr>
                <w:sz w:val="20"/>
                <w:szCs w:val="20"/>
                <w:color w:val="auto"/>
              </w:rPr>
            </w:pPr>
            <w:r>
              <w:rPr>
                <w:rFonts w:ascii="Arial" w:cs="Arial" w:eastAsia="Arial" w:hAnsi="Arial"/>
                <w:sz w:val="13"/>
                <w:szCs w:val="13"/>
                <w:b w:val="1"/>
                <w:bCs w:val="1"/>
                <w:color w:val="auto"/>
              </w:rPr>
              <w:t>1,774,599</w:t>
            </w:r>
          </w:p>
        </w:tc>
        <w:tc>
          <w:tcPr>
            <w:tcW w:w="10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1,784,322</w:t>
            </w:r>
          </w:p>
        </w:tc>
        <w:tc>
          <w:tcPr>
            <w:tcW w:w="1340" w:type="dxa"/>
            <w:vAlign w:val="bottom"/>
            <w:tcBorders>
              <w:bottom w:val="single" w:sz="8" w:color="auto"/>
              <w:right w:val="single" w:sz="8" w:color="auto"/>
            </w:tcBorders>
          </w:tcPr>
          <w:p>
            <w:pPr>
              <w:jc w:val="center"/>
              <w:ind w:right="14"/>
              <w:spacing w:after="0"/>
              <w:rPr>
                <w:sz w:val="20"/>
                <w:szCs w:val="20"/>
                <w:color w:val="auto"/>
              </w:rPr>
            </w:pPr>
            <w:r>
              <w:rPr>
                <w:rFonts w:ascii="Arial" w:cs="Arial" w:eastAsia="Arial" w:hAnsi="Arial"/>
                <w:sz w:val="13"/>
                <w:szCs w:val="13"/>
                <w:b w:val="1"/>
                <w:bCs w:val="1"/>
                <w:color w:val="auto"/>
              </w:rPr>
              <w:t>0.5%</w:t>
            </w:r>
          </w:p>
        </w:tc>
        <w:tc>
          <w:tcPr>
            <w:tcW w:w="0" w:type="dxa"/>
            <w:vAlign w:val="bottom"/>
          </w:tcPr>
          <w:p>
            <w:pPr>
              <w:spacing w:after="0"/>
              <w:rPr>
                <w:sz w:val="1"/>
                <w:szCs w:val="1"/>
                <w:color w:val="auto"/>
              </w:rPr>
            </w:pPr>
          </w:p>
        </w:tc>
      </w:tr>
      <w:tr>
        <w:trPr>
          <w:trHeight w:val="338"/>
        </w:trPr>
        <w:tc>
          <w:tcPr>
            <w:tcW w:w="5440" w:type="dxa"/>
            <w:vAlign w:val="bottom"/>
          </w:tcPr>
          <w:p>
            <w:pPr>
              <w:ind w:left="100"/>
              <w:spacing w:after="0"/>
              <w:rPr>
                <w:sz w:val="20"/>
                <w:szCs w:val="20"/>
                <w:color w:val="auto"/>
              </w:rPr>
            </w:pPr>
            <w:r>
              <w:rPr>
                <w:rFonts w:ascii="Arial" w:cs="Arial" w:eastAsia="Arial" w:hAnsi="Arial"/>
                <w:sz w:val="13"/>
                <w:szCs w:val="13"/>
                <w:b w:val="1"/>
                <w:bCs w:val="1"/>
                <w:color w:val="auto"/>
              </w:rPr>
              <w:t>Capital Ratios under Local Regulation</w:t>
            </w:r>
          </w:p>
        </w:tc>
        <w:tc>
          <w:tcPr>
            <w:tcW w:w="1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5440" w:type="dxa"/>
            <w:vAlign w:val="bottom"/>
            <w:tcBorders>
              <w:right w:val="single" w:sz="8" w:color="auto"/>
            </w:tcBorders>
          </w:tcPr>
          <w:p>
            <w:pPr>
              <w:spacing w:after="0"/>
              <w:rPr>
                <w:sz w:val="15"/>
                <w:szCs w:val="15"/>
                <w:color w:val="auto"/>
              </w:rPr>
            </w:pPr>
          </w:p>
        </w:tc>
        <w:tc>
          <w:tcPr>
            <w:tcW w:w="1240" w:type="dxa"/>
            <w:vAlign w:val="bottom"/>
            <w:vMerge w:val="restart"/>
            <w:shd w:val="clear" w:color="auto" w:fill="2AD2C8"/>
          </w:tcPr>
          <w:p>
            <w:pPr>
              <w:ind w:left="320"/>
              <w:spacing w:after="0"/>
              <w:rPr>
                <w:sz w:val="20"/>
                <w:szCs w:val="20"/>
                <w:color w:val="auto"/>
              </w:rPr>
            </w:pPr>
            <w:r>
              <w:rPr>
                <w:rFonts w:ascii="Arial" w:cs="Arial" w:eastAsia="Arial" w:hAnsi="Arial"/>
                <w:sz w:val="13"/>
                <w:szCs w:val="13"/>
                <w:b w:val="1"/>
                <w:bCs w:val="1"/>
                <w:color w:val="FFFFFF"/>
              </w:rPr>
              <w:t>Jun 23</w:t>
            </w:r>
          </w:p>
        </w:tc>
        <w:tc>
          <w:tcPr>
            <w:tcW w:w="1000" w:type="dxa"/>
            <w:vAlign w:val="bottom"/>
            <w:tcBorders>
              <w:right w:val="single" w:sz="8" w:color="auto"/>
            </w:tcBorders>
            <w:vMerge w:val="restart"/>
            <w:shd w:val="clear" w:color="auto" w:fill="2AD2C8"/>
          </w:tcPr>
          <w:p>
            <w:pPr>
              <w:ind w:left="180"/>
              <w:spacing w:after="0"/>
              <w:rPr>
                <w:sz w:val="20"/>
                <w:szCs w:val="20"/>
                <w:color w:val="auto"/>
              </w:rPr>
            </w:pPr>
            <w:r>
              <w:rPr>
                <w:rFonts w:ascii="Arial" w:cs="Arial" w:eastAsia="Arial" w:hAnsi="Arial"/>
                <w:sz w:val="13"/>
                <w:szCs w:val="13"/>
                <w:b w:val="1"/>
                <w:bCs w:val="1"/>
                <w:color w:val="FFFFFF"/>
              </w:rPr>
              <w:t>Sep 23</w:t>
            </w:r>
          </w:p>
        </w:tc>
        <w:tc>
          <w:tcPr>
            <w:tcW w:w="1340" w:type="dxa"/>
            <w:vAlign w:val="bottom"/>
            <w:tcBorders>
              <w:right w:val="single" w:sz="8" w:color="auto"/>
            </w:tcBorders>
            <w:shd w:val="clear" w:color="auto" w:fill="2AD2C8"/>
          </w:tcPr>
          <w:p>
            <w:pPr>
              <w:jc w:val="center"/>
              <w:spacing w:after="0"/>
              <w:rPr>
                <w:sz w:val="20"/>
                <w:szCs w:val="20"/>
                <w:color w:val="auto"/>
              </w:rPr>
            </w:pPr>
            <w:r>
              <w:rPr>
                <w:rFonts w:ascii="Arial" w:cs="Arial" w:eastAsia="Arial" w:hAnsi="Arial"/>
                <w:sz w:val="13"/>
                <w:szCs w:val="13"/>
                <w:b w:val="1"/>
                <w:bCs w:val="1"/>
                <w:color w:val="FFFFFF"/>
              </w:rPr>
              <w:t>Change</w:t>
            </w:r>
          </w:p>
        </w:tc>
        <w:tc>
          <w:tcPr>
            <w:tcW w:w="0" w:type="dxa"/>
            <w:vAlign w:val="bottom"/>
          </w:tcPr>
          <w:p>
            <w:pPr>
              <w:spacing w:after="0"/>
              <w:rPr>
                <w:sz w:val="1"/>
                <w:szCs w:val="1"/>
                <w:color w:val="auto"/>
              </w:rPr>
            </w:pPr>
          </w:p>
        </w:tc>
      </w:tr>
      <w:tr>
        <w:trPr>
          <w:trHeight w:val="99"/>
        </w:trPr>
        <w:tc>
          <w:tcPr>
            <w:tcW w:w="5440" w:type="dxa"/>
            <w:vAlign w:val="bottom"/>
            <w:tcBorders>
              <w:right w:val="single" w:sz="8" w:color="auto"/>
            </w:tcBorders>
          </w:tcPr>
          <w:p>
            <w:pPr>
              <w:spacing w:after="0"/>
              <w:rPr>
                <w:sz w:val="8"/>
                <w:szCs w:val="8"/>
                <w:color w:val="auto"/>
              </w:rPr>
            </w:pPr>
          </w:p>
        </w:tc>
        <w:tc>
          <w:tcPr>
            <w:tcW w:w="1240" w:type="dxa"/>
            <w:vAlign w:val="bottom"/>
            <w:vMerge w:val="continue"/>
            <w:shd w:val="clear" w:color="auto" w:fill="2AD2C8"/>
          </w:tcPr>
          <w:p>
            <w:pPr>
              <w:spacing w:after="0"/>
              <w:rPr>
                <w:sz w:val="8"/>
                <w:szCs w:val="8"/>
                <w:color w:val="auto"/>
              </w:rPr>
            </w:pPr>
          </w:p>
        </w:tc>
        <w:tc>
          <w:tcPr>
            <w:tcW w:w="1000" w:type="dxa"/>
            <w:vAlign w:val="bottom"/>
            <w:tcBorders>
              <w:right w:val="single" w:sz="8" w:color="auto"/>
            </w:tcBorders>
            <w:vMerge w:val="continue"/>
            <w:shd w:val="clear" w:color="auto" w:fill="2AD2C8"/>
          </w:tcPr>
          <w:p>
            <w:pPr>
              <w:spacing w:after="0"/>
              <w:rPr>
                <w:sz w:val="8"/>
                <w:szCs w:val="8"/>
                <w:color w:val="auto"/>
              </w:rPr>
            </w:pPr>
          </w:p>
        </w:tc>
        <w:tc>
          <w:tcPr>
            <w:tcW w:w="1340" w:type="dxa"/>
            <w:vAlign w:val="bottom"/>
            <w:tcBorders>
              <w:right w:val="single" w:sz="8" w:color="auto"/>
            </w:tcBorders>
            <w:vMerge w:val="restart"/>
            <w:shd w:val="clear" w:color="auto" w:fill="2AD2C8"/>
          </w:tcPr>
          <w:p>
            <w:pPr>
              <w:jc w:val="center"/>
              <w:spacing w:after="0"/>
              <w:rPr>
                <w:sz w:val="20"/>
                <w:szCs w:val="20"/>
                <w:color w:val="auto"/>
              </w:rPr>
            </w:pPr>
            <w:r>
              <w:rPr>
                <w:rFonts w:ascii="Arial" w:cs="Arial" w:eastAsia="Arial" w:hAnsi="Arial"/>
                <w:sz w:val="13"/>
                <w:szCs w:val="13"/>
                <w:b w:val="1"/>
                <w:bCs w:val="1"/>
                <w:color w:val="FFFFFF"/>
              </w:rPr>
              <w:t>QoQ</w:t>
            </w:r>
          </w:p>
        </w:tc>
        <w:tc>
          <w:tcPr>
            <w:tcW w:w="0" w:type="dxa"/>
            <w:vAlign w:val="bottom"/>
          </w:tcPr>
          <w:p>
            <w:pPr>
              <w:spacing w:after="0"/>
              <w:rPr>
                <w:sz w:val="1"/>
                <w:szCs w:val="1"/>
                <w:color w:val="auto"/>
              </w:rPr>
            </w:pPr>
          </w:p>
        </w:tc>
      </w:tr>
      <w:tr>
        <w:trPr>
          <w:trHeight w:val="63"/>
        </w:trPr>
        <w:tc>
          <w:tcPr>
            <w:tcW w:w="5440" w:type="dxa"/>
            <w:vAlign w:val="bottom"/>
            <w:tcBorders>
              <w:bottom w:val="single" w:sz="8" w:color="auto"/>
              <w:right w:val="single" w:sz="8" w:color="auto"/>
            </w:tcBorders>
          </w:tcPr>
          <w:p>
            <w:pPr>
              <w:spacing w:after="0"/>
              <w:rPr>
                <w:sz w:val="5"/>
                <w:szCs w:val="5"/>
                <w:color w:val="auto"/>
              </w:rPr>
            </w:pPr>
          </w:p>
        </w:tc>
        <w:tc>
          <w:tcPr>
            <w:tcW w:w="1240" w:type="dxa"/>
            <w:vAlign w:val="bottom"/>
            <w:tcBorders>
              <w:bottom w:val="single" w:sz="8" w:color="auto"/>
            </w:tcBorders>
            <w:shd w:val="clear" w:color="auto" w:fill="2AD2C8"/>
          </w:tcPr>
          <w:p>
            <w:pPr>
              <w:spacing w:after="0"/>
              <w:rPr>
                <w:sz w:val="5"/>
                <w:szCs w:val="5"/>
                <w:color w:val="auto"/>
              </w:rPr>
            </w:pPr>
          </w:p>
        </w:tc>
        <w:tc>
          <w:tcPr>
            <w:tcW w:w="1000" w:type="dxa"/>
            <w:vAlign w:val="bottom"/>
            <w:tcBorders>
              <w:bottom w:val="single" w:sz="8" w:color="auto"/>
              <w:right w:val="single" w:sz="8" w:color="auto"/>
            </w:tcBorders>
            <w:shd w:val="clear" w:color="auto" w:fill="2AD2C8"/>
          </w:tcPr>
          <w:p>
            <w:pPr>
              <w:spacing w:after="0"/>
              <w:rPr>
                <w:sz w:val="5"/>
                <w:szCs w:val="5"/>
                <w:color w:val="auto"/>
              </w:rPr>
            </w:pPr>
          </w:p>
        </w:tc>
        <w:tc>
          <w:tcPr>
            <w:tcW w:w="1340" w:type="dxa"/>
            <w:vAlign w:val="bottom"/>
            <w:tcBorders>
              <w:bottom w:val="single" w:sz="8" w:color="auto"/>
              <w:right w:val="single" w:sz="8" w:color="auto"/>
            </w:tcBorders>
            <w:vMerge w:val="continue"/>
            <w:shd w:val="clear" w:color="auto" w:fill="2AD2C8"/>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54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b w:val="1"/>
                <w:bCs w:val="1"/>
                <w:color w:val="auto"/>
              </w:rPr>
              <w:t>Common Equity Tier 1 Ratio</w:t>
            </w:r>
          </w:p>
        </w:tc>
        <w:tc>
          <w:tcPr>
            <w:tcW w:w="1240" w:type="dxa"/>
            <w:vAlign w:val="bottom"/>
          </w:tcPr>
          <w:p>
            <w:pPr>
              <w:ind w:left="300"/>
              <w:spacing w:after="0"/>
              <w:rPr>
                <w:sz w:val="20"/>
                <w:szCs w:val="20"/>
                <w:color w:val="auto"/>
              </w:rPr>
            </w:pPr>
            <w:r>
              <w:rPr>
                <w:rFonts w:ascii="Arial" w:cs="Arial" w:eastAsia="Arial" w:hAnsi="Arial"/>
                <w:sz w:val="13"/>
                <w:szCs w:val="13"/>
                <w:color w:val="auto"/>
              </w:rPr>
              <w:t>16.49%</w:t>
            </w:r>
          </w:p>
        </w:tc>
        <w:tc>
          <w:tcPr>
            <w:tcW w:w="1000" w:type="dxa"/>
            <w:vAlign w:val="bottom"/>
            <w:tcBorders>
              <w:right w:val="single" w:sz="8" w:color="auto"/>
            </w:tcBorders>
          </w:tcPr>
          <w:p>
            <w:pPr>
              <w:ind w:left="180"/>
              <w:spacing w:after="0"/>
              <w:rPr>
                <w:sz w:val="20"/>
                <w:szCs w:val="20"/>
                <w:color w:val="auto"/>
              </w:rPr>
            </w:pPr>
            <w:r>
              <w:rPr>
                <w:rFonts w:ascii="Arial" w:cs="Arial" w:eastAsia="Arial" w:hAnsi="Arial"/>
                <w:sz w:val="13"/>
                <w:szCs w:val="13"/>
                <w:color w:val="auto"/>
              </w:rPr>
              <w:t>17.43%</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94 pbs</w:t>
            </w:r>
          </w:p>
        </w:tc>
        <w:tc>
          <w:tcPr>
            <w:tcW w:w="0" w:type="dxa"/>
            <w:vAlign w:val="bottom"/>
          </w:tcPr>
          <w:p>
            <w:pPr>
              <w:spacing w:after="0"/>
              <w:rPr>
                <w:sz w:val="1"/>
                <w:szCs w:val="1"/>
                <w:color w:val="auto"/>
              </w:rPr>
            </w:pPr>
          </w:p>
        </w:tc>
      </w:tr>
      <w:tr>
        <w:trPr>
          <w:trHeight w:val="165"/>
        </w:trPr>
        <w:tc>
          <w:tcPr>
            <w:tcW w:w="54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b w:val="1"/>
                <w:bCs w:val="1"/>
                <w:color w:val="auto"/>
              </w:rPr>
              <w:t>Tier 1 Capital ratio</w:t>
            </w:r>
          </w:p>
        </w:tc>
        <w:tc>
          <w:tcPr>
            <w:tcW w:w="1240" w:type="dxa"/>
            <w:vAlign w:val="bottom"/>
          </w:tcPr>
          <w:p>
            <w:pPr>
              <w:ind w:left="300"/>
              <w:spacing w:after="0"/>
              <w:rPr>
                <w:sz w:val="20"/>
                <w:szCs w:val="20"/>
                <w:color w:val="auto"/>
              </w:rPr>
            </w:pPr>
            <w:r>
              <w:rPr>
                <w:rFonts w:ascii="Arial" w:cs="Arial" w:eastAsia="Arial" w:hAnsi="Arial"/>
                <w:sz w:val="13"/>
                <w:szCs w:val="13"/>
                <w:color w:val="auto"/>
              </w:rPr>
              <w:t>16.49%</w:t>
            </w:r>
          </w:p>
        </w:tc>
        <w:tc>
          <w:tcPr>
            <w:tcW w:w="1000" w:type="dxa"/>
            <w:vAlign w:val="bottom"/>
            <w:tcBorders>
              <w:right w:val="single" w:sz="8" w:color="auto"/>
            </w:tcBorders>
          </w:tcPr>
          <w:p>
            <w:pPr>
              <w:ind w:left="180"/>
              <w:spacing w:after="0"/>
              <w:rPr>
                <w:sz w:val="20"/>
                <w:szCs w:val="20"/>
                <w:color w:val="auto"/>
              </w:rPr>
            </w:pPr>
            <w:r>
              <w:rPr>
                <w:rFonts w:ascii="Arial" w:cs="Arial" w:eastAsia="Arial" w:hAnsi="Arial"/>
                <w:sz w:val="13"/>
                <w:szCs w:val="13"/>
                <w:color w:val="auto"/>
              </w:rPr>
              <w:t>17.43%</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94 pbs</w:t>
            </w:r>
          </w:p>
        </w:tc>
        <w:tc>
          <w:tcPr>
            <w:tcW w:w="0" w:type="dxa"/>
            <w:vAlign w:val="bottom"/>
          </w:tcPr>
          <w:p>
            <w:pPr>
              <w:spacing w:after="0"/>
              <w:rPr>
                <w:sz w:val="1"/>
                <w:szCs w:val="1"/>
                <w:color w:val="auto"/>
              </w:rPr>
            </w:pPr>
          </w:p>
        </w:tc>
      </w:tr>
      <w:tr>
        <w:trPr>
          <w:trHeight w:val="185"/>
        </w:trPr>
        <w:tc>
          <w:tcPr>
            <w:tcW w:w="54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3"/>
                <w:szCs w:val="13"/>
                <w:b w:val="1"/>
                <w:bCs w:val="1"/>
                <w:color w:val="auto"/>
              </w:rPr>
              <w:t>Regulatory Global Capital Ratio</w:t>
            </w:r>
          </w:p>
        </w:tc>
        <w:tc>
          <w:tcPr>
            <w:tcW w:w="1240" w:type="dxa"/>
            <w:vAlign w:val="bottom"/>
            <w:tcBorders>
              <w:bottom w:val="single" w:sz="8" w:color="auto"/>
            </w:tcBorders>
          </w:tcPr>
          <w:p>
            <w:pPr>
              <w:ind w:left="300"/>
              <w:spacing w:after="0"/>
              <w:rPr>
                <w:sz w:val="20"/>
                <w:szCs w:val="20"/>
                <w:color w:val="auto"/>
              </w:rPr>
            </w:pPr>
            <w:r>
              <w:rPr>
                <w:rFonts w:ascii="Arial" w:cs="Arial" w:eastAsia="Arial" w:hAnsi="Arial"/>
                <w:sz w:val="13"/>
                <w:szCs w:val="13"/>
                <w:color w:val="auto"/>
              </w:rPr>
              <w:t>18.78%</w:t>
            </w:r>
          </w:p>
        </w:tc>
        <w:tc>
          <w:tcPr>
            <w:tcW w:w="10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3"/>
                <w:szCs w:val="13"/>
                <w:color w:val="auto"/>
              </w:rPr>
              <w:t>19.75%</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7"/>
              </w:rPr>
              <w:t>97 pbs</w:t>
            </w:r>
          </w:p>
        </w:tc>
        <w:tc>
          <w:tcPr>
            <w:tcW w:w="0" w:type="dxa"/>
            <w:vAlign w:val="bottom"/>
          </w:tcPr>
          <w:p>
            <w:pPr>
              <w:spacing w:after="0"/>
              <w:rPr>
                <w:sz w:val="1"/>
                <w:szCs w:val="1"/>
                <w:color w:val="auto"/>
              </w:rPr>
            </w:pPr>
          </w:p>
        </w:tc>
      </w:tr>
    </w:tbl>
    <w:p>
      <w:pPr>
        <w:ind w:left="720" w:hanging="168"/>
        <w:spacing w:after="0"/>
        <w:tabs>
          <w:tab w:leader="none" w:pos="720" w:val="left"/>
        </w:tabs>
        <w:numPr>
          <w:ilvl w:val="0"/>
          <w:numId w:val="64"/>
        </w:numPr>
        <w:rPr>
          <w:rFonts w:ascii="Arial" w:cs="Arial" w:eastAsia="Arial" w:hAnsi="Arial"/>
          <w:sz w:val="11"/>
          <w:szCs w:val="11"/>
          <w:color w:val="auto"/>
        </w:rPr>
      </w:pPr>
      <w:r>
        <w:rPr>
          <w:rFonts w:ascii="Arial" w:cs="Arial" w:eastAsia="Arial" w:hAnsi="Arial"/>
          <w:sz w:val="11"/>
          <w:szCs w:val="11"/>
          <w:color w:val="auto"/>
        </w:rPr>
        <w:t>Up to 1.25% of total risk-weighted assets.</w:t>
      </w:r>
    </w:p>
    <w:p>
      <w:pPr>
        <w:spacing w:after="0" w:line="4" w:lineRule="exact"/>
        <w:rPr>
          <w:rFonts w:ascii="Arial" w:cs="Arial" w:eastAsia="Arial" w:hAnsi="Arial"/>
          <w:sz w:val="11"/>
          <w:szCs w:val="11"/>
          <w:color w:val="auto"/>
        </w:rPr>
      </w:pPr>
    </w:p>
    <w:p>
      <w:pPr>
        <w:ind w:left="560" w:right="80" w:hanging="8"/>
        <w:spacing w:after="0" w:line="241" w:lineRule="auto"/>
        <w:tabs>
          <w:tab w:leader="none" w:pos="720" w:val="left"/>
        </w:tabs>
        <w:numPr>
          <w:ilvl w:val="0"/>
          <w:numId w:val="64"/>
        </w:numPr>
        <w:rPr>
          <w:rFonts w:ascii="Arial" w:cs="Arial" w:eastAsia="Arial" w:hAnsi="Arial"/>
          <w:sz w:val="11"/>
          <w:szCs w:val="11"/>
          <w:color w:val="auto"/>
        </w:rPr>
      </w:pPr>
      <w:r>
        <w:rPr>
          <w:rFonts w:ascii="Arial" w:cs="Arial" w:eastAsia="Arial" w:hAnsi="Arial"/>
          <w:sz w:val="11"/>
          <w:szCs w:val="11"/>
          <w:color w:val="auto"/>
        </w:rPr>
        <w:t>Common Equity Tier 1 = Capital Stock + Reserves + Accumulated earnings – Unrealized profits or losses - 100% deductions (investment in subsidiaries, goodwill, intangible assets and deferred tax assets based on future returns).</w:t>
      </w:r>
    </w:p>
    <w:p>
      <w:pPr>
        <w:ind w:left="720" w:hanging="168"/>
        <w:spacing w:after="0" w:line="234" w:lineRule="auto"/>
        <w:tabs>
          <w:tab w:leader="none" w:pos="720" w:val="left"/>
        </w:tabs>
        <w:numPr>
          <w:ilvl w:val="0"/>
          <w:numId w:val="64"/>
        </w:numPr>
        <w:rPr>
          <w:rFonts w:ascii="Arial" w:cs="Arial" w:eastAsia="Arial" w:hAnsi="Arial"/>
          <w:sz w:val="11"/>
          <w:szCs w:val="11"/>
          <w:color w:val="auto"/>
        </w:rPr>
      </w:pPr>
      <w:r>
        <w:rPr>
          <w:rFonts w:ascii="Arial" w:cs="Arial" w:eastAsia="Arial" w:hAnsi="Arial"/>
          <w:sz w:val="11"/>
          <w:szCs w:val="11"/>
          <w:color w:val="auto"/>
        </w:rPr>
        <w:t>Regulatory Tier 1 Capital = Common Equity Tier 1 + Tier 1 Subordinated Debt (Perpetual).</w:t>
      </w:r>
    </w:p>
    <w:p>
      <w:pPr>
        <w:ind w:left="720" w:hanging="168"/>
        <w:spacing w:after="0"/>
        <w:tabs>
          <w:tab w:leader="none" w:pos="720" w:val="left"/>
        </w:tabs>
        <w:numPr>
          <w:ilvl w:val="0"/>
          <w:numId w:val="64"/>
        </w:numPr>
        <w:rPr>
          <w:rFonts w:ascii="Arial" w:cs="Arial" w:eastAsia="Arial" w:hAnsi="Arial"/>
          <w:sz w:val="11"/>
          <w:szCs w:val="11"/>
          <w:color w:val="auto"/>
        </w:rPr>
      </w:pPr>
      <w:r>
        <w:rPr>
          <w:rFonts w:ascii="Arial" w:cs="Arial" w:eastAsia="Arial" w:hAnsi="Arial"/>
          <w:sz w:val="11"/>
          <w:szCs w:val="11"/>
          <w:color w:val="auto"/>
        </w:rPr>
        <w:t>Regulatory Tier 2 Capital = Subordinated Debt + Loan loss reserves.</w:t>
      </w:r>
    </w:p>
    <w:p>
      <w:pPr>
        <w:spacing w:after="0" w:line="31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33020</wp:posOffset>
            </wp:positionV>
            <wp:extent cx="7143750" cy="1587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00"/>
          </w:cols>
          <w:pgMar w:left="360" w:top="337" w:right="339" w:bottom="1440" w:gutter="0" w:footer="0" w:header="0"/>
        </w:sectPr>
      </w:pPr>
    </w:p>
    <w:bookmarkStart w:id="61" w:name="page62"/>
    <w:bookmarkEnd w:id="61"/>
    <w:p>
      <w:pPr>
        <w:ind w:left="2920"/>
        <w:spacing w:after="0"/>
        <w:tabs>
          <w:tab w:leader="none" w:pos="3100" w:val="left"/>
          <w:tab w:leader="none" w:pos="7660" w:val="left"/>
        </w:tabs>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202565</wp:posOffset>
            </wp:positionH>
            <wp:positionV relativeFrom="page">
              <wp:posOffset>88900</wp:posOffset>
            </wp:positionV>
            <wp:extent cx="7143750" cy="41592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3750" cy="415925"/>
                    </a:xfrm>
                    <a:prstGeom prst="rect">
                      <a:avLst/>
                    </a:prstGeom>
                    <a:noFill/>
                  </pic:spPr>
                </pic:pic>
              </a:graphicData>
            </a:graphic>
          </wp:anchor>
        </w:drawing>
        <w:t>|</w:t>
      </w:r>
      <w:r>
        <w:rPr>
          <w:sz w:val="20"/>
          <w:szCs w:val="20"/>
          <w:color w:val="auto"/>
        </w:rPr>
        <w:tab/>
      </w:r>
      <w:r>
        <w:rPr>
          <w:rFonts w:ascii="Arial" w:cs="Arial" w:eastAsia="Arial" w:hAnsi="Arial"/>
          <w:sz w:val="16"/>
          <w:szCs w:val="16"/>
          <w:b w:val="1"/>
          <w:bCs w:val="1"/>
          <w:color w:val="FFFFFF"/>
        </w:rPr>
        <w:t>Earnings Release 3Q / 2023</w:t>
      </w:r>
      <w:r>
        <w:rPr>
          <w:sz w:val="20"/>
          <w:szCs w:val="20"/>
          <w:color w:val="auto"/>
        </w:rPr>
        <w:tab/>
      </w:r>
      <w:r>
        <w:rPr>
          <w:rFonts w:ascii="Arial" w:cs="Arial" w:eastAsia="Arial" w:hAnsi="Arial"/>
          <w:sz w:val="18"/>
          <w:szCs w:val="18"/>
          <w:b w:val="1"/>
          <w:bCs w:val="1"/>
          <w:color w:val="E93CAC"/>
        </w:rPr>
        <w:t>Analysis of 3Q23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175260</wp:posOffset>
            </wp:positionV>
            <wp:extent cx="7143750" cy="2038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3750" cy="203835"/>
                    </a:xfrm>
                    <a:prstGeom prst="rect">
                      <a:avLst/>
                    </a:prstGeom>
                    <a:noFill/>
                  </pic:spPr>
                </pic:pic>
              </a:graphicData>
            </a:graphic>
          </wp:anchor>
        </w:drawing>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b w:val="1"/>
          <w:bCs w:val="1"/>
          <w:color w:val="FFFFFF"/>
        </w:rPr>
        <w:t>12. Appendix</w:t>
      </w:r>
    </w:p>
    <w:p>
      <w:pPr>
        <w:spacing w:after="0" w:line="5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Common Equity Tier 1 IFRS</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BCP Stand-alone</w:t>
      </w:r>
    </w:p>
    <w:p>
      <w:pPr>
        <w:spacing w:after="0" w:line="168" w:lineRule="exact"/>
        <w:rPr>
          <w:sz w:val="20"/>
          <w:szCs w:val="20"/>
          <w:color w:val="auto"/>
        </w:rPr>
      </w:pPr>
    </w:p>
    <w:tbl>
      <w:tblPr>
        <w:tblLayout w:type="fixed"/>
        <w:tblInd w:w="1090" w:type="dxa"/>
        <w:tblCellMar>
          <w:top w:w="0" w:type="dxa"/>
          <w:left w:w="0" w:type="dxa"/>
          <w:bottom w:w="0" w:type="dxa"/>
          <w:right w:w="0" w:type="dxa"/>
        </w:tblCellMar>
      </w:tblPr>
      <w:tr>
        <w:trPr>
          <w:trHeight w:val="149"/>
        </w:trPr>
        <w:tc>
          <w:tcPr>
            <w:tcW w:w="3200" w:type="dxa"/>
            <w:vAlign w:val="bottom"/>
            <w:tcBorders>
              <w:top w:val="single" w:sz="8" w:color="auto"/>
              <w:left w:val="single" w:sz="8" w:color="auto"/>
              <w:right w:val="single" w:sz="8" w:color="auto"/>
            </w:tcBorders>
            <w:gridSpan w:val="2"/>
            <w:shd w:val="clear" w:color="auto" w:fill="33CCCC"/>
          </w:tcPr>
          <w:p>
            <w:pPr>
              <w:ind w:left="100"/>
              <w:spacing w:after="0"/>
              <w:rPr>
                <w:sz w:val="20"/>
                <w:szCs w:val="20"/>
                <w:color w:val="auto"/>
              </w:rPr>
            </w:pPr>
            <w:r>
              <w:rPr>
                <w:rFonts w:ascii="Arial" w:cs="Arial" w:eastAsia="Arial" w:hAnsi="Arial"/>
                <w:sz w:val="13"/>
                <w:szCs w:val="13"/>
                <w:b w:val="1"/>
                <w:bCs w:val="1"/>
                <w:color w:val="FFFFFF"/>
              </w:rPr>
              <w:t>Common Equity Tier 1 IFRS</w:t>
            </w:r>
          </w:p>
        </w:tc>
        <w:tc>
          <w:tcPr>
            <w:tcW w:w="1300" w:type="dxa"/>
            <w:vAlign w:val="bottom"/>
            <w:tcBorders>
              <w:top w:val="single" w:sz="8" w:color="auto"/>
            </w:tcBorders>
            <w:vMerge w:val="restart"/>
            <w:shd w:val="clear" w:color="auto" w:fill="33CCCC"/>
          </w:tcPr>
          <w:p>
            <w:pPr>
              <w:jc w:val="right"/>
              <w:ind w:right="493"/>
              <w:spacing w:after="0"/>
              <w:rPr>
                <w:sz w:val="20"/>
                <w:szCs w:val="20"/>
                <w:color w:val="auto"/>
              </w:rPr>
            </w:pPr>
            <w:r>
              <w:rPr>
                <w:rFonts w:ascii="Arial" w:cs="Arial" w:eastAsia="Arial" w:hAnsi="Arial"/>
                <w:sz w:val="13"/>
                <w:szCs w:val="13"/>
                <w:b w:val="1"/>
                <w:bCs w:val="1"/>
                <w:color w:val="FFFFFF"/>
              </w:rPr>
              <w:t>Sep 22</w:t>
            </w:r>
          </w:p>
        </w:tc>
        <w:tc>
          <w:tcPr>
            <w:tcW w:w="1320" w:type="dxa"/>
            <w:vAlign w:val="bottom"/>
            <w:tcBorders>
              <w:top w:val="single" w:sz="8" w:color="auto"/>
            </w:tcBorders>
            <w:vMerge w:val="restart"/>
            <w:shd w:val="clear" w:color="auto" w:fill="33CCCC"/>
          </w:tcPr>
          <w:p>
            <w:pPr>
              <w:jc w:val="right"/>
              <w:ind w:right="614"/>
              <w:spacing w:after="0"/>
              <w:rPr>
                <w:sz w:val="20"/>
                <w:szCs w:val="20"/>
                <w:color w:val="auto"/>
              </w:rPr>
            </w:pPr>
            <w:r>
              <w:rPr>
                <w:rFonts w:ascii="Arial" w:cs="Arial" w:eastAsia="Arial" w:hAnsi="Arial"/>
                <w:sz w:val="13"/>
                <w:szCs w:val="13"/>
                <w:b w:val="1"/>
                <w:bCs w:val="1"/>
                <w:color w:val="FFFFFF"/>
              </w:rPr>
              <w:t>Jun 23</w:t>
            </w:r>
          </w:p>
        </w:tc>
        <w:tc>
          <w:tcPr>
            <w:tcW w:w="1080" w:type="dxa"/>
            <w:vAlign w:val="bottom"/>
            <w:tcBorders>
              <w:top w:val="single" w:sz="8" w:color="auto"/>
              <w:right w:val="single" w:sz="8" w:color="auto"/>
            </w:tcBorders>
            <w:vMerge w:val="restart"/>
            <w:shd w:val="clear" w:color="auto" w:fill="33CCCC"/>
          </w:tcPr>
          <w:p>
            <w:pPr>
              <w:jc w:val="right"/>
              <w:ind w:right="414"/>
              <w:spacing w:after="0"/>
              <w:rPr>
                <w:sz w:val="20"/>
                <w:szCs w:val="20"/>
                <w:color w:val="auto"/>
              </w:rPr>
            </w:pPr>
            <w:r>
              <w:rPr>
                <w:rFonts w:ascii="Arial" w:cs="Arial" w:eastAsia="Arial" w:hAnsi="Arial"/>
                <w:sz w:val="13"/>
                <w:szCs w:val="13"/>
                <w:b w:val="1"/>
                <w:bCs w:val="1"/>
                <w:color w:val="FFFFFF"/>
              </w:rPr>
              <w:t>Sep 23</w:t>
            </w:r>
          </w:p>
        </w:tc>
        <w:tc>
          <w:tcPr>
            <w:tcW w:w="80" w:type="dxa"/>
            <w:vAlign w:val="bottom"/>
            <w:tcBorders>
              <w:top w:val="single" w:sz="8" w:color="auto"/>
              <w:right w:val="single" w:sz="8" w:color="33CCCC"/>
            </w:tcBorders>
            <w:shd w:val="clear" w:color="auto" w:fill="33CCCC"/>
          </w:tcPr>
          <w:p>
            <w:pPr>
              <w:spacing w:after="0"/>
              <w:rPr>
                <w:sz w:val="12"/>
                <w:szCs w:val="12"/>
                <w:color w:val="auto"/>
              </w:rPr>
            </w:pPr>
          </w:p>
        </w:tc>
        <w:tc>
          <w:tcPr>
            <w:tcW w:w="960" w:type="dxa"/>
            <w:vAlign w:val="bottom"/>
            <w:tcBorders>
              <w:top w:val="single" w:sz="8" w:color="auto"/>
              <w:right w:val="single" w:sz="8" w:color="auto"/>
            </w:tcBorders>
            <w:shd w:val="clear" w:color="auto" w:fill="33CCCC"/>
          </w:tcPr>
          <w:p>
            <w:pPr>
              <w:jc w:val="center"/>
              <w:ind w:right="54"/>
              <w:spacing w:after="0"/>
              <w:rPr>
                <w:sz w:val="20"/>
                <w:szCs w:val="20"/>
                <w:color w:val="auto"/>
              </w:rPr>
            </w:pPr>
            <w:r>
              <w:rPr>
                <w:rFonts w:ascii="Arial" w:cs="Arial" w:eastAsia="Arial" w:hAnsi="Arial"/>
                <w:sz w:val="13"/>
                <w:szCs w:val="13"/>
                <w:b w:val="1"/>
                <w:bCs w:val="1"/>
                <w:color w:val="FFFFFF"/>
              </w:rPr>
              <w:t>% Change</w:t>
            </w:r>
          </w:p>
        </w:tc>
        <w:tc>
          <w:tcPr>
            <w:tcW w:w="60" w:type="dxa"/>
            <w:vAlign w:val="bottom"/>
            <w:tcBorders>
              <w:top w:val="single" w:sz="8" w:color="auto"/>
              <w:right w:val="single" w:sz="8" w:color="33CCCC"/>
            </w:tcBorders>
            <w:shd w:val="clear" w:color="auto" w:fill="33CCCC"/>
          </w:tcPr>
          <w:p>
            <w:pPr>
              <w:spacing w:after="0"/>
              <w:rPr>
                <w:sz w:val="12"/>
                <w:szCs w:val="12"/>
                <w:color w:val="auto"/>
              </w:rPr>
            </w:pPr>
          </w:p>
        </w:tc>
        <w:tc>
          <w:tcPr>
            <w:tcW w:w="1020" w:type="dxa"/>
            <w:vAlign w:val="bottom"/>
            <w:tcBorders>
              <w:top w:val="single" w:sz="8" w:color="auto"/>
              <w:right w:val="single" w:sz="8" w:color="auto"/>
            </w:tcBorders>
            <w:shd w:val="clear" w:color="auto" w:fill="33CCCC"/>
          </w:tcPr>
          <w:p>
            <w:pPr>
              <w:jc w:val="center"/>
              <w:ind w:right="34"/>
              <w:spacing w:after="0"/>
              <w:rPr>
                <w:sz w:val="20"/>
                <w:szCs w:val="20"/>
                <w:color w:val="auto"/>
              </w:rPr>
            </w:pPr>
            <w:r>
              <w:rPr>
                <w:rFonts w:ascii="Arial" w:cs="Arial" w:eastAsia="Arial" w:hAnsi="Arial"/>
                <w:sz w:val="13"/>
                <w:szCs w:val="13"/>
                <w:b w:val="1"/>
                <w:bCs w:val="1"/>
                <w:color w:val="FFFFFF"/>
              </w:rPr>
              <w:t>% Change</w:t>
            </w:r>
          </w:p>
        </w:tc>
        <w:tc>
          <w:tcPr>
            <w:tcW w:w="0" w:type="dxa"/>
            <w:vAlign w:val="bottom"/>
          </w:tcPr>
          <w:p>
            <w:pPr>
              <w:spacing w:after="0"/>
              <w:rPr>
                <w:sz w:val="1"/>
                <w:szCs w:val="1"/>
                <w:color w:val="auto"/>
              </w:rPr>
            </w:pPr>
          </w:p>
        </w:tc>
      </w:tr>
      <w:tr>
        <w:trPr>
          <w:trHeight w:val="160"/>
        </w:trPr>
        <w:tc>
          <w:tcPr>
            <w:tcW w:w="3200" w:type="dxa"/>
            <w:vAlign w:val="bottom"/>
            <w:tcBorders>
              <w:left w:val="single" w:sz="8" w:color="auto"/>
              <w:bottom w:val="single" w:sz="8" w:color="33CCCC"/>
              <w:right w:val="single" w:sz="8" w:color="auto"/>
            </w:tcBorders>
            <w:gridSpan w:val="2"/>
            <w:shd w:val="clear" w:color="auto" w:fill="33CCCC"/>
          </w:tcPr>
          <w:p>
            <w:pPr>
              <w:ind w:left="100"/>
              <w:spacing w:after="0"/>
              <w:rPr>
                <w:sz w:val="20"/>
                <w:szCs w:val="20"/>
                <w:color w:val="auto"/>
              </w:rPr>
            </w:pPr>
            <w:r>
              <w:rPr>
                <w:rFonts w:ascii="Arial" w:cs="Arial" w:eastAsia="Arial" w:hAnsi="Arial"/>
                <w:sz w:val="13"/>
                <w:szCs w:val="13"/>
                <w:color w:val="FFFFFF"/>
              </w:rPr>
              <w:t>(S/. thousand)</w:t>
            </w:r>
          </w:p>
        </w:tc>
        <w:tc>
          <w:tcPr>
            <w:tcW w:w="1300" w:type="dxa"/>
            <w:vAlign w:val="bottom"/>
            <w:tcBorders>
              <w:bottom w:val="single" w:sz="8" w:color="33CCCC"/>
            </w:tcBorders>
            <w:vMerge w:val="continue"/>
            <w:shd w:val="clear" w:color="auto" w:fill="33CCCC"/>
          </w:tcPr>
          <w:p>
            <w:pPr>
              <w:spacing w:after="0"/>
              <w:rPr>
                <w:sz w:val="13"/>
                <w:szCs w:val="13"/>
                <w:color w:val="auto"/>
              </w:rPr>
            </w:pPr>
          </w:p>
        </w:tc>
        <w:tc>
          <w:tcPr>
            <w:tcW w:w="1320" w:type="dxa"/>
            <w:vAlign w:val="bottom"/>
            <w:tcBorders>
              <w:bottom w:val="single" w:sz="8" w:color="33CCCC"/>
            </w:tcBorders>
            <w:vMerge w:val="continue"/>
            <w:shd w:val="clear" w:color="auto" w:fill="33CCCC"/>
          </w:tcPr>
          <w:p>
            <w:pPr>
              <w:spacing w:after="0"/>
              <w:rPr>
                <w:sz w:val="13"/>
                <w:szCs w:val="13"/>
                <w:color w:val="auto"/>
              </w:rPr>
            </w:pPr>
          </w:p>
        </w:tc>
        <w:tc>
          <w:tcPr>
            <w:tcW w:w="1080" w:type="dxa"/>
            <w:vAlign w:val="bottom"/>
            <w:tcBorders>
              <w:bottom w:val="single" w:sz="8" w:color="33CCCC"/>
              <w:right w:val="single" w:sz="8" w:color="auto"/>
            </w:tcBorders>
            <w:vMerge w:val="continue"/>
            <w:shd w:val="clear" w:color="auto" w:fill="33CCCC"/>
          </w:tcPr>
          <w:p>
            <w:pPr>
              <w:spacing w:after="0"/>
              <w:rPr>
                <w:sz w:val="13"/>
                <w:szCs w:val="13"/>
                <w:color w:val="auto"/>
              </w:rPr>
            </w:pPr>
          </w:p>
        </w:tc>
        <w:tc>
          <w:tcPr>
            <w:tcW w:w="80" w:type="dxa"/>
            <w:vAlign w:val="bottom"/>
            <w:tcBorders>
              <w:bottom w:val="single" w:sz="8" w:color="33CCCC"/>
              <w:right w:val="single" w:sz="8" w:color="33CCCC"/>
            </w:tcBorders>
            <w:shd w:val="clear" w:color="auto" w:fill="33CCCC"/>
          </w:tcPr>
          <w:p>
            <w:pPr>
              <w:spacing w:after="0"/>
              <w:rPr>
                <w:sz w:val="13"/>
                <w:szCs w:val="13"/>
                <w:color w:val="auto"/>
              </w:rPr>
            </w:pPr>
          </w:p>
        </w:tc>
        <w:tc>
          <w:tcPr>
            <w:tcW w:w="960" w:type="dxa"/>
            <w:vAlign w:val="bottom"/>
            <w:tcBorders>
              <w:bottom w:val="single" w:sz="8" w:color="33CCCC"/>
              <w:right w:val="single" w:sz="8" w:color="auto"/>
            </w:tcBorders>
            <w:shd w:val="clear" w:color="auto" w:fill="33CCCC"/>
          </w:tcPr>
          <w:p>
            <w:pPr>
              <w:jc w:val="center"/>
              <w:ind w:right="54"/>
              <w:spacing w:after="0"/>
              <w:rPr>
                <w:sz w:val="20"/>
                <w:szCs w:val="20"/>
                <w:color w:val="auto"/>
              </w:rPr>
            </w:pPr>
            <w:r>
              <w:rPr>
                <w:rFonts w:ascii="Arial" w:cs="Arial" w:eastAsia="Arial" w:hAnsi="Arial"/>
                <w:sz w:val="13"/>
                <w:szCs w:val="13"/>
                <w:b w:val="1"/>
                <w:bCs w:val="1"/>
                <w:color w:val="FFFFFF"/>
                <w:w w:val="99"/>
              </w:rPr>
              <w:t>QoQ</w:t>
            </w:r>
          </w:p>
        </w:tc>
        <w:tc>
          <w:tcPr>
            <w:tcW w:w="60" w:type="dxa"/>
            <w:vAlign w:val="bottom"/>
            <w:tcBorders>
              <w:bottom w:val="single" w:sz="8" w:color="33CCCC"/>
              <w:right w:val="single" w:sz="8" w:color="33CCCC"/>
            </w:tcBorders>
            <w:shd w:val="clear" w:color="auto" w:fill="33CCCC"/>
          </w:tcPr>
          <w:p>
            <w:pPr>
              <w:spacing w:after="0"/>
              <w:rPr>
                <w:sz w:val="13"/>
                <w:szCs w:val="13"/>
                <w:color w:val="auto"/>
              </w:rPr>
            </w:pPr>
          </w:p>
        </w:tc>
        <w:tc>
          <w:tcPr>
            <w:tcW w:w="1020" w:type="dxa"/>
            <w:vAlign w:val="bottom"/>
            <w:tcBorders>
              <w:bottom w:val="single" w:sz="8" w:color="33CCCC"/>
              <w:right w:val="single" w:sz="8" w:color="auto"/>
            </w:tcBorders>
            <w:shd w:val="clear" w:color="auto" w:fill="33CCCC"/>
          </w:tcPr>
          <w:p>
            <w:pPr>
              <w:jc w:val="center"/>
              <w:ind w:right="34"/>
              <w:spacing w:after="0"/>
              <w:rPr>
                <w:sz w:val="20"/>
                <w:szCs w:val="20"/>
                <w:color w:val="auto"/>
              </w:rPr>
            </w:pPr>
            <w:r>
              <w:rPr>
                <w:rFonts w:ascii="Arial" w:cs="Arial" w:eastAsia="Arial" w:hAnsi="Arial"/>
                <w:sz w:val="13"/>
                <w:szCs w:val="13"/>
                <w:b w:val="1"/>
                <w:bCs w:val="1"/>
                <w:color w:val="FFFFFF"/>
                <w:w w:val="94"/>
              </w:rPr>
              <w:t>YoY</w:t>
            </w:r>
          </w:p>
        </w:tc>
        <w:tc>
          <w:tcPr>
            <w:tcW w:w="0" w:type="dxa"/>
            <w:vAlign w:val="bottom"/>
          </w:tcPr>
          <w:p>
            <w:pPr>
              <w:spacing w:after="0"/>
              <w:rPr>
                <w:sz w:val="1"/>
                <w:szCs w:val="1"/>
                <w:color w:val="auto"/>
              </w:rPr>
            </w:pPr>
          </w:p>
        </w:tc>
      </w:tr>
      <w:tr>
        <w:trPr>
          <w:trHeight w:val="158"/>
        </w:trPr>
        <w:tc>
          <w:tcPr>
            <w:tcW w:w="3200" w:type="dxa"/>
            <w:vAlign w:val="bottom"/>
            <w:tcBorders>
              <w:top w:val="single" w:sz="8" w:color="auto"/>
              <w:left w:val="single" w:sz="8" w:color="auto"/>
              <w:right w:val="single" w:sz="8" w:color="auto"/>
            </w:tcBorders>
            <w:gridSpan w:val="2"/>
          </w:tcPr>
          <w:p>
            <w:pPr>
              <w:ind w:left="100"/>
              <w:spacing w:after="0"/>
              <w:rPr>
                <w:sz w:val="20"/>
                <w:szCs w:val="20"/>
                <w:color w:val="auto"/>
              </w:rPr>
            </w:pPr>
            <w:r>
              <w:rPr>
                <w:rFonts w:ascii="Arial" w:cs="Arial" w:eastAsia="Arial" w:hAnsi="Arial"/>
                <w:sz w:val="13"/>
                <w:szCs w:val="13"/>
                <w:color w:val="auto"/>
              </w:rPr>
              <w:t>Capital and reserves</w:t>
            </w:r>
          </w:p>
        </w:tc>
        <w:tc>
          <w:tcPr>
            <w:tcW w:w="1300" w:type="dxa"/>
            <w:vAlign w:val="bottom"/>
            <w:tcBorders>
              <w:top w:val="single" w:sz="8" w:color="auto"/>
            </w:tcBorders>
          </w:tcPr>
          <w:p>
            <w:pPr>
              <w:jc w:val="right"/>
              <w:ind w:right="153"/>
              <w:spacing w:after="0"/>
              <w:rPr>
                <w:sz w:val="20"/>
                <w:szCs w:val="20"/>
                <w:color w:val="auto"/>
              </w:rPr>
            </w:pPr>
            <w:r>
              <w:rPr>
                <w:rFonts w:ascii="Arial" w:cs="Arial" w:eastAsia="Arial" w:hAnsi="Arial"/>
                <w:sz w:val="13"/>
                <w:szCs w:val="13"/>
                <w:color w:val="auto"/>
              </w:rPr>
              <w:t>19,181,019</w:t>
            </w:r>
          </w:p>
        </w:tc>
        <w:tc>
          <w:tcPr>
            <w:tcW w:w="1320" w:type="dxa"/>
            <w:vAlign w:val="bottom"/>
            <w:tcBorders>
              <w:top w:val="single" w:sz="8" w:color="auto"/>
            </w:tcBorders>
          </w:tcPr>
          <w:p>
            <w:pPr>
              <w:jc w:val="right"/>
              <w:ind w:right="194"/>
              <w:spacing w:after="0"/>
              <w:rPr>
                <w:sz w:val="20"/>
                <w:szCs w:val="20"/>
                <w:color w:val="auto"/>
              </w:rPr>
            </w:pPr>
            <w:r>
              <w:rPr>
                <w:rFonts w:ascii="Arial" w:cs="Arial" w:eastAsia="Arial" w:hAnsi="Arial"/>
                <w:sz w:val="13"/>
                <w:szCs w:val="13"/>
                <w:color w:val="auto"/>
              </w:rPr>
              <w:t>19,500,292</w:t>
            </w:r>
          </w:p>
        </w:tc>
        <w:tc>
          <w:tcPr>
            <w:tcW w:w="108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19,500,725</w:t>
            </w:r>
          </w:p>
        </w:tc>
        <w:tc>
          <w:tcPr>
            <w:tcW w:w="80" w:type="dxa"/>
            <w:vAlign w:val="bottom"/>
            <w:tcBorders>
              <w:top w:val="single" w:sz="8" w:color="auto"/>
            </w:tcBorders>
          </w:tcPr>
          <w:p>
            <w:pPr>
              <w:spacing w:after="0"/>
              <w:rPr>
                <w:sz w:val="13"/>
                <w:szCs w:val="13"/>
                <w:color w:val="auto"/>
              </w:rPr>
            </w:pPr>
          </w:p>
        </w:tc>
        <w:tc>
          <w:tcPr>
            <w:tcW w:w="960" w:type="dxa"/>
            <w:vAlign w:val="bottom"/>
            <w:tcBorders>
              <w:top w:val="single" w:sz="8" w:color="auto"/>
              <w:right w:val="single" w:sz="8" w:color="auto"/>
            </w:tcBorders>
          </w:tcPr>
          <w:p>
            <w:pPr>
              <w:jc w:val="center"/>
              <w:ind w:right="34"/>
              <w:spacing w:after="0"/>
              <w:rPr>
                <w:sz w:val="20"/>
                <w:szCs w:val="20"/>
                <w:color w:val="auto"/>
              </w:rPr>
            </w:pPr>
            <w:r>
              <w:rPr>
                <w:rFonts w:ascii="Arial" w:cs="Arial" w:eastAsia="Arial" w:hAnsi="Arial"/>
                <w:sz w:val="13"/>
                <w:szCs w:val="13"/>
                <w:color w:val="auto"/>
              </w:rPr>
              <w:t>0.0%</w:t>
            </w:r>
          </w:p>
        </w:tc>
        <w:tc>
          <w:tcPr>
            <w:tcW w:w="60" w:type="dxa"/>
            <w:vAlign w:val="bottom"/>
            <w:tcBorders>
              <w:top w:val="single" w:sz="8" w:color="auto"/>
            </w:tcBorders>
          </w:tcPr>
          <w:p>
            <w:pPr>
              <w:spacing w:after="0"/>
              <w:rPr>
                <w:sz w:val="13"/>
                <w:szCs w:val="13"/>
                <w:color w:val="auto"/>
              </w:rPr>
            </w:pPr>
          </w:p>
        </w:tc>
        <w:tc>
          <w:tcPr>
            <w:tcW w:w="1020" w:type="dxa"/>
            <w:vAlign w:val="bottom"/>
            <w:tcBorders>
              <w:top w:val="single" w:sz="8" w:color="auto"/>
              <w:right w:val="single" w:sz="8" w:color="auto"/>
            </w:tcBorders>
          </w:tcPr>
          <w:p>
            <w:pPr>
              <w:jc w:val="center"/>
              <w:ind w:right="14"/>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69"/>
        </w:trPr>
        <w:tc>
          <w:tcPr>
            <w:tcW w:w="320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3"/>
                <w:szCs w:val="13"/>
                <w:color w:val="auto"/>
              </w:rPr>
              <w:t>Retained earnings</w:t>
            </w:r>
          </w:p>
        </w:tc>
        <w:tc>
          <w:tcPr>
            <w:tcW w:w="1300" w:type="dxa"/>
            <w:vAlign w:val="bottom"/>
          </w:tcPr>
          <w:p>
            <w:pPr>
              <w:jc w:val="right"/>
              <w:ind w:right="153"/>
              <w:spacing w:after="0"/>
              <w:rPr>
                <w:sz w:val="20"/>
                <w:szCs w:val="20"/>
                <w:color w:val="auto"/>
              </w:rPr>
            </w:pPr>
            <w:r>
              <w:rPr>
                <w:rFonts w:ascii="Arial" w:cs="Arial" w:eastAsia="Arial" w:hAnsi="Arial"/>
                <w:sz w:val="13"/>
                <w:szCs w:val="13"/>
                <w:color w:val="auto"/>
              </w:rPr>
              <w:t>4,187,468</w:t>
            </w:r>
          </w:p>
        </w:tc>
        <w:tc>
          <w:tcPr>
            <w:tcW w:w="1320" w:type="dxa"/>
            <w:vAlign w:val="bottom"/>
          </w:tcPr>
          <w:p>
            <w:pPr>
              <w:jc w:val="right"/>
              <w:ind w:right="194"/>
              <w:spacing w:after="0"/>
              <w:rPr>
                <w:sz w:val="20"/>
                <w:szCs w:val="20"/>
                <w:color w:val="auto"/>
              </w:rPr>
            </w:pPr>
            <w:r>
              <w:rPr>
                <w:rFonts w:ascii="Arial" w:cs="Arial" w:eastAsia="Arial" w:hAnsi="Arial"/>
                <w:sz w:val="13"/>
                <w:szCs w:val="13"/>
                <w:color w:val="auto"/>
              </w:rPr>
              <w:t>4,000,489</w:t>
            </w: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5,104,881</w:t>
            </w:r>
          </w:p>
        </w:tc>
        <w:tc>
          <w:tcPr>
            <w:tcW w:w="80" w:type="dxa"/>
            <w:vAlign w:val="bottom"/>
          </w:tcPr>
          <w:p>
            <w:pPr>
              <w:spacing w:after="0"/>
              <w:rPr>
                <w:sz w:val="14"/>
                <w:szCs w:val="14"/>
                <w:color w:val="auto"/>
              </w:rPr>
            </w:pPr>
          </w:p>
        </w:tc>
        <w:tc>
          <w:tcPr>
            <w:tcW w:w="960" w:type="dxa"/>
            <w:vAlign w:val="bottom"/>
            <w:tcBorders>
              <w:right w:val="single" w:sz="8" w:color="auto"/>
            </w:tcBorders>
          </w:tcPr>
          <w:p>
            <w:pPr>
              <w:jc w:val="center"/>
              <w:ind w:right="54"/>
              <w:spacing w:after="0"/>
              <w:rPr>
                <w:sz w:val="20"/>
                <w:szCs w:val="20"/>
                <w:color w:val="auto"/>
              </w:rPr>
            </w:pPr>
            <w:r>
              <w:rPr>
                <w:rFonts w:ascii="Arial" w:cs="Arial" w:eastAsia="Arial" w:hAnsi="Arial"/>
                <w:sz w:val="13"/>
                <w:szCs w:val="13"/>
                <w:color w:val="auto"/>
                <w:w w:val="97"/>
              </w:rPr>
              <w:t>27.6%</w:t>
            </w:r>
          </w:p>
        </w:tc>
        <w:tc>
          <w:tcPr>
            <w:tcW w:w="60" w:type="dxa"/>
            <w:vAlign w:val="bottom"/>
          </w:tcPr>
          <w:p>
            <w:pPr>
              <w:spacing w:after="0"/>
              <w:rPr>
                <w:sz w:val="14"/>
                <w:szCs w:val="14"/>
                <w:color w:val="auto"/>
              </w:rPr>
            </w:pPr>
          </w:p>
        </w:tc>
        <w:tc>
          <w:tcPr>
            <w:tcW w:w="1020" w:type="dxa"/>
            <w:vAlign w:val="bottom"/>
            <w:tcBorders>
              <w:right w:val="single" w:sz="8" w:color="auto"/>
            </w:tcBorders>
          </w:tcPr>
          <w:p>
            <w:pPr>
              <w:jc w:val="center"/>
              <w:ind w:right="14"/>
              <w:spacing w:after="0"/>
              <w:rPr>
                <w:sz w:val="20"/>
                <w:szCs w:val="20"/>
                <w:color w:val="auto"/>
              </w:rPr>
            </w:pPr>
            <w:r>
              <w:rPr>
                <w:rFonts w:ascii="Arial" w:cs="Arial" w:eastAsia="Arial" w:hAnsi="Arial"/>
                <w:sz w:val="13"/>
                <w:szCs w:val="13"/>
                <w:color w:val="auto"/>
              </w:rPr>
              <w:t>21.9%</w:t>
            </w:r>
          </w:p>
        </w:tc>
        <w:tc>
          <w:tcPr>
            <w:tcW w:w="0" w:type="dxa"/>
            <w:vAlign w:val="bottom"/>
          </w:tcPr>
          <w:p>
            <w:pPr>
              <w:spacing w:after="0"/>
              <w:rPr>
                <w:sz w:val="1"/>
                <w:szCs w:val="1"/>
                <w:color w:val="auto"/>
              </w:rPr>
            </w:pPr>
          </w:p>
        </w:tc>
      </w:tr>
      <w:tr>
        <w:trPr>
          <w:trHeight w:val="173"/>
        </w:trPr>
        <w:tc>
          <w:tcPr>
            <w:tcW w:w="320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3"/>
                <w:szCs w:val="13"/>
                <w:color w:val="auto"/>
              </w:rPr>
              <w:t>Unrealized gains (losses)</w:t>
            </w:r>
          </w:p>
        </w:tc>
        <w:tc>
          <w:tcPr>
            <w:tcW w:w="1300" w:type="dxa"/>
            <w:vAlign w:val="bottom"/>
          </w:tcPr>
          <w:p>
            <w:pPr>
              <w:jc w:val="right"/>
              <w:ind w:right="153"/>
              <w:spacing w:after="0"/>
              <w:rPr>
                <w:sz w:val="20"/>
                <w:szCs w:val="20"/>
                <w:color w:val="auto"/>
              </w:rPr>
            </w:pPr>
            <w:r>
              <w:rPr>
                <w:rFonts w:ascii="Arial" w:cs="Arial" w:eastAsia="Arial" w:hAnsi="Arial"/>
                <w:sz w:val="13"/>
                <w:szCs w:val="13"/>
                <w:color w:val="auto"/>
              </w:rPr>
              <w:t>(1,274,918)</w:t>
            </w:r>
          </w:p>
        </w:tc>
        <w:tc>
          <w:tcPr>
            <w:tcW w:w="1320" w:type="dxa"/>
            <w:vAlign w:val="bottom"/>
          </w:tcPr>
          <w:p>
            <w:pPr>
              <w:jc w:val="right"/>
              <w:ind w:right="194"/>
              <w:spacing w:after="0"/>
              <w:rPr>
                <w:sz w:val="20"/>
                <w:szCs w:val="20"/>
                <w:color w:val="auto"/>
              </w:rPr>
            </w:pPr>
            <w:r>
              <w:rPr>
                <w:rFonts w:ascii="Arial" w:cs="Arial" w:eastAsia="Arial" w:hAnsi="Arial"/>
                <w:sz w:val="13"/>
                <w:szCs w:val="13"/>
                <w:color w:val="auto"/>
              </w:rPr>
              <w:t>(274,021)</w:t>
            </w: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(375,086)</w:t>
            </w:r>
          </w:p>
        </w:tc>
        <w:tc>
          <w:tcPr>
            <w:tcW w:w="80" w:type="dxa"/>
            <w:vAlign w:val="bottom"/>
          </w:tcPr>
          <w:p>
            <w:pPr>
              <w:spacing w:after="0"/>
              <w:rPr>
                <w:sz w:val="15"/>
                <w:szCs w:val="15"/>
                <w:color w:val="auto"/>
              </w:rPr>
            </w:pPr>
          </w:p>
        </w:tc>
        <w:tc>
          <w:tcPr>
            <w:tcW w:w="960" w:type="dxa"/>
            <w:vAlign w:val="bottom"/>
            <w:tcBorders>
              <w:right w:val="single" w:sz="8" w:color="auto"/>
            </w:tcBorders>
          </w:tcPr>
          <w:p>
            <w:pPr>
              <w:jc w:val="center"/>
              <w:ind w:right="54"/>
              <w:spacing w:after="0"/>
              <w:rPr>
                <w:sz w:val="20"/>
                <w:szCs w:val="20"/>
                <w:color w:val="auto"/>
              </w:rPr>
            </w:pPr>
            <w:r>
              <w:rPr>
                <w:rFonts w:ascii="Arial" w:cs="Arial" w:eastAsia="Arial" w:hAnsi="Arial"/>
                <w:sz w:val="13"/>
                <w:szCs w:val="13"/>
                <w:color w:val="auto"/>
                <w:w w:val="97"/>
              </w:rPr>
              <w:t>36.9%</w:t>
            </w:r>
          </w:p>
        </w:tc>
        <w:tc>
          <w:tcPr>
            <w:tcW w:w="60" w:type="dxa"/>
            <w:vAlign w:val="bottom"/>
          </w:tcPr>
          <w:p>
            <w:pPr>
              <w:spacing w:after="0"/>
              <w:rPr>
                <w:sz w:val="15"/>
                <w:szCs w:val="15"/>
                <w:color w:val="auto"/>
              </w:rPr>
            </w:pPr>
          </w:p>
        </w:tc>
        <w:tc>
          <w:tcPr>
            <w:tcW w:w="1020" w:type="dxa"/>
            <w:vAlign w:val="bottom"/>
            <w:tcBorders>
              <w:right w:val="single" w:sz="8" w:color="auto"/>
            </w:tcBorders>
          </w:tcPr>
          <w:p>
            <w:pPr>
              <w:jc w:val="center"/>
              <w:ind w:right="14"/>
              <w:spacing w:after="0"/>
              <w:rPr>
                <w:sz w:val="20"/>
                <w:szCs w:val="20"/>
                <w:color w:val="auto"/>
              </w:rPr>
            </w:pPr>
            <w:r>
              <w:rPr>
                <w:rFonts w:ascii="Arial" w:cs="Arial" w:eastAsia="Arial" w:hAnsi="Arial"/>
                <w:sz w:val="13"/>
                <w:szCs w:val="13"/>
                <w:color w:val="auto"/>
              </w:rPr>
              <w:t>-70.6%</w:t>
            </w:r>
          </w:p>
        </w:tc>
        <w:tc>
          <w:tcPr>
            <w:tcW w:w="0" w:type="dxa"/>
            <w:vAlign w:val="bottom"/>
          </w:tcPr>
          <w:p>
            <w:pPr>
              <w:spacing w:after="0"/>
              <w:rPr>
                <w:sz w:val="1"/>
                <w:szCs w:val="1"/>
                <w:color w:val="auto"/>
              </w:rPr>
            </w:pPr>
          </w:p>
        </w:tc>
      </w:tr>
      <w:tr>
        <w:trPr>
          <w:trHeight w:val="173"/>
        </w:trPr>
        <w:tc>
          <w:tcPr>
            <w:tcW w:w="320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3"/>
                <w:szCs w:val="13"/>
                <w:color w:val="auto"/>
              </w:rPr>
              <w:t>Goodwill and intangibles</w:t>
            </w:r>
          </w:p>
        </w:tc>
        <w:tc>
          <w:tcPr>
            <w:tcW w:w="1300" w:type="dxa"/>
            <w:vAlign w:val="bottom"/>
          </w:tcPr>
          <w:p>
            <w:pPr>
              <w:jc w:val="right"/>
              <w:ind w:right="153"/>
              <w:spacing w:after="0"/>
              <w:rPr>
                <w:sz w:val="20"/>
                <w:szCs w:val="20"/>
                <w:color w:val="auto"/>
              </w:rPr>
            </w:pPr>
            <w:r>
              <w:rPr>
                <w:rFonts w:ascii="Arial" w:cs="Arial" w:eastAsia="Arial" w:hAnsi="Arial"/>
                <w:sz w:val="13"/>
                <w:szCs w:val="13"/>
                <w:color w:val="auto"/>
              </w:rPr>
              <w:t>(1,355,924)</w:t>
            </w:r>
          </w:p>
        </w:tc>
        <w:tc>
          <w:tcPr>
            <w:tcW w:w="1320" w:type="dxa"/>
            <w:vAlign w:val="bottom"/>
          </w:tcPr>
          <w:p>
            <w:pPr>
              <w:jc w:val="right"/>
              <w:ind w:right="194"/>
              <w:spacing w:after="0"/>
              <w:rPr>
                <w:sz w:val="20"/>
                <w:szCs w:val="20"/>
                <w:color w:val="auto"/>
              </w:rPr>
            </w:pPr>
            <w:r>
              <w:rPr>
                <w:rFonts w:ascii="Arial" w:cs="Arial" w:eastAsia="Arial" w:hAnsi="Arial"/>
                <w:sz w:val="13"/>
                <w:szCs w:val="13"/>
                <w:color w:val="auto"/>
              </w:rPr>
              <w:t>(1,516,702)</w:t>
            </w: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(1,573,072)</w:t>
            </w:r>
          </w:p>
        </w:tc>
        <w:tc>
          <w:tcPr>
            <w:tcW w:w="80" w:type="dxa"/>
            <w:vAlign w:val="bottom"/>
          </w:tcPr>
          <w:p>
            <w:pPr>
              <w:spacing w:after="0"/>
              <w:rPr>
                <w:sz w:val="15"/>
                <w:szCs w:val="15"/>
                <w:color w:val="auto"/>
              </w:rPr>
            </w:pPr>
          </w:p>
        </w:tc>
        <w:tc>
          <w:tcPr>
            <w:tcW w:w="960" w:type="dxa"/>
            <w:vAlign w:val="bottom"/>
            <w:tcBorders>
              <w:right w:val="single" w:sz="8" w:color="auto"/>
            </w:tcBorders>
          </w:tcPr>
          <w:p>
            <w:pPr>
              <w:jc w:val="center"/>
              <w:ind w:right="34"/>
              <w:spacing w:after="0"/>
              <w:rPr>
                <w:sz w:val="20"/>
                <w:szCs w:val="20"/>
                <w:color w:val="auto"/>
              </w:rPr>
            </w:pPr>
            <w:r>
              <w:rPr>
                <w:rFonts w:ascii="Arial" w:cs="Arial" w:eastAsia="Arial" w:hAnsi="Arial"/>
                <w:sz w:val="13"/>
                <w:szCs w:val="13"/>
                <w:color w:val="auto"/>
              </w:rPr>
              <w:t>3.7%</w:t>
            </w:r>
          </w:p>
        </w:tc>
        <w:tc>
          <w:tcPr>
            <w:tcW w:w="60" w:type="dxa"/>
            <w:vAlign w:val="bottom"/>
          </w:tcPr>
          <w:p>
            <w:pPr>
              <w:spacing w:after="0"/>
              <w:rPr>
                <w:sz w:val="15"/>
                <w:szCs w:val="15"/>
                <w:color w:val="auto"/>
              </w:rPr>
            </w:pPr>
          </w:p>
        </w:tc>
        <w:tc>
          <w:tcPr>
            <w:tcW w:w="1020" w:type="dxa"/>
            <w:vAlign w:val="bottom"/>
            <w:tcBorders>
              <w:right w:val="single" w:sz="8" w:color="auto"/>
            </w:tcBorders>
          </w:tcPr>
          <w:p>
            <w:pPr>
              <w:jc w:val="center"/>
              <w:ind w:right="14"/>
              <w:spacing w:after="0"/>
              <w:rPr>
                <w:sz w:val="20"/>
                <w:szCs w:val="20"/>
                <w:color w:val="auto"/>
              </w:rPr>
            </w:pPr>
            <w:r>
              <w:rPr>
                <w:rFonts w:ascii="Arial" w:cs="Arial" w:eastAsia="Arial" w:hAnsi="Arial"/>
                <w:sz w:val="13"/>
                <w:szCs w:val="13"/>
                <w:color w:val="auto"/>
              </w:rPr>
              <w:t>16.0%</w:t>
            </w:r>
          </w:p>
        </w:tc>
        <w:tc>
          <w:tcPr>
            <w:tcW w:w="0" w:type="dxa"/>
            <w:vAlign w:val="bottom"/>
          </w:tcPr>
          <w:p>
            <w:pPr>
              <w:spacing w:after="0"/>
              <w:rPr>
                <w:sz w:val="1"/>
                <w:szCs w:val="1"/>
                <w:color w:val="auto"/>
              </w:rPr>
            </w:pPr>
          </w:p>
        </w:tc>
      </w:tr>
      <w:tr>
        <w:trPr>
          <w:trHeight w:val="179"/>
        </w:trPr>
        <w:tc>
          <w:tcPr>
            <w:tcW w:w="3200" w:type="dxa"/>
            <w:vAlign w:val="bottom"/>
            <w:tcBorders>
              <w:left w:val="single" w:sz="8" w:color="auto"/>
              <w:bottom w:val="single" w:sz="8" w:color="auto"/>
              <w:right w:val="single" w:sz="8" w:color="auto"/>
            </w:tcBorders>
            <w:gridSpan w:val="2"/>
          </w:tcPr>
          <w:p>
            <w:pPr>
              <w:ind w:left="100"/>
              <w:spacing w:after="0"/>
              <w:rPr>
                <w:sz w:val="20"/>
                <w:szCs w:val="20"/>
                <w:color w:val="auto"/>
              </w:rPr>
            </w:pPr>
            <w:r>
              <w:rPr>
                <w:rFonts w:ascii="Arial" w:cs="Arial" w:eastAsia="Arial" w:hAnsi="Arial"/>
                <w:sz w:val="13"/>
                <w:szCs w:val="13"/>
                <w:color w:val="auto"/>
              </w:rPr>
              <w:t>Investments in subsidiaries</w:t>
            </w:r>
          </w:p>
        </w:tc>
        <w:tc>
          <w:tcPr>
            <w:tcW w:w="130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color w:val="auto"/>
              </w:rPr>
              <w:t>(2,653,531)</w:t>
            </w:r>
          </w:p>
        </w:tc>
        <w:tc>
          <w:tcPr>
            <w:tcW w:w="1320" w:type="dxa"/>
            <w:vAlign w:val="bottom"/>
            <w:tcBorders>
              <w:bottom w:val="single" w:sz="8" w:color="auto"/>
            </w:tcBorders>
          </w:tcPr>
          <w:p>
            <w:pPr>
              <w:jc w:val="right"/>
              <w:ind w:right="194"/>
              <w:spacing w:after="0"/>
              <w:rPr>
                <w:sz w:val="20"/>
                <w:szCs w:val="20"/>
                <w:color w:val="auto"/>
              </w:rPr>
            </w:pPr>
            <w:r>
              <w:rPr>
                <w:rFonts w:ascii="Arial" w:cs="Arial" w:eastAsia="Arial" w:hAnsi="Arial"/>
                <w:sz w:val="13"/>
                <w:szCs w:val="13"/>
                <w:color w:val="auto"/>
              </w:rPr>
              <w:t>(2,800,043)</w:t>
            </w:r>
          </w:p>
        </w:tc>
        <w:tc>
          <w:tcPr>
            <w:tcW w:w="1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(2,851,285)</w:t>
            </w: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right w:val="single" w:sz="8" w:color="auto"/>
            </w:tcBorders>
          </w:tcPr>
          <w:p>
            <w:pPr>
              <w:jc w:val="center"/>
              <w:ind w:right="34"/>
              <w:spacing w:after="0"/>
              <w:rPr>
                <w:sz w:val="20"/>
                <w:szCs w:val="20"/>
                <w:color w:val="auto"/>
              </w:rPr>
            </w:pPr>
            <w:r>
              <w:rPr>
                <w:rFonts w:ascii="Arial" w:cs="Arial" w:eastAsia="Arial" w:hAnsi="Arial"/>
                <w:sz w:val="13"/>
                <w:szCs w:val="13"/>
                <w:color w:val="auto"/>
              </w:rPr>
              <w:t>1.8%</w:t>
            </w:r>
          </w:p>
        </w:tc>
        <w:tc>
          <w:tcPr>
            <w:tcW w:w="60" w:type="dxa"/>
            <w:vAlign w:val="bottom"/>
            <w:tcBorders>
              <w:bottom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jc w:val="center"/>
              <w:ind w:right="14"/>
              <w:spacing w:after="0"/>
              <w:rPr>
                <w:sz w:val="20"/>
                <w:szCs w:val="20"/>
                <w:color w:val="auto"/>
              </w:rPr>
            </w:pPr>
            <w:r>
              <w:rPr>
                <w:rFonts w:ascii="Arial" w:cs="Arial" w:eastAsia="Arial" w:hAnsi="Arial"/>
                <w:sz w:val="13"/>
                <w:szCs w:val="13"/>
                <w:color w:val="auto"/>
              </w:rPr>
              <w:t>7.5%</w:t>
            </w:r>
          </w:p>
        </w:tc>
        <w:tc>
          <w:tcPr>
            <w:tcW w:w="0" w:type="dxa"/>
            <w:vAlign w:val="bottom"/>
          </w:tcPr>
          <w:p>
            <w:pPr>
              <w:spacing w:after="0"/>
              <w:rPr>
                <w:sz w:val="1"/>
                <w:szCs w:val="1"/>
                <w:color w:val="auto"/>
              </w:rPr>
            </w:pPr>
          </w:p>
        </w:tc>
      </w:tr>
      <w:tr>
        <w:trPr>
          <w:trHeight w:val="171"/>
        </w:trPr>
        <w:tc>
          <w:tcPr>
            <w:tcW w:w="3200" w:type="dxa"/>
            <w:vAlign w:val="bottom"/>
            <w:tcBorders>
              <w:left w:val="single" w:sz="8" w:color="auto"/>
              <w:bottom w:val="single" w:sz="8" w:color="auto"/>
              <w:right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Total</w:t>
            </w:r>
          </w:p>
        </w:tc>
        <w:tc>
          <w:tcPr>
            <w:tcW w:w="130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b w:val="1"/>
                <w:bCs w:val="1"/>
                <w:color w:val="auto"/>
              </w:rPr>
              <w:t>18,084,114</w:t>
            </w:r>
          </w:p>
        </w:tc>
        <w:tc>
          <w:tcPr>
            <w:tcW w:w="1320" w:type="dxa"/>
            <w:vAlign w:val="bottom"/>
            <w:tcBorders>
              <w:bottom w:val="single" w:sz="8" w:color="auto"/>
            </w:tcBorders>
          </w:tcPr>
          <w:p>
            <w:pPr>
              <w:jc w:val="right"/>
              <w:ind w:right="194"/>
              <w:spacing w:after="0"/>
              <w:rPr>
                <w:sz w:val="20"/>
                <w:szCs w:val="20"/>
                <w:color w:val="auto"/>
              </w:rPr>
            </w:pPr>
            <w:r>
              <w:rPr>
                <w:rFonts w:ascii="Arial" w:cs="Arial" w:eastAsia="Arial" w:hAnsi="Arial"/>
                <w:sz w:val="13"/>
                <w:szCs w:val="13"/>
                <w:b w:val="1"/>
                <w:bCs w:val="1"/>
                <w:color w:val="auto"/>
              </w:rPr>
              <w:t>18,910,015</w:t>
            </w:r>
          </w:p>
        </w:tc>
        <w:tc>
          <w:tcPr>
            <w:tcW w:w="1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19,806,164</w:t>
            </w: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jc w:val="center"/>
              <w:ind w:right="34"/>
              <w:spacing w:after="0"/>
              <w:rPr>
                <w:sz w:val="20"/>
                <w:szCs w:val="20"/>
                <w:color w:val="auto"/>
              </w:rPr>
            </w:pPr>
            <w:r>
              <w:rPr>
                <w:rFonts w:ascii="Arial" w:cs="Arial" w:eastAsia="Arial" w:hAnsi="Arial"/>
                <w:sz w:val="13"/>
                <w:szCs w:val="13"/>
                <w:b w:val="1"/>
                <w:bCs w:val="1"/>
                <w:color w:val="auto"/>
              </w:rPr>
              <w:t>4.7%</w:t>
            </w:r>
          </w:p>
        </w:tc>
        <w:tc>
          <w:tcPr>
            <w:tcW w:w="60" w:type="dxa"/>
            <w:vAlign w:val="bottom"/>
            <w:tcBorders>
              <w:bottom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jc w:val="center"/>
              <w:ind w:right="14"/>
              <w:spacing w:after="0"/>
              <w:rPr>
                <w:sz w:val="20"/>
                <w:szCs w:val="20"/>
                <w:color w:val="auto"/>
              </w:rPr>
            </w:pPr>
            <w:r>
              <w:rPr>
                <w:rFonts w:ascii="Arial" w:cs="Arial" w:eastAsia="Arial" w:hAnsi="Arial"/>
                <w:sz w:val="13"/>
                <w:szCs w:val="13"/>
                <w:b w:val="1"/>
                <w:bCs w:val="1"/>
                <w:color w:val="auto"/>
              </w:rPr>
              <w:t>9.5%</w:t>
            </w:r>
          </w:p>
        </w:tc>
        <w:tc>
          <w:tcPr>
            <w:tcW w:w="0" w:type="dxa"/>
            <w:vAlign w:val="bottom"/>
          </w:tcPr>
          <w:p>
            <w:pPr>
              <w:spacing w:after="0"/>
              <w:rPr>
                <w:sz w:val="1"/>
                <w:szCs w:val="1"/>
                <w:color w:val="auto"/>
              </w:rPr>
            </w:pPr>
          </w:p>
        </w:tc>
      </w:tr>
      <w:tr>
        <w:trPr>
          <w:trHeight w:val="165"/>
        </w:trPr>
        <w:tc>
          <w:tcPr>
            <w:tcW w:w="30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200" w:type="dxa"/>
            <w:vAlign w:val="bottom"/>
            <w:tcBorders>
              <w:left w:val="single" w:sz="8" w:color="auto"/>
              <w:bottom w:val="single" w:sz="8" w:color="auto"/>
              <w:right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Adjusted RWAs IFRS</w:t>
            </w:r>
          </w:p>
        </w:tc>
        <w:tc>
          <w:tcPr>
            <w:tcW w:w="130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b w:val="1"/>
                <w:bCs w:val="1"/>
                <w:color w:val="auto"/>
              </w:rPr>
              <w:t>152,849,186</w:t>
            </w:r>
          </w:p>
        </w:tc>
        <w:tc>
          <w:tcPr>
            <w:tcW w:w="1320" w:type="dxa"/>
            <w:vAlign w:val="bottom"/>
            <w:tcBorders>
              <w:bottom w:val="single" w:sz="8" w:color="auto"/>
            </w:tcBorders>
          </w:tcPr>
          <w:p>
            <w:pPr>
              <w:jc w:val="right"/>
              <w:ind w:right="194"/>
              <w:spacing w:after="0"/>
              <w:rPr>
                <w:sz w:val="20"/>
                <w:szCs w:val="20"/>
                <w:color w:val="auto"/>
              </w:rPr>
            </w:pPr>
            <w:r>
              <w:rPr>
                <w:rFonts w:ascii="Arial" w:cs="Arial" w:eastAsia="Arial" w:hAnsi="Arial"/>
                <w:sz w:val="13"/>
                <w:szCs w:val="13"/>
                <w:b w:val="1"/>
                <w:bCs w:val="1"/>
                <w:color w:val="auto"/>
              </w:rPr>
              <w:t>147,805,770</w:t>
            </w:r>
          </w:p>
        </w:tc>
        <w:tc>
          <w:tcPr>
            <w:tcW w:w="1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151,843,249</w:t>
            </w: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jc w:val="center"/>
              <w:ind w:right="34"/>
              <w:spacing w:after="0"/>
              <w:rPr>
                <w:sz w:val="20"/>
                <w:szCs w:val="20"/>
                <w:color w:val="auto"/>
              </w:rPr>
            </w:pPr>
            <w:r>
              <w:rPr>
                <w:rFonts w:ascii="Arial" w:cs="Arial" w:eastAsia="Arial" w:hAnsi="Arial"/>
                <w:sz w:val="13"/>
                <w:szCs w:val="13"/>
                <w:b w:val="1"/>
                <w:bCs w:val="1"/>
                <w:color w:val="auto"/>
              </w:rPr>
              <w:t>2.7%</w:t>
            </w:r>
          </w:p>
        </w:tc>
        <w:tc>
          <w:tcPr>
            <w:tcW w:w="60" w:type="dxa"/>
            <w:vAlign w:val="bottom"/>
            <w:tcBorders>
              <w:bottom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jc w:val="center"/>
              <w:ind w:right="14"/>
              <w:spacing w:after="0"/>
              <w:rPr>
                <w:sz w:val="20"/>
                <w:szCs w:val="20"/>
                <w:color w:val="auto"/>
              </w:rPr>
            </w:pPr>
            <w:r>
              <w:rPr>
                <w:rFonts w:ascii="Arial" w:cs="Arial" w:eastAsia="Arial" w:hAnsi="Arial"/>
                <w:sz w:val="13"/>
                <w:szCs w:val="13"/>
                <w:b w:val="1"/>
                <w:bCs w:val="1"/>
                <w:color w:val="auto"/>
                <w:w w:val="99"/>
              </w:rPr>
              <w:t>-0.7%</w:t>
            </w:r>
          </w:p>
        </w:tc>
        <w:tc>
          <w:tcPr>
            <w:tcW w:w="0" w:type="dxa"/>
            <w:vAlign w:val="bottom"/>
          </w:tcPr>
          <w:p>
            <w:pPr>
              <w:spacing w:after="0"/>
              <w:rPr>
                <w:sz w:val="1"/>
                <w:szCs w:val="1"/>
                <w:color w:val="auto"/>
              </w:rPr>
            </w:pPr>
          </w:p>
        </w:tc>
      </w:tr>
      <w:tr>
        <w:trPr>
          <w:trHeight w:val="158"/>
        </w:trPr>
        <w:tc>
          <w:tcPr>
            <w:tcW w:w="3200" w:type="dxa"/>
            <w:vAlign w:val="bottom"/>
            <w:tcBorders>
              <w:left w:val="single" w:sz="8" w:color="auto"/>
              <w:right w:val="single" w:sz="8" w:color="auto"/>
            </w:tcBorders>
            <w:gridSpan w:val="2"/>
          </w:tcPr>
          <w:p>
            <w:pPr>
              <w:ind w:left="100"/>
              <w:spacing w:after="0"/>
              <w:rPr>
                <w:sz w:val="20"/>
                <w:szCs w:val="20"/>
                <w:color w:val="auto"/>
              </w:rPr>
            </w:pPr>
            <w:r>
              <w:rPr>
                <w:rFonts w:ascii="Arial" w:cs="Arial" w:eastAsia="Arial" w:hAnsi="Arial"/>
                <w:sz w:val="13"/>
                <w:szCs w:val="13"/>
                <w:color w:val="auto"/>
              </w:rPr>
              <w:t>Adjusted Credit RWAs IFRS</w:t>
            </w:r>
          </w:p>
        </w:tc>
        <w:tc>
          <w:tcPr>
            <w:tcW w:w="1300" w:type="dxa"/>
            <w:vAlign w:val="bottom"/>
          </w:tcPr>
          <w:p>
            <w:pPr>
              <w:jc w:val="right"/>
              <w:ind w:right="153"/>
              <w:spacing w:after="0"/>
              <w:rPr>
                <w:sz w:val="20"/>
                <w:szCs w:val="20"/>
                <w:color w:val="auto"/>
              </w:rPr>
            </w:pPr>
            <w:r>
              <w:rPr>
                <w:rFonts w:ascii="Arial" w:cs="Arial" w:eastAsia="Arial" w:hAnsi="Arial"/>
                <w:sz w:val="13"/>
                <w:szCs w:val="13"/>
                <w:color w:val="auto"/>
              </w:rPr>
              <w:t>136,220,546</w:t>
            </w:r>
          </w:p>
        </w:tc>
        <w:tc>
          <w:tcPr>
            <w:tcW w:w="1320" w:type="dxa"/>
            <w:vAlign w:val="bottom"/>
          </w:tcPr>
          <w:p>
            <w:pPr>
              <w:jc w:val="right"/>
              <w:ind w:right="194"/>
              <w:spacing w:after="0"/>
              <w:rPr>
                <w:sz w:val="20"/>
                <w:szCs w:val="20"/>
                <w:color w:val="auto"/>
              </w:rPr>
            </w:pPr>
            <w:r>
              <w:rPr>
                <w:rFonts w:ascii="Arial" w:cs="Arial" w:eastAsia="Arial" w:hAnsi="Arial"/>
                <w:sz w:val="13"/>
                <w:szCs w:val="13"/>
                <w:color w:val="auto"/>
              </w:rPr>
              <w:t>130,090,719</w:t>
            </w: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133,403,554</w:t>
            </w:r>
          </w:p>
        </w:tc>
        <w:tc>
          <w:tcPr>
            <w:tcW w:w="80" w:type="dxa"/>
            <w:vAlign w:val="bottom"/>
          </w:tcPr>
          <w:p>
            <w:pPr>
              <w:spacing w:after="0"/>
              <w:rPr>
                <w:sz w:val="13"/>
                <w:szCs w:val="13"/>
                <w:color w:val="auto"/>
              </w:rPr>
            </w:pPr>
          </w:p>
        </w:tc>
        <w:tc>
          <w:tcPr>
            <w:tcW w:w="960" w:type="dxa"/>
            <w:vAlign w:val="bottom"/>
            <w:tcBorders>
              <w:right w:val="single" w:sz="8" w:color="auto"/>
            </w:tcBorders>
          </w:tcPr>
          <w:p>
            <w:pPr>
              <w:jc w:val="center"/>
              <w:ind w:right="34"/>
              <w:spacing w:after="0"/>
              <w:rPr>
                <w:sz w:val="20"/>
                <w:szCs w:val="20"/>
                <w:color w:val="auto"/>
              </w:rPr>
            </w:pPr>
            <w:r>
              <w:rPr>
                <w:rFonts w:ascii="Arial" w:cs="Arial" w:eastAsia="Arial" w:hAnsi="Arial"/>
                <w:sz w:val="13"/>
                <w:szCs w:val="13"/>
                <w:color w:val="auto"/>
              </w:rPr>
              <w:t>2.5%</w:t>
            </w:r>
          </w:p>
        </w:tc>
        <w:tc>
          <w:tcPr>
            <w:tcW w:w="60" w:type="dxa"/>
            <w:vAlign w:val="bottom"/>
          </w:tcPr>
          <w:p>
            <w:pPr>
              <w:spacing w:after="0"/>
              <w:rPr>
                <w:sz w:val="13"/>
                <w:szCs w:val="13"/>
                <w:color w:val="auto"/>
              </w:rPr>
            </w:pPr>
          </w:p>
        </w:tc>
        <w:tc>
          <w:tcPr>
            <w:tcW w:w="1020" w:type="dxa"/>
            <w:vAlign w:val="bottom"/>
            <w:tcBorders>
              <w:right w:val="single" w:sz="8" w:color="auto"/>
            </w:tcBorders>
          </w:tcPr>
          <w:p>
            <w:pPr>
              <w:jc w:val="center"/>
              <w:ind w:right="14"/>
              <w:spacing w:after="0"/>
              <w:rPr>
                <w:sz w:val="20"/>
                <w:szCs w:val="20"/>
                <w:color w:val="auto"/>
              </w:rPr>
            </w:pPr>
            <w:r>
              <w:rPr>
                <w:rFonts w:ascii="Arial" w:cs="Arial" w:eastAsia="Arial" w:hAnsi="Arial"/>
                <w:sz w:val="13"/>
                <w:szCs w:val="13"/>
                <w:color w:val="auto"/>
                <w:w w:val="99"/>
              </w:rPr>
              <w:t>-2.1%</w:t>
            </w:r>
          </w:p>
        </w:tc>
        <w:tc>
          <w:tcPr>
            <w:tcW w:w="0" w:type="dxa"/>
            <w:vAlign w:val="bottom"/>
          </w:tcPr>
          <w:p>
            <w:pPr>
              <w:spacing w:after="0"/>
              <w:rPr>
                <w:sz w:val="1"/>
                <w:szCs w:val="1"/>
                <w:color w:val="auto"/>
              </w:rPr>
            </w:pPr>
          </w:p>
        </w:tc>
      </w:tr>
      <w:tr>
        <w:trPr>
          <w:trHeight w:val="175"/>
        </w:trPr>
        <w:tc>
          <w:tcPr>
            <w:tcW w:w="3200" w:type="dxa"/>
            <w:vAlign w:val="bottom"/>
            <w:tcBorders>
              <w:left w:val="single" w:sz="8" w:color="auto"/>
              <w:bottom w:val="single" w:sz="8" w:color="auto"/>
              <w:right w:val="single" w:sz="8" w:color="auto"/>
            </w:tcBorders>
            <w:gridSpan w:val="2"/>
          </w:tcPr>
          <w:p>
            <w:pPr>
              <w:ind w:left="100"/>
              <w:spacing w:after="0"/>
              <w:rPr>
                <w:sz w:val="20"/>
                <w:szCs w:val="20"/>
                <w:color w:val="auto"/>
              </w:rPr>
            </w:pPr>
            <w:r>
              <w:rPr>
                <w:rFonts w:ascii="Arial" w:cs="Arial" w:eastAsia="Arial" w:hAnsi="Arial"/>
                <w:sz w:val="13"/>
                <w:szCs w:val="13"/>
                <w:color w:val="auto"/>
              </w:rPr>
              <w:t>Others</w:t>
            </w:r>
          </w:p>
        </w:tc>
        <w:tc>
          <w:tcPr>
            <w:tcW w:w="130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color w:val="auto"/>
              </w:rPr>
              <w:t>16,628,640</w:t>
            </w:r>
          </w:p>
        </w:tc>
        <w:tc>
          <w:tcPr>
            <w:tcW w:w="1320" w:type="dxa"/>
            <w:vAlign w:val="bottom"/>
            <w:tcBorders>
              <w:bottom w:val="single" w:sz="8" w:color="auto"/>
            </w:tcBorders>
          </w:tcPr>
          <w:p>
            <w:pPr>
              <w:jc w:val="right"/>
              <w:ind w:right="194"/>
              <w:spacing w:after="0"/>
              <w:rPr>
                <w:sz w:val="20"/>
                <w:szCs w:val="20"/>
                <w:color w:val="auto"/>
              </w:rPr>
            </w:pPr>
            <w:r>
              <w:rPr>
                <w:rFonts w:ascii="Arial" w:cs="Arial" w:eastAsia="Arial" w:hAnsi="Arial"/>
                <w:sz w:val="13"/>
                <w:szCs w:val="13"/>
                <w:color w:val="auto"/>
              </w:rPr>
              <w:t>17,715,052</w:t>
            </w:r>
          </w:p>
        </w:tc>
        <w:tc>
          <w:tcPr>
            <w:tcW w:w="1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18,439,695</w:t>
            </w: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right w:val="single" w:sz="8" w:color="auto"/>
            </w:tcBorders>
          </w:tcPr>
          <w:p>
            <w:pPr>
              <w:jc w:val="center"/>
              <w:ind w:right="34"/>
              <w:spacing w:after="0"/>
              <w:rPr>
                <w:sz w:val="20"/>
                <w:szCs w:val="20"/>
                <w:color w:val="auto"/>
              </w:rPr>
            </w:pPr>
            <w:r>
              <w:rPr>
                <w:rFonts w:ascii="Arial" w:cs="Arial" w:eastAsia="Arial" w:hAnsi="Arial"/>
                <w:sz w:val="13"/>
                <w:szCs w:val="13"/>
                <w:color w:val="auto"/>
              </w:rPr>
              <w:t>4.1%</w:t>
            </w:r>
          </w:p>
        </w:tc>
        <w:tc>
          <w:tcPr>
            <w:tcW w:w="60" w:type="dxa"/>
            <w:vAlign w:val="bottom"/>
            <w:tcBorders>
              <w:bottom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jc w:val="center"/>
              <w:ind w:right="14"/>
              <w:spacing w:after="0"/>
              <w:rPr>
                <w:sz w:val="20"/>
                <w:szCs w:val="20"/>
                <w:color w:val="auto"/>
              </w:rPr>
            </w:pPr>
            <w:r>
              <w:rPr>
                <w:rFonts w:ascii="Arial" w:cs="Arial" w:eastAsia="Arial" w:hAnsi="Arial"/>
                <w:sz w:val="13"/>
                <w:szCs w:val="13"/>
                <w:color w:val="auto"/>
              </w:rPr>
              <w:t>10.9%</w:t>
            </w:r>
          </w:p>
        </w:tc>
        <w:tc>
          <w:tcPr>
            <w:tcW w:w="0" w:type="dxa"/>
            <w:vAlign w:val="bottom"/>
          </w:tcPr>
          <w:p>
            <w:pPr>
              <w:spacing w:after="0"/>
              <w:rPr>
                <w:sz w:val="1"/>
                <w:szCs w:val="1"/>
                <w:color w:val="auto"/>
              </w:rPr>
            </w:pPr>
          </w:p>
        </w:tc>
      </w:tr>
      <w:tr>
        <w:trPr>
          <w:trHeight w:val="171"/>
        </w:trPr>
        <w:tc>
          <w:tcPr>
            <w:tcW w:w="30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200" w:type="dxa"/>
            <w:vAlign w:val="bottom"/>
            <w:tcBorders>
              <w:left w:val="single" w:sz="8" w:color="auto"/>
              <w:bottom w:val="single" w:sz="8" w:color="auto"/>
              <w:right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CET1 ratio IFRS</w:t>
            </w:r>
          </w:p>
        </w:tc>
        <w:tc>
          <w:tcPr>
            <w:tcW w:w="130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b w:val="1"/>
                <w:bCs w:val="1"/>
                <w:color w:val="auto"/>
              </w:rPr>
              <w:t>11.83%</w:t>
            </w:r>
          </w:p>
        </w:tc>
        <w:tc>
          <w:tcPr>
            <w:tcW w:w="1320" w:type="dxa"/>
            <w:vAlign w:val="bottom"/>
            <w:tcBorders>
              <w:bottom w:val="single" w:sz="8" w:color="auto"/>
            </w:tcBorders>
          </w:tcPr>
          <w:p>
            <w:pPr>
              <w:jc w:val="right"/>
              <w:ind w:right="194"/>
              <w:spacing w:after="0"/>
              <w:rPr>
                <w:sz w:val="20"/>
                <w:szCs w:val="20"/>
                <w:color w:val="auto"/>
              </w:rPr>
            </w:pPr>
            <w:r>
              <w:rPr>
                <w:rFonts w:ascii="Arial" w:cs="Arial" w:eastAsia="Arial" w:hAnsi="Arial"/>
                <w:sz w:val="13"/>
                <w:szCs w:val="13"/>
                <w:b w:val="1"/>
                <w:bCs w:val="1"/>
                <w:color w:val="auto"/>
              </w:rPr>
              <w:t>12.79%</w:t>
            </w:r>
          </w:p>
        </w:tc>
        <w:tc>
          <w:tcPr>
            <w:tcW w:w="1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13.04%</w:t>
            </w: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right w:val="single" w:sz="8" w:color="auto"/>
            </w:tcBorders>
          </w:tcPr>
          <w:p>
            <w:pPr>
              <w:ind w:left="540"/>
              <w:spacing w:after="0"/>
              <w:rPr>
                <w:sz w:val="20"/>
                <w:szCs w:val="20"/>
                <w:color w:val="auto"/>
              </w:rPr>
            </w:pPr>
            <w:r>
              <w:rPr>
                <w:rFonts w:ascii="Arial" w:cs="Arial" w:eastAsia="Arial" w:hAnsi="Arial"/>
                <w:sz w:val="13"/>
                <w:szCs w:val="13"/>
                <w:b w:val="1"/>
                <w:bCs w:val="1"/>
                <w:color w:val="auto"/>
                <w:w w:val="92"/>
              </w:rPr>
              <w:t>25 pbs</w:t>
            </w:r>
          </w:p>
        </w:tc>
        <w:tc>
          <w:tcPr>
            <w:tcW w:w="60" w:type="dxa"/>
            <w:vAlign w:val="bottom"/>
            <w:tcBorders>
              <w:bottom w:val="single" w:sz="8" w:color="auto"/>
            </w:tcBorders>
          </w:tcPr>
          <w:p>
            <w:pPr>
              <w:spacing w:after="0"/>
              <w:rPr>
                <w:sz w:val="14"/>
                <w:szCs w:val="14"/>
                <w:color w:val="auto"/>
              </w:rPr>
            </w:pPr>
          </w:p>
        </w:tc>
        <w:tc>
          <w:tcPr>
            <w:tcW w:w="1020" w:type="dxa"/>
            <w:vAlign w:val="bottom"/>
            <w:tcBorders>
              <w:bottom w:val="single" w:sz="8" w:color="auto"/>
              <w:right w:val="single" w:sz="8" w:color="646464"/>
            </w:tcBorders>
          </w:tcPr>
          <w:p>
            <w:pPr>
              <w:ind w:left="480"/>
              <w:spacing w:after="0"/>
              <w:rPr>
                <w:sz w:val="20"/>
                <w:szCs w:val="20"/>
                <w:color w:val="auto"/>
              </w:rPr>
            </w:pPr>
            <w:r>
              <w:rPr>
                <w:rFonts w:ascii="Arial" w:cs="Arial" w:eastAsia="Arial" w:hAnsi="Arial"/>
                <w:sz w:val="13"/>
                <w:szCs w:val="13"/>
                <w:b w:val="1"/>
                <w:bCs w:val="1"/>
                <w:color w:val="auto"/>
              </w:rPr>
              <w:t>121 pbs</w:t>
            </w:r>
          </w:p>
        </w:tc>
        <w:tc>
          <w:tcPr>
            <w:tcW w:w="0" w:type="dxa"/>
            <w:vAlign w:val="bottom"/>
          </w:tcPr>
          <w:p>
            <w:pPr>
              <w:spacing w:after="0"/>
              <w:rPr>
                <w:sz w:val="1"/>
                <w:szCs w:val="1"/>
                <w:color w:val="auto"/>
              </w:rPr>
            </w:pPr>
          </w:p>
        </w:tc>
      </w:tr>
      <w:tr>
        <w:trPr>
          <w:trHeight w:val="392"/>
        </w:trPr>
        <w:tc>
          <w:tcPr>
            <w:tcW w:w="3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20" w:type="dxa"/>
            <w:vAlign w:val="bottom"/>
            <w:gridSpan w:val="2"/>
          </w:tcPr>
          <w:p>
            <w:pPr>
              <w:jc w:val="right"/>
              <w:ind w:right="874"/>
              <w:spacing w:after="0"/>
              <w:rPr>
                <w:sz w:val="20"/>
                <w:szCs w:val="20"/>
                <w:color w:val="auto"/>
              </w:rPr>
            </w:pPr>
            <w:r>
              <w:rPr>
                <w:rFonts w:ascii="Arial" w:cs="Arial" w:eastAsia="Arial" w:hAnsi="Arial"/>
                <w:sz w:val="18"/>
                <w:szCs w:val="18"/>
                <w:b w:val="1"/>
                <w:bCs w:val="1"/>
                <w:color w:val="auto"/>
              </w:rPr>
              <w:t>Mibanco</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30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2"/>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3040" w:type="dxa"/>
            <w:vAlign w:val="bottom"/>
            <w:tcBorders>
              <w:left w:val="single" w:sz="8" w:color="auto"/>
              <w:right w:val="single" w:sz="8" w:color="auto"/>
            </w:tcBorders>
            <w:shd w:val="clear" w:color="auto" w:fill="33CCCC"/>
          </w:tcPr>
          <w:p>
            <w:pPr>
              <w:ind w:left="100"/>
              <w:spacing w:after="0" w:line="129" w:lineRule="exact"/>
              <w:rPr>
                <w:sz w:val="20"/>
                <w:szCs w:val="20"/>
                <w:color w:val="auto"/>
              </w:rPr>
            </w:pPr>
            <w:r>
              <w:rPr>
                <w:rFonts w:ascii="Arial" w:cs="Arial" w:eastAsia="Arial" w:hAnsi="Arial"/>
                <w:sz w:val="13"/>
                <w:szCs w:val="13"/>
                <w:b w:val="1"/>
                <w:bCs w:val="1"/>
                <w:color w:val="FFFFFF"/>
              </w:rPr>
              <w:t>Common Equity Tier 1 IFRS</w:t>
            </w:r>
          </w:p>
        </w:tc>
        <w:tc>
          <w:tcPr>
            <w:tcW w:w="160" w:type="dxa"/>
            <w:vAlign w:val="bottom"/>
            <w:tcBorders>
              <w:right w:val="single" w:sz="8" w:color="33CCCC"/>
            </w:tcBorders>
            <w:shd w:val="clear" w:color="auto" w:fill="33CCCC"/>
          </w:tcPr>
          <w:p>
            <w:pPr>
              <w:spacing w:after="0"/>
              <w:rPr>
                <w:sz w:val="11"/>
                <w:szCs w:val="11"/>
                <w:color w:val="auto"/>
              </w:rPr>
            </w:pPr>
          </w:p>
        </w:tc>
        <w:tc>
          <w:tcPr>
            <w:tcW w:w="1300" w:type="dxa"/>
            <w:vAlign w:val="bottom"/>
            <w:vMerge w:val="restart"/>
            <w:shd w:val="clear" w:color="auto" w:fill="33CCCC"/>
          </w:tcPr>
          <w:p>
            <w:pPr>
              <w:jc w:val="right"/>
              <w:ind w:right="573"/>
              <w:spacing w:after="0"/>
              <w:rPr>
                <w:sz w:val="20"/>
                <w:szCs w:val="20"/>
                <w:color w:val="auto"/>
              </w:rPr>
            </w:pPr>
            <w:r>
              <w:rPr>
                <w:rFonts w:ascii="Arial" w:cs="Arial" w:eastAsia="Arial" w:hAnsi="Arial"/>
                <w:sz w:val="13"/>
                <w:szCs w:val="13"/>
                <w:b w:val="1"/>
                <w:bCs w:val="1"/>
                <w:color w:val="FFFFFF"/>
              </w:rPr>
              <w:t>Sep 22</w:t>
            </w:r>
          </w:p>
        </w:tc>
        <w:tc>
          <w:tcPr>
            <w:tcW w:w="1320" w:type="dxa"/>
            <w:vAlign w:val="bottom"/>
            <w:vMerge w:val="restart"/>
            <w:shd w:val="clear" w:color="auto" w:fill="33CCCC"/>
          </w:tcPr>
          <w:p>
            <w:pPr>
              <w:jc w:val="right"/>
              <w:ind w:right="594"/>
              <w:spacing w:after="0"/>
              <w:rPr>
                <w:sz w:val="20"/>
                <w:szCs w:val="20"/>
                <w:color w:val="auto"/>
              </w:rPr>
            </w:pPr>
            <w:r>
              <w:rPr>
                <w:rFonts w:ascii="Arial" w:cs="Arial" w:eastAsia="Arial" w:hAnsi="Arial"/>
                <w:sz w:val="13"/>
                <w:szCs w:val="13"/>
                <w:b w:val="1"/>
                <w:bCs w:val="1"/>
                <w:color w:val="FFFFFF"/>
              </w:rPr>
              <w:t>Jun 23</w:t>
            </w:r>
          </w:p>
        </w:tc>
        <w:tc>
          <w:tcPr>
            <w:tcW w:w="1160" w:type="dxa"/>
            <w:vAlign w:val="bottom"/>
            <w:tcBorders>
              <w:right w:val="single" w:sz="8" w:color="auto"/>
            </w:tcBorders>
            <w:gridSpan w:val="2"/>
            <w:vMerge w:val="restart"/>
            <w:shd w:val="clear" w:color="auto" w:fill="33CCCC"/>
          </w:tcPr>
          <w:p>
            <w:pPr>
              <w:jc w:val="right"/>
              <w:ind w:right="480"/>
              <w:spacing w:after="0"/>
              <w:rPr>
                <w:sz w:val="20"/>
                <w:szCs w:val="20"/>
                <w:color w:val="auto"/>
              </w:rPr>
            </w:pPr>
            <w:r>
              <w:rPr>
                <w:rFonts w:ascii="Arial" w:cs="Arial" w:eastAsia="Arial" w:hAnsi="Arial"/>
                <w:sz w:val="13"/>
                <w:szCs w:val="13"/>
                <w:b w:val="1"/>
                <w:bCs w:val="1"/>
                <w:color w:val="FFFFFF"/>
              </w:rPr>
              <w:t>Sep 23</w:t>
            </w:r>
          </w:p>
        </w:tc>
        <w:tc>
          <w:tcPr>
            <w:tcW w:w="1020" w:type="dxa"/>
            <w:vAlign w:val="bottom"/>
            <w:tcBorders>
              <w:right w:val="single" w:sz="8" w:color="auto"/>
            </w:tcBorders>
            <w:gridSpan w:val="2"/>
            <w:shd w:val="clear" w:color="auto" w:fill="33CCCC"/>
          </w:tcPr>
          <w:p>
            <w:pPr>
              <w:jc w:val="center"/>
              <w:ind w:right="20"/>
              <w:spacing w:after="0" w:line="129" w:lineRule="exact"/>
              <w:rPr>
                <w:sz w:val="20"/>
                <w:szCs w:val="20"/>
                <w:color w:val="auto"/>
              </w:rPr>
            </w:pPr>
            <w:r>
              <w:rPr>
                <w:rFonts w:ascii="Arial" w:cs="Arial" w:eastAsia="Arial" w:hAnsi="Arial"/>
                <w:sz w:val="13"/>
                <w:szCs w:val="13"/>
                <w:b w:val="1"/>
                <w:bCs w:val="1"/>
                <w:color w:val="FFFFFF"/>
              </w:rPr>
              <w:t>% Change</w:t>
            </w:r>
          </w:p>
        </w:tc>
        <w:tc>
          <w:tcPr>
            <w:tcW w:w="1020" w:type="dxa"/>
            <w:vAlign w:val="bottom"/>
            <w:tcBorders>
              <w:right w:val="single" w:sz="8" w:color="auto"/>
            </w:tcBorders>
            <w:shd w:val="clear" w:color="auto" w:fill="33CCCC"/>
          </w:tcPr>
          <w:p>
            <w:pPr>
              <w:jc w:val="center"/>
              <w:spacing w:after="0" w:line="129" w:lineRule="exact"/>
              <w:rPr>
                <w:sz w:val="20"/>
                <w:szCs w:val="20"/>
                <w:color w:val="auto"/>
              </w:rPr>
            </w:pPr>
            <w:r>
              <w:rPr>
                <w:rFonts w:ascii="Arial" w:cs="Arial" w:eastAsia="Arial" w:hAnsi="Arial"/>
                <w:sz w:val="13"/>
                <w:szCs w:val="13"/>
                <w:b w:val="1"/>
                <w:bCs w:val="1"/>
                <w:color w:val="FFFFFF"/>
                <w:w w:val="98"/>
              </w:rPr>
              <w:t>% Change</w:t>
            </w:r>
          </w:p>
        </w:tc>
        <w:tc>
          <w:tcPr>
            <w:tcW w:w="0" w:type="dxa"/>
            <w:vAlign w:val="bottom"/>
          </w:tcPr>
          <w:p>
            <w:pPr>
              <w:spacing w:after="0"/>
              <w:rPr>
                <w:sz w:val="1"/>
                <w:szCs w:val="1"/>
                <w:color w:val="auto"/>
              </w:rPr>
            </w:pPr>
          </w:p>
        </w:tc>
      </w:tr>
      <w:tr>
        <w:trPr>
          <w:trHeight w:val="160"/>
        </w:trPr>
        <w:tc>
          <w:tcPr>
            <w:tcW w:w="3040" w:type="dxa"/>
            <w:vAlign w:val="bottom"/>
            <w:tcBorders>
              <w:left w:val="single" w:sz="8" w:color="auto"/>
              <w:bottom w:val="single" w:sz="8" w:color="33CCCC"/>
              <w:right w:val="single" w:sz="8" w:color="auto"/>
            </w:tcBorders>
            <w:shd w:val="clear" w:color="auto" w:fill="33CCCC"/>
          </w:tcPr>
          <w:p>
            <w:pPr>
              <w:ind w:left="100"/>
              <w:spacing w:after="0"/>
              <w:rPr>
                <w:sz w:val="20"/>
                <w:szCs w:val="20"/>
                <w:color w:val="auto"/>
              </w:rPr>
            </w:pPr>
            <w:r>
              <w:rPr>
                <w:rFonts w:ascii="Arial" w:cs="Arial" w:eastAsia="Arial" w:hAnsi="Arial"/>
                <w:sz w:val="13"/>
                <w:szCs w:val="13"/>
                <w:color w:val="FFFFFF"/>
              </w:rPr>
              <w:t>(S/. thousand)</w:t>
            </w:r>
          </w:p>
        </w:tc>
        <w:tc>
          <w:tcPr>
            <w:tcW w:w="160" w:type="dxa"/>
            <w:vAlign w:val="bottom"/>
            <w:tcBorders>
              <w:bottom w:val="single" w:sz="8" w:color="33CCCC"/>
              <w:right w:val="single" w:sz="8" w:color="33CCCC"/>
            </w:tcBorders>
            <w:shd w:val="clear" w:color="auto" w:fill="33CCCC"/>
          </w:tcPr>
          <w:p>
            <w:pPr>
              <w:spacing w:after="0"/>
              <w:rPr>
                <w:sz w:val="13"/>
                <w:szCs w:val="13"/>
                <w:color w:val="auto"/>
              </w:rPr>
            </w:pPr>
          </w:p>
        </w:tc>
        <w:tc>
          <w:tcPr>
            <w:tcW w:w="1300" w:type="dxa"/>
            <w:vAlign w:val="bottom"/>
            <w:tcBorders>
              <w:bottom w:val="single" w:sz="8" w:color="33CCCC"/>
            </w:tcBorders>
            <w:vMerge w:val="continue"/>
            <w:shd w:val="clear" w:color="auto" w:fill="33CCCC"/>
          </w:tcPr>
          <w:p>
            <w:pPr>
              <w:spacing w:after="0"/>
              <w:rPr>
                <w:sz w:val="13"/>
                <w:szCs w:val="13"/>
                <w:color w:val="auto"/>
              </w:rPr>
            </w:pPr>
          </w:p>
        </w:tc>
        <w:tc>
          <w:tcPr>
            <w:tcW w:w="1320" w:type="dxa"/>
            <w:vAlign w:val="bottom"/>
            <w:tcBorders>
              <w:bottom w:val="single" w:sz="8" w:color="33CCCC"/>
            </w:tcBorders>
            <w:vMerge w:val="continue"/>
            <w:shd w:val="clear" w:color="auto" w:fill="33CCCC"/>
          </w:tcPr>
          <w:p>
            <w:pPr>
              <w:spacing w:after="0"/>
              <w:rPr>
                <w:sz w:val="13"/>
                <w:szCs w:val="13"/>
                <w:color w:val="auto"/>
              </w:rPr>
            </w:pPr>
          </w:p>
        </w:tc>
        <w:tc>
          <w:tcPr>
            <w:tcW w:w="1160" w:type="dxa"/>
            <w:vAlign w:val="bottom"/>
            <w:tcBorders>
              <w:bottom w:val="single" w:sz="8" w:color="33CCCC"/>
              <w:right w:val="single" w:sz="8" w:color="auto"/>
            </w:tcBorders>
            <w:gridSpan w:val="2"/>
            <w:vMerge w:val="continue"/>
            <w:shd w:val="clear" w:color="auto" w:fill="33CCCC"/>
          </w:tcPr>
          <w:p>
            <w:pPr>
              <w:spacing w:after="0"/>
              <w:rPr>
                <w:sz w:val="13"/>
                <w:szCs w:val="13"/>
                <w:color w:val="auto"/>
              </w:rPr>
            </w:pPr>
          </w:p>
        </w:tc>
        <w:tc>
          <w:tcPr>
            <w:tcW w:w="1020" w:type="dxa"/>
            <w:vAlign w:val="bottom"/>
            <w:tcBorders>
              <w:bottom w:val="single" w:sz="8" w:color="33CCCC"/>
              <w:right w:val="single" w:sz="8" w:color="auto"/>
            </w:tcBorders>
            <w:gridSpan w:val="2"/>
            <w:shd w:val="clear" w:color="auto" w:fill="33CCCC"/>
          </w:tcPr>
          <w:p>
            <w:pPr>
              <w:jc w:val="center"/>
              <w:ind w:right="20"/>
              <w:spacing w:after="0"/>
              <w:rPr>
                <w:sz w:val="20"/>
                <w:szCs w:val="20"/>
                <w:color w:val="auto"/>
              </w:rPr>
            </w:pPr>
            <w:r>
              <w:rPr>
                <w:rFonts w:ascii="Arial" w:cs="Arial" w:eastAsia="Arial" w:hAnsi="Arial"/>
                <w:sz w:val="13"/>
                <w:szCs w:val="13"/>
                <w:b w:val="1"/>
                <w:bCs w:val="1"/>
                <w:color w:val="FFFFFF"/>
                <w:w w:val="99"/>
              </w:rPr>
              <w:t>QoQ</w:t>
            </w:r>
          </w:p>
        </w:tc>
        <w:tc>
          <w:tcPr>
            <w:tcW w:w="1020" w:type="dxa"/>
            <w:vAlign w:val="bottom"/>
            <w:tcBorders>
              <w:bottom w:val="single" w:sz="8" w:color="33CCCC"/>
              <w:right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rPr>
              <w:t>YoY</w:t>
            </w:r>
          </w:p>
        </w:tc>
        <w:tc>
          <w:tcPr>
            <w:tcW w:w="0" w:type="dxa"/>
            <w:vAlign w:val="bottom"/>
          </w:tcPr>
          <w:p>
            <w:pPr>
              <w:spacing w:after="0"/>
              <w:rPr>
                <w:sz w:val="1"/>
                <w:szCs w:val="1"/>
                <w:color w:val="auto"/>
              </w:rPr>
            </w:pPr>
          </w:p>
        </w:tc>
      </w:tr>
      <w:tr>
        <w:trPr>
          <w:trHeight w:val="158"/>
        </w:trPr>
        <w:tc>
          <w:tcPr>
            <w:tcW w:w="304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Capital and reserves</w:t>
            </w:r>
          </w:p>
        </w:tc>
        <w:tc>
          <w:tcPr>
            <w:tcW w:w="16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right"/>
              <w:ind w:right="173"/>
              <w:spacing w:after="0"/>
              <w:rPr>
                <w:sz w:val="20"/>
                <w:szCs w:val="20"/>
                <w:color w:val="auto"/>
              </w:rPr>
            </w:pPr>
            <w:r>
              <w:rPr>
                <w:rFonts w:ascii="Arial" w:cs="Arial" w:eastAsia="Arial" w:hAnsi="Arial"/>
                <w:sz w:val="13"/>
                <w:szCs w:val="13"/>
                <w:color w:val="auto"/>
              </w:rPr>
              <w:t>2,632,956</w:t>
            </w:r>
          </w:p>
        </w:tc>
        <w:tc>
          <w:tcPr>
            <w:tcW w:w="1320" w:type="dxa"/>
            <w:vAlign w:val="bottom"/>
            <w:tcBorders>
              <w:top w:val="single" w:sz="8" w:color="auto"/>
            </w:tcBorders>
          </w:tcPr>
          <w:p>
            <w:pPr>
              <w:jc w:val="right"/>
              <w:ind w:right="134"/>
              <w:spacing w:after="0"/>
              <w:rPr>
                <w:sz w:val="20"/>
                <w:szCs w:val="20"/>
                <w:color w:val="auto"/>
              </w:rPr>
            </w:pPr>
            <w:r>
              <w:rPr>
                <w:rFonts w:ascii="Arial" w:cs="Arial" w:eastAsia="Arial" w:hAnsi="Arial"/>
                <w:sz w:val="13"/>
                <w:szCs w:val="13"/>
                <w:color w:val="auto"/>
              </w:rPr>
              <w:t>2,676,791</w:t>
            </w:r>
          </w:p>
        </w:tc>
        <w:tc>
          <w:tcPr>
            <w:tcW w:w="1160" w:type="dxa"/>
            <w:vAlign w:val="bottom"/>
            <w:tcBorders>
              <w:top w:val="single" w:sz="8" w:color="auto"/>
              <w:right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2,676,791</w:t>
            </w:r>
          </w:p>
        </w:tc>
        <w:tc>
          <w:tcPr>
            <w:tcW w:w="96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rPr>
              <w:t>0.0%</w:t>
            </w:r>
          </w:p>
        </w:tc>
        <w:tc>
          <w:tcPr>
            <w:tcW w:w="60" w:type="dxa"/>
            <w:vAlign w:val="bottom"/>
            <w:tcBorders>
              <w:top w:val="single" w:sz="8" w:color="auto"/>
              <w:right w:val="single" w:sz="8" w:color="auto"/>
            </w:tcBorders>
          </w:tcPr>
          <w:p>
            <w:pPr>
              <w:spacing w:after="0"/>
              <w:rPr>
                <w:sz w:val="13"/>
                <w:szCs w:val="13"/>
                <w:color w:val="auto"/>
              </w:rPr>
            </w:pPr>
          </w:p>
        </w:tc>
        <w:tc>
          <w:tcPr>
            <w:tcW w:w="1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69"/>
        </w:trPr>
        <w:tc>
          <w:tcPr>
            <w:tcW w:w="30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Retained earnings</w:t>
            </w:r>
          </w:p>
        </w:tc>
        <w:tc>
          <w:tcPr>
            <w:tcW w:w="160" w:type="dxa"/>
            <w:vAlign w:val="bottom"/>
          </w:tcPr>
          <w:p>
            <w:pPr>
              <w:spacing w:after="0"/>
              <w:rPr>
                <w:sz w:val="14"/>
                <w:szCs w:val="14"/>
                <w:color w:val="auto"/>
              </w:rPr>
            </w:pPr>
          </w:p>
        </w:tc>
        <w:tc>
          <w:tcPr>
            <w:tcW w:w="1300" w:type="dxa"/>
            <w:vAlign w:val="bottom"/>
          </w:tcPr>
          <w:p>
            <w:pPr>
              <w:jc w:val="right"/>
              <w:ind w:right="173"/>
              <w:spacing w:after="0"/>
              <w:rPr>
                <w:sz w:val="20"/>
                <w:szCs w:val="20"/>
                <w:color w:val="auto"/>
              </w:rPr>
            </w:pPr>
            <w:r>
              <w:rPr>
                <w:rFonts w:ascii="Arial" w:cs="Arial" w:eastAsia="Arial" w:hAnsi="Arial"/>
                <w:sz w:val="13"/>
                <w:szCs w:val="13"/>
                <w:color w:val="auto"/>
              </w:rPr>
              <w:t>114,341</w:t>
            </w:r>
          </w:p>
        </w:tc>
        <w:tc>
          <w:tcPr>
            <w:tcW w:w="1320" w:type="dxa"/>
            <w:vAlign w:val="bottom"/>
          </w:tcPr>
          <w:p>
            <w:pPr>
              <w:jc w:val="right"/>
              <w:ind w:right="134"/>
              <w:spacing w:after="0"/>
              <w:rPr>
                <w:sz w:val="20"/>
                <w:szCs w:val="20"/>
                <w:color w:val="auto"/>
              </w:rPr>
            </w:pPr>
            <w:r>
              <w:rPr>
                <w:rFonts w:ascii="Arial" w:cs="Arial" w:eastAsia="Arial" w:hAnsi="Arial"/>
                <w:sz w:val="13"/>
                <w:szCs w:val="13"/>
                <w:color w:val="auto"/>
              </w:rPr>
              <w:t>206,920</w:t>
            </w:r>
          </w:p>
        </w:tc>
        <w:tc>
          <w:tcPr>
            <w:tcW w:w="1160" w:type="dxa"/>
            <w:vAlign w:val="bottom"/>
            <w:tcBorders>
              <w:right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267,299</w:t>
            </w:r>
          </w:p>
        </w:tc>
        <w:tc>
          <w:tcPr>
            <w:tcW w:w="960" w:type="dxa"/>
            <w:vAlign w:val="bottom"/>
          </w:tcPr>
          <w:p>
            <w:pPr>
              <w:jc w:val="center"/>
              <w:spacing w:after="0"/>
              <w:rPr>
                <w:sz w:val="20"/>
                <w:szCs w:val="20"/>
                <w:color w:val="auto"/>
              </w:rPr>
            </w:pPr>
            <w:r>
              <w:rPr>
                <w:rFonts w:ascii="Arial" w:cs="Arial" w:eastAsia="Arial" w:hAnsi="Arial"/>
                <w:sz w:val="13"/>
                <w:szCs w:val="13"/>
                <w:color w:val="auto"/>
                <w:w w:val="97"/>
              </w:rPr>
              <w:t>29.2%</w:t>
            </w:r>
          </w:p>
        </w:tc>
        <w:tc>
          <w:tcPr>
            <w:tcW w:w="60" w:type="dxa"/>
            <w:vAlign w:val="bottom"/>
            <w:tcBorders>
              <w:right w:val="single" w:sz="8" w:color="auto"/>
            </w:tcBorders>
          </w:tcPr>
          <w:p>
            <w:pPr>
              <w:spacing w:after="0"/>
              <w:rPr>
                <w:sz w:val="14"/>
                <w:szCs w:val="14"/>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133.8%</w:t>
            </w:r>
          </w:p>
        </w:tc>
        <w:tc>
          <w:tcPr>
            <w:tcW w:w="0" w:type="dxa"/>
            <w:vAlign w:val="bottom"/>
          </w:tcPr>
          <w:p>
            <w:pPr>
              <w:spacing w:after="0"/>
              <w:rPr>
                <w:sz w:val="1"/>
                <w:szCs w:val="1"/>
                <w:color w:val="auto"/>
              </w:rPr>
            </w:pPr>
          </w:p>
        </w:tc>
      </w:tr>
      <w:tr>
        <w:trPr>
          <w:trHeight w:val="173"/>
        </w:trPr>
        <w:tc>
          <w:tcPr>
            <w:tcW w:w="30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Unrealized gains (losses)</w:t>
            </w:r>
          </w:p>
        </w:tc>
        <w:tc>
          <w:tcPr>
            <w:tcW w:w="160" w:type="dxa"/>
            <w:vAlign w:val="bottom"/>
          </w:tcPr>
          <w:p>
            <w:pPr>
              <w:spacing w:after="0"/>
              <w:rPr>
                <w:sz w:val="15"/>
                <w:szCs w:val="15"/>
                <w:color w:val="auto"/>
              </w:rPr>
            </w:pPr>
          </w:p>
        </w:tc>
        <w:tc>
          <w:tcPr>
            <w:tcW w:w="1300" w:type="dxa"/>
            <w:vAlign w:val="bottom"/>
          </w:tcPr>
          <w:p>
            <w:pPr>
              <w:jc w:val="right"/>
              <w:ind w:right="173"/>
              <w:spacing w:after="0"/>
              <w:rPr>
                <w:sz w:val="20"/>
                <w:szCs w:val="20"/>
                <w:color w:val="auto"/>
              </w:rPr>
            </w:pPr>
            <w:r>
              <w:rPr>
                <w:rFonts w:ascii="Arial" w:cs="Arial" w:eastAsia="Arial" w:hAnsi="Arial"/>
                <w:sz w:val="13"/>
                <w:szCs w:val="13"/>
                <w:color w:val="auto"/>
              </w:rPr>
              <w:t>(16,074)</w:t>
            </w:r>
          </w:p>
        </w:tc>
        <w:tc>
          <w:tcPr>
            <w:tcW w:w="1320" w:type="dxa"/>
            <w:vAlign w:val="bottom"/>
          </w:tcPr>
          <w:p>
            <w:pPr>
              <w:jc w:val="right"/>
              <w:ind w:right="134"/>
              <w:spacing w:after="0"/>
              <w:rPr>
                <w:sz w:val="20"/>
                <w:szCs w:val="20"/>
                <w:color w:val="auto"/>
              </w:rPr>
            </w:pPr>
            <w:r>
              <w:rPr>
                <w:rFonts w:ascii="Arial" w:cs="Arial" w:eastAsia="Arial" w:hAnsi="Arial"/>
                <w:sz w:val="13"/>
                <w:szCs w:val="13"/>
                <w:color w:val="auto"/>
              </w:rPr>
              <w:t>(5,399)</w:t>
            </w:r>
          </w:p>
        </w:tc>
        <w:tc>
          <w:tcPr>
            <w:tcW w:w="1160" w:type="dxa"/>
            <w:vAlign w:val="bottom"/>
            <w:tcBorders>
              <w:right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(13,268)</w:t>
            </w:r>
          </w:p>
        </w:tc>
        <w:tc>
          <w:tcPr>
            <w:tcW w:w="960" w:type="dxa"/>
            <w:vAlign w:val="bottom"/>
          </w:tcPr>
          <w:p>
            <w:pPr>
              <w:jc w:val="center"/>
              <w:spacing w:after="0"/>
              <w:rPr>
                <w:sz w:val="20"/>
                <w:szCs w:val="20"/>
                <w:color w:val="auto"/>
              </w:rPr>
            </w:pPr>
            <w:r>
              <w:rPr>
                <w:rFonts w:ascii="Arial" w:cs="Arial" w:eastAsia="Arial" w:hAnsi="Arial"/>
                <w:sz w:val="13"/>
                <w:szCs w:val="13"/>
                <w:color w:val="auto"/>
                <w:w w:val="99"/>
              </w:rPr>
              <w:t>145.8%</w:t>
            </w:r>
          </w:p>
        </w:tc>
        <w:tc>
          <w:tcPr>
            <w:tcW w:w="6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-17.5%</w:t>
            </w:r>
          </w:p>
        </w:tc>
        <w:tc>
          <w:tcPr>
            <w:tcW w:w="0" w:type="dxa"/>
            <w:vAlign w:val="bottom"/>
          </w:tcPr>
          <w:p>
            <w:pPr>
              <w:spacing w:after="0"/>
              <w:rPr>
                <w:sz w:val="1"/>
                <w:szCs w:val="1"/>
                <w:color w:val="auto"/>
              </w:rPr>
            </w:pPr>
          </w:p>
        </w:tc>
      </w:tr>
      <w:tr>
        <w:trPr>
          <w:trHeight w:val="173"/>
        </w:trPr>
        <w:tc>
          <w:tcPr>
            <w:tcW w:w="30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Goodwill and intangibles</w:t>
            </w:r>
          </w:p>
        </w:tc>
        <w:tc>
          <w:tcPr>
            <w:tcW w:w="160" w:type="dxa"/>
            <w:vAlign w:val="bottom"/>
          </w:tcPr>
          <w:p>
            <w:pPr>
              <w:spacing w:after="0"/>
              <w:rPr>
                <w:sz w:val="15"/>
                <w:szCs w:val="15"/>
                <w:color w:val="auto"/>
              </w:rPr>
            </w:pPr>
          </w:p>
        </w:tc>
        <w:tc>
          <w:tcPr>
            <w:tcW w:w="1300" w:type="dxa"/>
            <w:vAlign w:val="bottom"/>
          </w:tcPr>
          <w:p>
            <w:pPr>
              <w:jc w:val="right"/>
              <w:ind w:right="173"/>
              <w:spacing w:after="0"/>
              <w:rPr>
                <w:sz w:val="20"/>
                <w:szCs w:val="20"/>
                <w:color w:val="auto"/>
              </w:rPr>
            </w:pPr>
            <w:r>
              <w:rPr>
                <w:rFonts w:ascii="Arial" w:cs="Arial" w:eastAsia="Arial" w:hAnsi="Arial"/>
                <w:sz w:val="13"/>
                <w:szCs w:val="13"/>
                <w:color w:val="auto"/>
              </w:rPr>
              <w:t>(338,330)</w:t>
            </w:r>
          </w:p>
        </w:tc>
        <w:tc>
          <w:tcPr>
            <w:tcW w:w="1320" w:type="dxa"/>
            <w:vAlign w:val="bottom"/>
          </w:tcPr>
          <w:p>
            <w:pPr>
              <w:jc w:val="right"/>
              <w:ind w:right="134"/>
              <w:spacing w:after="0"/>
              <w:rPr>
                <w:sz w:val="20"/>
                <w:szCs w:val="20"/>
                <w:color w:val="auto"/>
              </w:rPr>
            </w:pPr>
            <w:r>
              <w:rPr>
                <w:rFonts w:ascii="Arial" w:cs="Arial" w:eastAsia="Arial" w:hAnsi="Arial"/>
                <w:sz w:val="13"/>
                <w:szCs w:val="13"/>
                <w:color w:val="auto"/>
              </w:rPr>
              <w:t>(344,323)</w:t>
            </w:r>
          </w:p>
        </w:tc>
        <w:tc>
          <w:tcPr>
            <w:tcW w:w="1160" w:type="dxa"/>
            <w:vAlign w:val="bottom"/>
            <w:tcBorders>
              <w:right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(345,258)</w:t>
            </w:r>
          </w:p>
        </w:tc>
        <w:tc>
          <w:tcPr>
            <w:tcW w:w="960" w:type="dxa"/>
            <w:vAlign w:val="bottom"/>
          </w:tcPr>
          <w:p>
            <w:pPr>
              <w:jc w:val="center"/>
              <w:spacing w:after="0"/>
              <w:rPr>
                <w:sz w:val="20"/>
                <w:szCs w:val="20"/>
                <w:color w:val="auto"/>
              </w:rPr>
            </w:pPr>
            <w:r>
              <w:rPr>
                <w:rFonts w:ascii="Arial" w:cs="Arial" w:eastAsia="Arial" w:hAnsi="Arial"/>
                <w:sz w:val="13"/>
                <w:szCs w:val="13"/>
                <w:color w:val="auto"/>
              </w:rPr>
              <w:t>0.3%</w:t>
            </w:r>
          </w:p>
        </w:tc>
        <w:tc>
          <w:tcPr>
            <w:tcW w:w="60" w:type="dxa"/>
            <w:vAlign w:val="bottom"/>
            <w:tcBorders>
              <w:right w:val="single" w:sz="8" w:color="auto"/>
            </w:tcBorders>
          </w:tcPr>
          <w:p>
            <w:pPr>
              <w:spacing w:after="0"/>
              <w:rPr>
                <w:sz w:val="15"/>
                <w:szCs w:val="15"/>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79"/>
        </w:trPr>
        <w:tc>
          <w:tcPr>
            <w:tcW w:w="30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Investments in subsidiaries</w:t>
            </w: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color w:val="auto"/>
              </w:rPr>
              <w:t>(259)</w:t>
            </w:r>
          </w:p>
        </w:tc>
        <w:tc>
          <w:tcPr>
            <w:tcW w:w="1320" w:type="dxa"/>
            <w:vAlign w:val="bottom"/>
            <w:tcBorders>
              <w:bottom w:val="single" w:sz="8" w:color="auto"/>
            </w:tcBorders>
          </w:tcPr>
          <w:p>
            <w:pPr>
              <w:jc w:val="right"/>
              <w:ind w:right="134"/>
              <w:spacing w:after="0"/>
              <w:rPr>
                <w:sz w:val="20"/>
                <w:szCs w:val="20"/>
                <w:color w:val="auto"/>
              </w:rPr>
            </w:pPr>
            <w:r>
              <w:rPr>
                <w:rFonts w:ascii="Arial" w:cs="Arial" w:eastAsia="Arial" w:hAnsi="Arial"/>
                <w:sz w:val="13"/>
                <w:szCs w:val="13"/>
                <w:color w:val="auto"/>
              </w:rPr>
              <w:t>(275)</w:t>
            </w:r>
          </w:p>
        </w:tc>
        <w:tc>
          <w:tcPr>
            <w:tcW w:w="1160" w:type="dxa"/>
            <w:vAlign w:val="bottom"/>
            <w:tcBorders>
              <w:bottom w:val="single" w:sz="8" w:color="auto"/>
              <w:right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(276)</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0.4%</w:t>
            </w:r>
          </w:p>
        </w:tc>
        <w:tc>
          <w:tcPr>
            <w:tcW w:w="60" w:type="dxa"/>
            <w:vAlign w:val="bottom"/>
            <w:tcBorders>
              <w:bottom w:val="single" w:sz="8" w:color="auto"/>
              <w:right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6.5%</w:t>
            </w:r>
          </w:p>
        </w:tc>
        <w:tc>
          <w:tcPr>
            <w:tcW w:w="0" w:type="dxa"/>
            <w:vAlign w:val="bottom"/>
          </w:tcPr>
          <w:p>
            <w:pPr>
              <w:spacing w:after="0"/>
              <w:rPr>
                <w:sz w:val="1"/>
                <w:szCs w:val="1"/>
                <w:color w:val="auto"/>
              </w:rPr>
            </w:pPr>
          </w:p>
        </w:tc>
      </w:tr>
      <w:tr>
        <w:trPr>
          <w:trHeight w:val="171"/>
        </w:trPr>
        <w:tc>
          <w:tcPr>
            <w:tcW w:w="30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3"/>
                <w:szCs w:val="13"/>
                <w:b w:val="1"/>
                <w:bCs w:val="1"/>
                <w:color w:val="auto"/>
              </w:rPr>
              <w:t>Total</w:t>
            </w: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b w:val="1"/>
                <w:bCs w:val="1"/>
                <w:color w:val="auto"/>
              </w:rPr>
              <w:t>2,392,634</w:t>
            </w:r>
          </w:p>
        </w:tc>
        <w:tc>
          <w:tcPr>
            <w:tcW w:w="1320" w:type="dxa"/>
            <w:vAlign w:val="bottom"/>
            <w:tcBorders>
              <w:bottom w:val="single" w:sz="8" w:color="auto"/>
            </w:tcBorders>
          </w:tcPr>
          <w:p>
            <w:pPr>
              <w:jc w:val="right"/>
              <w:ind w:right="134"/>
              <w:spacing w:after="0"/>
              <w:rPr>
                <w:sz w:val="20"/>
                <w:szCs w:val="20"/>
                <w:color w:val="auto"/>
              </w:rPr>
            </w:pPr>
            <w:r>
              <w:rPr>
                <w:rFonts w:ascii="Arial" w:cs="Arial" w:eastAsia="Arial" w:hAnsi="Arial"/>
                <w:sz w:val="13"/>
                <w:szCs w:val="13"/>
                <w:b w:val="1"/>
                <w:bCs w:val="1"/>
                <w:color w:val="auto"/>
              </w:rPr>
              <w:t>2,533,715</w:t>
            </w:r>
          </w:p>
        </w:tc>
        <w:tc>
          <w:tcPr>
            <w:tcW w:w="1160" w:type="dxa"/>
            <w:vAlign w:val="bottom"/>
            <w:tcBorders>
              <w:bottom w:val="single" w:sz="8" w:color="auto"/>
              <w:right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2,585,288</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w:t>
            </w:r>
          </w:p>
        </w:tc>
        <w:tc>
          <w:tcPr>
            <w:tcW w:w="6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8.1%</w:t>
            </w:r>
          </w:p>
        </w:tc>
        <w:tc>
          <w:tcPr>
            <w:tcW w:w="0" w:type="dxa"/>
            <w:vAlign w:val="bottom"/>
          </w:tcPr>
          <w:p>
            <w:pPr>
              <w:spacing w:after="0"/>
              <w:rPr>
                <w:sz w:val="1"/>
                <w:szCs w:val="1"/>
                <w:color w:val="auto"/>
              </w:rPr>
            </w:pPr>
          </w:p>
        </w:tc>
      </w:tr>
      <w:tr>
        <w:trPr>
          <w:trHeight w:val="165"/>
        </w:trPr>
        <w:tc>
          <w:tcPr>
            <w:tcW w:w="30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3"/>
                <w:szCs w:val="13"/>
                <w:b w:val="1"/>
                <w:bCs w:val="1"/>
                <w:color w:val="auto"/>
              </w:rPr>
              <w:t>Adjusted RWAs IFRS</w:t>
            </w: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b w:val="1"/>
                <w:bCs w:val="1"/>
                <w:color w:val="auto"/>
              </w:rPr>
              <w:t>14,956,200</w:t>
            </w:r>
          </w:p>
        </w:tc>
        <w:tc>
          <w:tcPr>
            <w:tcW w:w="1320" w:type="dxa"/>
            <w:vAlign w:val="bottom"/>
            <w:tcBorders>
              <w:bottom w:val="single" w:sz="8" w:color="auto"/>
            </w:tcBorders>
          </w:tcPr>
          <w:p>
            <w:pPr>
              <w:jc w:val="right"/>
              <w:ind w:right="134"/>
              <w:spacing w:after="0"/>
              <w:rPr>
                <w:sz w:val="20"/>
                <w:szCs w:val="20"/>
                <w:color w:val="auto"/>
              </w:rPr>
            </w:pPr>
            <w:r>
              <w:rPr>
                <w:rFonts w:ascii="Arial" w:cs="Arial" w:eastAsia="Arial" w:hAnsi="Arial"/>
                <w:sz w:val="13"/>
                <w:szCs w:val="13"/>
                <w:b w:val="1"/>
                <w:bCs w:val="1"/>
                <w:color w:val="auto"/>
              </w:rPr>
              <w:t>15,261,939</w:t>
            </w:r>
          </w:p>
        </w:tc>
        <w:tc>
          <w:tcPr>
            <w:tcW w:w="1160" w:type="dxa"/>
            <w:vAlign w:val="bottom"/>
            <w:tcBorders>
              <w:bottom w:val="single" w:sz="8" w:color="auto"/>
              <w:right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14,719,637</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-3.6%</w:t>
            </w:r>
          </w:p>
        </w:tc>
        <w:tc>
          <w:tcPr>
            <w:tcW w:w="60" w:type="dxa"/>
            <w:vAlign w:val="bottom"/>
            <w:tcBorders>
              <w:bottom w:val="single" w:sz="8" w:color="auto"/>
              <w:right w:val="single" w:sz="8" w:color="auto"/>
            </w:tcBorders>
          </w:tcPr>
          <w:p>
            <w:pPr>
              <w:spacing w:after="0"/>
              <w:rPr>
                <w:sz w:val="14"/>
                <w:szCs w:val="14"/>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-1.6%</w:t>
            </w:r>
          </w:p>
        </w:tc>
        <w:tc>
          <w:tcPr>
            <w:tcW w:w="0" w:type="dxa"/>
            <w:vAlign w:val="bottom"/>
          </w:tcPr>
          <w:p>
            <w:pPr>
              <w:spacing w:after="0"/>
              <w:rPr>
                <w:sz w:val="1"/>
                <w:szCs w:val="1"/>
                <w:color w:val="auto"/>
              </w:rPr>
            </w:pPr>
          </w:p>
        </w:tc>
      </w:tr>
      <w:tr>
        <w:trPr>
          <w:trHeight w:val="158"/>
        </w:trPr>
        <w:tc>
          <w:tcPr>
            <w:tcW w:w="30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Adjusted Credit RWAs IFRS</w:t>
            </w:r>
          </w:p>
        </w:tc>
        <w:tc>
          <w:tcPr>
            <w:tcW w:w="160" w:type="dxa"/>
            <w:vAlign w:val="bottom"/>
          </w:tcPr>
          <w:p>
            <w:pPr>
              <w:spacing w:after="0"/>
              <w:rPr>
                <w:sz w:val="13"/>
                <w:szCs w:val="13"/>
                <w:color w:val="auto"/>
              </w:rPr>
            </w:pPr>
          </w:p>
        </w:tc>
        <w:tc>
          <w:tcPr>
            <w:tcW w:w="1300" w:type="dxa"/>
            <w:vAlign w:val="bottom"/>
          </w:tcPr>
          <w:p>
            <w:pPr>
              <w:jc w:val="right"/>
              <w:ind w:right="173"/>
              <w:spacing w:after="0"/>
              <w:rPr>
                <w:sz w:val="20"/>
                <w:szCs w:val="20"/>
                <w:color w:val="auto"/>
              </w:rPr>
            </w:pPr>
            <w:r>
              <w:rPr>
                <w:rFonts w:ascii="Arial" w:cs="Arial" w:eastAsia="Arial" w:hAnsi="Arial"/>
                <w:sz w:val="13"/>
                <w:szCs w:val="13"/>
                <w:color w:val="auto"/>
              </w:rPr>
              <w:t>12,871,826</w:t>
            </w:r>
          </w:p>
        </w:tc>
        <w:tc>
          <w:tcPr>
            <w:tcW w:w="1320" w:type="dxa"/>
            <w:vAlign w:val="bottom"/>
          </w:tcPr>
          <w:p>
            <w:pPr>
              <w:jc w:val="right"/>
              <w:ind w:right="134"/>
              <w:spacing w:after="0"/>
              <w:rPr>
                <w:sz w:val="20"/>
                <w:szCs w:val="20"/>
                <w:color w:val="auto"/>
              </w:rPr>
            </w:pPr>
            <w:r>
              <w:rPr>
                <w:rFonts w:ascii="Arial" w:cs="Arial" w:eastAsia="Arial" w:hAnsi="Arial"/>
                <w:sz w:val="13"/>
                <w:szCs w:val="13"/>
                <w:color w:val="auto"/>
              </w:rPr>
              <w:t>13,602,081</w:t>
            </w:r>
          </w:p>
        </w:tc>
        <w:tc>
          <w:tcPr>
            <w:tcW w:w="1160" w:type="dxa"/>
            <w:vAlign w:val="bottom"/>
            <w:tcBorders>
              <w:right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13,028,635</w:t>
            </w:r>
          </w:p>
        </w:tc>
        <w:tc>
          <w:tcPr>
            <w:tcW w:w="960" w:type="dxa"/>
            <w:vAlign w:val="bottom"/>
          </w:tcPr>
          <w:p>
            <w:pPr>
              <w:jc w:val="center"/>
              <w:spacing w:after="0"/>
              <w:rPr>
                <w:sz w:val="20"/>
                <w:szCs w:val="20"/>
                <w:color w:val="auto"/>
              </w:rPr>
            </w:pPr>
            <w:r>
              <w:rPr>
                <w:rFonts w:ascii="Arial" w:cs="Arial" w:eastAsia="Arial" w:hAnsi="Arial"/>
                <w:sz w:val="13"/>
                <w:szCs w:val="13"/>
                <w:color w:val="auto"/>
                <w:w w:val="99"/>
              </w:rPr>
              <w:t>-4.2%</w:t>
            </w:r>
          </w:p>
        </w:tc>
        <w:tc>
          <w:tcPr>
            <w:tcW w:w="6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75"/>
        </w:trPr>
        <w:tc>
          <w:tcPr>
            <w:tcW w:w="30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3"/>
                <w:szCs w:val="13"/>
                <w:color w:val="auto"/>
              </w:rPr>
              <w:t>Others</w:t>
            </w: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color w:val="auto"/>
              </w:rPr>
              <w:t>2,084,374</w:t>
            </w:r>
          </w:p>
        </w:tc>
        <w:tc>
          <w:tcPr>
            <w:tcW w:w="1320" w:type="dxa"/>
            <w:vAlign w:val="bottom"/>
            <w:tcBorders>
              <w:bottom w:val="single" w:sz="8" w:color="auto"/>
            </w:tcBorders>
          </w:tcPr>
          <w:p>
            <w:pPr>
              <w:jc w:val="right"/>
              <w:ind w:right="134"/>
              <w:spacing w:after="0"/>
              <w:rPr>
                <w:sz w:val="20"/>
                <w:szCs w:val="20"/>
                <w:color w:val="auto"/>
              </w:rPr>
            </w:pPr>
            <w:r>
              <w:rPr>
                <w:rFonts w:ascii="Arial" w:cs="Arial" w:eastAsia="Arial" w:hAnsi="Arial"/>
                <w:sz w:val="13"/>
                <w:szCs w:val="13"/>
                <w:color w:val="auto"/>
              </w:rPr>
              <w:t>1,659,857</w:t>
            </w:r>
          </w:p>
        </w:tc>
        <w:tc>
          <w:tcPr>
            <w:tcW w:w="1160" w:type="dxa"/>
            <w:vAlign w:val="bottom"/>
            <w:tcBorders>
              <w:bottom w:val="single" w:sz="8" w:color="auto"/>
              <w:right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1,691,001</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1.9%</w:t>
            </w:r>
          </w:p>
        </w:tc>
        <w:tc>
          <w:tcPr>
            <w:tcW w:w="60" w:type="dxa"/>
            <w:vAlign w:val="bottom"/>
            <w:tcBorders>
              <w:bottom w:val="single" w:sz="8" w:color="auto"/>
              <w:right w:val="single" w:sz="8" w:color="auto"/>
            </w:tcBorders>
          </w:tcPr>
          <w:p>
            <w:pPr>
              <w:spacing w:after="0"/>
              <w:rPr>
                <w:sz w:val="15"/>
                <w:szCs w:val="15"/>
                <w:color w:val="auto"/>
              </w:rPr>
            </w:pP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-18.9%</w:t>
            </w:r>
          </w:p>
        </w:tc>
        <w:tc>
          <w:tcPr>
            <w:tcW w:w="0" w:type="dxa"/>
            <w:vAlign w:val="bottom"/>
          </w:tcPr>
          <w:p>
            <w:pPr>
              <w:spacing w:after="0"/>
              <w:rPr>
                <w:sz w:val="1"/>
                <w:szCs w:val="1"/>
                <w:color w:val="auto"/>
              </w:rPr>
            </w:pPr>
          </w:p>
        </w:tc>
      </w:tr>
      <w:tr>
        <w:trPr>
          <w:trHeight w:val="171"/>
        </w:trPr>
        <w:tc>
          <w:tcPr>
            <w:tcW w:w="30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3"/>
                <w:szCs w:val="13"/>
                <w:b w:val="1"/>
                <w:bCs w:val="1"/>
                <w:color w:val="auto"/>
              </w:rPr>
              <w:t>CET1 ratio IFRS</w:t>
            </w: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b w:val="1"/>
                <w:bCs w:val="1"/>
                <w:color w:val="auto"/>
              </w:rPr>
              <w:t>16.00%</w:t>
            </w:r>
          </w:p>
        </w:tc>
        <w:tc>
          <w:tcPr>
            <w:tcW w:w="1320" w:type="dxa"/>
            <w:vAlign w:val="bottom"/>
            <w:tcBorders>
              <w:bottom w:val="single" w:sz="8" w:color="auto"/>
            </w:tcBorders>
          </w:tcPr>
          <w:p>
            <w:pPr>
              <w:jc w:val="right"/>
              <w:ind w:right="134"/>
              <w:spacing w:after="0"/>
              <w:rPr>
                <w:sz w:val="20"/>
                <w:szCs w:val="20"/>
                <w:color w:val="auto"/>
              </w:rPr>
            </w:pPr>
            <w:r>
              <w:rPr>
                <w:rFonts w:ascii="Arial" w:cs="Arial" w:eastAsia="Arial" w:hAnsi="Arial"/>
                <w:sz w:val="13"/>
                <w:szCs w:val="13"/>
                <w:b w:val="1"/>
                <w:bCs w:val="1"/>
                <w:color w:val="auto"/>
              </w:rPr>
              <w:t>16.60%</w:t>
            </w:r>
          </w:p>
        </w:tc>
        <w:tc>
          <w:tcPr>
            <w:tcW w:w="1160" w:type="dxa"/>
            <w:vAlign w:val="bottom"/>
            <w:tcBorders>
              <w:bottom w:val="single" w:sz="8" w:color="auto"/>
              <w:right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17.56%</w:t>
            </w:r>
          </w:p>
        </w:tc>
        <w:tc>
          <w:tcPr>
            <w:tcW w:w="1020" w:type="dxa"/>
            <w:vAlign w:val="bottom"/>
            <w:tcBorders>
              <w:bottom w:val="single" w:sz="8" w:color="auto"/>
              <w:right w:val="single" w:sz="8" w:color="auto"/>
            </w:tcBorders>
            <w:gridSpan w:val="2"/>
          </w:tcPr>
          <w:p>
            <w:pPr>
              <w:ind w:left="580"/>
              <w:spacing w:after="0"/>
              <w:rPr>
                <w:sz w:val="20"/>
                <w:szCs w:val="20"/>
                <w:color w:val="auto"/>
              </w:rPr>
            </w:pPr>
            <w:r>
              <w:rPr>
                <w:rFonts w:ascii="Arial" w:cs="Arial" w:eastAsia="Arial" w:hAnsi="Arial"/>
                <w:sz w:val="13"/>
                <w:szCs w:val="13"/>
                <w:b w:val="1"/>
                <w:bCs w:val="1"/>
                <w:color w:val="auto"/>
                <w:w w:val="97"/>
              </w:rPr>
              <w:t>96 pbs</w:t>
            </w:r>
          </w:p>
        </w:tc>
        <w:tc>
          <w:tcPr>
            <w:tcW w:w="1020" w:type="dxa"/>
            <w:vAlign w:val="bottom"/>
            <w:tcBorders>
              <w:bottom w:val="single" w:sz="8" w:color="auto"/>
              <w:right w:val="single" w:sz="8" w:color="646464"/>
            </w:tcBorders>
          </w:tcPr>
          <w:p>
            <w:pPr>
              <w:ind w:left="480"/>
              <w:spacing w:after="0"/>
              <w:rPr>
                <w:sz w:val="20"/>
                <w:szCs w:val="20"/>
                <w:color w:val="auto"/>
              </w:rPr>
            </w:pPr>
            <w:r>
              <w:rPr>
                <w:rFonts w:ascii="Arial" w:cs="Arial" w:eastAsia="Arial" w:hAnsi="Arial"/>
                <w:sz w:val="13"/>
                <w:szCs w:val="13"/>
                <w:b w:val="1"/>
                <w:bCs w:val="1"/>
                <w:color w:val="auto"/>
              </w:rPr>
              <w:t>157 pbs</w:t>
            </w:r>
          </w:p>
        </w:tc>
        <w:tc>
          <w:tcPr>
            <w:tcW w:w="0" w:type="dxa"/>
            <w:vAlign w:val="bottom"/>
          </w:tcPr>
          <w:p>
            <w:pPr>
              <w:spacing w:after="0"/>
              <w:rPr>
                <w:sz w:val="1"/>
                <w:szCs w:val="1"/>
                <w:color w:val="auto"/>
              </w:rPr>
            </w:pPr>
          </w:p>
        </w:tc>
      </w:tr>
    </w:tbl>
    <w:p>
      <w:pPr>
        <w:spacing w:after="0" w:line="31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33020</wp:posOffset>
            </wp:positionV>
            <wp:extent cx="7143750" cy="1587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00"/>
          </w:cols>
          <w:pgMar w:left="360" w:top="337" w:right="339" w:bottom="1440" w:gutter="0" w:footer="0" w:header="0"/>
        </w:sectPr>
      </w:pPr>
    </w:p>
    <w:bookmarkStart w:id="62" w:name="page63"/>
    <w:bookmarkEnd w:id="62"/>
    <w:p>
      <w:pPr>
        <w:ind w:left="2960"/>
        <w:spacing w:after="0"/>
        <w:tabs>
          <w:tab w:leader="none" w:pos="3140" w:val="left"/>
          <w:tab w:leader="none" w:pos="7700" w:val="left"/>
        </w:tabs>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202565</wp:posOffset>
            </wp:positionH>
            <wp:positionV relativeFrom="page">
              <wp:posOffset>88900</wp:posOffset>
            </wp:positionV>
            <wp:extent cx="7143750" cy="41592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3750" cy="415925"/>
                    </a:xfrm>
                    <a:prstGeom prst="rect">
                      <a:avLst/>
                    </a:prstGeom>
                    <a:noFill/>
                  </pic:spPr>
                </pic:pic>
              </a:graphicData>
            </a:graphic>
          </wp:anchor>
        </w:drawing>
        <w:t>|</w:t>
      </w:r>
      <w:r>
        <w:rPr>
          <w:sz w:val="20"/>
          <w:szCs w:val="20"/>
          <w:color w:val="auto"/>
        </w:rPr>
        <w:tab/>
      </w:r>
      <w:r>
        <w:rPr>
          <w:rFonts w:ascii="Arial" w:cs="Arial" w:eastAsia="Arial" w:hAnsi="Arial"/>
          <w:sz w:val="16"/>
          <w:szCs w:val="16"/>
          <w:b w:val="1"/>
          <w:bCs w:val="1"/>
          <w:color w:val="FFFFFF"/>
        </w:rPr>
        <w:t>Earnings Release 3Q / 2023</w:t>
      </w:r>
      <w:r>
        <w:rPr>
          <w:sz w:val="20"/>
          <w:szCs w:val="20"/>
          <w:color w:val="auto"/>
        </w:rPr>
        <w:tab/>
      </w:r>
      <w:r>
        <w:rPr>
          <w:rFonts w:ascii="Arial" w:cs="Arial" w:eastAsia="Arial" w:hAnsi="Arial"/>
          <w:sz w:val="18"/>
          <w:szCs w:val="18"/>
          <w:b w:val="1"/>
          <w:bCs w:val="1"/>
          <w:color w:val="E93CAC"/>
        </w:rPr>
        <w:t>Analysis of 3Q23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175260</wp:posOffset>
            </wp:positionV>
            <wp:extent cx="7143750" cy="2038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3750" cy="203835"/>
                    </a:xfrm>
                    <a:prstGeom prst="rect">
                      <a:avLst/>
                    </a:prstGeom>
                    <a:noFill/>
                  </pic:spPr>
                </pic:pic>
              </a:graphicData>
            </a:graphic>
          </wp:anchor>
        </w:drawing>
      </w:r>
    </w:p>
    <w:p>
      <w:pPr>
        <w:spacing w:after="0" w:line="275"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FFFFFF"/>
        </w:rPr>
        <w:t>12. Appendix</w:t>
      </w:r>
    </w:p>
    <w:p>
      <w:pPr>
        <w:spacing w:after="0" w:line="76" w:lineRule="exact"/>
        <w:rPr>
          <w:sz w:val="20"/>
          <w:szCs w:val="20"/>
          <w:color w:val="auto"/>
        </w:rPr>
      </w:pPr>
    </w:p>
    <w:p>
      <w:pPr>
        <w:spacing w:after="0"/>
        <w:tabs>
          <w:tab w:leader="none" w:pos="520" w:val="left"/>
        </w:tabs>
        <w:rPr>
          <w:sz w:val="20"/>
          <w:szCs w:val="20"/>
          <w:color w:val="auto"/>
        </w:rPr>
      </w:pPr>
      <w:r>
        <w:rPr>
          <w:rFonts w:ascii="Arial" w:cs="Arial" w:eastAsia="Arial" w:hAnsi="Arial"/>
          <w:sz w:val="16"/>
          <w:szCs w:val="16"/>
          <w:b w:val="1"/>
          <w:bCs w:val="1"/>
          <w:color w:val="auto"/>
        </w:rPr>
        <w:t>12.6.</w:t>
        <w:tab/>
        <w:t>Financial Statements and Ratios by Business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12.6.1.</w:t>
      </w:r>
      <w:r>
        <w:rPr>
          <w:rFonts w:ascii="Arial" w:cs="Arial" w:eastAsia="Arial" w:hAnsi="Arial"/>
          <w:sz w:val="16"/>
          <w:szCs w:val="16"/>
          <w:b w:val="1"/>
          <w:bCs w:val="1"/>
          <w:color w:val="auto"/>
        </w:rPr>
        <w:t>Credicorp Consolidated</w:t>
      </w:r>
    </w:p>
    <w:p>
      <w:pPr>
        <w:spacing w:after="0" w:line="76" w:lineRule="exact"/>
        <w:rPr>
          <w:sz w:val="20"/>
          <w:szCs w:val="20"/>
          <w:color w:val="auto"/>
        </w:rPr>
      </w:pPr>
    </w:p>
    <w:p>
      <w:pPr>
        <w:ind w:left="4680"/>
        <w:spacing w:after="0"/>
        <w:rPr>
          <w:sz w:val="20"/>
          <w:szCs w:val="20"/>
          <w:color w:val="auto"/>
        </w:rPr>
      </w:pPr>
      <w:r>
        <w:rPr>
          <w:rFonts w:ascii="Arial" w:cs="Arial" w:eastAsia="Arial" w:hAnsi="Arial"/>
          <w:sz w:val="12"/>
          <w:szCs w:val="12"/>
          <w:b w:val="1"/>
          <w:bCs w:val="1"/>
          <w:color w:val="auto"/>
        </w:rPr>
        <w:t>Credicorp Ltd. and Subsidiaries</w:t>
      </w:r>
    </w:p>
    <w:p>
      <w:pPr>
        <w:spacing w:after="0" w:line="34" w:lineRule="exact"/>
        <w:rPr>
          <w:sz w:val="20"/>
          <w:szCs w:val="20"/>
          <w:color w:val="auto"/>
        </w:rPr>
      </w:pPr>
    </w:p>
    <w:p>
      <w:pPr>
        <w:ind w:left="4300"/>
        <w:spacing w:after="0"/>
        <w:rPr>
          <w:sz w:val="20"/>
          <w:szCs w:val="20"/>
          <w:color w:val="auto"/>
        </w:rPr>
      </w:pPr>
      <w:r>
        <w:rPr>
          <w:rFonts w:ascii="Arial" w:cs="Arial" w:eastAsia="Arial" w:hAnsi="Arial"/>
          <w:sz w:val="12"/>
          <w:szCs w:val="12"/>
          <w:b w:val="1"/>
          <w:bCs w:val="1"/>
          <w:color w:val="auto"/>
        </w:rPr>
        <w:t>Consolidated Statement of Financial Position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S/ thousands, IFRS)</w:t>
      </w:r>
    </w:p>
    <w:p>
      <w:pPr>
        <w:spacing w:after="0" w:line="164" w:lineRule="exact"/>
        <w:rPr>
          <w:sz w:val="20"/>
          <w:szCs w:val="20"/>
          <w:color w:val="auto"/>
        </w:rPr>
      </w:pPr>
    </w:p>
    <w:tbl>
      <w:tblPr>
        <w:tblLayout w:type="fixed"/>
        <w:tblInd w:w="1130" w:type="dxa"/>
        <w:tblCellMar>
          <w:top w:w="0" w:type="dxa"/>
          <w:left w:w="0" w:type="dxa"/>
          <w:bottom w:w="0" w:type="dxa"/>
          <w:right w:w="0" w:type="dxa"/>
        </w:tblCellMar>
      </w:tblPr>
      <w:tr>
        <w:trPr>
          <w:trHeight w:val="146"/>
        </w:trPr>
        <w:tc>
          <w:tcPr>
            <w:tcW w:w="4100" w:type="dxa"/>
            <w:vAlign w:val="bottom"/>
            <w:tcBorders>
              <w:top w:val="single" w:sz="8" w:color="auto"/>
              <w:left w:val="single" w:sz="8" w:color="auto"/>
              <w:right w:val="single" w:sz="8" w:color="auto"/>
            </w:tcBorders>
            <w:shd w:val="clear" w:color="auto" w:fill="2AD2C8"/>
          </w:tcPr>
          <w:p>
            <w:pPr>
              <w:spacing w:after="0"/>
              <w:rPr>
                <w:sz w:val="12"/>
                <w:szCs w:val="12"/>
                <w:color w:val="auto"/>
              </w:rPr>
            </w:pPr>
          </w:p>
        </w:tc>
        <w:tc>
          <w:tcPr>
            <w:tcW w:w="1260" w:type="dxa"/>
            <w:vAlign w:val="bottom"/>
            <w:tcBorders>
              <w:top w:val="single" w:sz="8" w:color="auto"/>
            </w:tcBorders>
            <w:shd w:val="clear" w:color="auto" w:fill="2AD2C8"/>
          </w:tcPr>
          <w:p>
            <w:pPr>
              <w:spacing w:after="0"/>
              <w:rPr>
                <w:sz w:val="12"/>
                <w:szCs w:val="12"/>
                <w:color w:val="auto"/>
              </w:rPr>
            </w:pPr>
          </w:p>
        </w:tc>
        <w:tc>
          <w:tcPr>
            <w:tcW w:w="1140" w:type="dxa"/>
            <w:vAlign w:val="bottom"/>
            <w:tcBorders>
              <w:top w:val="single" w:sz="8" w:color="auto"/>
            </w:tcBorders>
            <w:shd w:val="clear" w:color="auto" w:fill="2AD2C8"/>
          </w:tcPr>
          <w:p>
            <w:pPr>
              <w:jc w:val="right"/>
              <w:ind w:right="518"/>
              <w:spacing w:after="0"/>
              <w:rPr>
                <w:sz w:val="20"/>
                <w:szCs w:val="20"/>
                <w:color w:val="auto"/>
              </w:rPr>
            </w:pPr>
            <w:r>
              <w:rPr>
                <w:rFonts w:ascii="Arial" w:cs="Arial" w:eastAsia="Arial" w:hAnsi="Arial"/>
                <w:sz w:val="12"/>
                <w:szCs w:val="12"/>
                <w:b w:val="1"/>
                <w:bCs w:val="1"/>
                <w:color w:val="FFFFFF"/>
              </w:rPr>
              <w:t>As of</w:t>
            </w:r>
          </w:p>
        </w:tc>
        <w:tc>
          <w:tcPr>
            <w:tcW w:w="960" w:type="dxa"/>
            <w:vAlign w:val="bottom"/>
            <w:tcBorders>
              <w:top w:val="single" w:sz="8" w:color="auto"/>
              <w:right w:val="single" w:sz="8" w:color="auto"/>
            </w:tcBorders>
            <w:shd w:val="clear" w:color="auto" w:fill="2AD2C8"/>
          </w:tcPr>
          <w:p>
            <w:pPr>
              <w:spacing w:after="0"/>
              <w:rPr>
                <w:sz w:val="12"/>
                <w:szCs w:val="12"/>
                <w:color w:val="auto"/>
              </w:rPr>
            </w:pPr>
          </w:p>
        </w:tc>
        <w:tc>
          <w:tcPr>
            <w:tcW w:w="1560" w:type="dxa"/>
            <w:vAlign w:val="bottom"/>
            <w:tcBorders>
              <w:top w:val="single" w:sz="8" w:color="auto"/>
              <w:right w:val="single" w:sz="8" w:color="auto"/>
            </w:tcBorders>
            <w:gridSpan w:val="2"/>
            <w:shd w:val="clear" w:color="auto" w:fill="2AD2C8"/>
          </w:tcPr>
          <w:p>
            <w:pPr>
              <w:ind w:left="500"/>
              <w:spacing w:after="0"/>
              <w:rPr>
                <w:sz w:val="20"/>
                <w:szCs w:val="20"/>
                <w:color w:val="auto"/>
              </w:rPr>
            </w:pPr>
            <w:r>
              <w:rPr>
                <w:rFonts w:ascii="Arial" w:cs="Arial" w:eastAsia="Arial" w:hAnsi="Arial"/>
                <w:sz w:val="12"/>
                <w:szCs w:val="12"/>
                <w:b w:val="1"/>
                <w:bCs w:val="1"/>
                <w:color w:val="FFFFFF"/>
              </w:rPr>
              <w:t>% change</w:t>
            </w:r>
          </w:p>
        </w:tc>
      </w:tr>
      <w:tr>
        <w:trPr>
          <w:trHeight w:val="175"/>
        </w:trPr>
        <w:tc>
          <w:tcPr>
            <w:tcW w:w="4100" w:type="dxa"/>
            <w:vAlign w:val="bottom"/>
            <w:tcBorders>
              <w:left w:val="single" w:sz="8" w:color="auto"/>
              <w:bottom w:val="single" w:sz="8" w:color="auto"/>
              <w:right w:val="single" w:sz="8" w:color="auto"/>
            </w:tcBorders>
            <w:shd w:val="clear" w:color="auto" w:fill="2AD2C8"/>
          </w:tcPr>
          <w:p>
            <w:pPr>
              <w:spacing w:after="0"/>
              <w:rPr>
                <w:sz w:val="15"/>
                <w:szCs w:val="15"/>
                <w:color w:val="auto"/>
              </w:rPr>
            </w:pPr>
          </w:p>
        </w:tc>
        <w:tc>
          <w:tcPr>
            <w:tcW w:w="1260" w:type="dxa"/>
            <w:vAlign w:val="bottom"/>
            <w:tcBorders>
              <w:bottom w:val="single" w:sz="8" w:color="auto"/>
            </w:tcBorders>
            <w:shd w:val="clear" w:color="auto" w:fill="2AD2C8"/>
          </w:tcPr>
          <w:p>
            <w:pPr>
              <w:jc w:val="right"/>
              <w:ind w:right="458"/>
              <w:spacing w:after="0"/>
              <w:rPr>
                <w:sz w:val="20"/>
                <w:szCs w:val="20"/>
                <w:color w:val="auto"/>
              </w:rPr>
            </w:pPr>
            <w:r>
              <w:rPr>
                <w:rFonts w:ascii="Arial" w:cs="Arial" w:eastAsia="Arial" w:hAnsi="Arial"/>
                <w:sz w:val="12"/>
                <w:szCs w:val="12"/>
                <w:b w:val="1"/>
                <w:bCs w:val="1"/>
                <w:color w:val="FFFFFF"/>
              </w:rPr>
              <w:t>Sep 22</w:t>
            </w:r>
          </w:p>
        </w:tc>
        <w:tc>
          <w:tcPr>
            <w:tcW w:w="1140" w:type="dxa"/>
            <w:vAlign w:val="bottom"/>
            <w:tcBorders>
              <w:bottom w:val="single" w:sz="8" w:color="auto"/>
            </w:tcBorders>
            <w:shd w:val="clear" w:color="auto" w:fill="2AD2C8"/>
          </w:tcPr>
          <w:p>
            <w:pPr>
              <w:jc w:val="right"/>
              <w:ind w:right="478"/>
              <w:spacing w:after="0"/>
              <w:rPr>
                <w:sz w:val="20"/>
                <w:szCs w:val="20"/>
                <w:color w:val="auto"/>
              </w:rPr>
            </w:pPr>
            <w:r>
              <w:rPr>
                <w:rFonts w:ascii="Arial" w:cs="Arial" w:eastAsia="Arial" w:hAnsi="Arial"/>
                <w:sz w:val="12"/>
                <w:szCs w:val="12"/>
                <w:b w:val="1"/>
                <w:bCs w:val="1"/>
                <w:color w:val="FFFFFF"/>
              </w:rPr>
              <w:t>Jun 23</w:t>
            </w:r>
          </w:p>
        </w:tc>
        <w:tc>
          <w:tcPr>
            <w:tcW w:w="960" w:type="dxa"/>
            <w:vAlign w:val="bottom"/>
            <w:tcBorders>
              <w:bottom w:val="single" w:sz="8" w:color="auto"/>
              <w:right w:val="single" w:sz="8" w:color="auto"/>
            </w:tcBorders>
            <w:shd w:val="clear" w:color="auto" w:fill="2AD2C8"/>
          </w:tcPr>
          <w:p>
            <w:pPr>
              <w:jc w:val="right"/>
              <w:ind w:right="338"/>
              <w:spacing w:after="0"/>
              <w:rPr>
                <w:sz w:val="20"/>
                <w:szCs w:val="20"/>
                <w:color w:val="auto"/>
              </w:rPr>
            </w:pPr>
            <w:r>
              <w:rPr>
                <w:rFonts w:ascii="Arial" w:cs="Arial" w:eastAsia="Arial" w:hAnsi="Arial"/>
                <w:sz w:val="12"/>
                <w:szCs w:val="12"/>
                <w:b w:val="1"/>
                <w:bCs w:val="1"/>
                <w:color w:val="FFFFFF"/>
              </w:rPr>
              <w:t>Set 23</w:t>
            </w:r>
          </w:p>
        </w:tc>
        <w:tc>
          <w:tcPr>
            <w:tcW w:w="800" w:type="dxa"/>
            <w:vAlign w:val="bottom"/>
            <w:tcBorders>
              <w:bottom w:val="single" w:sz="8" w:color="auto"/>
            </w:tcBorders>
            <w:shd w:val="clear" w:color="auto" w:fill="2AD2C8"/>
          </w:tcPr>
          <w:p>
            <w:pPr>
              <w:jc w:val="right"/>
              <w:ind w:right="78"/>
              <w:spacing w:after="0"/>
              <w:rPr>
                <w:sz w:val="20"/>
                <w:szCs w:val="20"/>
                <w:color w:val="auto"/>
              </w:rPr>
            </w:pPr>
            <w:r>
              <w:rPr>
                <w:rFonts w:ascii="Arial" w:cs="Arial" w:eastAsia="Arial" w:hAnsi="Arial"/>
                <w:sz w:val="12"/>
                <w:szCs w:val="12"/>
                <w:b w:val="1"/>
                <w:bCs w:val="1"/>
                <w:color w:val="FFFFFF"/>
              </w:rPr>
              <w:t>QoQ</w:t>
            </w:r>
          </w:p>
        </w:tc>
        <w:tc>
          <w:tcPr>
            <w:tcW w:w="760" w:type="dxa"/>
            <w:vAlign w:val="bottom"/>
            <w:tcBorders>
              <w:bottom w:val="single" w:sz="8" w:color="auto"/>
              <w:right w:val="single" w:sz="8" w:color="auto"/>
            </w:tcBorders>
            <w:shd w:val="clear" w:color="auto" w:fill="2AD2C8"/>
          </w:tcPr>
          <w:p>
            <w:pPr>
              <w:ind w:left="100"/>
              <w:spacing w:after="0"/>
              <w:rPr>
                <w:sz w:val="20"/>
                <w:szCs w:val="20"/>
                <w:color w:val="auto"/>
              </w:rPr>
            </w:pPr>
            <w:r>
              <w:rPr>
                <w:rFonts w:ascii="Arial" w:cs="Arial" w:eastAsia="Arial" w:hAnsi="Arial"/>
                <w:sz w:val="12"/>
                <w:szCs w:val="12"/>
                <w:b w:val="1"/>
                <w:bCs w:val="1"/>
                <w:color w:val="FFFFFF"/>
              </w:rPr>
              <w:t>YoY</w:t>
            </w:r>
          </w:p>
        </w:tc>
      </w:tr>
      <w:tr>
        <w:trPr>
          <w:trHeight w:val="151"/>
        </w:trPr>
        <w:tc>
          <w:tcPr>
            <w:tcW w:w="41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color w:val="auto"/>
              </w:rPr>
              <w:t>ASSETS</w:t>
            </w:r>
          </w:p>
        </w:tc>
        <w:tc>
          <w:tcPr>
            <w:tcW w:w="1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r>
      <w:tr>
        <w:trPr>
          <w:trHeight w:val="172"/>
        </w:trPr>
        <w:tc>
          <w:tcPr>
            <w:tcW w:w="41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color w:val="auto"/>
              </w:rPr>
              <w:t>Cash and due from banks</w:t>
            </w: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r>
      <w:tr>
        <w:trPr>
          <w:trHeight w:val="143"/>
        </w:trPr>
        <w:tc>
          <w:tcPr>
            <w:tcW w:w="410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2"/>
                <w:szCs w:val="12"/>
                <w:color w:val="auto"/>
              </w:rPr>
              <w:t>Non-interest bearing</w:t>
            </w:r>
          </w:p>
        </w:tc>
        <w:tc>
          <w:tcPr>
            <w:tcW w:w="1260" w:type="dxa"/>
            <w:vAlign w:val="bottom"/>
          </w:tcPr>
          <w:p>
            <w:pPr>
              <w:jc w:val="right"/>
              <w:ind w:right="158"/>
              <w:spacing w:after="0"/>
              <w:rPr>
                <w:sz w:val="20"/>
                <w:szCs w:val="20"/>
                <w:color w:val="auto"/>
              </w:rPr>
            </w:pPr>
            <w:r>
              <w:rPr>
                <w:rFonts w:ascii="Arial" w:cs="Arial" w:eastAsia="Arial" w:hAnsi="Arial"/>
                <w:sz w:val="12"/>
                <w:szCs w:val="12"/>
                <w:color w:val="auto"/>
              </w:rPr>
              <w:t>6,919,212</w:t>
            </w:r>
          </w:p>
        </w:tc>
        <w:tc>
          <w:tcPr>
            <w:tcW w:w="1140" w:type="dxa"/>
            <w:vAlign w:val="bottom"/>
          </w:tcPr>
          <w:p>
            <w:pPr>
              <w:jc w:val="right"/>
              <w:ind w:right="138"/>
              <w:spacing w:after="0"/>
              <w:rPr>
                <w:sz w:val="20"/>
                <w:szCs w:val="20"/>
                <w:color w:val="auto"/>
              </w:rPr>
            </w:pPr>
            <w:r>
              <w:rPr>
                <w:rFonts w:ascii="Arial" w:cs="Arial" w:eastAsia="Arial" w:hAnsi="Arial"/>
                <w:sz w:val="12"/>
                <w:szCs w:val="12"/>
                <w:color w:val="auto"/>
              </w:rPr>
              <w:t>7,154,236</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8,047,624</w:t>
            </w:r>
          </w:p>
        </w:tc>
        <w:tc>
          <w:tcPr>
            <w:tcW w:w="800" w:type="dxa"/>
            <w:vAlign w:val="bottom"/>
          </w:tcPr>
          <w:p>
            <w:pPr>
              <w:jc w:val="center"/>
              <w:ind w:left="138"/>
              <w:spacing w:after="0"/>
              <w:rPr>
                <w:sz w:val="20"/>
                <w:szCs w:val="20"/>
                <w:color w:val="auto"/>
              </w:rPr>
            </w:pPr>
            <w:r>
              <w:rPr>
                <w:rFonts w:ascii="Arial" w:cs="Arial" w:eastAsia="Arial" w:hAnsi="Arial"/>
                <w:sz w:val="12"/>
                <w:szCs w:val="12"/>
                <w:color w:val="auto"/>
              </w:rPr>
              <w:t>12.5%</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16.3%</w:t>
            </w:r>
          </w:p>
        </w:tc>
      </w:tr>
      <w:tr>
        <w:trPr>
          <w:trHeight w:val="142"/>
        </w:trPr>
        <w:tc>
          <w:tcPr>
            <w:tcW w:w="410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2"/>
                <w:szCs w:val="12"/>
                <w:color w:val="auto"/>
              </w:rPr>
              <w:t>Interest bearing</w:t>
            </w:r>
          </w:p>
        </w:tc>
        <w:tc>
          <w:tcPr>
            <w:tcW w:w="1260" w:type="dxa"/>
            <w:vAlign w:val="bottom"/>
          </w:tcPr>
          <w:p>
            <w:pPr>
              <w:jc w:val="right"/>
              <w:ind w:right="158"/>
              <w:spacing w:after="0"/>
              <w:rPr>
                <w:sz w:val="20"/>
                <w:szCs w:val="20"/>
                <w:color w:val="auto"/>
              </w:rPr>
            </w:pPr>
            <w:r>
              <w:rPr>
                <w:rFonts w:ascii="Arial" w:cs="Arial" w:eastAsia="Arial" w:hAnsi="Arial"/>
                <w:sz w:val="12"/>
                <w:szCs w:val="12"/>
                <w:color w:val="auto"/>
              </w:rPr>
              <w:t>29,330,082</w:t>
            </w:r>
          </w:p>
        </w:tc>
        <w:tc>
          <w:tcPr>
            <w:tcW w:w="1140" w:type="dxa"/>
            <w:vAlign w:val="bottom"/>
          </w:tcPr>
          <w:p>
            <w:pPr>
              <w:jc w:val="right"/>
              <w:ind w:right="138"/>
              <w:spacing w:after="0"/>
              <w:rPr>
                <w:sz w:val="20"/>
                <w:szCs w:val="20"/>
                <w:color w:val="auto"/>
              </w:rPr>
            </w:pPr>
            <w:r>
              <w:rPr>
                <w:rFonts w:ascii="Arial" w:cs="Arial" w:eastAsia="Arial" w:hAnsi="Arial"/>
                <w:sz w:val="12"/>
                <w:szCs w:val="12"/>
                <w:color w:val="auto"/>
              </w:rPr>
              <w:t>26,036,894</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24,907,836</w:t>
            </w:r>
          </w:p>
        </w:tc>
        <w:tc>
          <w:tcPr>
            <w:tcW w:w="800" w:type="dxa"/>
            <w:vAlign w:val="bottom"/>
          </w:tcPr>
          <w:p>
            <w:pPr>
              <w:jc w:val="center"/>
              <w:ind w:left="138"/>
              <w:spacing w:after="0"/>
              <w:rPr>
                <w:sz w:val="20"/>
                <w:szCs w:val="20"/>
                <w:color w:val="auto"/>
              </w:rPr>
            </w:pPr>
            <w:r>
              <w:rPr>
                <w:rFonts w:ascii="Arial" w:cs="Arial" w:eastAsia="Arial" w:hAnsi="Arial"/>
                <w:sz w:val="12"/>
                <w:szCs w:val="12"/>
                <w:color w:val="auto"/>
              </w:rPr>
              <w:t>-4.3%</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-15.1%</w:t>
            </w:r>
          </w:p>
        </w:tc>
      </w:tr>
      <w:tr>
        <w:trPr>
          <w:trHeight w:val="167"/>
        </w:trPr>
        <w:tc>
          <w:tcPr>
            <w:tcW w:w="4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rPr>
              <w:t>Total cash and due from banks</w:t>
            </w:r>
          </w:p>
        </w:tc>
        <w:tc>
          <w:tcPr>
            <w:tcW w:w="1260" w:type="dxa"/>
            <w:vAlign w:val="bottom"/>
          </w:tcPr>
          <w:p>
            <w:pPr>
              <w:jc w:val="right"/>
              <w:ind w:right="158"/>
              <w:spacing w:after="0"/>
              <w:rPr>
                <w:sz w:val="20"/>
                <w:szCs w:val="20"/>
                <w:color w:val="auto"/>
              </w:rPr>
            </w:pPr>
            <w:r>
              <w:rPr>
                <w:rFonts w:ascii="Arial" w:cs="Arial" w:eastAsia="Arial" w:hAnsi="Arial"/>
                <w:sz w:val="12"/>
                <w:szCs w:val="12"/>
                <w:b w:val="1"/>
                <w:bCs w:val="1"/>
                <w:color w:val="auto"/>
              </w:rPr>
              <w:t>36,249,294</w:t>
            </w:r>
          </w:p>
        </w:tc>
        <w:tc>
          <w:tcPr>
            <w:tcW w:w="1140" w:type="dxa"/>
            <w:vAlign w:val="bottom"/>
          </w:tcPr>
          <w:p>
            <w:pPr>
              <w:jc w:val="right"/>
              <w:ind w:right="138"/>
              <w:spacing w:after="0"/>
              <w:rPr>
                <w:sz w:val="20"/>
                <w:szCs w:val="20"/>
                <w:color w:val="auto"/>
              </w:rPr>
            </w:pPr>
            <w:r>
              <w:rPr>
                <w:rFonts w:ascii="Arial" w:cs="Arial" w:eastAsia="Arial" w:hAnsi="Arial"/>
                <w:sz w:val="12"/>
                <w:szCs w:val="12"/>
                <w:b w:val="1"/>
                <w:bCs w:val="1"/>
                <w:color w:val="auto"/>
              </w:rPr>
              <w:t>33,191,130</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2"/>
                <w:szCs w:val="12"/>
                <w:b w:val="1"/>
                <w:bCs w:val="1"/>
                <w:color w:val="auto"/>
              </w:rPr>
              <w:t>32,955,460</w:t>
            </w:r>
          </w:p>
        </w:tc>
        <w:tc>
          <w:tcPr>
            <w:tcW w:w="800" w:type="dxa"/>
            <w:vAlign w:val="bottom"/>
          </w:tcPr>
          <w:p>
            <w:pPr>
              <w:jc w:val="right"/>
              <w:ind w:right="58"/>
              <w:spacing w:after="0"/>
              <w:rPr>
                <w:sz w:val="20"/>
                <w:szCs w:val="20"/>
                <w:color w:val="auto"/>
              </w:rPr>
            </w:pPr>
            <w:r>
              <w:rPr>
                <w:rFonts w:ascii="Arial" w:cs="Arial" w:eastAsia="Arial" w:hAnsi="Arial"/>
                <w:sz w:val="12"/>
                <w:szCs w:val="12"/>
                <w:b w:val="1"/>
                <w:bCs w:val="1"/>
                <w:color w:val="auto"/>
              </w:rPr>
              <w:t>-0.7%</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-9.1%</w:t>
            </w:r>
          </w:p>
        </w:tc>
      </w:tr>
      <w:tr>
        <w:trPr>
          <w:trHeight w:val="161"/>
        </w:trPr>
        <w:tc>
          <w:tcPr>
            <w:tcW w:w="41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Cash collateral, reverse repurchase agreements and securities borrowing</w:t>
            </w:r>
          </w:p>
        </w:tc>
        <w:tc>
          <w:tcPr>
            <w:tcW w:w="1260" w:type="dxa"/>
            <w:vAlign w:val="bottom"/>
          </w:tcPr>
          <w:p>
            <w:pPr>
              <w:jc w:val="right"/>
              <w:ind w:right="158"/>
              <w:spacing w:after="0"/>
              <w:rPr>
                <w:sz w:val="20"/>
                <w:szCs w:val="20"/>
                <w:color w:val="auto"/>
              </w:rPr>
            </w:pPr>
            <w:r>
              <w:rPr>
                <w:rFonts w:ascii="Arial" w:cs="Arial" w:eastAsia="Arial" w:hAnsi="Arial"/>
                <w:sz w:val="12"/>
                <w:szCs w:val="12"/>
                <w:color w:val="auto"/>
              </w:rPr>
              <w:t>1,586,967</w:t>
            </w:r>
          </w:p>
        </w:tc>
        <w:tc>
          <w:tcPr>
            <w:tcW w:w="1140" w:type="dxa"/>
            <w:vAlign w:val="bottom"/>
          </w:tcPr>
          <w:p>
            <w:pPr>
              <w:jc w:val="right"/>
              <w:ind w:right="138"/>
              <w:spacing w:after="0"/>
              <w:rPr>
                <w:sz w:val="20"/>
                <w:szCs w:val="20"/>
                <w:color w:val="auto"/>
              </w:rPr>
            </w:pPr>
            <w:r>
              <w:rPr>
                <w:rFonts w:ascii="Arial" w:cs="Arial" w:eastAsia="Arial" w:hAnsi="Arial"/>
                <w:sz w:val="12"/>
                <w:szCs w:val="12"/>
                <w:color w:val="auto"/>
              </w:rPr>
              <w:t>1,863,243</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1,513,622</w:t>
            </w:r>
          </w:p>
        </w:tc>
        <w:tc>
          <w:tcPr>
            <w:tcW w:w="800" w:type="dxa"/>
            <w:vAlign w:val="bottom"/>
          </w:tcPr>
          <w:p>
            <w:pPr>
              <w:jc w:val="center"/>
              <w:ind w:left="138"/>
              <w:spacing w:after="0"/>
              <w:rPr>
                <w:sz w:val="20"/>
                <w:szCs w:val="20"/>
                <w:color w:val="auto"/>
              </w:rPr>
            </w:pPr>
            <w:r>
              <w:rPr>
                <w:rFonts w:ascii="Arial" w:cs="Arial" w:eastAsia="Arial" w:hAnsi="Arial"/>
                <w:sz w:val="12"/>
                <w:szCs w:val="12"/>
                <w:color w:val="auto"/>
              </w:rPr>
              <w:t>-18.8%</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-4.6%</w:t>
            </w:r>
          </w:p>
        </w:tc>
      </w:tr>
      <w:tr>
        <w:trPr>
          <w:trHeight w:val="148"/>
        </w:trPr>
        <w:tc>
          <w:tcPr>
            <w:tcW w:w="41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Fair value through profit or loss investments</w:t>
            </w:r>
          </w:p>
        </w:tc>
        <w:tc>
          <w:tcPr>
            <w:tcW w:w="1260" w:type="dxa"/>
            <w:vAlign w:val="bottom"/>
          </w:tcPr>
          <w:p>
            <w:pPr>
              <w:jc w:val="right"/>
              <w:ind w:right="158"/>
              <w:spacing w:after="0"/>
              <w:rPr>
                <w:sz w:val="20"/>
                <w:szCs w:val="20"/>
                <w:color w:val="auto"/>
              </w:rPr>
            </w:pPr>
            <w:r>
              <w:rPr>
                <w:rFonts w:ascii="Arial" w:cs="Arial" w:eastAsia="Arial" w:hAnsi="Arial"/>
                <w:sz w:val="12"/>
                <w:szCs w:val="12"/>
                <w:color w:val="auto"/>
              </w:rPr>
              <w:t>4,550,783</w:t>
            </w:r>
          </w:p>
        </w:tc>
        <w:tc>
          <w:tcPr>
            <w:tcW w:w="1140" w:type="dxa"/>
            <w:vAlign w:val="bottom"/>
          </w:tcPr>
          <w:p>
            <w:pPr>
              <w:jc w:val="right"/>
              <w:ind w:right="138"/>
              <w:spacing w:after="0"/>
              <w:rPr>
                <w:sz w:val="20"/>
                <w:szCs w:val="20"/>
                <w:color w:val="auto"/>
              </w:rPr>
            </w:pPr>
            <w:r>
              <w:rPr>
                <w:rFonts w:ascii="Arial" w:cs="Arial" w:eastAsia="Arial" w:hAnsi="Arial"/>
                <w:sz w:val="12"/>
                <w:szCs w:val="12"/>
                <w:color w:val="auto"/>
              </w:rPr>
              <w:t>4,508,563</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5,558,973</w:t>
            </w:r>
          </w:p>
        </w:tc>
        <w:tc>
          <w:tcPr>
            <w:tcW w:w="800" w:type="dxa"/>
            <w:vAlign w:val="bottom"/>
          </w:tcPr>
          <w:p>
            <w:pPr>
              <w:jc w:val="center"/>
              <w:ind w:left="138"/>
              <w:spacing w:after="0"/>
              <w:rPr>
                <w:sz w:val="20"/>
                <w:szCs w:val="20"/>
                <w:color w:val="auto"/>
              </w:rPr>
            </w:pPr>
            <w:r>
              <w:rPr>
                <w:rFonts w:ascii="Arial" w:cs="Arial" w:eastAsia="Arial" w:hAnsi="Arial"/>
                <w:sz w:val="12"/>
                <w:szCs w:val="12"/>
                <w:color w:val="auto"/>
              </w:rPr>
              <w:t>23.3%</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22.2%</w:t>
            </w:r>
          </w:p>
        </w:tc>
      </w:tr>
      <w:tr>
        <w:trPr>
          <w:trHeight w:val="136"/>
        </w:trPr>
        <w:tc>
          <w:tcPr>
            <w:tcW w:w="4100" w:type="dxa"/>
            <w:vAlign w:val="bottom"/>
            <w:tcBorders>
              <w:left w:val="single" w:sz="8" w:color="auto"/>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Fair value through other comprehensive income investments</w:t>
            </w:r>
          </w:p>
        </w:tc>
        <w:tc>
          <w:tcPr>
            <w:tcW w:w="1260" w:type="dxa"/>
            <w:vAlign w:val="bottom"/>
          </w:tcPr>
          <w:p>
            <w:pPr>
              <w:jc w:val="right"/>
              <w:ind w:right="158"/>
              <w:spacing w:after="0" w:line="136" w:lineRule="exact"/>
              <w:rPr>
                <w:sz w:val="20"/>
                <w:szCs w:val="20"/>
                <w:color w:val="auto"/>
              </w:rPr>
            </w:pPr>
            <w:r>
              <w:rPr>
                <w:rFonts w:ascii="Arial" w:cs="Arial" w:eastAsia="Arial" w:hAnsi="Arial"/>
                <w:sz w:val="12"/>
                <w:szCs w:val="12"/>
                <w:color w:val="auto"/>
              </w:rPr>
              <w:t>34,263,930</w:t>
            </w:r>
          </w:p>
        </w:tc>
        <w:tc>
          <w:tcPr>
            <w:tcW w:w="1140" w:type="dxa"/>
            <w:vAlign w:val="bottom"/>
          </w:tcPr>
          <w:p>
            <w:pPr>
              <w:jc w:val="right"/>
              <w:ind w:right="138"/>
              <w:spacing w:after="0" w:line="136" w:lineRule="exact"/>
              <w:rPr>
                <w:sz w:val="20"/>
                <w:szCs w:val="20"/>
                <w:color w:val="auto"/>
              </w:rPr>
            </w:pPr>
            <w:r>
              <w:rPr>
                <w:rFonts w:ascii="Arial" w:cs="Arial" w:eastAsia="Arial" w:hAnsi="Arial"/>
                <w:sz w:val="12"/>
                <w:szCs w:val="12"/>
                <w:color w:val="auto"/>
              </w:rPr>
              <w:t>33,344,169</w:t>
            </w:r>
          </w:p>
        </w:tc>
        <w:tc>
          <w:tcPr>
            <w:tcW w:w="960" w:type="dxa"/>
            <w:vAlign w:val="bottom"/>
            <w:tcBorders>
              <w:right w:val="single" w:sz="8" w:color="auto"/>
            </w:tcBorders>
          </w:tcPr>
          <w:p>
            <w:pPr>
              <w:jc w:val="right"/>
              <w:spacing w:after="0" w:line="136" w:lineRule="exact"/>
              <w:rPr>
                <w:sz w:val="20"/>
                <w:szCs w:val="20"/>
                <w:color w:val="auto"/>
              </w:rPr>
            </w:pPr>
            <w:r>
              <w:rPr>
                <w:rFonts w:ascii="Arial" w:cs="Arial" w:eastAsia="Arial" w:hAnsi="Arial"/>
                <w:sz w:val="12"/>
                <w:szCs w:val="12"/>
                <w:color w:val="auto"/>
              </w:rPr>
              <w:t>35,475,821</w:t>
            </w:r>
          </w:p>
        </w:tc>
        <w:tc>
          <w:tcPr>
            <w:tcW w:w="800" w:type="dxa"/>
            <w:vAlign w:val="bottom"/>
          </w:tcPr>
          <w:p>
            <w:pPr>
              <w:jc w:val="center"/>
              <w:ind w:left="138"/>
              <w:spacing w:after="0" w:line="136" w:lineRule="exact"/>
              <w:rPr>
                <w:sz w:val="20"/>
                <w:szCs w:val="20"/>
                <w:color w:val="auto"/>
              </w:rPr>
            </w:pPr>
            <w:r>
              <w:rPr>
                <w:rFonts w:ascii="Arial" w:cs="Arial" w:eastAsia="Arial" w:hAnsi="Arial"/>
                <w:sz w:val="12"/>
                <w:szCs w:val="12"/>
                <w:color w:val="auto"/>
              </w:rPr>
              <w:t>6.4%</w:t>
            </w:r>
          </w:p>
        </w:tc>
        <w:tc>
          <w:tcPr>
            <w:tcW w:w="76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2"/>
                <w:szCs w:val="12"/>
                <w:color w:val="auto"/>
              </w:rPr>
              <w:t>3.5%</w:t>
            </w:r>
          </w:p>
        </w:tc>
      </w:tr>
      <w:tr>
        <w:trPr>
          <w:trHeight w:val="148"/>
        </w:trPr>
        <w:tc>
          <w:tcPr>
            <w:tcW w:w="41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Amortized cost investments</w:t>
            </w:r>
          </w:p>
        </w:tc>
        <w:tc>
          <w:tcPr>
            <w:tcW w:w="1260" w:type="dxa"/>
            <w:vAlign w:val="bottom"/>
          </w:tcPr>
          <w:p>
            <w:pPr>
              <w:jc w:val="right"/>
              <w:ind w:right="158"/>
              <w:spacing w:after="0"/>
              <w:rPr>
                <w:sz w:val="20"/>
                <w:szCs w:val="20"/>
                <w:color w:val="auto"/>
              </w:rPr>
            </w:pPr>
            <w:r>
              <w:rPr>
                <w:rFonts w:ascii="Arial" w:cs="Arial" w:eastAsia="Arial" w:hAnsi="Arial"/>
                <w:sz w:val="12"/>
                <w:szCs w:val="12"/>
                <w:color w:val="auto"/>
              </w:rPr>
              <w:t>8,028,557</w:t>
            </w:r>
          </w:p>
        </w:tc>
        <w:tc>
          <w:tcPr>
            <w:tcW w:w="1140" w:type="dxa"/>
            <w:vAlign w:val="bottom"/>
          </w:tcPr>
          <w:p>
            <w:pPr>
              <w:jc w:val="right"/>
              <w:ind w:right="138"/>
              <w:spacing w:after="0"/>
              <w:rPr>
                <w:sz w:val="20"/>
                <w:szCs w:val="20"/>
                <w:color w:val="auto"/>
              </w:rPr>
            </w:pPr>
            <w:r>
              <w:rPr>
                <w:rFonts w:ascii="Arial" w:cs="Arial" w:eastAsia="Arial" w:hAnsi="Arial"/>
                <w:sz w:val="12"/>
                <w:szCs w:val="12"/>
                <w:color w:val="auto"/>
              </w:rPr>
              <w:t>10,182,619</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10,082,119</w:t>
            </w:r>
          </w:p>
        </w:tc>
        <w:tc>
          <w:tcPr>
            <w:tcW w:w="800" w:type="dxa"/>
            <w:vAlign w:val="bottom"/>
          </w:tcPr>
          <w:p>
            <w:pPr>
              <w:jc w:val="center"/>
              <w:ind w:left="138"/>
              <w:spacing w:after="0"/>
              <w:rPr>
                <w:sz w:val="20"/>
                <w:szCs w:val="20"/>
                <w:color w:val="auto"/>
              </w:rPr>
            </w:pPr>
            <w:r>
              <w:rPr>
                <w:rFonts w:ascii="Arial" w:cs="Arial" w:eastAsia="Arial" w:hAnsi="Arial"/>
                <w:sz w:val="12"/>
                <w:szCs w:val="12"/>
                <w:color w:val="auto"/>
              </w:rPr>
              <w:t>-1.0%</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25.6%</w:t>
            </w:r>
          </w:p>
        </w:tc>
      </w:tr>
      <w:tr>
        <w:trPr>
          <w:trHeight w:val="148"/>
        </w:trPr>
        <w:tc>
          <w:tcPr>
            <w:tcW w:w="41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Loans</w:t>
            </w:r>
          </w:p>
        </w:tc>
        <w:tc>
          <w:tcPr>
            <w:tcW w:w="1260" w:type="dxa"/>
            <w:vAlign w:val="bottom"/>
          </w:tcPr>
          <w:p>
            <w:pPr>
              <w:jc w:val="right"/>
              <w:ind w:right="158"/>
              <w:spacing w:after="0"/>
              <w:rPr>
                <w:sz w:val="20"/>
                <w:szCs w:val="20"/>
                <w:color w:val="auto"/>
              </w:rPr>
            </w:pPr>
            <w:r>
              <w:rPr>
                <w:rFonts w:ascii="Arial" w:cs="Arial" w:eastAsia="Arial" w:hAnsi="Arial"/>
                <w:sz w:val="12"/>
                <w:szCs w:val="12"/>
                <w:color w:val="auto"/>
              </w:rPr>
              <w:t>151,392,202</w:t>
            </w:r>
          </w:p>
        </w:tc>
        <w:tc>
          <w:tcPr>
            <w:tcW w:w="1140" w:type="dxa"/>
            <w:vAlign w:val="bottom"/>
          </w:tcPr>
          <w:p>
            <w:pPr>
              <w:jc w:val="right"/>
              <w:ind w:right="138"/>
              <w:spacing w:after="0"/>
              <w:rPr>
                <w:sz w:val="20"/>
                <w:szCs w:val="20"/>
                <w:color w:val="auto"/>
              </w:rPr>
            </w:pPr>
            <w:r>
              <w:rPr>
                <w:rFonts w:ascii="Arial" w:cs="Arial" w:eastAsia="Arial" w:hAnsi="Arial"/>
                <w:sz w:val="12"/>
                <w:szCs w:val="12"/>
                <w:color w:val="auto"/>
              </w:rPr>
              <w:t>142,845,549</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145,129,260</w:t>
            </w:r>
          </w:p>
        </w:tc>
        <w:tc>
          <w:tcPr>
            <w:tcW w:w="800" w:type="dxa"/>
            <w:vAlign w:val="bottom"/>
          </w:tcPr>
          <w:p>
            <w:pPr>
              <w:jc w:val="center"/>
              <w:ind w:left="138"/>
              <w:spacing w:after="0"/>
              <w:rPr>
                <w:sz w:val="20"/>
                <w:szCs w:val="20"/>
                <w:color w:val="auto"/>
              </w:rPr>
            </w:pPr>
            <w:r>
              <w:rPr>
                <w:rFonts w:ascii="Arial" w:cs="Arial" w:eastAsia="Arial" w:hAnsi="Arial"/>
                <w:sz w:val="12"/>
                <w:szCs w:val="12"/>
                <w:color w:val="auto"/>
              </w:rPr>
              <w:t>1.6%</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-4.1%</w:t>
            </w:r>
          </w:p>
        </w:tc>
      </w:tr>
      <w:tr>
        <w:trPr>
          <w:trHeight w:val="136"/>
        </w:trPr>
        <w:tc>
          <w:tcPr>
            <w:tcW w:w="4100" w:type="dxa"/>
            <w:vAlign w:val="bottom"/>
            <w:tcBorders>
              <w:left w:val="single" w:sz="8" w:color="auto"/>
              <w:right w:val="single" w:sz="8" w:color="auto"/>
            </w:tcBorders>
          </w:tcPr>
          <w:p>
            <w:pPr>
              <w:ind w:left="320"/>
              <w:spacing w:after="0" w:line="136" w:lineRule="exact"/>
              <w:rPr>
                <w:sz w:val="20"/>
                <w:szCs w:val="20"/>
                <w:color w:val="auto"/>
              </w:rPr>
            </w:pPr>
            <w:r>
              <w:rPr>
                <w:rFonts w:ascii="Arial" w:cs="Arial" w:eastAsia="Arial" w:hAnsi="Arial"/>
                <w:sz w:val="12"/>
                <w:szCs w:val="12"/>
                <w:color w:val="auto"/>
              </w:rPr>
              <w:t>Current</w:t>
            </w:r>
          </w:p>
        </w:tc>
        <w:tc>
          <w:tcPr>
            <w:tcW w:w="1260" w:type="dxa"/>
            <w:vAlign w:val="bottom"/>
          </w:tcPr>
          <w:p>
            <w:pPr>
              <w:jc w:val="right"/>
              <w:ind w:right="158"/>
              <w:spacing w:after="0" w:line="136" w:lineRule="exact"/>
              <w:rPr>
                <w:sz w:val="20"/>
                <w:szCs w:val="20"/>
                <w:color w:val="auto"/>
              </w:rPr>
            </w:pPr>
            <w:r>
              <w:rPr>
                <w:rFonts w:ascii="Arial" w:cs="Arial" w:eastAsia="Arial" w:hAnsi="Arial"/>
                <w:sz w:val="12"/>
                <w:szCs w:val="12"/>
                <w:color w:val="auto"/>
              </w:rPr>
              <w:t>145,142,071</w:t>
            </w:r>
          </w:p>
        </w:tc>
        <w:tc>
          <w:tcPr>
            <w:tcW w:w="1140" w:type="dxa"/>
            <w:vAlign w:val="bottom"/>
          </w:tcPr>
          <w:p>
            <w:pPr>
              <w:jc w:val="right"/>
              <w:ind w:right="138"/>
              <w:spacing w:after="0" w:line="136" w:lineRule="exact"/>
              <w:rPr>
                <w:sz w:val="20"/>
                <w:szCs w:val="20"/>
                <w:color w:val="auto"/>
              </w:rPr>
            </w:pPr>
            <w:r>
              <w:rPr>
                <w:rFonts w:ascii="Arial" w:cs="Arial" w:eastAsia="Arial" w:hAnsi="Arial"/>
                <w:sz w:val="12"/>
                <w:szCs w:val="12"/>
                <w:color w:val="auto"/>
              </w:rPr>
              <w:t>136,866,154</w:t>
            </w:r>
          </w:p>
        </w:tc>
        <w:tc>
          <w:tcPr>
            <w:tcW w:w="960" w:type="dxa"/>
            <w:vAlign w:val="bottom"/>
            <w:tcBorders>
              <w:right w:val="single" w:sz="8" w:color="auto"/>
            </w:tcBorders>
          </w:tcPr>
          <w:p>
            <w:pPr>
              <w:jc w:val="right"/>
              <w:spacing w:after="0" w:line="136" w:lineRule="exact"/>
              <w:rPr>
                <w:sz w:val="20"/>
                <w:szCs w:val="20"/>
                <w:color w:val="auto"/>
              </w:rPr>
            </w:pPr>
            <w:r>
              <w:rPr>
                <w:rFonts w:ascii="Arial" w:cs="Arial" w:eastAsia="Arial" w:hAnsi="Arial"/>
                <w:sz w:val="12"/>
                <w:szCs w:val="12"/>
                <w:color w:val="auto"/>
              </w:rPr>
              <w:t>138,722,915</w:t>
            </w:r>
          </w:p>
        </w:tc>
        <w:tc>
          <w:tcPr>
            <w:tcW w:w="800" w:type="dxa"/>
            <w:vAlign w:val="bottom"/>
          </w:tcPr>
          <w:p>
            <w:pPr>
              <w:jc w:val="center"/>
              <w:ind w:left="138"/>
              <w:spacing w:after="0" w:line="136" w:lineRule="exact"/>
              <w:rPr>
                <w:sz w:val="20"/>
                <w:szCs w:val="20"/>
                <w:color w:val="auto"/>
              </w:rPr>
            </w:pPr>
            <w:r>
              <w:rPr>
                <w:rFonts w:ascii="Arial" w:cs="Arial" w:eastAsia="Arial" w:hAnsi="Arial"/>
                <w:sz w:val="12"/>
                <w:szCs w:val="12"/>
                <w:color w:val="auto"/>
              </w:rPr>
              <w:t>1.4%</w:t>
            </w:r>
          </w:p>
        </w:tc>
        <w:tc>
          <w:tcPr>
            <w:tcW w:w="76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2"/>
                <w:szCs w:val="12"/>
                <w:color w:val="auto"/>
              </w:rPr>
              <w:t>-4.4%</w:t>
            </w:r>
          </w:p>
        </w:tc>
      </w:tr>
      <w:tr>
        <w:trPr>
          <w:trHeight w:val="136"/>
        </w:trPr>
        <w:tc>
          <w:tcPr>
            <w:tcW w:w="4100" w:type="dxa"/>
            <w:vAlign w:val="bottom"/>
            <w:tcBorders>
              <w:left w:val="single" w:sz="8" w:color="auto"/>
              <w:right w:val="single" w:sz="8" w:color="auto"/>
            </w:tcBorders>
          </w:tcPr>
          <w:p>
            <w:pPr>
              <w:ind w:left="320"/>
              <w:spacing w:after="0" w:line="136" w:lineRule="exact"/>
              <w:rPr>
                <w:sz w:val="20"/>
                <w:szCs w:val="20"/>
                <w:color w:val="auto"/>
              </w:rPr>
            </w:pPr>
            <w:r>
              <w:rPr>
                <w:rFonts w:ascii="Arial" w:cs="Arial" w:eastAsia="Arial" w:hAnsi="Arial"/>
                <w:sz w:val="12"/>
                <w:szCs w:val="12"/>
                <w:color w:val="auto"/>
              </w:rPr>
              <w:t>Internal overdue loans</w:t>
            </w:r>
          </w:p>
        </w:tc>
        <w:tc>
          <w:tcPr>
            <w:tcW w:w="1260" w:type="dxa"/>
            <w:vAlign w:val="bottom"/>
          </w:tcPr>
          <w:p>
            <w:pPr>
              <w:jc w:val="right"/>
              <w:ind w:right="158"/>
              <w:spacing w:after="0" w:line="136" w:lineRule="exact"/>
              <w:rPr>
                <w:sz w:val="20"/>
                <w:szCs w:val="20"/>
                <w:color w:val="auto"/>
              </w:rPr>
            </w:pPr>
            <w:r>
              <w:rPr>
                <w:rFonts w:ascii="Arial" w:cs="Arial" w:eastAsia="Arial" w:hAnsi="Arial"/>
                <w:sz w:val="12"/>
                <w:szCs w:val="12"/>
                <w:color w:val="auto"/>
              </w:rPr>
              <w:t>6,250,131</w:t>
            </w:r>
          </w:p>
        </w:tc>
        <w:tc>
          <w:tcPr>
            <w:tcW w:w="1140" w:type="dxa"/>
            <w:vAlign w:val="bottom"/>
          </w:tcPr>
          <w:p>
            <w:pPr>
              <w:jc w:val="right"/>
              <w:ind w:right="138"/>
              <w:spacing w:after="0" w:line="136" w:lineRule="exact"/>
              <w:rPr>
                <w:sz w:val="20"/>
                <w:szCs w:val="20"/>
                <w:color w:val="auto"/>
              </w:rPr>
            </w:pPr>
            <w:r>
              <w:rPr>
                <w:rFonts w:ascii="Arial" w:cs="Arial" w:eastAsia="Arial" w:hAnsi="Arial"/>
                <w:sz w:val="12"/>
                <w:szCs w:val="12"/>
                <w:color w:val="auto"/>
              </w:rPr>
              <w:t>5,979,395</w:t>
            </w:r>
          </w:p>
        </w:tc>
        <w:tc>
          <w:tcPr>
            <w:tcW w:w="960" w:type="dxa"/>
            <w:vAlign w:val="bottom"/>
            <w:tcBorders>
              <w:right w:val="single" w:sz="8" w:color="auto"/>
            </w:tcBorders>
          </w:tcPr>
          <w:p>
            <w:pPr>
              <w:jc w:val="right"/>
              <w:spacing w:after="0" w:line="136" w:lineRule="exact"/>
              <w:rPr>
                <w:sz w:val="20"/>
                <w:szCs w:val="20"/>
                <w:color w:val="auto"/>
              </w:rPr>
            </w:pPr>
            <w:r>
              <w:rPr>
                <w:rFonts w:ascii="Arial" w:cs="Arial" w:eastAsia="Arial" w:hAnsi="Arial"/>
                <w:sz w:val="12"/>
                <w:szCs w:val="12"/>
                <w:color w:val="auto"/>
              </w:rPr>
              <w:t>6,406,345</w:t>
            </w:r>
          </w:p>
        </w:tc>
        <w:tc>
          <w:tcPr>
            <w:tcW w:w="800" w:type="dxa"/>
            <w:vAlign w:val="bottom"/>
          </w:tcPr>
          <w:p>
            <w:pPr>
              <w:jc w:val="center"/>
              <w:ind w:left="138"/>
              <w:spacing w:after="0" w:line="136" w:lineRule="exact"/>
              <w:rPr>
                <w:sz w:val="20"/>
                <w:szCs w:val="20"/>
                <w:color w:val="auto"/>
              </w:rPr>
            </w:pPr>
            <w:r>
              <w:rPr>
                <w:rFonts w:ascii="Arial" w:cs="Arial" w:eastAsia="Arial" w:hAnsi="Arial"/>
                <w:sz w:val="12"/>
                <w:szCs w:val="12"/>
                <w:color w:val="auto"/>
              </w:rPr>
              <w:t>7.1%</w:t>
            </w:r>
          </w:p>
        </w:tc>
        <w:tc>
          <w:tcPr>
            <w:tcW w:w="76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2"/>
                <w:szCs w:val="12"/>
                <w:color w:val="auto"/>
              </w:rPr>
              <w:t>2.5%</w:t>
            </w:r>
          </w:p>
        </w:tc>
      </w:tr>
      <w:tr>
        <w:trPr>
          <w:trHeight w:val="136"/>
        </w:trPr>
        <w:tc>
          <w:tcPr>
            <w:tcW w:w="4100" w:type="dxa"/>
            <w:vAlign w:val="bottom"/>
            <w:tcBorders>
              <w:left w:val="single" w:sz="8" w:color="auto"/>
              <w:right w:val="single" w:sz="8" w:color="auto"/>
            </w:tcBorders>
          </w:tcPr>
          <w:p>
            <w:pPr>
              <w:ind w:left="320"/>
              <w:spacing w:after="0" w:line="136" w:lineRule="exact"/>
              <w:rPr>
                <w:sz w:val="20"/>
                <w:szCs w:val="20"/>
                <w:color w:val="auto"/>
              </w:rPr>
            </w:pPr>
            <w:r>
              <w:rPr>
                <w:rFonts w:ascii="Arial" w:cs="Arial" w:eastAsia="Arial" w:hAnsi="Arial"/>
                <w:sz w:val="12"/>
                <w:szCs w:val="12"/>
                <w:color w:val="auto"/>
              </w:rPr>
              <w:t>Less - allowance for loan losses</w:t>
            </w:r>
          </w:p>
        </w:tc>
        <w:tc>
          <w:tcPr>
            <w:tcW w:w="1260" w:type="dxa"/>
            <w:vAlign w:val="bottom"/>
          </w:tcPr>
          <w:p>
            <w:pPr>
              <w:jc w:val="right"/>
              <w:ind w:right="158"/>
              <w:spacing w:after="0" w:line="136" w:lineRule="exact"/>
              <w:rPr>
                <w:sz w:val="20"/>
                <w:szCs w:val="20"/>
                <w:color w:val="auto"/>
              </w:rPr>
            </w:pPr>
            <w:r>
              <w:rPr>
                <w:rFonts w:ascii="Arial" w:cs="Arial" w:eastAsia="Arial" w:hAnsi="Arial"/>
                <w:sz w:val="12"/>
                <w:szCs w:val="12"/>
                <w:color w:val="auto"/>
              </w:rPr>
              <w:t>(8,030,104)</w:t>
            </w:r>
          </w:p>
        </w:tc>
        <w:tc>
          <w:tcPr>
            <w:tcW w:w="1140" w:type="dxa"/>
            <w:vAlign w:val="bottom"/>
          </w:tcPr>
          <w:p>
            <w:pPr>
              <w:jc w:val="right"/>
              <w:ind w:right="138"/>
              <w:spacing w:after="0" w:line="136" w:lineRule="exact"/>
              <w:rPr>
                <w:sz w:val="20"/>
                <w:szCs w:val="20"/>
                <w:color w:val="auto"/>
              </w:rPr>
            </w:pPr>
            <w:r>
              <w:rPr>
                <w:rFonts w:ascii="Arial" w:cs="Arial" w:eastAsia="Arial" w:hAnsi="Arial"/>
                <w:sz w:val="12"/>
                <w:szCs w:val="12"/>
                <w:color w:val="auto"/>
              </w:rPr>
              <w:t>(7,956,184)</w:t>
            </w:r>
          </w:p>
        </w:tc>
        <w:tc>
          <w:tcPr>
            <w:tcW w:w="960" w:type="dxa"/>
            <w:vAlign w:val="bottom"/>
            <w:tcBorders>
              <w:right w:val="single" w:sz="8" w:color="auto"/>
            </w:tcBorders>
          </w:tcPr>
          <w:p>
            <w:pPr>
              <w:jc w:val="right"/>
              <w:spacing w:after="0" w:line="136" w:lineRule="exact"/>
              <w:rPr>
                <w:sz w:val="20"/>
                <w:szCs w:val="20"/>
                <w:color w:val="auto"/>
              </w:rPr>
            </w:pPr>
            <w:r>
              <w:rPr>
                <w:rFonts w:ascii="Arial" w:cs="Arial" w:eastAsia="Arial" w:hAnsi="Arial"/>
                <w:sz w:val="12"/>
                <w:szCs w:val="12"/>
                <w:color w:val="auto"/>
              </w:rPr>
              <w:t>(8,056,216)</w:t>
            </w:r>
          </w:p>
        </w:tc>
        <w:tc>
          <w:tcPr>
            <w:tcW w:w="800" w:type="dxa"/>
            <w:vAlign w:val="bottom"/>
          </w:tcPr>
          <w:p>
            <w:pPr>
              <w:jc w:val="center"/>
              <w:ind w:left="138"/>
              <w:spacing w:after="0" w:line="136" w:lineRule="exact"/>
              <w:rPr>
                <w:sz w:val="20"/>
                <w:szCs w:val="20"/>
                <w:color w:val="auto"/>
              </w:rPr>
            </w:pPr>
            <w:r>
              <w:rPr>
                <w:rFonts w:ascii="Arial" w:cs="Arial" w:eastAsia="Arial" w:hAnsi="Arial"/>
                <w:sz w:val="12"/>
                <w:szCs w:val="12"/>
                <w:color w:val="auto"/>
              </w:rPr>
              <w:t>1.3%</w:t>
            </w:r>
          </w:p>
        </w:tc>
        <w:tc>
          <w:tcPr>
            <w:tcW w:w="76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2"/>
                <w:szCs w:val="12"/>
                <w:color w:val="auto"/>
              </w:rPr>
              <w:t>0.3%</w:t>
            </w:r>
          </w:p>
        </w:tc>
      </w:tr>
      <w:tr>
        <w:trPr>
          <w:trHeight w:val="156"/>
        </w:trPr>
        <w:tc>
          <w:tcPr>
            <w:tcW w:w="41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Loans, net</w:t>
            </w:r>
          </w:p>
        </w:tc>
        <w:tc>
          <w:tcPr>
            <w:tcW w:w="1260" w:type="dxa"/>
            <w:vAlign w:val="bottom"/>
          </w:tcPr>
          <w:p>
            <w:pPr>
              <w:jc w:val="right"/>
              <w:ind w:right="158"/>
              <w:spacing w:after="0"/>
              <w:rPr>
                <w:sz w:val="20"/>
                <w:szCs w:val="20"/>
                <w:color w:val="auto"/>
              </w:rPr>
            </w:pPr>
            <w:r>
              <w:rPr>
                <w:rFonts w:ascii="Arial" w:cs="Arial" w:eastAsia="Arial" w:hAnsi="Arial"/>
                <w:sz w:val="12"/>
                <w:szCs w:val="12"/>
                <w:color w:val="auto"/>
              </w:rPr>
              <w:t>143,362,098</w:t>
            </w:r>
          </w:p>
        </w:tc>
        <w:tc>
          <w:tcPr>
            <w:tcW w:w="1140" w:type="dxa"/>
            <w:vAlign w:val="bottom"/>
          </w:tcPr>
          <w:p>
            <w:pPr>
              <w:jc w:val="right"/>
              <w:ind w:right="138"/>
              <w:spacing w:after="0"/>
              <w:rPr>
                <w:sz w:val="20"/>
                <w:szCs w:val="20"/>
                <w:color w:val="auto"/>
              </w:rPr>
            </w:pPr>
            <w:r>
              <w:rPr>
                <w:rFonts w:ascii="Arial" w:cs="Arial" w:eastAsia="Arial" w:hAnsi="Arial"/>
                <w:sz w:val="12"/>
                <w:szCs w:val="12"/>
                <w:color w:val="auto"/>
              </w:rPr>
              <w:t>134,889,365</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137,073,044</w:t>
            </w:r>
          </w:p>
        </w:tc>
        <w:tc>
          <w:tcPr>
            <w:tcW w:w="800" w:type="dxa"/>
            <w:vAlign w:val="bottom"/>
          </w:tcPr>
          <w:p>
            <w:pPr>
              <w:jc w:val="center"/>
              <w:ind w:left="138"/>
              <w:spacing w:after="0"/>
              <w:rPr>
                <w:sz w:val="20"/>
                <w:szCs w:val="20"/>
                <w:color w:val="auto"/>
              </w:rPr>
            </w:pPr>
            <w:r>
              <w:rPr>
                <w:rFonts w:ascii="Arial" w:cs="Arial" w:eastAsia="Arial" w:hAnsi="Arial"/>
                <w:sz w:val="12"/>
                <w:szCs w:val="12"/>
                <w:color w:val="auto"/>
              </w:rPr>
              <w:t>1.6%</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-4.4%</w:t>
            </w:r>
          </w:p>
        </w:tc>
      </w:tr>
      <w:tr>
        <w:trPr>
          <w:trHeight w:val="153"/>
        </w:trPr>
        <w:tc>
          <w:tcPr>
            <w:tcW w:w="41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Financial assets designated at fair value through profit or loss</w:t>
            </w:r>
          </w:p>
        </w:tc>
        <w:tc>
          <w:tcPr>
            <w:tcW w:w="1260" w:type="dxa"/>
            <w:vAlign w:val="bottom"/>
          </w:tcPr>
          <w:p>
            <w:pPr>
              <w:jc w:val="right"/>
              <w:ind w:right="158"/>
              <w:spacing w:after="0"/>
              <w:rPr>
                <w:sz w:val="20"/>
                <w:szCs w:val="20"/>
                <w:color w:val="auto"/>
              </w:rPr>
            </w:pPr>
            <w:r>
              <w:rPr>
                <w:rFonts w:ascii="Arial" w:cs="Arial" w:eastAsia="Arial" w:hAnsi="Arial"/>
                <w:sz w:val="12"/>
                <w:szCs w:val="12"/>
                <w:color w:val="auto"/>
              </w:rPr>
              <w:t>767,425</w:t>
            </w:r>
          </w:p>
        </w:tc>
        <w:tc>
          <w:tcPr>
            <w:tcW w:w="1140" w:type="dxa"/>
            <w:vAlign w:val="bottom"/>
          </w:tcPr>
          <w:p>
            <w:pPr>
              <w:jc w:val="right"/>
              <w:ind w:right="138"/>
              <w:spacing w:after="0"/>
              <w:rPr>
                <w:sz w:val="20"/>
                <w:szCs w:val="20"/>
                <w:color w:val="auto"/>
              </w:rPr>
            </w:pPr>
            <w:r>
              <w:rPr>
                <w:rFonts w:ascii="Arial" w:cs="Arial" w:eastAsia="Arial" w:hAnsi="Arial"/>
                <w:sz w:val="12"/>
                <w:szCs w:val="12"/>
                <w:color w:val="auto"/>
              </w:rPr>
              <w:t>789,845</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797,545</w:t>
            </w:r>
          </w:p>
        </w:tc>
        <w:tc>
          <w:tcPr>
            <w:tcW w:w="800" w:type="dxa"/>
            <w:vAlign w:val="bottom"/>
          </w:tcPr>
          <w:p>
            <w:pPr>
              <w:jc w:val="center"/>
              <w:ind w:left="138"/>
              <w:spacing w:after="0"/>
              <w:rPr>
                <w:sz w:val="20"/>
                <w:szCs w:val="20"/>
                <w:color w:val="auto"/>
              </w:rPr>
            </w:pPr>
            <w:r>
              <w:rPr>
                <w:rFonts w:ascii="Arial" w:cs="Arial" w:eastAsia="Arial" w:hAnsi="Arial"/>
                <w:sz w:val="12"/>
                <w:szCs w:val="12"/>
                <w:color w:val="auto"/>
              </w:rPr>
              <w:t>1.0%</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3.9%</w:t>
            </w:r>
          </w:p>
        </w:tc>
      </w:tr>
      <w:tr>
        <w:trPr>
          <w:trHeight w:val="136"/>
        </w:trPr>
        <w:tc>
          <w:tcPr>
            <w:tcW w:w="4100" w:type="dxa"/>
            <w:vAlign w:val="bottom"/>
            <w:tcBorders>
              <w:left w:val="single" w:sz="8" w:color="auto"/>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Property, plant and equipment, net</w:t>
            </w:r>
          </w:p>
        </w:tc>
        <w:tc>
          <w:tcPr>
            <w:tcW w:w="1260" w:type="dxa"/>
            <w:vAlign w:val="bottom"/>
          </w:tcPr>
          <w:p>
            <w:pPr>
              <w:jc w:val="right"/>
              <w:ind w:right="158"/>
              <w:spacing w:after="0" w:line="136" w:lineRule="exact"/>
              <w:rPr>
                <w:sz w:val="20"/>
                <w:szCs w:val="20"/>
                <w:color w:val="auto"/>
              </w:rPr>
            </w:pPr>
            <w:r>
              <w:rPr>
                <w:rFonts w:ascii="Arial" w:cs="Arial" w:eastAsia="Arial" w:hAnsi="Arial"/>
                <w:sz w:val="12"/>
                <w:szCs w:val="12"/>
                <w:color w:val="auto"/>
              </w:rPr>
              <w:t>1,786,136</w:t>
            </w:r>
          </w:p>
        </w:tc>
        <w:tc>
          <w:tcPr>
            <w:tcW w:w="1140" w:type="dxa"/>
            <w:vAlign w:val="bottom"/>
          </w:tcPr>
          <w:p>
            <w:pPr>
              <w:jc w:val="right"/>
              <w:ind w:right="138"/>
              <w:spacing w:after="0" w:line="136" w:lineRule="exact"/>
              <w:rPr>
                <w:sz w:val="20"/>
                <w:szCs w:val="20"/>
                <w:color w:val="auto"/>
              </w:rPr>
            </w:pPr>
            <w:r>
              <w:rPr>
                <w:rFonts w:ascii="Arial" w:cs="Arial" w:eastAsia="Arial" w:hAnsi="Arial"/>
                <w:sz w:val="12"/>
                <w:szCs w:val="12"/>
                <w:color w:val="auto"/>
              </w:rPr>
              <w:t>1,749,132</w:t>
            </w:r>
          </w:p>
        </w:tc>
        <w:tc>
          <w:tcPr>
            <w:tcW w:w="960" w:type="dxa"/>
            <w:vAlign w:val="bottom"/>
            <w:tcBorders>
              <w:right w:val="single" w:sz="8" w:color="auto"/>
            </w:tcBorders>
          </w:tcPr>
          <w:p>
            <w:pPr>
              <w:jc w:val="right"/>
              <w:spacing w:after="0" w:line="136" w:lineRule="exact"/>
              <w:rPr>
                <w:sz w:val="20"/>
                <w:szCs w:val="20"/>
                <w:color w:val="auto"/>
              </w:rPr>
            </w:pPr>
            <w:r>
              <w:rPr>
                <w:rFonts w:ascii="Arial" w:cs="Arial" w:eastAsia="Arial" w:hAnsi="Arial"/>
                <w:sz w:val="12"/>
                <w:szCs w:val="12"/>
                <w:color w:val="auto"/>
              </w:rPr>
              <w:t>1,752,950</w:t>
            </w:r>
          </w:p>
        </w:tc>
        <w:tc>
          <w:tcPr>
            <w:tcW w:w="800" w:type="dxa"/>
            <w:vAlign w:val="bottom"/>
          </w:tcPr>
          <w:p>
            <w:pPr>
              <w:jc w:val="center"/>
              <w:ind w:left="138"/>
              <w:spacing w:after="0" w:line="136" w:lineRule="exact"/>
              <w:rPr>
                <w:sz w:val="20"/>
                <w:szCs w:val="20"/>
                <w:color w:val="auto"/>
              </w:rPr>
            </w:pPr>
            <w:r>
              <w:rPr>
                <w:rFonts w:ascii="Arial" w:cs="Arial" w:eastAsia="Arial" w:hAnsi="Arial"/>
                <w:sz w:val="12"/>
                <w:szCs w:val="12"/>
                <w:color w:val="auto"/>
              </w:rPr>
              <w:t>0.2%</w:t>
            </w:r>
          </w:p>
        </w:tc>
        <w:tc>
          <w:tcPr>
            <w:tcW w:w="76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2"/>
                <w:szCs w:val="12"/>
                <w:color w:val="auto"/>
              </w:rPr>
              <w:t>-1.9%</w:t>
            </w:r>
          </w:p>
        </w:tc>
      </w:tr>
      <w:tr>
        <w:trPr>
          <w:trHeight w:val="136"/>
        </w:trPr>
        <w:tc>
          <w:tcPr>
            <w:tcW w:w="4100" w:type="dxa"/>
            <w:vAlign w:val="bottom"/>
            <w:tcBorders>
              <w:left w:val="single" w:sz="8" w:color="auto"/>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Due from customers on acceptances</w:t>
            </w:r>
          </w:p>
        </w:tc>
        <w:tc>
          <w:tcPr>
            <w:tcW w:w="1260" w:type="dxa"/>
            <w:vAlign w:val="bottom"/>
          </w:tcPr>
          <w:p>
            <w:pPr>
              <w:jc w:val="right"/>
              <w:ind w:right="158"/>
              <w:spacing w:after="0" w:line="136" w:lineRule="exact"/>
              <w:rPr>
                <w:sz w:val="20"/>
                <w:szCs w:val="20"/>
                <w:color w:val="auto"/>
              </w:rPr>
            </w:pPr>
            <w:r>
              <w:rPr>
                <w:rFonts w:ascii="Arial" w:cs="Arial" w:eastAsia="Arial" w:hAnsi="Arial"/>
                <w:sz w:val="12"/>
                <w:szCs w:val="12"/>
                <w:color w:val="auto"/>
              </w:rPr>
              <w:t>697,119</w:t>
            </w:r>
          </w:p>
        </w:tc>
        <w:tc>
          <w:tcPr>
            <w:tcW w:w="1140" w:type="dxa"/>
            <w:vAlign w:val="bottom"/>
          </w:tcPr>
          <w:p>
            <w:pPr>
              <w:jc w:val="right"/>
              <w:ind w:right="138"/>
              <w:spacing w:after="0" w:line="136" w:lineRule="exact"/>
              <w:rPr>
                <w:sz w:val="20"/>
                <w:szCs w:val="20"/>
                <w:color w:val="auto"/>
              </w:rPr>
            </w:pPr>
            <w:r>
              <w:rPr>
                <w:rFonts w:ascii="Arial" w:cs="Arial" w:eastAsia="Arial" w:hAnsi="Arial"/>
                <w:sz w:val="12"/>
                <w:szCs w:val="12"/>
                <w:color w:val="auto"/>
              </w:rPr>
              <w:t>226,161</w:t>
            </w:r>
          </w:p>
        </w:tc>
        <w:tc>
          <w:tcPr>
            <w:tcW w:w="960" w:type="dxa"/>
            <w:vAlign w:val="bottom"/>
            <w:tcBorders>
              <w:right w:val="single" w:sz="8" w:color="auto"/>
            </w:tcBorders>
          </w:tcPr>
          <w:p>
            <w:pPr>
              <w:jc w:val="right"/>
              <w:spacing w:after="0" w:line="136" w:lineRule="exact"/>
              <w:rPr>
                <w:sz w:val="20"/>
                <w:szCs w:val="20"/>
                <w:color w:val="auto"/>
              </w:rPr>
            </w:pPr>
            <w:r>
              <w:rPr>
                <w:rFonts w:ascii="Arial" w:cs="Arial" w:eastAsia="Arial" w:hAnsi="Arial"/>
                <w:sz w:val="12"/>
                <w:szCs w:val="12"/>
                <w:color w:val="auto"/>
              </w:rPr>
              <w:t>325,771</w:t>
            </w:r>
          </w:p>
        </w:tc>
        <w:tc>
          <w:tcPr>
            <w:tcW w:w="800" w:type="dxa"/>
            <w:vAlign w:val="bottom"/>
          </w:tcPr>
          <w:p>
            <w:pPr>
              <w:jc w:val="center"/>
              <w:ind w:left="138"/>
              <w:spacing w:after="0" w:line="136" w:lineRule="exact"/>
              <w:rPr>
                <w:sz w:val="20"/>
                <w:szCs w:val="20"/>
                <w:color w:val="auto"/>
              </w:rPr>
            </w:pPr>
            <w:r>
              <w:rPr>
                <w:rFonts w:ascii="Arial" w:cs="Arial" w:eastAsia="Arial" w:hAnsi="Arial"/>
                <w:sz w:val="12"/>
                <w:szCs w:val="12"/>
                <w:color w:val="auto"/>
              </w:rPr>
              <w:t>44.0%</w:t>
            </w:r>
          </w:p>
        </w:tc>
        <w:tc>
          <w:tcPr>
            <w:tcW w:w="76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2"/>
                <w:szCs w:val="12"/>
                <w:color w:val="auto"/>
              </w:rPr>
              <w:t>-53.3%</w:t>
            </w:r>
          </w:p>
        </w:tc>
      </w:tr>
      <w:tr>
        <w:trPr>
          <w:trHeight w:val="136"/>
        </w:trPr>
        <w:tc>
          <w:tcPr>
            <w:tcW w:w="4100" w:type="dxa"/>
            <w:vAlign w:val="bottom"/>
            <w:tcBorders>
              <w:left w:val="single" w:sz="8" w:color="auto"/>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Investments in associantes</w:t>
            </w:r>
          </w:p>
        </w:tc>
        <w:tc>
          <w:tcPr>
            <w:tcW w:w="1260" w:type="dxa"/>
            <w:vAlign w:val="bottom"/>
          </w:tcPr>
          <w:p>
            <w:pPr>
              <w:jc w:val="right"/>
              <w:ind w:right="158"/>
              <w:spacing w:after="0" w:line="136" w:lineRule="exact"/>
              <w:rPr>
                <w:sz w:val="20"/>
                <w:szCs w:val="20"/>
                <w:color w:val="auto"/>
              </w:rPr>
            </w:pPr>
            <w:r>
              <w:rPr>
                <w:rFonts w:ascii="Arial" w:cs="Arial" w:eastAsia="Arial" w:hAnsi="Arial"/>
                <w:sz w:val="12"/>
                <w:szCs w:val="12"/>
                <w:color w:val="auto"/>
              </w:rPr>
              <w:t>660,849</w:t>
            </w:r>
          </w:p>
        </w:tc>
        <w:tc>
          <w:tcPr>
            <w:tcW w:w="1140" w:type="dxa"/>
            <w:vAlign w:val="bottom"/>
          </w:tcPr>
          <w:p>
            <w:pPr>
              <w:jc w:val="right"/>
              <w:ind w:right="138"/>
              <w:spacing w:after="0" w:line="136" w:lineRule="exact"/>
              <w:rPr>
                <w:sz w:val="20"/>
                <w:szCs w:val="20"/>
                <w:color w:val="auto"/>
              </w:rPr>
            </w:pPr>
            <w:r>
              <w:rPr>
                <w:rFonts w:ascii="Arial" w:cs="Arial" w:eastAsia="Arial" w:hAnsi="Arial"/>
                <w:sz w:val="12"/>
                <w:szCs w:val="12"/>
                <w:color w:val="auto"/>
              </w:rPr>
              <w:t>675,623</w:t>
            </w:r>
          </w:p>
        </w:tc>
        <w:tc>
          <w:tcPr>
            <w:tcW w:w="960" w:type="dxa"/>
            <w:vAlign w:val="bottom"/>
            <w:tcBorders>
              <w:right w:val="single" w:sz="8" w:color="auto"/>
            </w:tcBorders>
          </w:tcPr>
          <w:p>
            <w:pPr>
              <w:jc w:val="right"/>
              <w:spacing w:after="0" w:line="136" w:lineRule="exact"/>
              <w:rPr>
                <w:sz w:val="20"/>
                <w:szCs w:val="20"/>
                <w:color w:val="auto"/>
              </w:rPr>
            </w:pPr>
            <w:r>
              <w:rPr>
                <w:rFonts w:ascii="Arial" w:cs="Arial" w:eastAsia="Arial" w:hAnsi="Arial"/>
                <w:sz w:val="12"/>
                <w:szCs w:val="12"/>
                <w:color w:val="auto"/>
              </w:rPr>
              <w:t>707,457</w:t>
            </w:r>
          </w:p>
        </w:tc>
        <w:tc>
          <w:tcPr>
            <w:tcW w:w="800" w:type="dxa"/>
            <w:vAlign w:val="bottom"/>
          </w:tcPr>
          <w:p>
            <w:pPr>
              <w:jc w:val="center"/>
              <w:ind w:left="138"/>
              <w:spacing w:after="0" w:line="136" w:lineRule="exact"/>
              <w:rPr>
                <w:sz w:val="20"/>
                <w:szCs w:val="20"/>
                <w:color w:val="auto"/>
              </w:rPr>
            </w:pPr>
            <w:r>
              <w:rPr>
                <w:rFonts w:ascii="Arial" w:cs="Arial" w:eastAsia="Arial" w:hAnsi="Arial"/>
                <w:sz w:val="12"/>
                <w:szCs w:val="12"/>
                <w:color w:val="auto"/>
              </w:rPr>
              <w:t>4.7%</w:t>
            </w:r>
          </w:p>
        </w:tc>
        <w:tc>
          <w:tcPr>
            <w:tcW w:w="76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2"/>
                <w:szCs w:val="12"/>
                <w:color w:val="auto"/>
              </w:rPr>
              <w:t>7.1%</w:t>
            </w:r>
          </w:p>
        </w:tc>
      </w:tr>
      <w:tr>
        <w:trPr>
          <w:trHeight w:val="136"/>
        </w:trPr>
        <w:tc>
          <w:tcPr>
            <w:tcW w:w="4100" w:type="dxa"/>
            <w:vAlign w:val="bottom"/>
            <w:tcBorders>
              <w:left w:val="single" w:sz="8" w:color="auto"/>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Intangible assets and goodwill, net</w:t>
            </w:r>
          </w:p>
        </w:tc>
        <w:tc>
          <w:tcPr>
            <w:tcW w:w="1260" w:type="dxa"/>
            <w:vAlign w:val="bottom"/>
          </w:tcPr>
          <w:p>
            <w:pPr>
              <w:jc w:val="right"/>
              <w:ind w:right="158"/>
              <w:spacing w:after="0" w:line="136" w:lineRule="exact"/>
              <w:rPr>
                <w:sz w:val="20"/>
                <w:szCs w:val="20"/>
                <w:color w:val="auto"/>
              </w:rPr>
            </w:pPr>
            <w:r>
              <w:rPr>
                <w:rFonts w:ascii="Arial" w:cs="Arial" w:eastAsia="Arial" w:hAnsi="Arial"/>
                <w:sz w:val="12"/>
                <w:szCs w:val="12"/>
                <w:color w:val="auto"/>
              </w:rPr>
              <w:t>2,767,341</w:t>
            </w:r>
          </w:p>
        </w:tc>
        <w:tc>
          <w:tcPr>
            <w:tcW w:w="1140" w:type="dxa"/>
            <w:vAlign w:val="bottom"/>
          </w:tcPr>
          <w:p>
            <w:pPr>
              <w:jc w:val="right"/>
              <w:ind w:right="138"/>
              <w:spacing w:after="0" w:line="136" w:lineRule="exact"/>
              <w:rPr>
                <w:sz w:val="20"/>
                <w:szCs w:val="20"/>
                <w:color w:val="auto"/>
              </w:rPr>
            </w:pPr>
            <w:r>
              <w:rPr>
                <w:rFonts w:ascii="Arial" w:cs="Arial" w:eastAsia="Arial" w:hAnsi="Arial"/>
                <w:sz w:val="12"/>
                <w:szCs w:val="12"/>
                <w:color w:val="auto"/>
              </w:rPr>
              <w:t>3,046,846</w:t>
            </w:r>
          </w:p>
        </w:tc>
        <w:tc>
          <w:tcPr>
            <w:tcW w:w="960" w:type="dxa"/>
            <w:vAlign w:val="bottom"/>
            <w:tcBorders>
              <w:right w:val="single" w:sz="8" w:color="auto"/>
            </w:tcBorders>
          </w:tcPr>
          <w:p>
            <w:pPr>
              <w:jc w:val="right"/>
              <w:spacing w:after="0" w:line="136" w:lineRule="exact"/>
              <w:rPr>
                <w:sz w:val="20"/>
                <w:szCs w:val="20"/>
                <w:color w:val="auto"/>
              </w:rPr>
            </w:pPr>
            <w:r>
              <w:rPr>
                <w:rFonts w:ascii="Arial" w:cs="Arial" w:eastAsia="Arial" w:hAnsi="Arial"/>
                <w:sz w:val="12"/>
                <w:szCs w:val="12"/>
                <w:color w:val="auto"/>
              </w:rPr>
              <w:t>3,118,496</w:t>
            </w:r>
          </w:p>
        </w:tc>
        <w:tc>
          <w:tcPr>
            <w:tcW w:w="800" w:type="dxa"/>
            <w:vAlign w:val="bottom"/>
          </w:tcPr>
          <w:p>
            <w:pPr>
              <w:jc w:val="center"/>
              <w:ind w:left="138"/>
              <w:spacing w:after="0" w:line="136" w:lineRule="exact"/>
              <w:rPr>
                <w:sz w:val="20"/>
                <w:szCs w:val="20"/>
                <w:color w:val="auto"/>
              </w:rPr>
            </w:pPr>
            <w:r>
              <w:rPr>
                <w:rFonts w:ascii="Arial" w:cs="Arial" w:eastAsia="Arial" w:hAnsi="Arial"/>
                <w:sz w:val="12"/>
                <w:szCs w:val="12"/>
                <w:color w:val="auto"/>
              </w:rPr>
              <w:t>2.4%</w:t>
            </w:r>
          </w:p>
        </w:tc>
        <w:tc>
          <w:tcPr>
            <w:tcW w:w="76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2"/>
                <w:szCs w:val="12"/>
                <w:color w:val="auto"/>
              </w:rPr>
              <w:t>12.7%</w:t>
            </w:r>
          </w:p>
        </w:tc>
      </w:tr>
      <w:tr>
        <w:trPr>
          <w:trHeight w:val="136"/>
        </w:trPr>
        <w:tc>
          <w:tcPr>
            <w:tcW w:w="4100" w:type="dxa"/>
            <w:vAlign w:val="bottom"/>
            <w:tcBorders>
              <w:left w:val="single" w:sz="8" w:color="auto"/>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Reinsurance contract assets</w:t>
            </w:r>
          </w:p>
        </w:tc>
        <w:tc>
          <w:tcPr>
            <w:tcW w:w="1260" w:type="dxa"/>
            <w:vAlign w:val="bottom"/>
          </w:tcPr>
          <w:p>
            <w:pPr>
              <w:jc w:val="right"/>
              <w:ind w:right="158"/>
              <w:spacing w:after="0" w:line="136" w:lineRule="exact"/>
              <w:rPr>
                <w:sz w:val="20"/>
                <w:szCs w:val="20"/>
                <w:color w:val="auto"/>
              </w:rPr>
            </w:pPr>
            <w:r>
              <w:rPr>
                <w:rFonts w:ascii="Arial" w:cs="Arial" w:eastAsia="Arial" w:hAnsi="Arial"/>
                <w:sz w:val="12"/>
                <w:szCs w:val="12"/>
                <w:color w:val="auto"/>
              </w:rPr>
              <w:t>760,116</w:t>
            </w:r>
          </w:p>
        </w:tc>
        <w:tc>
          <w:tcPr>
            <w:tcW w:w="1140" w:type="dxa"/>
            <w:vAlign w:val="bottom"/>
          </w:tcPr>
          <w:p>
            <w:pPr>
              <w:jc w:val="right"/>
              <w:ind w:right="138"/>
              <w:spacing w:after="0" w:line="136" w:lineRule="exact"/>
              <w:rPr>
                <w:sz w:val="20"/>
                <w:szCs w:val="20"/>
                <w:color w:val="auto"/>
              </w:rPr>
            </w:pPr>
            <w:r>
              <w:rPr>
                <w:rFonts w:ascii="Arial" w:cs="Arial" w:eastAsia="Arial" w:hAnsi="Arial"/>
                <w:sz w:val="12"/>
                <w:szCs w:val="12"/>
                <w:color w:val="auto"/>
              </w:rPr>
              <w:t>780,587</w:t>
            </w:r>
          </w:p>
        </w:tc>
        <w:tc>
          <w:tcPr>
            <w:tcW w:w="960" w:type="dxa"/>
            <w:vAlign w:val="bottom"/>
            <w:tcBorders>
              <w:right w:val="single" w:sz="8" w:color="auto"/>
            </w:tcBorders>
          </w:tcPr>
          <w:p>
            <w:pPr>
              <w:jc w:val="right"/>
              <w:spacing w:after="0" w:line="136" w:lineRule="exact"/>
              <w:rPr>
                <w:sz w:val="20"/>
                <w:szCs w:val="20"/>
                <w:color w:val="auto"/>
              </w:rPr>
            </w:pPr>
            <w:r>
              <w:rPr>
                <w:rFonts w:ascii="Arial" w:cs="Arial" w:eastAsia="Arial" w:hAnsi="Arial"/>
                <w:sz w:val="12"/>
                <w:szCs w:val="12"/>
                <w:color w:val="auto"/>
              </w:rPr>
              <w:t>803,868</w:t>
            </w:r>
          </w:p>
        </w:tc>
        <w:tc>
          <w:tcPr>
            <w:tcW w:w="800" w:type="dxa"/>
            <w:vAlign w:val="bottom"/>
          </w:tcPr>
          <w:p>
            <w:pPr>
              <w:jc w:val="center"/>
              <w:ind w:left="138"/>
              <w:spacing w:after="0" w:line="136" w:lineRule="exact"/>
              <w:rPr>
                <w:sz w:val="20"/>
                <w:szCs w:val="20"/>
                <w:color w:val="auto"/>
              </w:rPr>
            </w:pPr>
            <w:r>
              <w:rPr>
                <w:rFonts w:ascii="Arial" w:cs="Arial" w:eastAsia="Arial" w:hAnsi="Arial"/>
                <w:sz w:val="12"/>
                <w:szCs w:val="12"/>
                <w:color w:val="auto"/>
              </w:rPr>
              <w:t>3.0%</w:t>
            </w:r>
          </w:p>
        </w:tc>
        <w:tc>
          <w:tcPr>
            <w:tcW w:w="76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2"/>
                <w:szCs w:val="12"/>
                <w:color w:val="auto"/>
              </w:rPr>
              <w:t>5.8%</w:t>
            </w:r>
          </w:p>
        </w:tc>
      </w:tr>
      <w:tr>
        <w:trPr>
          <w:trHeight w:val="156"/>
        </w:trPr>
        <w:tc>
          <w:tcPr>
            <w:tcW w:w="41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Other assets (1)</w:t>
            </w:r>
          </w:p>
        </w:tc>
        <w:tc>
          <w:tcPr>
            <w:tcW w:w="1260" w:type="dxa"/>
            <w:vAlign w:val="bottom"/>
          </w:tcPr>
          <w:p>
            <w:pPr>
              <w:jc w:val="right"/>
              <w:ind w:right="158"/>
              <w:spacing w:after="0"/>
              <w:rPr>
                <w:sz w:val="20"/>
                <w:szCs w:val="20"/>
                <w:color w:val="auto"/>
              </w:rPr>
            </w:pPr>
            <w:r>
              <w:rPr>
                <w:rFonts w:ascii="Arial" w:cs="Arial" w:eastAsia="Arial" w:hAnsi="Arial"/>
                <w:sz w:val="12"/>
                <w:szCs w:val="12"/>
                <w:color w:val="auto"/>
              </w:rPr>
              <w:t>7,268,200</w:t>
            </w:r>
          </w:p>
        </w:tc>
        <w:tc>
          <w:tcPr>
            <w:tcW w:w="1140" w:type="dxa"/>
            <w:vAlign w:val="bottom"/>
          </w:tcPr>
          <w:p>
            <w:pPr>
              <w:jc w:val="right"/>
              <w:ind w:right="138"/>
              <w:spacing w:after="0"/>
              <w:rPr>
                <w:sz w:val="20"/>
                <w:szCs w:val="20"/>
                <w:color w:val="auto"/>
              </w:rPr>
            </w:pPr>
            <w:r>
              <w:rPr>
                <w:rFonts w:ascii="Arial" w:cs="Arial" w:eastAsia="Arial" w:hAnsi="Arial"/>
                <w:sz w:val="12"/>
                <w:szCs w:val="12"/>
                <w:color w:val="auto"/>
              </w:rPr>
              <w:t>8,063,007</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8,293,532</w:t>
            </w:r>
          </w:p>
        </w:tc>
        <w:tc>
          <w:tcPr>
            <w:tcW w:w="800" w:type="dxa"/>
            <w:vAlign w:val="bottom"/>
          </w:tcPr>
          <w:p>
            <w:pPr>
              <w:jc w:val="center"/>
              <w:ind w:left="138"/>
              <w:spacing w:after="0"/>
              <w:rPr>
                <w:sz w:val="20"/>
                <w:szCs w:val="20"/>
                <w:color w:val="auto"/>
              </w:rPr>
            </w:pPr>
            <w:r>
              <w:rPr>
                <w:rFonts w:ascii="Arial" w:cs="Arial" w:eastAsia="Arial" w:hAnsi="Arial"/>
                <w:sz w:val="12"/>
                <w:szCs w:val="12"/>
                <w:color w:val="auto"/>
              </w:rPr>
              <w:t>2.9%</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14.1%</w:t>
            </w:r>
          </w:p>
        </w:tc>
      </w:tr>
      <w:tr>
        <w:trPr>
          <w:trHeight w:val="296"/>
        </w:trPr>
        <w:tc>
          <w:tcPr>
            <w:tcW w:w="4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rPr>
              <w:t>Total Assets</w:t>
            </w:r>
          </w:p>
        </w:tc>
        <w:tc>
          <w:tcPr>
            <w:tcW w:w="1260" w:type="dxa"/>
            <w:vAlign w:val="bottom"/>
          </w:tcPr>
          <w:p>
            <w:pPr>
              <w:jc w:val="right"/>
              <w:ind w:right="158"/>
              <w:spacing w:after="0"/>
              <w:rPr>
                <w:sz w:val="20"/>
                <w:szCs w:val="20"/>
                <w:color w:val="auto"/>
              </w:rPr>
            </w:pPr>
            <w:r>
              <w:rPr>
                <w:rFonts w:ascii="Arial" w:cs="Arial" w:eastAsia="Arial" w:hAnsi="Arial"/>
                <w:sz w:val="12"/>
                <w:szCs w:val="12"/>
                <w:b w:val="1"/>
                <w:bCs w:val="1"/>
                <w:color w:val="auto"/>
              </w:rPr>
              <w:t>242,748,815</w:t>
            </w:r>
          </w:p>
        </w:tc>
        <w:tc>
          <w:tcPr>
            <w:tcW w:w="1140" w:type="dxa"/>
            <w:vAlign w:val="bottom"/>
          </w:tcPr>
          <w:p>
            <w:pPr>
              <w:jc w:val="right"/>
              <w:ind w:right="138"/>
              <w:spacing w:after="0"/>
              <w:rPr>
                <w:sz w:val="20"/>
                <w:szCs w:val="20"/>
                <w:color w:val="auto"/>
              </w:rPr>
            </w:pPr>
            <w:r>
              <w:rPr>
                <w:rFonts w:ascii="Arial" w:cs="Arial" w:eastAsia="Arial" w:hAnsi="Arial"/>
                <w:sz w:val="12"/>
                <w:szCs w:val="12"/>
                <w:b w:val="1"/>
                <w:bCs w:val="1"/>
                <w:color w:val="auto"/>
              </w:rPr>
              <w:t>233,310,290</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2"/>
                <w:szCs w:val="12"/>
                <w:b w:val="1"/>
                <w:bCs w:val="1"/>
                <w:color w:val="auto"/>
              </w:rPr>
              <w:t>238,458,658</w:t>
            </w:r>
          </w:p>
        </w:tc>
        <w:tc>
          <w:tcPr>
            <w:tcW w:w="800" w:type="dxa"/>
            <w:vAlign w:val="bottom"/>
          </w:tcPr>
          <w:p>
            <w:pPr>
              <w:jc w:val="center"/>
              <w:ind w:left="158"/>
              <w:spacing w:after="0"/>
              <w:rPr>
                <w:sz w:val="20"/>
                <w:szCs w:val="20"/>
                <w:color w:val="auto"/>
              </w:rPr>
            </w:pPr>
            <w:r>
              <w:rPr>
                <w:rFonts w:ascii="Arial" w:cs="Arial" w:eastAsia="Arial" w:hAnsi="Arial"/>
                <w:sz w:val="12"/>
                <w:szCs w:val="12"/>
                <w:b w:val="1"/>
                <w:bCs w:val="1"/>
                <w:color w:val="auto"/>
              </w:rPr>
              <w:t>2.2%</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-1.8%</w:t>
            </w:r>
          </w:p>
        </w:tc>
      </w:tr>
      <w:tr>
        <w:trPr>
          <w:trHeight w:val="167"/>
        </w:trPr>
        <w:tc>
          <w:tcPr>
            <w:tcW w:w="41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color w:val="auto"/>
              </w:rPr>
              <w:t>LIABILITIES AND EQUITY</w:t>
            </w: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Borders>
              <w:right w:val="single" w:sz="8" w:color="auto"/>
            </w:tcBorders>
          </w:tcPr>
          <w:p>
            <w:pPr>
              <w:spacing w:after="0"/>
              <w:rPr>
                <w:sz w:val="14"/>
                <w:szCs w:val="14"/>
                <w:color w:val="auto"/>
              </w:rPr>
            </w:pPr>
          </w:p>
        </w:tc>
      </w:tr>
      <w:tr>
        <w:trPr>
          <w:trHeight w:val="156"/>
        </w:trPr>
        <w:tc>
          <w:tcPr>
            <w:tcW w:w="41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Deposits and obligations</w:t>
            </w:r>
          </w:p>
        </w:tc>
        <w:tc>
          <w:tcPr>
            <w:tcW w:w="12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60" w:type="dxa"/>
            <w:vAlign w:val="bottom"/>
            <w:tcBorders>
              <w:right w:val="single" w:sz="8" w:color="auto"/>
            </w:tcBorders>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r>
      <w:tr>
        <w:trPr>
          <w:trHeight w:val="153"/>
        </w:trPr>
        <w:tc>
          <w:tcPr>
            <w:tcW w:w="410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2"/>
                <w:szCs w:val="12"/>
                <w:color w:val="auto"/>
              </w:rPr>
              <w:t>Non-interest bearing</w:t>
            </w:r>
          </w:p>
        </w:tc>
        <w:tc>
          <w:tcPr>
            <w:tcW w:w="1260" w:type="dxa"/>
            <w:vAlign w:val="bottom"/>
          </w:tcPr>
          <w:p>
            <w:pPr>
              <w:jc w:val="right"/>
              <w:ind w:right="158"/>
              <w:spacing w:after="0"/>
              <w:rPr>
                <w:sz w:val="20"/>
                <w:szCs w:val="20"/>
                <w:color w:val="auto"/>
              </w:rPr>
            </w:pPr>
            <w:r>
              <w:rPr>
                <w:rFonts w:ascii="Arial" w:cs="Arial" w:eastAsia="Arial" w:hAnsi="Arial"/>
                <w:sz w:val="12"/>
                <w:szCs w:val="12"/>
                <w:color w:val="auto"/>
              </w:rPr>
              <w:t>46,625,814</w:t>
            </w:r>
          </w:p>
        </w:tc>
        <w:tc>
          <w:tcPr>
            <w:tcW w:w="1140" w:type="dxa"/>
            <w:vAlign w:val="bottom"/>
          </w:tcPr>
          <w:p>
            <w:pPr>
              <w:jc w:val="right"/>
              <w:ind w:right="138"/>
              <w:spacing w:after="0"/>
              <w:rPr>
                <w:sz w:val="20"/>
                <w:szCs w:val="20"/>
                <w:color w:val="auto"/>
              </w:rPr>
            </w:pPr>
            <w:r>
              <w:rPr>
                <w:rFonts w:ascii="Arial" w:cs="Arial" w:eastAsia="Arial" w:hAnsi="Arial"/>
                <w:sz w:val="12"/>
                <w:szCs w:val="12"/>
                <w:color w:val="auto"/>
              </w:rPr>
              <w:t>39,475,762</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40,363,636</w:t>
            </w:r>
          </w:p>
        </w:tc>
        <w:tc>
          <w:tcPr>
            <w:tcW w:w="800" w:type="dxa"/>
            <w:vAlign w:val="bottom"/>
          </w:tcPr>
          <w:p>
            <w:pPr>
              <w:jc w:val="center"/>
              <w:ind w:left="138"/>
              <w:spacing w:after="0"/>
              <w:rPr>
                <w:sz w:val="20"/>
                <w:szCs w:val="20"/>
                <w:color w:val="auto"/>
              </w:rPr>
            </w:pPr>
            <w:r>
              <w:rPr>
                <w:rFonts w:ascii="Arial" w:cs="Arial" w:eastAsia="Arial" w:hAnsi="Arial"/>
                <w:sz w:val="12"/>
                <w:szCs w:val="12"/>
                <w:color w:val="auto"/>
              </w:rPr>
              <w:t>2.2%</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-13.4%</w:t>
            </w:r>
          </w:p>
        </w:tc>
      </w:tr>
      <w:tr>
        <w:trPr>
          <w:trHeight w:val="136"/>
        </w:trPr>
        <w:tc>
          <w:tcPr>
            <w:tcW w:w="4100" w:type="dxa"/>
            <w:vAlign w:val="bottom"/>
            <w:tcBorders>
              <w:left w:val="single" w:sz="8" w:color="auto"/>
              <w:right w:val="single" w:sz="8" w:color="auto"/>
            </w:tcBorders>
          </w:tcPr>
          <w:p>
            <w:pPr>
              <w:ind w:left="320"/>
              <w:spacing w:after="0" w:line="136" w:lineRule="exact"/>
              <w:rPr>
                <w:sz w:val="20"/>
                <w:szCs w:val="20"/>
                <w:color w:val="auto"/>
              </w:rPr>
            </w:pPr>
            <w:r>
              <w:rPr>
                <w:rFonts w:ascii="Arial" w:cs="Arial" w:eastAsia="Arial" w:hAnsi="Arial"/>
                <w:sz w:val="12"/>
                <w:szCs w:val="12"/>
                <w:color w:val="auto"/>
              </w:rPr>
              <w:t>Interest bearing</w:t>
            </w:r>
          </w:p>
        </w:tc>
        <w:tc>
          <w:tcPr>
            <w:tcW w:w="1260" w:type="dxa"/>
            <w:vAlign w:val="bottom"/>
          </w:tcPr>
          <w:p>
            <w:pPr>
              <w:jc w:val="right"/>
              <w:ind w:right="158"/>
              <w:spacing w:after="0" w:line="136" w:lineRule="exact"/>
              <w:rPr>
                <w:sz w:val="20"/>
                <w:szCs w:val="20"/>
                <w:color w:val="auto"/>
              </w:rPr>
            </w:pPr>
            <w:r>
              <w:rPr>
                <w:rFonts w:ascii="Arial" w:cs="Arial" w:eastAsia="Arial" w:hAnsi="Arial"/>
                <w:sz w:val="12"/>
                <w:szCs w:val="12"/>
                <w:color w:val="auto"/>
              </w:rPr>
              <w:t>106,166,200</w:t>
            </w:r>
          </w:p>
        </w:tc>
        <w:tc>
          <w:tcPr>
            <w:tcW w:w="1140" w:type="dxa"/>
            <w:vAlign w:val="bottom"/>
          </w:tcPr>
          <w:p>
            <w:pPr>
              <w:jc w:val="right"/>
              <w:ind w:right="138"/>
              <w:spacing w:after="0" w:line="136" w:lineRule="exact"/>
              <w:rPr>
                <w:sz w:val="20"/>
                <w:szCs w:val="20"/>
                <w:color w:val="auto"/>
              </w:rPr>
            </w:pPr>
            <w:r>
              <w:rPr>
                <w:rFonts w:ascii="Arial" w:cs="Arial" w:eastAsia="Arial" w:hAnsi="Arial"/>
                <w:sz w:val="12"/>
                <w:szCs w:val="12"/>
                <w:color w:val="auto"/>
              </w:rPr>
              <w:t>103,911,955</w:t>
            </w:r>
          </w:p>
        </w:tc>
        <w:tc>
          <w:tcPr>
            <w:tcW w:w="960" w:type="dxa"/>
            <w:vAlign w:val="bottom"/>
            <w:tcBorders>
              <w:right w:val="single" w:sz="8" w:color="auto"/>
            </w:tcBorders>
          </w:tcPr>
          <w:p>
            <w:pPr>
              <w:jc w:val="right"/>
              <w:spacing w:after="0" w:line="136" w:lineRule="exact"/>
              <w:rPr>
                <w:sz w:val="20"/>
                <w:szCs w:val="20"/>
                <w:color w:val="auto"/>
              </w:rPr>
            </w:pPr>
            <w:r>
              <w:rPr>
                <w:rFonts w:ascii="Arial" w:cs="Arial" w:eastAsia="Arial" w:hAnsi="Arial"/>
                <w:sz w:val="12"/>
                <w:szCs w:val="12"/>
                <w:color w:val="auto"/>
              </w:rPr>
              <w:t>108,107,899</w:t>
            </w:r>
          </w:p>
        </w:tc>
        <w:tc>
          <w:tcPr>
            <w:tcW w:w="800" w:type="dxa"/>
            <w:vAlign w:val="bottom"/>
          </w:tcPr>
          <w:p>
            <w:pPr>
              <w:jc w:val="center"/>
              <w:ind w:left="138"/>
              <w:spacing w:after="0" w:line="136" w:lineRule="exact"/>
              <w:rPr>
                <w:sz w:val="20"/>
                <w:szCs w:val="20"/>
                <w:color w:val="auto"/>
              </w:rPr>
            </w:pPr>
            <w:r>
              <w:rPr>
                <w:rFonts w:ascii="Arial" w:cs="Arial" w:eastAsia="Arial" w:hAnsi="Arial"/>
                <w:sz w:val="12"/>
                <w:szCs w:val="12"/>
                <w:color w:val="auto"/>
              </w:rPr>
              <w:t>4.0%</w:t>
            </w:r>
          </w:p>
        </w:tc>
        <w:tc>
          <w:tcPr>
            <w:tcW w:w="76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2"/>
                <w:szCs w:val="12"/>
                <w:color w:val="auto"/>
              </w:rPr>
              <w:t>1.8%</w:t>
            </w:r>
          </w:p>
        </w:tc>
      </w:tr>
      <w:tr>
        <w:trPr>
          <w:trHeight w:val="148"/>
        </w:trPr>
        <w:tc>
          <w:tcPr>
            <w:tcW w:w="410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2"/>
                <w:szCs w:val="12"/>
                <w:color w:val="auto"/>
              </w:rPr>
              <w:t>Total deposits and obligations</w:t>
            </w:r>
          </w:p>
        </w:tc>
        <w:tc>
          <w:tcPr>
            <w:tcW w:w="1260" w:type="dxa"/>
            <w:vAlign w:val="bottom"/>
          </w:tcPr>
          <w:p>
            <w:pPr>
              <w:jc w:val="right"/>
              <w:ind w:right="158"/>
              <w:spacing w:after="0"/>
              <w:rPr>
                <w:sz w:val="20"/>
                <w:szCs w:val="20"/>
                <w:color w:val="auto"/>
              </w:rPr>
            </w:pPr>
            <w:r>
              <w:rPr>
                <w:rFonts w:ascii="Arial" w:cs="Arial" w:eastAsia="Arial" w:hAnsi="Arial"/>
                <w:sz w:val="12"/>
                <w:szCs w:val="12"/>
                <w:color w:val="auto"/>
              </w:rPr>
              <w:t>152,792,014</w:t>
            </w:r>
          </w:p>
        </w:tc>
        <w:tc>
          <w:tcPr>
            <w:tcW w:w="1140" w:type="dxa"/>
            <w:vAlign w:val="bottom"/>
          </w:tcPr>
          <w:p>
            <w:pPr>
              <w:jc w:val="right"/>
              <w:ind w:right="138"/>
              <w:spacing w:after="0"/>
              <w:rPr>
                <w:sz w:val="20"/>
                <w:szCs w:val="20"/>
                <w:color w:val="auto"/>
              </w:rPr>
            </w:pPr>
            <w:r>
              <w:rPr>
                <w:rFonts w:ascii="Arial" w:cs="Arial" w:eastAsia="Arial" w:hAnsi="Arial"/>
                <w:sz w:val="12"/>
                <w:szCs w:val="12"/>
                <w:color w:val="auto"/>
              </w:rPr>
              <w:t>143,387,717</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148,471,535</w:t>
            </w:r>
          </w:p>
        </w:tc>
        <w:tc>
          <w:tcPr>
            <w:tcW w:w="800" w:type="dxa"/>
            <w:vAlign w:val="bottom"/>
          </w:tcPr>
          <w:p>
            <w:pPr>
              <w:jc w:val="center"/>
              <w:ind w:left="138"/>
              <w:spacing w:after="0"/>
              <w:rPr>
                <w:sz w:val="20"/>
                <w:szCs w:val="20"/>
                <w:color w:val="auto"/>
              </w:rPr>
            </w:pPr>
            <w:r>
              <w:rPr>
                <w:rFonts w:ascii="Arial" w:cs="Arial" w:eastAsia="Arial" w:hAnsi="Arial"/>
                <w:sz w:val="12"/>
                <w:szCs w:val="12"/>
                <w:color w:val="auto"/>
              </w:rPr>
              <w:t>3.5%</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-2.8%</w:t>
            </w:r>
          </w:p>
        </w:tc>
      </w:tr>
      <w:tr>
        <w:trPr>
          <w:trHeight w:val="148"/>
        </w:trPr>
        <w:tc>
          <w:tcPr>
            <w:tcW w:w="41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Payables from repurchase agreements and securities lending</w:t>
            </w:r>
          </w:p>
        </w:tc>
        <w:tc>
          <w:tcPr>
            <w:tcW w:w="1260" w:type="dxa"/>
            <w:vAlign w:val="bottom"/>
          </w:tcPr>
          <w:p>
            <w:pPr>
              <w:jc w:val="right"/>
              <w:ind w:right="158"/>
              <w:spacing w:after="0"/>
              <w:rPr>
                <w:sz w:val="20"/>
                <w:szCs w:val="20"/>
                <w:color w:val="auto"/>
              </w:rPr>
            </w:pPr>
            <w:r>
              <w:rPr>
                <w:rFonts w:ascii="Arial" w:cs="Arial" w:eastAsia="Arial" w:hAnsi="Arial"/>
                <w:sz w:val="12"/>
                <w:szCs w:val="12"/>
                <w:color w:val="auto"/>
              </w:rPr>
              <w:t>16,575,580</w:t>
            </w:r>
          </w:p>
        </w:tc>
        <w:tc>
          <w:tcPr>
            <w:tcW w:w="1140" w:type="dxa"/>
            <w:vAlign w:val="bottom"/>
          </w:tcPr>
          <w:p>
            <w:pPr>
              <w:jc w:val="right"/>
              <w:ind w:right="138"/>
              <w:spacing w:after="0"/>
              <w:rPr>
                <w:sz w:val="20"/>
                <w:szCs w:val="20"/>
                <w:color w:val="auto"/>
              </w:rPr>
            </w:pPr>
            <w:r>
              <w:rPr>
                <w:rFonts w:ascii="Arial" w:cs="Arial" w:eastAsia="Arial" w:hAnsi="Arial"/>
                <w:sz w:val="12"/>
                <w:szCs w:val="12"/>
                <w:color w:val="auto"/>
              </w:rPr>
              <w:t>14,306,880</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11,738,020</w:t>
            </w:r>
          </w:p>
        </w:tc>
        <w:tc>
          <w:tcPr>
            <w:tcW w:w="800" w:type="dxa"/>
            <w:vAlign w:val="bottom"/>
          </w:tcPr>
          <w:p>
            <w:pPr>
              <w:jc w:val="center"/>
              <w:ind w:left="138"/>
              <w:spacing w:after="0"/>
              <w:rPr>
                <w:sz w:val="20"/>
                <w:szCs w:val="20"/>
                <w:color w:val="auto"/>
              </w:rPr>
            </w:pPr>
            <w:r>
              <w:rPr>
                <w:rFonts w:ascii="Arial" w:cs="Arial" w:eastAsia="Arial" w:hAnsi="Arial"/>
                <w:sz w:val="12"/>
                <w:szCs w:val="12"/>
                <w:color w:val="auto"/>
              </w:rPr>
              <w:t>-18.0%</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-29.2%</w:t>
            </w:r>
          </w:p>
        </w:tc>
      </w:tr>
      <w:tr>
        <w:trPr>
          <w:trHeight w:val="136"/>
        </w:trPr>
        <w:tc>
          <w:tcPr>
            <w:tcW w:w="4100" w:type="dxa"/>
            <w:vAlign w:val="bottom"/>
            <w:tcBorders>
              <w:left w:val="single" w:sz="8" w:color="auto"/>
              <w:right w:val="single" w:sz="8" w:color="auto"/>
            </w:tcBorders>
          </w:tcPr>
          <w:p>
            <w:pPr>
              <w:ind w:left="320"/>
              <w:spacing w:after="0" w:line="136" w:lineRule="exact"/>
              <w:rPr>
                <w:sz w:val="20"/>
                <w:szCs w:val="20"/>
                <w:color w:val="auto"/>
              </w:rPr>
            </w:pPr>
            <w:r>
              <w:rPr>
                <w:rFonts w:ascii="Arial" w:cs="Arial" w:eastAsia="Arial" w:hAnsi="Arial"/>
                <w:sz w:val="12"/>
                <w:szCs w:val="12"/>
                <w:color w:val="auto"/>
              </w:rPr>
              <w:t>BCRP instruments</w:t>
            </w:r>
          </w:p>
        </w:tc>
        <w:tc>
          <w:tcPr>
            <w:tcW w:w="1260" w:type="dxa"/>
            <w:vAlign w:val="bottom"/>
          </w:tcPr>
          <w:p>
            <w:pPr>
              <w:jc w:val="right"/>
              <w:ind w:right="158"/>
              <w:spacing w:after="0" w:line="136" w:lineRule="exact"/>
              <w:rPr>
                <w:sz w:val="20"/>
                <w:szCs w:val="20"/>
                <w:color w:val="auto"/>
              </w:rPr>
            </w:pPr>
            <w:r>
              <w:rPr>
                <w:rFonts w:ascii="Arial" w:cs="Arial" w:eastAsia="Arial" w:hAnsi="Arial"/>
                <w:sz w:val="12"/>
                <w:szCs w:val="12"/>
                <w:color w:val="auto"/>
              </w:rPr>
              <w:t>14,449,597</w:t>
            </w:r>
          </w:p>
        </w:tc>
        <w:tc>
          <w:tcPr>
            <w:tcW w:w="1140" w:type="dxa"/>
            <w:vAlign w:val="bottom"/>
          </w:tcPr>
          <w:p>
            <w:pPr>
              <w:jc w:val="right"/>
              <w:ind w:right="138"/>
              <w:spacing w:after="0" w:line="136" w:lineRule="exact"/>
              <w:rPr>
                <w:sz w:val="20"/>
                <w:szCs w:val="20"/>
                <w:color w:val="auto"/>
              </w:rPr>
            </w:pPr>
            <w:r>
              <w:rPr>
                <w:rFonts w:ascii="Arial" w:cs="Arial" w:eastAsia="Arial" w:hAnsi="Arial"/>
                <w:sz w:val="12"/>
                <w:szCs w:val="12"/>
                <w:color w:val="auto"/>
              </w:rPr>
              <w:t>11,772,772</w:t>
            </w:r>
          </w:p>
        </w:tc>
        <w:tc>
          <w:tcPr>
            <w:tcW w:w="960" w:type="dxa"/>
            <w:vAlign w:val="bottom"/>
            <w:tcBorders>
              <w:right w:val="single" w:sz="8" w:color="auto"/>
            </w:tcBorders>
          </w:tcPr>
          <w:p>
            <w:pPr>
              <w:jc w:val="right"/>
              <w:spacing w:after="0" w:line="136" w:lineRule="exact"/>
              <w:rPr>
                <w:sz w:val="20"/>
                <w:szCs w:val="20"/>
                <w:color w:val="auto"/>
              </w:rPr>
            </w:pPr>
            <w:r>
              <w:rPr>
                <w:rFonts w:ascii="Arial" w:cs="Arial" w:eastAsia="Arial" w:hAnsi="Arial"/>
                <w:sz w:val="12"/>
                <w:szCs w:val="12"/>
                <w:color w:val="auto"/>
              </w:rPr>
              <w:t>9,616,150</w:t>
            </w:r>
          </w:p>
        </w:tc>
        <w:tc>
          <w:tcPr>
            <w:tcW w:w="800" w:type="dxa"/>
            <w:vAlign w:val="bottom"/>
          </w:tcPr>
          <w:p>
            <w:pPr>
              <w:jc w:val="center"/>
              <w:ind w:left="138"/>
              <w:spacing w:after="0" w:line="136" w:lineRule="exact"/>
              <w:rPr>
                <w:sz w:val="20"/>
                <w:szCs w:val="20"/>
                <w:color w:val="auto"/>
              </w:rPr>
            </w:pPr>
            <w:r>
              <w:rPr>
                <w:rFonts w:ascii="Arial" w:cs="Arial" w:eastAsia="Arial" w:hAnsi="Arial"/>
                <w:sz w:val="12"/>
                <w:szCs w:val="12"/>
                <w:color w:val="auto"/>
              </w:rPr>
              <w:t>-18.3%</w:t>
            </w:r>
          </w:p>
        </w:tc>
        <w:tc>
          <w:tcPr>
            <w:tcW w:w="76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2"/>
                <w:szCs w:val="12"/>
                <w:color w:val="auto"/>
              </w:rPr>
              <w:t>-33.5%</w:t>
            </w:r>
          </w:p>
        </w:tc>
      </w:tr>
      <w:tr>
        <w:trPr>
          <w:trHeight w:val="136"/>
        </w:trPr>
        <w:tc>
          <w:tcPr>
            <w:tcW w:w="4100" w:type="dxa"/>
            <w:vAlign w:val="bottom"/>
            <w:tcBorders>
              <w:left w:val="single" w:sz="8" w:color="auto"/>
              <w:right w:val="single" w:sz="8" w:color="auto"/>
            </w:tcBorders>
          </w:tcPr>
          <w:p>
            <w:pPr>
              <w:ind w:left="320"/>
              <w:spacing w:after="0" w:line="136" w:lineRule="exact"/>
              <w:rPr>
                <w:sz w:val="20"/>
                <w:szCs w:val="20"/>
                <w:color w:val="auto"/>
              </w:rPr>
            </w:pPr>
            <w:r>
              <w:rPr>
                <w:rFonts w:ascii="Arial" w:cs="Arial" w:eastAsia="Arial" w:hAnsi="Arial"/>
                <w:sz w:val="12"/>
                <w:szCs w:val="12"/>
                <w:color w:val="auto"/>
              </w:rPr>
              <w:t>Repurchase agreements with third parties</w:t>
            </w:r>
          </w:p>
        </w:tc>
        <w:tc>
          <w:tcPr>
            <w:tcW w:w="1260" w:type="dxa"/>
            <w:vAlign w:val="bottom"/>
          </w:tcPr>
          <w:p>
            <w:pPr>
              <w:jc w:val="right"/>
              <w:ind w:right="158"/>
              <w:spacing w:after="0" w:line="136" w:lineRule="exact"/>
              <w:rPr>
                <w:sz w:val="20"/>
                <w:szCs w:val="20"/>
                <w:color w:val="auto"/>
              </w:rPr>
            </w:pPr>
            <w:r>
              <w:rPr>
                <w:rFonts w:ascii="Arial" w:cs="Arial" w:eastAsia="Arial" w:hAnsi="Arial"/>
                <w:sz w:val="12"/>
                <w:szCs w:val="12"/>
                <w:color w:val="auto"/>
              </w:rPr>
              <w:t>1,182,946</w:t>
            </w:r>
          </w:p>
        </w:tc>
        <w:tc>
          <w:tcPr>
            <w:tcW w:w="1140" w:type="dxa"/>
            <w:vAlign w:val="bottom"/>
          </w:tcPr>
          <w:p>
            <w:pPr>
              <w:jc w:val="right"/>
              <w:ind w:right="138"/>
              <w:spacing w:after="0" w:line="136" w:lineRule="exact"/>
              <w:rPr>
                <w:sz w:val="20"/>
                <w:szCs w:val="20"/>
                <w:color w:val="auto"/>
              </w:rPr>
            </w:pPr>
            <w:r>
              <w:rPr>
                <w:rFonts w:ascii="Arial" w:cs="Arial" w:eastAsia="Arial" w:hAnsi="Arial"/>
                <w:sz w:val="12"/>
                <w:szCs w:val="12"/>
                <w:color w:val="auto"/>
              </w:rPr>
              <w:t>1,276,709</w:t>
            </w:r>
          </w:p>
        </w:tc>
        <w:tc>
          <w:tcPr>
            <w:tcW w:w="960" w:type="dxa"/>
            <w:vAlign w:val="bottom"/>
            <w:tcBorders>
              <w:right w:val="single" w:sz="8" w:color="auto"/>
            </w:tcBorders>
          </w:tcPr>
          <w:p>
            <w:pPr>
              <w:jc w:val="right"/>
              <w:spacing w:after="0" w:line="136" w:lineRule="exact"/>
              <w:rPr>
                <w:sz w:val="20"/>
                <w:szCs w:val="20"/>
                <w:color w:val="auto"/>
              </w:rPr>
            </w:pPr>
            <w:r>
              <w:rPr>
                <w:rFonts w:ascii="Arial" w:cs="Arial" w:eastAsia="Arial" w:hAnsi="Arial"/>
                <w:sz w:val="12"/>
                <w:szCs w:val="12"/>
                <w:color w:val="auto"/>
              </w:rPr>
              <w:t>1,266,852</w:t>
            </w:r>
          </w:p>
        </w:tc>
        <w:tc>
          <w:tcPr>
            <w:tcW w:w="800" w:type="dxa"/>
            <w:vAlign w:val="bottom"/>
          </w:tcPr>
          <w:p>
            <w:pPr>
              <w:jc w:val="center"/>
              <w:ind w:left="138"/>
              <w:spacing w:after="0" w:line="136" w:lineRule="exact"/>
              <w:rPr>
                <w:sz w:val="20"/>
                <w:szCs w:val="20"/>
                <w:color w:val="auto"/>
              </w:rPr>
            </w:pPr>
            <w:r>
              <w:rPr>
                <w:rFonts w:ascii="Arial" w:cs="Arial" w:eastAsia="Arial" w:hAnsi="Arial"/>
                <w:sz w:val="12"/>
                <w:szCs w:val="12"/>
                <w:color w:val="auto"/>
              </w:rPr>
              <w:t>-0.8%</w:t>
            </w:r>
          </w:p>
        </w:tc>
        <w:tc>
          <w:tcPr>
            <w:tcW w:w="76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2"/>
                <w:szCs w:val="12"/>
                <w:color w:val="auto"/>
              </w:rPr>
              <w:t>7.1%</w:t>
            </w:r>
          </w:p>
        </w:tc>
      </w:tr>
      <w:tr>
        <w:trPr>
          <w:trHeight w:val="148"/>
        </w:trPr>
        <w:tc>
          <w:tcPr>
            <w:tcW w:w="4100" w:type="dxa"/>
            <w:vAlign w:val="bottom"/>
            <w:tcBorders>
              <w:left w:val="single" w:sz="8" w:color="auto"/>
              <w:right w:val="single" w:sz="8" w:color="auto"/>
            </w:tcBorders>
          </w:tcPr>
          <w:p>
            <w:pPr>
              <w:ind w:left="320"/>
              <w:spacing w:after="0"/>
              <w:rPr>
                <w:sz w:val="20"/>
                <w:szCs w:val="20"/>
                <w:color w:val="auto"/>
              </w:rPr>
            </w:pPr>
            <w:r>
              <w:rPr>
                <w:rFonts w:ascii="Arial" w:cs="Arial" w:eastAsia="Arial" w:hAnsi="Arial"/>
                <w:sz w:val="12"/>
                <w:szCs w:val="12"/>
                <w:color w:val="auto"/>
              </w:rPr>
              <w:t>Repurchase agreements with customers</w:t>
            </w:r>
          </w:p>
        </w:tc>
        <w:tc>
          <w:tcPr>
            <w:tcW w:w="1260" w:type="dxa"/>
            <w:vAlign w:val="bottom"/>
          </w:tcPr>
          <w:p>
            <w:pPr>
              <w:jc w:val="right"/>
              <w:ind w:right="158"/>
              <w:spacing w:after="0"/>
              <w:rPr>
                <w:sz w:val="20"/>
                <w:szCs w:val="20"/>
                <w:color w:val="auto"/>
              </w:rPr>
            </w:pPr>
            <w:r>
              <w:rPr>
                <w:rFonts w:ascii="Arial" w:cs="Arial" w:eastAsia="Arial" w:hAnsi="Arial"/>
                <w:sz w:val="12"/>
                <w:szCs w:val="12"/>
                <w:color w:val="auto"/>
              </w:rPr>
              <w:t>943,037</w:t>
            </w:r>
          </w:p>
        </w:tc>
        <w:tc>
          <w:tcPr>
            <w:tcW w:w="1140" w:type="dxa"/>
            <w:vAlign w:val="bottom"/>
          </w:tcPr>
          <w:p>
            <w:pPr>
              <w:jc w:val="right"/>
              <w:ind w:right="138"/>
              <w:spacing w:after="0"/>
              <w:rPr>
                <w:sz w:val="20"/>
                <w:szCs w:val="20"/>
                <w:color w:val="auto"/>
              </w:rPr>
            </w:pPr>
            <w:r>
              <w:rPr>
                <w:rFonts w:ascii="Arial" w:cs="Arial" w:eastAsia="Arial" w:hAnsi="Arial"/>
                <w:sz w:val="12"/>
                <w:szCs w:val="12"/>
                <w:color w:val="auto"/>
              </w:rPr>
              <w:t>1,257,399</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855,018</w:t>
            </w:r>
          </w:p>
        </w:tc>
        <w:tc>
          <w:tcPr>
            <w:tcW w:w="800" w:type="dxa"/>
            <w:vAlign w:val="bottom"/>
          </w:tcPr>
          <w:p>
            <w:pPr>
              <w:jc w:val="center"/>
              <w:ind w:left="138"/>
              <w:spacing w:after="0"/>
              <w:rPr>
                <w:sz w:val="20"/>
                <w:szCs w:val="20"/>
                <w:color w:val="auto"/>
              </w:rPr>
            </w:pPr>
            <w:r>
              <w:rPr>
                <w:rFonts w:ascii="Arial" w:cs="Arial" w:eastAsia="Arial" w:hAnsi="Arial"/>
                <w:sz w:val="12"/>
                <w:szCs w:val="12"/>
                <w:color w:val="auto"/>
              </w:rPr>
              <w:t>-32.0%</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-9.3%</w:t>
            </w:r>
          </w:p>
        </w:tc>
      </w:tr>
      <w:tr>
        <w:trPr>
          <w:trHeight w:val="148"/>
        </w:trPr>
        <w:tc>
          <w:tcPr>
            <w:tcW w:w="41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Due to banks and correspondents</w:t>
            </w:r>
          </w:p>
        </w:tc>
        <w:tc>
          <w:tcPr>
            <w:tcW w:w="1260" w:type="dxa"/>
            <w:vAlign w:val="bottom"/>
          </w:tcPr>
          <w:p>
            <w:pPr>
              <w:jc w:val="right"/>
              <w:ind w:right="158"/>
              <w:spacing w:after="0"/>
              <w:rPr>
                <w:sz w:val="20"/>
                <w:szCs w:val="20"/>
                <w:color w:val="auto"/>
              </w:rPr>
            </w:pPr>
            <w:r>
              <w:rPr>
                <w:rFonts w:ascii="Arial" w:cs="Arial" w:eastAsia="Arial" w:hAnsi="Arial"/>
                <w:sz w:val="12"/>
                <w:szCs w:val="12"/>
                <w:color w:val="auto"/>
              </w:rPr>
              <w:t>9,002,035</w:t>
            </w:r>
          </w:p>
        </w:tc>
        <w:tc>
          <w:tcPr>
            <w:tcW w:w="1140" w:type="dxa"/>
            <w:vAlign w:val="bottom"/>
          </w:tcPr>
          <w:p>
            <w:pPr>
              <w:jc w:val="right"/>
              <w:ind w:right="138"/>
              <w:spacing w:after="0"/>
              <w:rPr>
                <w:sz w:val="20"/>
                <w:szCs w:val="20"/>
                <w:color w:val="auto"/>
              </w:rPr>
            </w:pPr>
            <w:r>
              <w:rPr>
                <w:rFonts w:ascii="Arial" w:cs="Arial" w:eastAsia="Arial" w:hAnsi="Arial"/>
                <w:sz w:val="12"/>
                <w:szCs w:val="12"/>
                <w:color w:val="auto"/>
              </w:rPr>
              <w:t>10,062,290</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10,493,411</w:t>
            </w:r>
          </w:p>
        </w:tc>
        <w:tc>
          <w:tcPr>
            <w:tcW w:w="800" w:type="dxa"/>
            <w:vAlign w:val="bottom"/>
          </w:tcPr>
          <w:p>
            <w:pPr>
              <w:jc w:val="center"/>
              <w:ind w:left="138"/>
              <w:spacing w:after="0"/>
              <w:rPr>
                <w:sz w:val="20"/>
                <w:szCs w:val="20"/>
                <w:color w:val="auto"/>
              </w:rPr>
            </w:pPr>
            <w:r>
              <w:rPr>
                <w:rFonts w:ascii="Arial" w:cs="Arial" w:eastAsia="Arial" w:hAnsi="Arial"/>
                <w:sz w:val="12"/>
                <w:szCs w:val="12"/>
                <w:color w:val="auto"/>
              </w:rPr>
              <w:t>4.3%</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16.6%</w:t>
            </w:r>
          </w:p>
        </w:tc>
      </w:tr>
      <w:tr>
        <w:trPr>
          <w:trHeight w:val="136"/>
        </w:trPr>
        <w:tc>
          <w:tcPr>
            <w:tcW w:w="4100" w:type="dxa"/>
            <w:vAlign w:val="bottom"/>
            <w:tcBorders>
              <w:left w:val="single" w:sz="8" w:color="auto"/>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Bonds and notes issued</w:t>
            </w:r>
          </w:p>
        </w:tc>
        <w:tc>
          <w:tcPr>
            <w:tcW w:w="1260" w:type="dxa"/>
            <w:vAlign w:val="bottom"/>
          </w:tcPr>
          <w:p>
            <w:pPr>
              <w:jc w:val="right"/>
              <w:ind w:right="158"/>
              <w:spacing w:after="0" w:line="136" w:lineRule="exact"/>
              <w:rPr>
                <w:sz w:val="20"/>
                <w:szCs w:val="20"/>
                <w:color w:val="auto"/>
              </w:rPr>
            </w:pPr>
            <w:r>
              <w:rPr>
                <w:rFonts w:ascii="Arial" w:cs="Arial" w:eastAsia="Arial" w:hAnsi="Arial"/>
                <w:sz w:val="12"/>
                <w:szCs w:val="12"/>
                <w:color w:val="auto"/>
              </w:rPr>
              <w:t>17,019,694</w:t>
            </w:r>
          </w:p>
        </w:tc>
        <w:tc>
          <w:tcPr>
            <w:tcW w:w="1140" w:type="dxa"/>
            <w:vAlign w:val="bottom"/>
          </w:tcPr>
          <w:p>
            <w:pPr>
              <w:jc w:val="right"/>
              <w:ind w:right="138"/>
              <w:spacing w:after="0" w:line="136" w:lineRule="exact"/>
              <w:rPr>
                <w:sz w:val="20"/>
                <w:szCs w:val="20"/>
                <w:color w:val="auto"/>
              </w:rPr>
            </w:pPr>
            <w:r>
              <w:rPr>
                <w:rFonts w:ascii="Arial" w:cs="Arial" w:eastAsia="Arial" w:hAnsi="Arial"/>
                <w:sz w:val="12"/>
                <w:szCs w:val="12"/>
                <w:color w:val="auto"/>
              </w:rPr>
              <w:t>14,235,697</w:t>
            </w:r>
          </w:p>
        </w:tc>
        <w:tc>
          <w:tcPr>
            <w:tcW w:w="960" w:type="dxa"/>
            <w:vAlign w:val="bottom"/>
            <w:tcBorders>
              <w:right w:val="single" w:sz="8" w:color="auto"/>
            </w:tcBorders>
          </w:tcPr>
          <w:p>
            <w:pPr>
              <w:jc w:val="right"/>
              <w:spacing w:after="0" w:line="136" w:lineRule="exact"/>
              <w:rPr>
                <w:sz w:val="20"/>
                <w:szCs w:val="20"/>
                <w:color w:val="auto"/>
              </w:rPr>
            </w:pPr>
            <w:r>
              <w:rPr>
                <w:rFonts w:ascii="Arial" w:cs="Arial" w:eastAsia="Arial" w:hAnsi="Arial"/>
                <w:sz w:val="12"/>
                <w:szCs w:val="12"/>
                <w:color w:val="auto"/>
              </w:rPr>
              <w:t>14,914,632</w:t>
            </w:r>
          </w:p>
        </w:tc>
        <w:tc>
          <w:tcPr>
            <w:tcW w:w="800" w:type="dxa"/>
            <w:vAlign w:val="bottom"/>
          </w:tcPr>
          <w:p>
            <w:pPr>
              <w:jc w:val="center"/>
              <w:ind w:left="138"/>
              <w:spacing w:after="0" w:line="136" w:lineRule="exact"/>
              <w:rPr>
                <w:sz w:val="20"/>
                <w:szCs w:val="20"/>
                <w:color w:val="auto"/>
              </w:rPr>
            </w:pPr>
            <w:r>
              <w:rPr>
                <w:rFonts w:ascii="Arial" w:cs="Arial" w:eastAsia="Arial" w:hAnsi="Arial"/>
                <w:sz w:val="12"/>
                <w:szCs w:val="12"/>
                <w:color w:val="auto"/>
              </w:rPr>
              <w:t>4.8%</w:t>
            </w:r>
          </w:p>
        </w:tc>
        <w:tc>
          <w:tcPr>
            <w:tcW w:w="76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2"/>
                <w:szCs w:val="12"/>
                <w:color w:val="auto"/>
              </w:rPr>
              <w:t>-12.4%</w:t>
            </w:r>
          </w:p>
        </w:tc>
      </w:tr>
      <w:tr>
        <w:trPr>
          <w:trHeight w:val="136"/>
        </w:trPr>
        <w:tc>
          <w:tcPr>
            <w:tcW w:w="4100" w:type="dxa"/>
            <w:vAlign w:val="bottom"/>
            <w:tcBorders>
              <w:left w:val="single" w:sz="8" w:color="auto"/>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Banker’s acceptances outstanding</w:t>
            </w:r>
          </w:p>
        </w:tc>
        <w:tc>
          <w:tcPr>
            <w:tcW w:w="1260" w:type="dxa"/>
            <w:vAlign w:val="bottom"/>
          </w:tcPr>
          <w:p>
            <w:pPr>
              <w:jc w:val="right"/>
              <w:ind w:right="158"/>
              <w:spacing w:after="0" w:line="136" w:lineRule="exact"/>
              <w:rPr>
                <w:sz w:val="20"/>
                <w:szCs w:val="20"/>
                <w:color w:val="auto"/>
              </w:rPr>
            </w:pPr>
            <w:r>
              <w:rPr>
                <w:rFonts w:ascii="Arial" w:cs="Arial" w:eastAsia="Arial" w:hAnsi="Arial"/>
                <w:sz w:val="12"/>
                <w:szCs w:val="12"/>
                <w:color w:val="auto"/>
              </w:rPr>
              <w:t>697,119</w:t>
            </w:r>
          </w:p>
        </w:tc>
        <w:tc>
          <w:tcPr>
            <w:tcW w:w="1140" w:type="dxa"/>
            <w:vAlign w:val="bottom"/>
          </w:tcPr>
          <w:p>
            <w:pPr>
              <w:jc w:val="right"/>
              <w:ind w:right="138"/>
              <w:spacing w:after="0" w:line="136" w:lineRule="exact"/>
              <w:rPr>
                <w:sz w:val="20"/>
                <w:szCs w:val="20"/>
                <w:color w:val="auto"/>
              </w:rPr>
            </w:pPr>
            <w:r>
              <w:rPr>
                <w:rFonts w:ascii="Arial" w:cs="Arial" w:eastAsia="Arial" w:hAnsi="Arial"/>
                <w:sz w:val="12"/>
                <w:szCs w:val="12"/>
                <w:color w:val="auto"/>
              </w:rPr>
              <w:t>226,161</w:t>
            </w:r>
          </w:p>
        </w:tc>
        <w:tc>
          <w:tcPr>
            <w:tcW w:w="960" w:type="dxa"/>
            <w:vAlign w:val="bottom"/>
            <w:tcBorders>
              <w:right w:val="single" w:sz="8" w:color="auto"/>
            </w:tcBorders>
          </w:tcPr>
          <w:p>
            <w:pPr>
              <w:jc w:val="right"/>
              <w:spacing w:after="0" w:line="136" w:lineRule="exact"/>
              <w:rPr>
                <w:sz w:val="20"/>
                <w:szCs w:val="20"/>
                <w:color w:val="auto"/>
              </w:rPr>
            </w:pPr>
            <w:r>
              <w:rPr>
                <w:rFonts w:ascii="Arial" w:cs="Arial" w:eastAsia="Arial" w:hAnsi="Arial"/>
                <w:sz w:val="12"/>
                <w:szCs w:val="12"/>
                <w:color w:val="auto"/>
              </w:rPr>
              <w:t>325,771</w:t>
            </w:r>
          </w:p>
        </w:tc>
        <w:tc>
          <w:tcPr>
            <w:tcW w:w="800" w:type="dxa"/>
            <w:vAlign w:val="bottom"/>
          </w:tcPr>
          <w:p>
            <w:pPr>
              <w:jc w:val="center"/>
              <w:ind w:left="138"/>
              <w:spacing w:after="0" w:line="136" w:lineRule="exact"/>
              <w:rPr>
                <w:sz w:val="20"/>
                <w:szCs w:val="20"/>
                <w:color w:val="auto"/>
              </w:rPr>
            </w:pPr>
            <w:r>
              <w:rPr>
                <w:rFonts w:ascii="Arial" w:cs="Arial" w:eastAsia="Arial" w:hAnsi="Arial"/>
                <w:sz w:val="12"/>
                <w:szCs w:val="12"/>
                <w:color w:val="auto"/>
              </w:rPr>
              <w:t>44.0%</w:t>
            </w:r>
          </w:p>
        </w:tc>
        <w:tc>
          <w:tcPr>
            <w:tcW w:w="76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2"/>
                <w:szCs w:val="12"/>
                <w:color w:val="auto"/>
              </w:rPr>
              <w:t>-53.3%</w:t>
            </w:r>
          </w:p>
        </w:tc>
      </w:tr>
      <w:tr>
        <w:trPr>
          <w:trHeight w:val="136"/>
        </w:trPr>
        <w:tc>
          <w:tcPr>
            <w:tcW w:w="4100" w:type="dxa"/>
            <w:vAlign w:val="bottom"/>
            <w:tcBorders>
              <w:left w:val="single" w:sz="8" w:color="auto"/>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Liabilities by insurance contracts</w:t>
            </w:r>
          </w:p>
        </w:tc>
        <w:tc>
          <w:tcPr>
            <w:tcW w:w="1260" w:type="dxa"/>
            <w:vAlign w:val="bottom"/>
          </w:tcPr>
          <w:p>
            <w:pPr>
              <w:jc w:val="right"/>
              <w:ind w:right="158"/>
              <w:spacing w:after="0" w:line="136" w:lineRule="exact"/>
              <w:rPr>
                <w:sz w:val="20"/>
                <w:szCs w:val="20"/>
                <w:color w:val="auto"/>
              </w:rPr>
            </w:pPr>
            <w:r>
              <w:rPr>
                <w:rFonts w:ascii="Arial" w:cs="Arial" w:eastAsia="Arial" w:hAnsi="Arial"/>
                <w:sz w:val="12"/>
                <w:szCs w:val="12"/>
                <w:color w:val="auto"/>
              </w:rPr>
              <w:t>10,773,031</w:t>
            </w:r>
          </w:p>
        </w:tc>
        <w:tc>
          <w:tcPr>
            <w:tcW w:w="1140" w:type="dxa"/>
            <w:vAlign w:val="bottom"/>
          </w:tcPr>
          <w:p>
            <w:pPr>
              <w:jc w:val="right"/>
              <w:ind w:right="138"/>
              <w:spacing w:after="0" w:line="136" w:lineRule="exact"/>
              <w:rPr>
                <w:sz w:val="20"/>
                <w:szCs w:val="20"/>
                <w:color w:val="auto"/>
              </w:rPr>
            </w:pPr>
            <w:r>
              <w:rPr>
                <w:rFonts w:ascii="Arial" w:cs="Arial" w:eastAsia="Arial" w:hAnsi="Arial"/>
                <w:sz w:val="12"/>
                <w:szCs w:val="12"/>
                <w:color w:val="auto"/>
              </w:rPr>
              <w:t>11,567,408</w:t>
            </w:r>
          </w:p>
        </w:tc>
        <w:tc>
          <w:tcPr>
            <w:tcW w:w="960" w:type="dxa"/>
            <w:vAlign w:val="bottom"/>
            <w:tcBorders>
              <w:right w:val="single" w:sz="8" w:color="auto"/>
            </w:tcBorders>
          </w:tcPr>
          <w:p>
            <w:pPr>
              <w:jc w:val="right"/>
              <w:spacing w:after="0" w:line="136" w:lineRule="exact"/>
              <w:rPr>
                <w:sz w:val="20"/>
                <w:szCs w:val="20"/>
                <w:color w:val="auto"/>
              </w:rPr>
            </w:pPr>
            <w:r>
              <w:rPr>
                <w:rFonts w:ascii="Arial" w:cs="Arial" w:eastAsia="Arial" w:hAnsi="Arial"/>
                <w:sz w:val="12"/>
                <w:szCs w:val="12"/>
                <w:color w:val="auto"/>
              </w:rPr>
              <w:t>11,653,015</w:t>
            </w:r>
          </w:p>
        </w:tc>
        <w:tc>
          <w:tcPr>
            <w:tcW w:w="800" w:type="dxa"/>
            <w:vAlign w:val="bottom"/>
          </w:tcPr>
          <w:p>
            <w:pPr>
              <w:jc w:val="center"/>
              <w:ind w:left="138"/>
              <w:spacing w:after="0" w:line="136" w:lineRule="exact"/>
              <w:rPr>
                <w:sz w:val="20"/>
                <w:szCs w:val="20"/>
                <w:color w:val="auto"/>
              </w:rPr>
            </w:pPr>
            <w:r>
              <w:rPr>
                <w:rFonts w:ascii="Arial" w:cs="Arial" w:eastAsia="Arial" w:hAnsi="Arial"/>
                <w:sz w:val="12"/>
                <w:szCs w:val="12"/>
                <w:color w:val="auto"/>
              </w:rPr>
              <w:t>0.7%</w:t>
            </w:r>
          </w:p>
        </w:tc>
        <w:tc>
          <w:tcPr>
            <w:tcW w:w="76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2"/>
                <w:szCs w:val="12"/>
                <w:color w:val="auto"/>
              </w:rPr>
              <w:t>8.2%</w:t>
            </w:r>
          </w:p>
        </w:tc>
      </w:tr>
      <w:tr>
        <w:trPr>
          <w:trHeight w:val="136"/>
        </w:trPr>
        <w:tc>
          <w:tcPr>
            <w:tcW w:w="4100" w:type="dxa"/>
            <w:vAlign w:val="bottom"/>
            <w:tcBorders>
              <w:left w:val="single" w:sz="8" w:color="auto"/>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Financial liabilities at fair value through profit or loss</w:t>
            </w:r>
          </w:p>
        </w:tc>
        <w:tc>
          <w:tcPr>
            <w:tcW w:w="1260" w:type="dxa"/>
            <w:vAlign w:val="bottom"/>
          </w:tcPr>
          <w:p>
            <w:pPr>
              <w:jc w:val="right"/>
              <w:ind w:right="158"/>
              <w:spacing w:after="0" w:line="136" w:lineRule="exact"/>
              <w:rPr>
                <w:sz w:val="20"/>
                <w:szCs w:val="20"/>
                <w:color w:val="auto"/>
              </w:rPr>
            </w:pPr>
            <w:r>
              <w:rPr>
                <w:rFonts w:ascii="Arial" w:cs="Arial" w:eastAsia="Arial" w:hAnsi="Arial"/>
                <w:sz w:val="12"/>
                <w:szCs w:val="12"/>
                <w:color w:val="auto"/>
              </w:rPr>
              <w:t>333,453</w:t>
            </w:r>
          </w:p>
        </w:tc>
        <w:tc>
          <w:tcPr>
            <w:tcW w:w="1140" w:type="dxa"/>
            <w:vAlign w:val="bottom"/>
          </w:tcPr>
          <w:p>
            <w:pPr>
              <w:jc w:val="right"/>
              <w:ind w:right="138"/>
              <w:spacing w:after="0" w:line="136" w:lineRule="exact"/>
              <w:rPr>
                <w:sz w:val="20"/>
                <w:szCs w:val="20"/>
                <w:color w:val="auto"/>
              </w:rPr>
            </w:pPr>
            <w:r>
              <w:rPr>
                <w:rFonts w:ascii="Arial" w:cs="Arial" w:eastAsia="Arial" w:hAnsi="Arial"/>
                <w:sz w:val="12"/>
                <w:szCs w:val="12"/>
                <w:color w:val="auto"/>
              </w:rPr>
              <w:t>413,665</w:t>
            </w:r>
          </w:p>
        </w:tc>
        <w:tc>
          <w:tcPr>
            <w:tcW w:w="960" w:type="dxa"/>
            <w:vAlign w:val="bottom"/>
            <w:tcBorders>
              <w:right w:val="single" w:sz="8" w:color="auto"/>
            </w:tcBorders>
          </w:tcPr>
          <w:p>
            <w:pPr>
              <w:jc w:val="right"/>
              <w:spacing w:after="0" w:line="136" w:lineRule="exact"/>
              <w:rPr>
                <w:sz w:val="20"/>
                <w:szCs w:val="20"/>
                <w:color w:val="auto"/>
              </w:rPr>
            </w:pPr>
            <w:r>
              <w:rPr>
                <w:rFonts w:ascii="Arial" w:cs="Arial" w:eastAsia="Arial" w:hAnsi="Arial"/>
                <w:sz w:val="12"/>
                <w:szCs w:val="12"/>
                <w:color w:val="auto"/>
              </w:rPr>
              <w:t>455,350</w:t>
            </w:r>
          </w:p>
        </w:tc>
        <w:tc>
          <w:tcPr>
            <w:tcW w:w="800" w:type="dxa"/>
            <w:vAlign w:val="bottom"/>
          </w:tcPr>
          <w:p>
            <w:pPr>
              <w:jc w:val="center"/>
              <w:ind w:left="138"/>
              <w:spacing w:after="0" w:line="136" w:lineRule="exact"/>
              <w:rPr>
                <w:sz w:val="20"/>
                <w:szCs w:val="20"/>
                <w:color w:val="auto"/>
              </w:rPr>
            </w:pPr>
            <w:r>
              <w:rPr>
                <w:rFonts w:ascii="Arial" w:cs="Arial" w:eastAsia="Arial" w:hAnsi="Arial"/>
                <w:sz w:val="12"/>
                <w:szCs w:val="12"/>
                <w:color w:val="auto"/>
              </w:rPr>
              <w:t>10.1%</w:t>
            </w:r>
          </w:p>
        </w:tc>
        <w:tc>
          <w:tcPr>
            <w:tcW w:w="76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2"/>
                <w:szCs w:val="12"/>
                <w:color w:val="auto"/>
              </w:rPr>
              <w:t>36.6%</w:t>
            </w:r>
          </w:p>
        </w:tc>
      </w:tr>
      <w:tr>
        <w:trPr>
          <w:trHeight w:val="156"/>
        </w:trPr>
        <w:tc>
          <w:tcPr>
            <w:tcW w:w="41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Other liabilities</w:t>
            </w:r>
          </w:p>
        </w:tc>
        <w:tc>
          <w:tcPr>
            <w:tcW w:w="1260" w:type="dxa"/>
            <w:vAlign w:val="bottom"/>
          </w:tcPr>
          <w:p>
            <w:pPr>
              <w:jc w:val="right"/>
              <w:ind w:right="158"/>
              <w:spacing w:after="0"/>
              <w:rPr>
                <w:sz w:val="20"/>
                <w:szCs w:val="20"/>
                <w:color w:val="auto"/>
              </w:rPr>
            </w:pPr>
            <w:r>
              <w:rPr>
                <w:rFonts w:ascii="Arial" w:cs="Arial" w:eastAsia="Arial" w:hAnsi="Arial"/>
                <w:sz w:val="12"/>
                <w:szCs w:val="12"/>
                <w:color w:val="auto"/>
              </w:rPr>
              <w:t>7,694,342</w:t>
            </w:r>
          </w:p>
        </w:tc>
        <w:tc>
          <w:tcPr>
            <w:tcW w:w="1140" w:type="dxa"/>
            <w:vAlign w:val="bottom"/>
          </w:tcPr>
          <w:p>
            <w:pPr>
              <w:jc w:val="right"/>
              <w:ind w:right="138"/>
              <w:spacing w:after="0"/>
              <w:rPr>
                <w:sz w:val="20"/>
                <w:szCs w:val="20"/>
                <w:color w:val="auto"/>
              </w:rPr>
            </w:pPr>
            <w:r>
              <w:rPr>
                <w:rFonts w:ascii="Arial" w:cs="Arial" w:eastAsia="Arial" w:hAnsi="Arial"/>
                <w:sz w:val="12"/>
                <w:szCs w:val="12"/>
                <w:color w:val="auto"/>
              </w:rPr>
              <w:t>8,471,819</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8,499,868</w:t>
            </w:r>
          </w:p>
        </w:tc>
        <w:tc>
          <w:tcPr>
            <w:tcW w:w="800" w:type="dxa"/>
            <w:vAlign w:val="bottom"/>
          </w:tcPr>
          <w:p>
            <w:pPr>
              <w:jc w:val="center"/>
              <w:ind w:left="138"/>
              <w:spacing w:after="0"/>
              <w:rPr>
                <w:sz w:val="20"/>
                <w:szCs w:val="20"/>
                <w:color w:val="auto"/>
              </w:rPr>
            </w:pPr>
            <w:r>
              <w:rPr>
                <w:rFonts w:ascii="Arial" w:cs="Arial" w:eastAsia="Arial" w:hAnsi="Arial"/>
                <w:sz w:val="12"/>
                <w:szCs w:val="12"/>
                <w:color w:val="auto"/>
              </w:rPr>
              <w:t>0.3%</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10.5%</w:t>
            </w:r>
          </w:p>
        </w:tc>
      </w:tr>
      <w:tr>
        <w:trPr>
          <w:trHeight w:val="381"/>
        </w:trPr>
        <w:tc>
          <w:tcPr>
            <w:tcW w:w="4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rPr>
              <w:t>Total Liabilities</w:t>
            </w:r>
          </w:p>
        </w:tc>
        <w:tc>
          <w:tcPr>
            <w:tcW w:w="1260" w:type="dxa"/>
            <w:vAlign w:val="bottom"/>
          </w:tcPr>
          <w:p>
            <w:pPr>
              <w:jc w:val="right"/>
              <w:ind w:right="158"/>
              <w:spacing w:after="0"/>
              <w:rPr>
                <w:sz w:val="20"/>
                <w:szCs w:val="20"/>
                <w:color w:val="auto"/>
              </w:rPr>
            </w:pPr>
            <w:r>
              <w:rPr>
                <w:rFonts w:ascii="Arial" w:cs="Arial" w:eastAsia="Arial" w:hAnsi="Arial"/>
                <w:sz w:val="12"/>
                <w:szCs w:val="12"/>
                <w:b w:val="1"/>
                <w:bCs w:val="1"/>
                <w:color w:val="auto"/>
              </w:rPr>
              <w:t>214,887,268</w:t>
            </w:r>
          </w:p>
        </w:tc>
        <w:tc>
          <w:tcPr>
            <w:tcW w:w="1140" w:type="dxa"/>
            <w:vAlign w:val="bottom"/>
          </w:tcPr>
          <w:p>
            <w:pPr>
              <w:jc w:val="right"/>
              <w:ind w:right="138"/>
              <w:spacing w:after="0"/>
              <w:rPr>
                <w:sz w:val="20"/>
                <w:szCs w:val="20"/>
                <w:color w:val="auto"/>
              </w:rPr>
            </w:pPr>
            <w:r>
              <w:rPr>
                <w:rFonts w:ascii="Arial" w:cs="Arial" w:eastAsia="Arial" w:hAnsi="Arial"/>
                <w:sz w:val="12"/>
                <w:szCs w:val="12"/>
                <w:b w:val="1"/>
                <w:bCs w:val="1"/>
                <w:color w:val="auto"/>
              </w:rPr>
              <w:t>202,671,637</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2"/>
                <w:szCs w:val="12"/>
                <w:b w:val="1"/>
                <w:bCs w:val="1"/>
                <w:color w:val="auto"/>
              </w:rPr>
              <w:t>206,551,602</w:t>
            </w:r>
          </w:p>
        </w:tc>
        <w:tc>
          <w:tcPr>
            <w:tcW w:w="800" w:type="dxa"/>
            <w:vAlign w:val="bottom"/>
          </w:tcPr>
          <w:p>
            <w:pPr>
              <w:jc w:val="center"/>
              <w:ind w:left="158"/>
              <w:spacing w:after="0"/>
              <w:rPr>
                <w:sz w:val="20"/>
                <w:szCs w:val="20"/>
                <w:color w:val="auto"/>
              </w:rPr>
            </w:pPr>
            <w:r>
              <w:rPr>
                <w:rFonts w:ascii="Arial" w:cs="Arial" w:eastAsia="Arial" w:hAnsi="Arial"/>
                <w:sz w:val="12"/>
                <w:szCs w:val="12"/>
                <w:b w:val="1"/>
                <w:bCs w:val="1"/>
                <w:color w:val="auto"/>
              </w:rPr>
              <w:t>1.9%</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-3.9%</w:t>
            </w:r>
          </w:p>
        </w:tc>
      </w:tr>
      <w:tr>
        <w:trPr>
          <w:trHeight w:val="205"/>
        </w:trPr>
        <w:tc>
          <w:tcPr>
            <w:tcW w:w="41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color w:val="auto"/>
              </w:rPr>
              <w:t>Net equity</w:t>
            </w:r>
          </w:p>
        </w:tc>
        <w:tc>
          <w:tcPr>
            <w:tcW w:w="1260" w:type="dxa"/>
            <w:vAlign w:val="bottom"/>
          </w:tcPr>
          <w:p>
            <w:pPr>
              <w:jc w:val="right"/>
              <w:ind w:right="158"/>
              <w:spacing w:after="0"/>
              <w:rPr>
                <w:sz w:val="20"/>
                <w:szCs w:val="20"/>
                <w:color w:val="auto"/>
              </w:rPr>
            </w:pPr>
            <w:r>
              <w:rPr>
                <w:rFonts w:ascii="Arial" w:cs="Arial" w:eastAsia="Arial" w:hAnsi="Arial"/>
                <w:sz w:val="12"/>
                <w:szCs w:val="12"/>
                <w:b w:val="1"/>
                <w:bCs w:val="1"/>
                <w:color w:val="auto"/>
              </w:rPr>
              <w:t>27,292,658</w:t>
            </w:r>
          </w:p>
        </w:tc>
        <w:tc>
          <w:tcPr>
            <w:tcW w:w="1140" w:type="dxa"/>
            <w:vAlign w:val="bottom"/>
          </w:tcPr>
          <w:p>
            <w:pPr>
              <w:jc w:val="right"/>
              <w:ind w:right="138"/>
              <w:spacing w:after="0"/>
              <w:rPr>
                <w:sz w:val="20"/>
                <w:szCs w:val="20"/>
                <w:color w:val="auto"/>
              </w:rPr>
            </w:pPr>
            <w:r>
              <w:rPr>
                <w:rFonts w:ascii="Arial" w:cs="Arial" w:eastAsia="Arial" w:hAnsi="Arial"/>
                <w:sz w:val="12"/>
                <w:szCs w:val="12"/>
                <w:b w:val="1"/>
                <w:bCs w:val="1"/>
                <w:color w:val="auto"/>
              </w:rPr>
              <w:t>30,027,036</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2"/>
                <w:szCs w:val="12"/>
                <w:b w:val="1"/>
                <w:bCs w:val="1"/>
                <w:color w:val="auto"/>
              </w:rPr>
              <w:t>31,267,592</w:t>
            </w:r>
          </w:p>
        </w:tc>
        <w:tc>
          <w:tcPr>
            <w:tcW w:w="800" w:type="dxa"/>
            <w:vAlign w:val="bottom"/>
          </w:tcPr>
          <w:p>
            <w:pPr>
              <w:jc w:val="center"/>
              <w:ind w:left="158"/>
              <w:spacing w:after="0"/>
              <w:rPr>
                <w:sz w:val="20"/>
                <w:szCs w:val="20"/>
                <w:color w:val="auto"/>
              </w:rPr>
            </w:pPr>
            <w:r>
              <w:rPr>
                <w:rFonts w:ascii="Arial" w:cs="Arial" w:eastAsia="Arial" w:hAnsi="Arial"/>
                <w:sz w:val="12"/>
                <w:szCs w:val="12"/>
                <w:b w:val="1"/>
                <w:bCs w:val="1"/>
                <w:color w:val="auto"/>
              </w:rPr>
              <w:t>4.1%</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14.6%</w:t>
            </w:r>
          </w:p>
        </w:tc>
      </w:tr>
      <w:tr>
        <w:trPr>
          <w:trHeight w:val="136"/>
        </w:trPr>
        <w:tc>
          <w:tcPr>
            <w:tcW w:w="4100" w:type="dxa"/>
            <w:vAlign w:val="bottom"/>
            <w:tcBorders>
              <w:left w:val="single" w:sz="8" w:color="auto"/>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Capital stock</w:t>
            </w:r>
          </w:p>
        </w:tc>
        <w:tc>
          <w:tcPr>
            <w:tcW w:w="1260" w:type="dxa"/>
            <w:vAlign w:val="bottom"/>
          </w:tcPr>
          <w:p>
            <w:pPr>
              <w:jc w:val="right"/>
              <w:ind w:right="158"/>
              <w:spacing w:after="0" w:line="136" w:lineRule="exact"/>
              <w:rPr>
                <w:sz w:val="20"/>
                <w:szCs w:val="20"/>
                <w:color w:val="auto"/>
              </w:rPr>
            </w:pPr>
            <w:r>
              <w:rPr>
                <w:rFonts w:ascii="Arial" w:cs="Arial" w:eastAsia="Arial" w:hAnsi="Arial"/>
                <w:sz w:val="12"/>
                <w:szCs w:val="12"/>
                <w:color w:val="auto"/>
              </w:rPr>
              <w:t>1,318,993</w:t>
            </w:r>
          </w:p>
        </w:tc>
        <w:tc>
          <w:tcPr>
            <w:tcW w:w="1140" w:type="dxa"/>
            <w:vAlign w:val="bottom"/>
          </w:tcPr>
          <w:p>
            <w:pPr>
              <w:jc w:val="right"/>
              <w:ind w:right="138"/>
              <w:spacing w:after="0" w:line="136" w:lineRule="exact"/>
              <w:rPr>
                <w:sz w:val="20"/>
                <w:szCs w:val="20"/>
                <w:color w:val="auto"/>
              </w:rPr>
            </w:pPr>
            <w:r>
              <w:rPr>
                <w:rFonts w:ascii="Arial" w:cs="Arial" w:eastAsia="Arial" w:hAnsi="Arial"/>
                <w:sz w:val="12"/>
                <w:szCs w:val="12"/>
                <w:color w:val="auto"/>
              </w:rPr>
              <w:t>1,318,993</w:t>
            </w:r>
          </w:p>
        </w:tc>
        <w:tc>
          <w:tcPr>
            <w:tcW w:w="960" w:type="dxa"/>
            <w:vAlign w:val="bottom"/>
            <w:tcBorders>
              <w:right w:val="single" w:sz="8" w:color="auto"/>
            </w:tcBorders>
          </w:tcPr>
          <w:p>
            <w:pPr>
              <w:jc w:val="right"/>
              <w:spacing w:after="0" w:line="136" w:lineRule="exact"/>
              <w:rPr>
                <w:sz w:val="20"/>
                <w:szCs w:val="20"/>
                <w:color w:val="auto"/>
              </w:rPr>
            </w:pPr>
            <w:r>
              <w:rPr>
                <w:rFonts w:ascii="Arial" w:cs="Arial" w:eastAsia="Arial" w:hAnsi="Arial"/>
                <w:sz w:val="12"/>
                <w:szCs w:val="12"/>
                <w:color w:val="auto"/>
              </w:rPr>
              <w:t>1,318,993</w:t>
            </w:r>
          </w:p>
        </w:tc>
        <w:tc>
          <w:tcPr>
            <w:tcW w:w="800" w:type="dxa"/>
            <w:vAlign w:val="bottom"/>
          </w:tcPr>
          <w:p>
            <w:pPr>
              <w:jc w:val="center"/>
              <w:ind w:left="138"/>
              <w:spacing w:after="0" w:line="136" w:lineRule="exact"/>
              <w:rPr>
                <w:sz w:val="20"/>
                <w:szCs w:val="20"/>
                <w:color w:val="auto"/>
              </w:rPr>
            </w:pPr>
            <w:r>
              <w:rPr>
                <w:rFonts w:ascii="Arial" w:cs="Arial" w:eastAsia="Arial" w:hAnsi="Arial"/>
                <w:sz w:val="12"/>
                <w:szCs w:val="12"/>
                <w:color w:val="auto"/>
              </w:rPr>
              <w:t>0.0%</w:t>
            </w:r>
          </w:p>
        </w:tc>
        <w:tc>
          <w:tcPr>
            <w:tcW w:w="76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2"/>
                <w:szCs w:val="12"/>
                <w:color w:val="auto"/>
              </w:rPr>
              <w:t>0.0%</w:t>
            </w:r>
          </w:p>
        </w:tc>
      </w:tr>
      <w:tr>
        <w:trPr>
          <w:trHeight w:val="136"/>
        </w:trPr>
        <w:tc>
          <w:tcPr>
            <w:tcW w:w="4100" w:type="dxa"/>
            <w:vAlign w:val="bottom"/>
            <w:tcBorders>
              <w:left w:val="single" w:sz="8" w:color="auto"/>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Treasury stock</w:t>
            </w:r>
          </w:p>
        </w:tc>
        <w:tc>
          <w:tcPr>
            <w:tcW w:w="1260" w:type="dxa"/>
            <w:vAlign w:val="bottom"/>
          </w:tcPr>
          <w:p>
            <w:pPr>
              <w:jc w:val="right"/>
              <w:ind w:right="158"/>
              <w:spacing w:after="0" w:line="136" w:lineRule="exact"/>
              <w:rPr>
                <w:sz w:val="20"/>
                <w:szCs w:val="20"/>
                <w:color w:val="auto"/>
              </w:rPr>
            </w:pPr>
            <w:r>
              <w:rPr>
                <w:rFonts w:ascii="Arial" w:cs="Arial" w:eastAsia="Arial" w:hAnsi="Arial"/>
                <w:sz w:val="12"/>
                <w:szCs w:val="12"/>
                <w:color w:val="auto"/>
              </w:rPr>
              <w:t>(207,518)</w:t>
            </w:r>
          </w:p>
        </w:tc>
        <w:tc>
          <w:tcPr>
            <w:tcW w:w="1140" w:type="dxa"/>
            <w:vAlign w:val="bottom"/>
          </w:tcPr>
          <w:p>
            <w:pPr>
              <w:jc w:val="right"/>
              <w:ind w:right="138"/>
              <w:spacing w:after="0" w:line="136" w:lineRule="exact"/>
              <w:rPr>
                <w:sz w:val="20"/>
                <w:szCs w:val="20"/>
                <w:color w:val="auto"/>
              </w:rPr>
            </w:pPr>
            <w:r>
              <w:rPr>
                <w:rFonts w:ascii="Arial" w:cs="Arial" w:eastAsia="Arial" w:hAnsi="Arial"/>
                <w:sz w:val="12"/>
                <w:szCs w:val="12"/>
                <w:color w:val="auto"/>
              </w:rPr>
              <w:t>(208,035)</w:t>
            </w:r>
          </w:p>
        </w:tc>
        <w:tc>
          <w:tcPr>
            <w:tcW w:w="960" w:type="dxa"/>
            <w:vAlign w:val="bottom"/>
            <w:tcBorders>
              <w:right w:val="single" w:sz="8" w:color="auto"/>
            </w:tcBorders>
          </w:tcPr>
          <w:p>
            <w:pPr>
              <w:jc w:val="right"/>
              <w:spacing w:after="0" w:line="136" w:lineRule="exact"/>
              <w:rPr>
                <w:sz w:val="20"/>
                <w:szCs w:val="20"/>
                <w:color w:val="auto"/>
              </w:rPr>
            </w:pPr>
            <w:r>
              <w:rPr>
                <w:rFonts w:ascii="Arial" w:cs="Arial" w:eastAsia="Arial" w:hAnsi="Arial"/>
                <w:sz w:val="12"/>
                <w:szCs w:val="12"/>
                <w:color w:val="auto"/>
              </w:rPr>
              <w:t>(208,033)</w:t>
            </w:r>
          </w:p>
        </w:tc>
        <w:tc>
          <w:tcPr>
            <w:tcW w:w="800" w:type="dxa"/>
            <w:vAlign w:val="bottom"/>
          </w:tcPr>
          <w:p>
            <w:pPr>
              <w:jc w:val="center"/>
              <w:ind w:left="138"/>
              <w:spacing w:after="0" w:line="136" w:lineRule="exact"/>
              <w:rPr>
                <w:sz w:val="20"/>
                <w:szCs w:val="20"/>
                <w:color w:val="auto"/>
              </w:rPr>
            </w:pPr>
            <w:r>
              <w:rPr>
                <w:rFonts w:ascii="Arial" w:cs="Arial" w:eastAsia="Arial" w:hAnsi="Arial"/>
                <w:sz w:val="12"/>
                <w:szCs w:val="12"/>
                <w:color w:val="auto"/>
              </w:rPr>
              <w:t>0.0%</w:t>
            </w:r>
          </w:p>
        </w:tc>
        <w:tc>
          <w:tcPr>
            <w:tcW w:w="76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2"/>
                <w:szCs w:val="12"/>
                <w:color w:val="auto"/>
              </w:rPr>
              <w:t>0.2%</w:t>
            </w:r>
          </w:p>
        </w:tc>
      </w:tr>
      <w:tr>
        <w:trPr>
          <w:trHeight w:val="136"/>
        </w:trPr>
        <w:tc>
          <w:tcPr>
            <w:tcW w:w="4100" w:type="dxa"/>
            <w:vAlign w:val="bottom"/>
            <w:tcBorders>
              <w:left w:val="single" w:sz="8" w:color="auto"/>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Capital surplus</w:t>
            </w:r>
          </w:p>
        </w:tc>
        <w:tc>
          <w:tcPr>
            <w:tcW w:w="1260" w:type="dxa"/>
            <w:vAlign w:val="bottom"/>
          </w:tcPr>
          <w:p>
            <w:pPr>
              <w:jc w:val="right"/>
              <w:ind w:right="158"/>
              <w:spacing w:after="0" w:line="136" w:lineRule="exact"/>
              <w:rPr>
                <w:sz w:val="20"/>
                <w:szCs w:val="20"/>
                <w:color w:val="auto"/>
              </w:rPr>
            </w:pPr>
            <w:r>
              <w:rPr>
                <w:rFonts w:ascii="Arial" w:cs="Arial" w:eastAsia="Arial" w:hAnsi="Arial"/>
                <w:sz w:val="12"/>
                <w:szCs w:val="12"/>
                <w:color w:val="auto"/>
              </w:rPr>
              <w:t>225,832</w:t>
            </w:r>
          </w:p>
        </w:tc>
        <w:tc>
          <w:tcPr>
            <w:tcW w:w="1140" w:type="dxa"/>
            <w:vAlign w:val="bottom"/>
          </w:tcPr>
          <w:p>
            <w:pPr>
              <w:jc w:val="right"/>
              <w:ind w:right="138"/>
              <w:spacing w:after="0" w:line="136" w:lineRule="exact"/>
              <w:rPr>
                <w:sz w:val="20"/>
                <w:szCs w:val="20"/>
                <w:color w:val="auto"/>
              </w:rPr>
            </w:pPr>
            <w:r>
              <w:rPr>
                <w:rFonts w:ascii="Arial" w:cs="Arial" w:eastAsia="Arial" w:hAnsi="Arial"/>
                <w:sz w:val="12"/>
                <w:szCs w:val="12"/>
                <w:color w:val="auto"/>
              </w:rPr>
              <w:t>231,019</w:t>
            </w:r>
          </w:p>
        </w:tc>
        <w:tc>
          <w:tcPr>
            <w:tcW w:w="960" w:type="dxa"/>
            <w:vAlign w:val="bottom"/>
            <w:tcBorders>
              <w:right w:val="single" w:sz="8" w:color="auto"/>
            </w:tcBorders>
          </w:tcPr>
          <w:p>
            <w:pPr>
              <w:jc w:val="right"/>
              <w:spacing w:after="0" w:line="136" w:lineRule="exact"/>
              <w:rPr>
                <w:sz w:val="20"/>
                <w:szCs w:val="20"/>
                <w:color w:val="auto"/>
              </w:rPr>
            </w:pPr>
            <w:r>
              <w:rPr>
                <w:rFonts w:ascii="Arial" w:cs="Arial" w:eastAsia="Arial" w:hAnsi="Arial"/>
                <w:sz w:val="12"/>
                <w:szCs w:val="12"/>
                <w:color w:val="auto"/>
              </w:rPr>
              <w:t>225,338</w:t>
            </w:r>
          </w:p>
        </w:tc>
        <w:tc>
          <w:tcPr>
            <w:tcW w:w="800" w:type="dxa"/>
            <w:vAlign w:val="bottom"/>
          </w:tcPr>
          <w:p>
            <w:pPr>
              <w:jc w:val="center"/>
              <w:ind w:left="138"/>
              <w:spacing w:after="0" w:line="136" w:lineRule="exact"/>
              <w:rPr>
                <w:sz w:val="20"/>
                <w:szCs w:val="20"/>
                <w:color w:val="auto"/>
              </w:rPr>
            </w:pPr>
            <w:r>
              <w:rPr>
                <w:rFonts w:ascii="Arial" w:cs="Arial" w:eastAsia="Arial" w:hAnsi="Arial"/>
                <w:sz w:val="12"/>
                <w:szCs w:val="12"/>
                <w:color w:val="auto"/>
              </w:rPr>
              <w:t>-2.5%</w:t>
            </w:r>
          </w:p>
        </w:tc>
        <w:tc>
          <w:tcPr>
            <w:tcW w:w="76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2"/>
                <w:szCs w:val="12"/>
                <w:color w:val="auto"/>
              </w:rPr>
              <w:t>-0.2%</w:t>
            </w:r>
          </w:p>
        </w:tc>
      </w:tr>
      <w:tr>
        <w:trPr>
          <w:trHeight w:val="136"/>
        </w:trPr>
        <w:tc>
          <w:tcPr>
            <w:tcW w:w="4100" w:type="dxa"/>
            <w:vAlign w:val="bottom"/>
            <w:tcBorders>
              <w:left w:val="single" w:sz="8" w:color="auto"/>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Reserves</w:t>
            </w:r>
          </w:p>
        </w:tc>
        <w:tc>
          <w:tcPr>
            <w:tcW w:w="1260" w:type="dxa"/>
            <w:vAlign w:val="bottom"/>
          </w:tcPr>
          <w:p>
            <w:pPr>
              <w:jc w:val="right"/>
              <w:ind w:right="158"/>
              <w:spacing w:after="0" w:line="136" w:lineRule="exact"/>
              <w:rPr>
                <w:sz w:val="20"/>
                <w:szCs w:val="20"/>
                <w:color w:val="auto"/>
              </w:rPr>
            </w:pPr>
            <w:r>
              <w:rPr>
                <w:rFonts w:ascii="Arial" w:cs="Arial" w:eastAsia="Arial" w:hAnsi="Arial"/>
                <w:sz w:val="12"/>
                <w:szCs w:val="12"/>
                <w:color w:val="auto"/>
              </w:rPr>
              <w:t>23,687,946</w:t>
            </w:r>
          </w:p>
        </w:tc>
        <w:tc>
          <w:tcPr>
            <w:tcW w:w="1140" w:type="dxa"/>
            <w:vAlign w:val="bottom"/>
          </w:tcPr>
          <w:p>
            <w:pPr>
              <w:jc w:val="right"/>
              <w:ind w:right="138"/>
              <w:spacing w:after="0" w:line="136" w:lineRule="exact"/>
              <w:rPr>
                <w:sz w:val="20"/>
                <w:szCs w:val="20"/>
                <w:color w:val="auto"/>
              </w:rPr>
            </w:pPr>
            <w:r>
              <w:rPr>
                <w:rFonts w:ascii="Arial" w:cs="Arial" w:eastAsia="Arial" w:hAnsi="Arial"/>
                <w:sz w:val="12"/>
                <w:szCs w:val="12"/>
                <w:color w:val="auto"/>
              </w:rPr>
              <w:t>26,221,577</w:t>
            </w:r>
          </w:p>
        </w:tc>
        <w:tc>
          <w:tcPr>
            <w:tcW w:w="960" w:type="dxa"/>
            <w:vAlign w:val="bottom"/>
            <w:tcBorders>
              <w:right w:val="single" w:sz="8" w:color="auto"/>
            </w:tcBorders>
          </w:tcPr>
          <w:p>
            <w:pPr>
              <w:jc w:val="right"/>
              <w:spacing w:after="0" w:line="136" w:lineRule="exact"/>
              <w:rPr>
                <w:sz w:val="20"/>
                <w:szCs w:val="20"/>
                <w:color w:val="auto"/>
              </w:rPr>
            </w:pPr>
            <w:r>
              <w:rPr>
                <w:rFonts w:ascii="Arial" w:cs="Arial" w:eastAsia="Arial" w:hAnsi="Arial"/>
                <w:sz w:val="12"/>
                <w:szCs w:val="12"/>
                <w:color w:val="auto"/>
              </w:rPr>
              <w:t>26,239,162</w:t>
            </w:r>
          </w:p>
        </w:tc>
        <w:tc>
          <w:tcPr>
            <w:tcW w:w="800" w:type="dxa"/>
            <w:vAlign w:val="bottom"/>
          </w:tcPr>
          <w:p>
            <w:pPr>
              <w:jc w:val="center"/>
              <w:ind w:left="138"/>
              <w:spacing w:after="0" w:line="136" w:lineRule="exact"/>
              <w:rPr>
                <w:sz w:val="20"/>
                <w:szCs w:val="20"/>
                <w:color w:val="auto"/>
              </w:rPr>
            </w:pPr>
            <w:r>
              <w:rPr>
                <w:rFonts w:ascii="Arial" w:cs="Arial" w:eastAsia="Arial" w:hAnsi="Arial"/>
                <w:sz w:val="12"/>
                <w:szCs w:val="12"/>
                <w:color w:val="auto"/>
              </w:rPr>
              <w:t>0.1%</w:t>
            </w:r>
          </w:p>
        </w:tc>
        <w:tc>
          <w:tcPr>
            <w:tcW w:w="76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2"/>
                <w:szCs w:val="12"/>
                <w:color w:val="auto"/>
              </w:rPr>
              <w:t>10.8%</w:t>
            </w:r>
          </w:p>
        </w:tc>
      </w:tr>
      <w:tr>
        <w:trPr>
          <w:trHeight w:val="136"/>
        </w:trPr>
        <w:tc>
          <w:tcPr>
            <w:tcW w:w="4100" w:type="dxa"/>
            <w:vAlign w:val="bottom"/>
            <w:tcBorders>
              <w:left w:val="single" w:sz="8" w:color="auto"/>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Other reserves</w:t>
            </w:r>
          </w:p>
        </w:tc>
        <w:tc>
          <w:tcPr>
            <w:tcW w:w="1260" w:type="dxa"/>
            <w:vAlign w:val="bottom"/>
          </w:tcPr>
          <w:p>
            <w:pPr>
              <w:jc w:val="right"/>
              <w:ind w:right="158"/>
              <w:spacing w:after="0" w:line="136" w:lineRule="exact"/>
              <w:rPr>
                <w:sz w:val="20"/>
                <w:szCs w:val="20"/>
                <w:color w:val="auto"/>
              </w:rPr>
            </w:pPr>
            <w:r>
              <w:rPr>
                <w:rFonts w:ascii="Arial" w:cs="Arial" w:eastAsia="Arial" w:hAnsi="Arial"/>
                <w:sz w:val="12"/>
                <w:szCs w:val="12"/>
                <w:color w:val="auto"/>
              </w:rPr>
              <w:t>(996,001)</w:t>
            </w:r>
          </w:p>
        </w:tc>
        <w:tc>
          <w:tcPr>
            <w:tcW w:w="1140" w:type="dxa"/>
            <w:vAlign w:val="bottom"/>
          </w:tcPr>
          <w:p>
            <w:pPr>
              <w:jc w:val="right"/>
              <w:ind w:right="138"/>
              <w:spacing w:after="0" w:line="136" w:lineRule="exact"/>
              <w:rPr>
                <w:sz w:val="20"/>
                <w:szCs w:val="20"/>
                <w:color w:val="auto"/>
              </w:rPr>
            </w:pPr>
            <w:r>
              <w:rPr>
                <w:rFonts w:ascii="Arial" w:cs="Arial" w:eastAsia="Arial" w:hAnsi="Arial"/>
                <w:sz w:val="12"/>
                <w:szCs w:val="12"/>
                <w:color w:val="auto"/>
              </w:rPr>
              <w:t>(13,015)</w:t>
            </w:r>
          </w:p>
        </w:tc>
        <w:tc>
          <w:tcPr>
            <w:tcW w:w="960" w:type="dxa"/>
            <w:vAlign w:val="bottom"/>
            <w:tcBorders>
              <w:right w:val="single" w:sz="8" w:color="auto"/>
            </w:tcBorders>
          </w:tcPr>
          <w:p>
            <w:pPr>
              <w:jc w:val="right"/>
              <w:spacing w:after="0" w:line="136" w:lineRule="exact"/>
              <w:rPr>
                <w:sz w:val="20"/>
                <w:szCs w:val="20"/>
                <w:color w:val="auto"/>
              </w:rPr>
            </w:pPr>
            <w:r>
              <w:rPr>
                <w:rFonts w:ascii="Arial" w:cs="Arial" w:eastAsia="Arial" w:hAnsi="Arial"/>
                <w:sz w:val="12"/>
                <w:szCs w:val="12"/>
                <w:color w:val="auto"/>
              </w:rPr>
              <w:t>(29,526)</w:t>
            </w:r>
          </w:p>
        </w:tc>
        <w:tc>
          <w:tcPr>
            <w:tcW w:w="800" w:type="dxa"/>
            <w:vAlign w:val="bottom"/>
          </w:tcPr>
          <w:p>
            <w:pPr>
              <w:jc w:val="center"/>
              <w:ind w:left="158"/>
              <w:spacing w:after="0" w:line="136" w:lineRule="exact"/>
              <w:rPr>
                <w:sz w:val="20"/>
                <w:szCs w:val="20"/>
                <w:color w:val="auto"/>
              </w:rPr>
            </w:pPr>
            <w:r>
              <w:rPr>
                <w:rFonts w:ascii="Arial" w:cs="Arial" w:eastAsia="Arial" w:hAnsi="Arial"/>
                <w:sz w:val="12"/>
                <w:szCs w:val="12"/>
                <w:color w:val="auto"/>
              </w:rPr>
              <w:t>126.9%</w:t>
            </w:r>
          </w:p>
        </w:tc>
        <w:tc>
          <w:tcPr>
            <w:tcW w:w="76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2"/>
                <w:szCs w:val="12"/>
                <w:color w:val="auto"/>
              </w:rPr>
              <w:t>-97.0%</w:t>
            </w:r>
          </w:p>
        </w:tc>
      </w:tr>
      <w:tr>
        <w:trPr>
          <w:trHeight w:val="148"/>
        </w:trPr>
        <w:tc>
          <w:tcPr>
            <w:tcW w:w="41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Retained earnings</w:t>
            </w:r>
          </w:p>
        </w:tc>
        <w:tc>
          <w:tcPr>
            <w:tcW w:w="1260" w:type="dxa"/>
            <w:vAlign w:val="bottom"/>
          </w:tcPr>
          <w:p>
            <w:pPr>
              <w:jc w:val="right"/>
              <w:ind w:right="158"/>
              <w:spacing w:after="0"/>
              <w:rPr>
                <w:sz w:val="20"/>
                <w:szCs w:val="20"/>
                <w:color w:val="auto"/>
              </w:rPr>
            </w:pPr>
            <w:r>
              <w:rPr>
                <w:rFonts w:ascii="Arial" w:cs="Arial" w:eastAsia="Arial" w:hAnsi="Arial"/>
                <w:sz w:val="12"/>
                <w:szCs w:val="12"/>
                <w:color w:val="auto"/>
              </w:rPr>
              <w:t>3,263,406</w:t>
            </w:r>
          </w:p>
        </w:tc>
        <w:tc>
          <w:tcPr>
            <w:tcW w:w="1140" w:type="dxa"/>
            <w:vAlign w:val="bottom"/>
          </w:tcPr>
          <w:p>
            <w:pPr>
              <w:jc w:val="right"/>
              <w:ind w:right="138"/>
              <w:spacing w:after="0"/>
              <w:rPr>
                <w:sz w:val="20"/>
                <w:szCs w:val="20"/>
                <w:color w:val="auto"/>
              </w:rPr>
            </w:pPr>
            <w:r>
              <w:rPr>
                <w:rFonts w:ascii="Arial" w:cs="Arial" w:eastAsia="Arial" w:hAnsi="Arial"/>
                <w:sz w:val="12"/>
                <w:szCs w:val="12"/>
                <w:color w:val="auto"/>
              </w:rPr>
              <w:t>2,476,497</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3,721,658</w:t>
            </w:r>
          </w:p>
        </w:tc>
        <w:tc>
          <w:tcPr>
            <w:tcW w:w="800" w:type="dxa"/>
            <w:vAlign w:val="bottom"/>
          </w:tcPr>
          <w:p>
            <w:pPr>
              <w:jc w:val="center"/>
              <w:ind w:left="138"/>
              <w:spacing w:after="0"/>
              <w:rPr>
                <w:sz w:val="20"/>
                <w:szCs w:val="20"/>
                <w:color w:val="auto"/>
              </w:rPr>
            </w:pPr>
            <w:r>
              <w:rPr>
                <w:rFonts w:ascii="Arial" w:cs="Arial" w:eastAsia="Arial" w:hAnsi="Arial"/>
                <w:sz w:val="12"/>
                <w:szCs w:val="12"/>
                <w:color w:val="auto"/>
              </w:rPr>
              <w:t>50.3%</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14.0%</w:t>
            </w:r>
          </w:p>
        </w:tc>
      </w:tr>
      <w:tr>
        <w:trPr>
          <w:trHeight w:val="168"/>
        </w:trPr>
        <w:tc>
          <w:tcPr>
            <w:tcW w:w="41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Non-controlling interest</w:t>
            </w:r>
          </w:p>
        </w:tc>
        <w:tc>
          <w:tcPr>
            <w:tcW w:w="1260" w:type="dxa"/>
            <w:vAlign w:val="bottom"/>
          </w:tcPr>
          <w:p>
            <w:pPr>
              <w:jc w:val="right"/>
              <w:ind w:right="158"/>
              <w:spacing w:after="0"/>
              <w:rPr>
                <w:sz w:val="20"/>
                <w:szCs w:val="20"/>
                <w:color w:val="auto"/>
              </w:rPr>
            </w:pPr>
            <w:r>
              <w:rPr>
                <w:rFonts w:ascii="Arial" w:cs="Arial" w:eastAsia="Arial" w:hAnsi="Arial"/>
                <w:sz w:val="12"/>
                <w:szCs w:val="12"/>
                <w:color w:val="auto"/>
              </w:rPr>
              <w:t>568,889</w:t>
            </w:r>
          </w:p>
        </w:tc>
        <w:tc>
          <w:tcPr>
            <w:tcW w:w="1140" w:type="dxa"/>
            <w:vAlign w:val="bottom"/>
          </w:tcPr>
          <w:p>
            <w:pPr>
              <w:jc w:val="right"/>
              <w:ind w:right="138"/>
              <w:spacing w:after="0"/>
              <w:rPr>
                <w:sz w:val="20"/>
                <w:szCs w:val="20"/>
                <w:color w:val="auto"/>
              </w:rPr>
            </w:pPr>
            <w:r>
              <w:rPr>
                <w:rFonts w:ascii="Arial" w:cs="Arial" w:eastAsia="Arial" w:hAnsi="Arial"/>
                <w:sz w:val="12"/>
                <w:szCs w:val="12"/>
                <w:color w:val="auto"/>
              </w:rPr>
              <w:t>611,617</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639,464</w:t>
            </w:r>
          </w:p>
        </w:tc>
        <w:tc>
          <w:tcPr>
            <w:tcW w:w="800" w:type="dxa"/>
            <w:vAlign w:val="bottom"/>
          </w:tcPr>
          <w:p>
            <w:pPr>
              <w:jc w:val="center"/>
              <w:ind w:left="138"/>
              <w:spacing w:after="0"/>
              <w:rPr>
                <w:sz w:val="20"/>
                <w:szCs w:val="20"/>
                <w:color w:val="auto"/>
              </w:rPr>
            </w:pPr>
            <w:r>
              <w:rPr>
                <w:rFonts w:ascii="Arial" w:cs="Arial" w:eastAsia="Arial" w:hAnsi="Arial"/>
                <w:sz w:val="12"/>
                <w:szCs w:val="12"/>
                <w:color w:val="auto"/>
              </w:rPr>
              <w:t>4.6%</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rPr>
              <w:t>12.4%</w:t>
            </w:r>
          </w:p>
        </w:tc>
      </w:tr>
      <w:tr>
        <w:trPr>
          <w:trHeight w:val="320"/>
        </w:trPr>
        <w:tc>
          <w:tcPr>
            <w:tcW w:w="41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rPr>
              <w:t>Total Net Equity</w:t>
            </w:r>
          </w:p>
        </w:tc>
        <w:tc>
          <w:tcPr>
            <w:tcW w:w="1260" w:type="dxa"/>
            <w:vAlign w:val="bottom"/>
          </w:tcPr>
          <w:p>
            <w:pPr>
              <w:jc w:val="right"/>
              <w:ind w:right="158"/>
              <w:spacing w:after="0"/>
              <w:rPr>
                <w:sz w:val="20"/>
                <w:szCs w:val="20"/>
                <w:color w:val="auto"/>
              </w:rPr>
            </w:pPr>
            <w:r>
              <w:rPr>
                <w:rFonts w:ascii="Arial" w:cs="Arial" w:eastAsia="Arial" w:hAnsi="Arial"/>
                <w:sz w:val="12"/>
                <w:szCs w:val="12"/>
                <w:b w:val="1"/>
                <w:bCs w:val="1"/>
                <w:color w:val="auto"/>
              </w:rPr>
              <w:t>27,861,547</w:t>
            </w:r>
          </w:p>
        </w:tc>
        <w:tc>
          <w:tcPr>
            <w:tcW w:w="1140" w:type="dxa"/>
            <w:vAlign w:val="bottom"/>
          </w:tcPr>
          <w:p>
            <w:pPr>
              <w:jc w:val="right"/>
              <w:ind w:right="138"/>
              <w:spacing w:after="0"/>
              <w:rPr>
                <w:sz w:val="20"/>
                <w:szCs w:val="20"/>
                <w:color w:val="auto"/>
              </w:rPr>
            </w:pPr>
            <w:r>
              <w:rPr>
                <w:rFonts w:ascii="Arial" w:cs="Arial" w:eastAsia="Arial" w:hAnsi="Arial"/>
                <w:sz w:val="12"/>
                <w:szCs w:val="12"/>
                <w:b w:val="1"/>
                <w:bCs w:val="1"/>
                <w:color w:val="auto"/>
              </w:rPr>
              <w:t>30,638,653</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2"/>
                <w:szCs w:val="12"/>
                <w:b w:val="1"/>
                <w:bCs w:val="1"/>
                <w:color w:val="auto"/>
              </w:rPr>
              <w:t>31,907,056</w:t>
            </w:r>
          </w:p>
        </w:tc>
        <w:tc>
          <w:tcPr>
            <w:tcW w:w="800" w:type="dxa"/>
            <w:vAlign w:val="bottom"/>
          </w:tcPr>
          <w:p>
            <w:pPr>
              <w:jc w:val="center"/>
              <w:ind w:left="158"/>
              <w:spacing w:after="0"/>
              <w:rPr>
                <w:sz w:val="20"/>
                <w:szCs w:val="20"/>
                <w:color w:val="auto"/>
              </w:rPr>
            </w:pPr>
            <w:r>
              <w:rPr>
                <w:rFonts w:ascii="Arial" w:cs="Arial" w:eastAsia="Arial" w:hAnsi="Arial"/>
                <w:sz w:val="12"/>
                <w:szCs w:val="12"/>
                <w:b w:val="1"/>
                <w:bCs w:val="1"/>
                <w:color w:val="auto"/>
              </w:rPr>
              <w:t>4.1%</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14.5%</w:t>
            </w:r>
          </w:p>
        </w:tc>
      </w:tr>
      <w:tr>
        <w:trPr>
          <w:trHeight w:val="161"/>
        </w:trPr>
        <w:tc>
          <w:tcPr>
            <w:tcW w:w="41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color w:val="auto"/>
              </w:rPr>
              <w:t>Total liabilities and equity</w:t>
            </w:r>
          </w:p>
        </w:tc>
        <w:tc>
          <w:tcPr>
            <w:tcW w:w="1260" w:type="dxa"/>
            <w:vAlign w:val="bottom"/>
          </w:tcPr>
          <w:p>
            <w:pPr>
              <w:jc w:val="right"/>
              <w:ind w:right="158"/>
              <w:spacing w:after="0"/>
              <w:rPr>
                <w:sz w:val="20"/>
                <w:szCs w:val="20"/>
                <w:color w:val="auto"/>
              </w:rPr>
            </w:pPr>
            <w:r>
              <w:rPr>
                <w:rFonts w:ascii="Arial" w:cs="Arial" w:eastAsia="Arial" w:hAnsi="Arial"/>
                <w:sz w:val="12"/>
                <w:szCs w:val="12"/>
                <w:b w:val="1"/>
                <w:bCs w:val="1"/>
                <w:color w:val="auto"/>
              </w:rPr>
              <w:t>242,748,815</w:t>
            </w:r>
          </w:p>
        </w:tc>
        <w:tc>
          <w:tcPr>
            <w:tcW w:w="1140" w:type="dxa"/>
            <w:vAlign w:val="bottom"/>
          </w:tcPr>
          <w:p>
            <w:pPr>
              <w:jc w:val="right"/>
              <w:ind w:right="138"/>
              <w:spacing w:after="0"/>
              <w:rPr>
                <w:sz w:val="20"/>
                <w:szCs w:val="20"/>
                <w:color w:val="auto"/>
              </w:rPr>
            </w:pPr>
            <w:r>
              <w:rPr>
                <w:rFonts w:ascii="Arial" w:cs="Arial" w:eastAsia="Arial" w:hAnsi="Arial"/>
                <w:sz w:val="12"/>
                <w:szCs w:val="12"/>
                <w:b w:val="1"/>
                <w:bCs w:val="1"/>
                <w:color w:val="auto"/>
              </w:rPr>
              <w:t>233,310,290</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2"/>
                <w:szCs w:val="12"/>
                <w:b w:val="1"/>
                <w:bCs w:val="1"/>
                <w:color w:val="auto"/>
              </w:rPr>
              <w:t>238,458,658</w:t>
            </w:r>
          </w:p>
        </w:tc>
        <w:tc>
          <w:tcPr>
            <w:tcW w:w="800" w:type="dxa"/>
            <w:vAlign w:val="bottom"/>
          </w:tcPr>
          <w:p>
            <w:pPr>
              <w:jc w:val="center"/>
              <w:ind w:left="158"/>
              <w:spacing w:after="0"/>
              <w:rPr>
                <w:sz w:val="20"/>
                <w:szCs w:val="20"/>
                <w:color w:val="auto"/>
              </w:rPr>
            </w:pPr>
            <w:r>
              <w:rPr>
                <w:rFonts w:ascii="Arial" w:cs="Arial" w:eastAsia="Arial" w:hAnsi="Arial"/>
                <w:sz w:val="12"/>
                <w:szCs w:val="12"/>
                <w:b w:val="1"/>
                <w:bCs w:val="1"/>
                <w:color w:val="auto"/>
              </w:rPr>
              <w:t>2.2%</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-1.8%</w:t>
            </w:r>
          </w:p>
        </w:tc>
      </w:tr>
      <w:tr>
        <w:trPr>
          <w:trHeight w:val="154"/>
        </w:trPr>
        <w:tc>
          <w:tcPr>
            <w:tcW w:w="41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color w:val="auto"/>
              </w:rPr>
              <w:t>Off-balance sheet</w:t>
            </w:r>
          </w:p>
        </w:tc>
        <w:tc>
          <w:tcPr>
            <w:tcW w:w="1260" w:type="dxa"/>
            <w:vAlign w:val="bottom"/>
          </w:tcPr>
          <w:p>
            <w:pPr>
              <w:jc w:val="right"/>
              <w:ind w:right="158"/>
              <w:spacing w:after="0"/>
              <w:rPr>
                <w:sz w:val="20"/>
                <w:szCs w:val="20"/>
                <w:color w:val="auto"/>
              </w:rPr>
            </w:pPr>
            <w:r>
              <w:rPr>
                <w:rFonts w:ascii="Arial" w:cs="Arial" w:eastAsia="Arial" w:hAnsi="Arial"/>
                <w:sz w:val="12"/>
                <w:szCs w:val="12"/>
                <w:b w:val="1"/>
                <w:bCs w:val="1"/>
                <w:color w:val="auto"/>
              </w:rPr>
              <w:t>151,545,926</w:t>
            </w:r>
          </w:p>
        </w:tc>
        <w:tc>
          <w:tcPr>
            <w:tcW w:w="1140" w:type="dxa"/>
            <w:vAlign w:val="bottom"/>
          </w:tcPr>
          <w:p>
            <w:pPr>
              <w:jc w:val="right"/>
              <w:ind w:right="138"/>
              <w:spacing w:after="0"/>
              <w:rPr>
                <w:sz w:val="20"/>
                <w:szCs w:val="20"/>
                <w:color w:val="auto"/>
              </w:rPr>
            </w:pPr>
            <w:r>
              <w:rPr>
                <w:rFonts w:ascii="Arial" w:cs="Arial" w:eastAsia="Arial" w:hAnsi="Arial"/>
                <w:sz w:val="12"/>
                <w:szCs w:val="12"/>
                <w:b w:val="1"/>
                <w:bCs w:val="1"/>
                <w:color w:val="auto"/>
              </w:rPr>
              <w:t>144,709,112</w:t>
            </w: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2"/>
                <w:szCs w:val="12"/>
                <w:b w:val="1"/>
                <w:bCs w:val="1"/>
                <w:color w:val="auto"/>
              </w:rPr>
              <w:t>151,484,019</w:t>
            </w:r>
          </w:p>
        </w:tc>
        <w:tc>
          <w:tcPr>
            <w:tcW w:w="800" w:type="dxa"/>
            <w:vAlign w:val="bottom"/>
          </w:tcPr>
          <w:p>
            <w:pPr>
              <w:jc w:val="center"/>
              <w:ind w:left="158"/>
              <w:spacing w:after="0"/>
              <w:rPr>
                <w:sz w:val="20"/>
                <w:szCs w:val="20"/>
                <w:color w:val="auto"/>
              </w:rPr>
            </w:pPr>
            <w:r>
              <w:rPr>
                <w:rFonts w:ascii="Arial" w:cs="Arial" w:eastAsia="Arial" w:hAnsi="Arial"/>
                <w:sz w:val="12"/>
                <w:szCs w:val="12"/>
                <w:b w:val="1"/>
                <w:bCs w:val="1"/>
                <w:color w:val="auto"/>
              </w:rPr>
              <w:t>4.7%</w:t>
            </w:r>
          </w:p>
        </w:tc>
        <w:tc>
          <w:tcPr>
            <w:tcW w:w="76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rPr>
              <w:t>0.0%</w:t>
            </w:r>
          </w:p>
        </w:tc>
      </w:tr>
      <w:tr>
        <w:trPr>
          <w:trHeight w:val="136"/>
        </w:trPr>
        <w:tc>
          <w:tcPr>
            <w:tcW w:w="4100" w:type="dxa"/>
            <w:vAlign w:val="bottom"/>
            <w:tcBorders>
              <w:left w:val="single" w:sz="8" w:color="auto"/>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Total performance bonds, stand-by and L/Cs.</w:t>
            </w:r>
          </w:p>
        </w:tc>
        <w:tc>
          <w:tcPr>
            <w:tcW w:w="1260" w:type="dxa"/>
            <w:vAlign w:val="bottom"/>
          </w:tcPr>
          <w:p>
            <w:pPr>
              <w:jc w:val="right"/>
              <w:ind w:right="158"/>
              <w:spacing w:after="0" w:line="136" w:lineRule="exact"/>
              <w:rPr>
                <w:sz w:val="20"/>
                <w:szCs w:val="20"/>
                <w:color w:val="auto"/>
              </w:rPr>
            </w:pPr>
            <w:r>
              <w:rPr>
                <w:rFonts w:ascii="Arial" w:cs="Arial" w:eastAsia="Arial" w:hAnsi="Arial"/>
                <w:sz w:val="12"/>
                <w:szCs w:val="12"/>
                <w:color w:val="auto"/>
              </w:rPr>
              <w:t>21,399,132</w:t>
            </w:r>
          </w:p>
        </w:tc>
        <w:tc>
          <w:tcPr>
            <w:tcW w:w="1140" w:type="dxa"/>
            <w:vAlign w:val="bottom"/>
          </w:tcPr>
          <w:p>
            <w:pPr>
              <w:jc w:val="right"/>
              <w:ind w:right="138"/>
              <w:spacing w:after="0" w:line="136" w:lineRule="exact"/>
              <w:rPr>
                <w:sz w:val="20"/>
                <w:szCs w:val="20"/>
                <w:color w:val="auto"/>
              </w:rPr>
            </w:pPr>
            <w:r>
              <w:rPr>
                <w:rFonts w:ascii="Arial" w:cs="Arial" w:eastAsia="Arial" w:hAnsi="Arial"/>
                <w:sz w:val="12"/>
                <w:szCs w:val="12"/>
                <w:color w:val="auto"/>
              </w:rPr>
              <w:t>18,654,864</w:t>
            </w:r>
          </w:p>
        </w:tc>
        <w:tc>
          <w:tcPr>
            <w:tcW w:w="960" w:type="dxa"/>
            <w:vAlign w:val="bottom"/>
            <w:tcBorders>
              <w:right w:val="single" w:sz="8" w:color="auto"/>
            </w:tcBorders>
          </w:tcPr>
          <w:p>
            <w:pPr>
              <w:jc w:val="right"/>
              <w:spacing w:after="0" w:line="136" w:lineRule="exact"/>
              <w:rPr>
                <w:sz w:val="20"/>
                <w:szCs w:val="20"/>
                <w:color w:val="auto"/>
              </w:rPr>
            </w:pPr>
            <w:r>
              <w:rPr>
                <w:rFonts w:ascii="Arial" w:cs="Arial" w:eastAsia="Arial" w:hAnsi="Arial"/>
                <w:sz w:val="12"/>
                <w:szCs w:val="12"/>
                <w:color w:val="auto"/>
              </w:rPr>
              <w:t>18,945,883</w:t>
            </w:r>
          </w:p>
        </w:tc>
        <w:tc>
          <w:tcPr>
            <w:tcW w:w="800" w:type="dxa"/>
            <w:vAlign w:val="bottom"/>
          </w:tcPr>
          <w:p>
            <w:pPr>
              <w:jc w:val="center"/>
              <w:ind w:left="138"/>
              <w:spacing w:after="0" w:line="136" w:lineRule="exact"/>
              <w:rPr>
                <w:sz w:val="20"/>
                <w:szCs w:val="20"/>
                <w:color w:val="auto"/>
              </w:rPr>
            </w:pPr>
            <w:r>
              <w:rPr>
                <w:rFonts w:ascii="Arial" w:cs="Arial" w:eastAsia="Arial" w:hAnsi="Arial"/>
                <w:sz w:val="12"/>
                <w:szCs w:val="12"/>
                <w:color w:val="auto"/>
              </w:rPr>
              <w:t>1.6%</w:t>
            </w:r>
          </w:p>
        </w:tc>
        <w:tc>
          <w:tcPr>
            <w:tcW w:w="76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2"/>
                <w:szCs w:val="12"/>
                <w:color w:val="auto"/>
                <w:w w:val="99"/>
              </w:rPr>
              <w:t>-11.5%</w:t>
            </w:r>
          </w:p>
        </w:tc>
      </w:tr>
      <w:tr>
        <w:trPr>
          <w:trHeight w:val="136"/>
        </w:trPr>
        <w:tc>
          <w:tcPr>
            <w:tcW w:w="4100" w:type="dxa"/>
            <w:vAlign w:val="bottom"/>
            <w:tcBorders>
              <w:left w:val="single" w:sz="8" w:color="auto"/>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Undrawn credit lines, advised but not committed</w:t>
            </w:r>
          </w:p>
        </w:tc>
        <w:tc>
          <w:tcPr>
            <w:tcW w:w="1260" w:type="dxa"/>
            <w:vAlign w:val="bottom"/>
          </w:tcPr>
          <w:p>
            <w:pPr>
              <w:jc w:val="right"/>
              <w:ind w:right="158"/>
              <w:spacing w:after="0" w:line="136" w:lineRule="exact"/>
              <w:rPr>
                <w:sz w:val="20"/>
                <w:szCs w:val="20"/>
                <w:color w:val="auto"/>
              </w:rPr>
            </w:pPr>
            <w:r>
              <w:rPr>
                <w:rFonts w:ascii="Arial" w:cs="Arial" w:eastAsia="Arial" w:hAnsi="Arial"/>
                <w:sz w:val="12"/>
                <w:szCs w:val="12"/>
                <w:color w:val="auto"/>
              </w:rPr>
              <w:t>87,600,569</w:t>
            </w:r>
          </w:p>
        </w:tc>
        <w:tc>
          <w:tcPr>
            <w:tcW w:w="1140" w:type="dxa"/>
            <w:vAlign w:val="bottom"/>
          </w:tcPr>
          <w:p>
            <w:pPr>
              <w:jc w:val="right"/>
              <w:ind w:right="138"/>
              <w:spacing w:after="0" w:line="136" w:lineRule="exact"/>
              <w:rPr>
                <w:sz w:val="20"/>
                <w:szCs w:val="20"/>
                <w:color w:val="auto"/>
              </w:rPr>
            </w:pPr>
            <w:r>
              <w:rPr>
                <w:rFonts w:ascii="Arial" w:cs="Arial" w:eastAsia="Arial" w:hAnsi="Arial"/>
                <w:sz w:val="12"/>
                <w:szCs w:val="12"/>
                <w:color w:val="auto"/>
              </w:rPr>
              <w:t>85,762,478</w:t>
            </w:r>
          </w:p>
        </w:tc>
        <w:tc>
          <w:tcPr>
            <w:tcW w:w="960" w:type="dxa"/>
            <w:vAlign w:val="bottom"/>
            <w:tcBorders>
              <w:right w:val="single" w:sz="8" w:color="auto"/>
            </w:tcBorders>
          </w:tcPr>
          <w:p>
            <w:pPr>
              <w:jc w:val="right"/>
              <w:spacing w:after="0" w:line="136" w:lineRule="exact"/>
              <w:rPr>
                <w:sz w:val="20"/>
                <w:szCs w:val="20"/>
                <w:color w:val="auto"/>
              </w:rPr>
            </w:pPr>
            <w:r>
              <w:rPr>
                <w:rFonts w:ascii="Arial" w:cs="Arial" w:eastAsia="Arial" w:hAnsi="Arial"/>
                <w:sz w:val="12"/>
                <w:szCs w:val="12"/>
                <w:color w:val="auto"/>
              </w:rPr>
              <w:t>88,183,227</w:t>
            </w:r>
          </w:p>
        </w:tc>
        <w:tc>
          <w:tcPr>
            <w:tcW w:w="800" w:type="dxa"/>
            <w:vAlign w:val="bottom"/>
          </w:tcPr>
          <w:p>
            <w:pPr>
              <w:jc w:val="center"/>
              <w:ind w:left="138"/>
              <w:spacing w:after="0" w:line="136" w:lineRule="exact"/>
              <w:rPr>
                <w:sz w:val="20"/>
                <w:szCs w:val="20"/>
                <w:color w:val="auto"/>
              </w:rPr>
            </w:pPr>
            <w:r>
              <w:rPr>
                <w:rFonts w:ascii="Arial" w:cs="Arial" w:eastAsia="Arial" w:hAnsi="Arial"/>
                <w:sz w:val="12"/>
                <w:szCs w:val="12"/>
                <w:color w:val="auto"/>
              </w:rPr>
              <w:t>2.8%</w:t>
            </w:r>
          </w:p>
        </w:tc>
        <w:tc>
          <w:tcPr>
            <w:tcW w:w="76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2"/>
                <w:szCs w:val="12"/>
                <w:color w:val="auto"/>
              </w:rPr>
              <w:t>0.7%</w:t>
            </w:r>
          </w:p>
        </w:tc>
      </w:tr>
      <w:tr>
        <w:trPr>
          <w:trHeight w:val="145"/>
        </w:trPr>
        <w:tc>
          <w:tcPr>
            <w:tcW w:w="41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Total derivatives (notional) and others</w:t>
            </w:r>
          </w:p>
        </w:tc>
        <w:tc>
          <w:tcPr>
            <w:tcW w:w="126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42,546,225</w:t>
            </w:r>
          </w:p>
        </w:tc>
        <w:tc>
          <w:tcPr>
            <w:tcW w:w="114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color w:val="auto"/>
              </w:rPr>
              <w:t>40,291,770</w:t>
            </w:r>
          </w:p>
        </w:tc>
        <w:tc>
          <w:tcPr>
            <w:tcW w:w="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2"/>
                <w:szCs w:val="12"/>
                <w:color w:val="auto"/>
              </w:rPr>
              <w:t>44,354,909</w:t>
            </w:r>
          </w:p>
        </w:tc>
        <w:tc>
          <w:tcPr>
            <w:tcW w:w="800" w:type="dxa"/>
            <w:vAlign w:val="bottom"/>
            <w:tcBorders>
              <w:bottom w:val="single" w:sz="8" w:color="auto"/>
            </w:tcBorders>
          </w:tcPr>
          <w:p>
            <w:pPr>
              <w:jc w:val="center"/>
              <w:ind w:left="138"/>
              <w:spacing w:after="0"/>
              <w:rPr>
                <w:sz w:val="20"/>
                <w:szCs w:val="20"/>
                <w:color w:val="auto"/>
              </w:rPr>
            </w:pPr>
            <w:r>
              <w:rPr>
                <w:rFonts w:ascii="Arial" w:cs="Arial" w:eastAsia="Arial" w:hAnsi="Arial"/>
                <w:sz w:val="12"/>
                <w:szCs w:val="12"/>
                <w:color w:val="auto"/>
              </w:rPr>
              <w:t>10.1%</w:t>
            </w: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rPr>
              <w:t>4.3%</w:t>
            </w:r>
          </w:p>
        </w:tc>
      </w:tr>
    </w:tbl>
    <w:p>
      <w:pPr>
        <w:spacing w:after="0" w:line="81" w:lineRule="exact"/>
        <w:rPr>
          <w:sz w:val="20"/>
          <w:szCs w:val="20"/>
          <w:color w:val="auto"/>
        </w:rPr>
      </w:pPr>
    </w:p>
    <w:p>
      <w:pPr>
        <w:ind w:left="600"/>
        <w:spacing w:after="0"/>
        <w:rPr>
          <w:sz w:val="20"/>
          <w:szCs w:val="20"/>
          <w:color w:val="auto"/>
        </w:rPr>
      </w:pPr>
      <w:r>
        <w:rPr>
          <w:rFonts w:ascii="Arial" w:cs="Arial" w:eastAsia="Arial" w:hAnsi="Arial"/>
          <w:sz w:val="11"/>
          <w:szCs w:val="11"/>
          <w:color w:val="auto"/>
        </w:rPr>
        <w:t>(1) Includes mainly accounts receivables from brokerage and others</w:t>
      </w:r>
    </w:p>
    <w:p>
      <w:pPr>
        <w:spacing w:after="0" w:line="5" w:lineRule="exact"/>
        <w:rPr>
          <w:sz w:val="20"/>
          <w:szCs w:val="20"/>
          <w:color w:val="auto"/>
        </w:rPr>
      </w:pPr>
    </w:p>
    <w:p>
      <w:pPr>
        <w:ind w:left="600"/>
        <w:spacing w:after="0"/>
        <w:rPr>
          <w:sz w:val="20"/>
          <w:szCs w:val="20"/>
          <w:color w:val="auto"/>
        </w:rPr>
      </w:pPr>
      <w:r>
        <w:rPr>
          <w:rFonts w:ascii="Arial" w:cs="Arial" w:eastAsia="Arial" w:hAnsi="Arial"/>
          <w:sz w:val="11"/>
          <w:szCs w:val="11"/>
          <w:color w:val="auto"/>
        </w:rPr>
        <w:t>* Due to reclassifications, the Balance Sheet may differ from those reported in previous quarters.</w:t>
      </w:r>
    </w:p>
    <w:p>
      <w:pPr>
        <w:spacing w:after="0" w:line="31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43750" cy="1587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3" w:name="page64"/>
    <w:bookmarkEnd w:id="63"/>
    <w:p>
      <w:pPr>
        <w:ind w:left="2960"/>
        <w:spacing w:after="0"/>
        <w:tabs>
          <w:tab w:leader="none" w:pos="3140" w:val="left"/>
          <w:tab w:leader="none" w:pos="7700" w:val="left"/>
        </w:tabs>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202565</wp:posOffset>
            </wp:positionH>
            <wp:positionV relativeFrom="page">
              <wp:posOffset>88900</wp:posOffset>
            </wp:positionV>
            <wp:extent cx="7143750" cy="41592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3750" cy="415925"/>
                    </a:xfrm>
                    <a:prstGeom prst="rect">
                      <a:avLst/>
                    </a:prstGeom>
                    <a:noFill/>
                  </pic:spPr>
                </pic:pic>
              </a:graphicData>
            </a:graphic>
          </wp:anchor>
        </w:drawing>
        <w:t>|</w:t>
      </w:r>
      <w:r>
        <w:rPr>
          <w:sz w:val="20"/>
          <w:szCs w:val="20"/>
          <w:color w:val="auto"/>
        </w:rPr>
        <w:tab/>
      </w:r>
      <w:r>
        <w:rPr>
          <w:rFonts w:ascii="Arial" w:cs="Arial" w:eastAsia="Arial" w:hAnsi="Arial"/>
          <w:sz w:val="16"/>
          <w:szCs w:val="16"/>
          <w:b w:val="1"/>
          <w:bCs w:val="1"/>
          <w:color w:val="FFFFFF"/>
        </w:rPr>
        <w:t>Earnings Release 3Q / 2023</w:t>
      </w:r>
      <w:r>
        <w:rPr>
          <w:sz w:val="20"/>
          <w:szCs w:val="20"/>
          <w:color w:val="auto"/>
        </w:rPr>
        <w:tab/>
      </w:r>
      <w:r>
        <w:rPr>
          <w:rFonts w:ascii="Arial" w:cs="Arial" w:eastAsia="Arial" w:hAnsi="Arial"/>
          <w:sz w:val="18"/>
          <w:szCs w:val="18"/>
          <w:b w:val="1"/>
          <w:bCs w:val="1"/>
          <w:color w:val="E93CAC"/>
        </w:rPr>
        <w:t>Analysis of 3Q23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175260</wp:posOffset>
            </wp:positionV>
            <wp:extent cx="7143750" cy="2038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3750" cy="203835"/>
                    </a:xfrm>
                    <a:prstGeom prst="rect">
                      <a:avLst/>
                    </a:prstGeom>
                    <a:noFill/>
                  </pic:spPr>
                </pic:pic>
              </a:graphicData>
            </a:graphic>
          </wp:anchor>
        </w:drawing>
      </w:r>
    </w:p>
    <w:p>
      <w:pPr>
        <w:spacing w:after="0" w:line="275"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FFFFFF"/>
        </w:rPr>
        <w:t>12. Appendix</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Credicorp Ltd. and Subsidiaries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Consolidated Statement of Income</w:t>
      </w:r>
    </w:p>
    <w:p>
      <w:pPr>
        <w:jc w:val="center"/>
        <w:spacing w:after="0"/>
        <w:rPr>
          <w:sz w:val="20"/>
          <w:szCs w:val="20"/>
          <w:color w:val="auto"/>
        </w:rPr>
      </w:pPr>
      <w:r>
        <w:rPr>
          <w:rFonts w:ascii="Arial" w:cs="Arial" w:eastAsia="Arial" w:hAnsi="Arial"/>
          <w:sz w:val="11"/>
          <w:szCs w:val="11"/>
          <w:b w:val="1"/>
          <w:bCs w:val="1"/>
          <w:color w:val="auto"/>
        </w:rPr>
        <w:t>(In S/ thousands, IFRS)</w:t>
      </w:r>
    </w:p>
    <w:p>
      <w:pPr>
        <w:spacing w:after="0" w:line="148" w:lineRule="exact"/>
        <w:rPr>
          <w:sz w:val="20"/>
          <w:szCs w:val="20"/>
          <w:color w:val="auto"/>
        </w:rPr>
      </w:pPr>
    </w:p>
    <w:tbl>
      <w:tblPr>
        <w:tblLayout w:type="fixed"/>
        <w:tblInd w:w="10" w:type="dxa"/>
        <w:tblCellMar>
          <w:top w:w="0" w:type="dxa"/>
          <w:left w:w="0" w:type="dxa"/>
          <w:bottom w:w="0" w:type="dxa"/>
          <w:right w:w="0" w:type="dxa"/>
        </w:tblCellMar>
      </w:tblPr>
      <w:tr>
        <w:trPr>
          <w:trHeight w:val="136"/>
        </w:trPr>
        <w:tc>
          <w:tcPr>
            <w:tcW w:w="3880" w:type="dxa"/>
            <w:vAlign w:val="bottom"/>
            <w:tcBorders>
              <w:top w:val="single" w:sz="8" w:color="auto"/>
              <w:left w:val="single" w:sz="8" w:color="auto"/>
              <w:right w:val="single" w:sz="8" w:color="auto"/>
            </w:tcBorders>
            <w:shd w:val="clear" w:color="auto" w:fill="33CCCC"/>
          </w:tcPr>
          <w:p>
            <w:pPr>
              <w:spacing w:after="0"/>
              <w:rPr>
                <w:sz w:val="11"/>
                <w:szCs w:val="11"/>
                <w:color w:val="auto"/>
              </w:rPr>
            </w:pPr>
          </w:p>
        </w:tc>
        <w:tc>
          <w:tcPr>
            <w:tcW w:w="1040" w:type="dxa"/>
            <w:vAlign w:val="bottom"/>
            <w:tcBorders>
              <w:top w:val="single" w:sz="8" w:color="auto"/>
            </w:tcBorders>
            <w:shd w:val="clear" w:color="auto" w:fill="33CCCC"/>
          </w:tcPr>
          <w:p>
            <w:pPr>
              <w:spacing w:after="0"/>
              <w:rPr>
                <w:sz w:val="11"/>
                <w:szCs w:val="11"/>
                <w:color w:val="auto"/>
              </w:rPr>
            </w:pPr>
          </w:p>
        </w:tc>
        <w:tc>
          <w:tcPr>
            <w:tcW w:w="940" w:type="dxa"/>
            <w:vAlign w:val="bottom"/>
            <w:tcBorders>
              <w:top w:val="single" w:sz="8" w:color="auto"/>
            </w:tcBorders>
            <w:shd w:val="clear" w:color="auto" w:fill="33CCCC"/>
          </w:tcPr>
          <w:p>
            <w:pPr>
              <w:jc w:val="right"/>
              <w:ind w:right="366"/>
              <w:spacing w:after="0"/>
              <w:rPr>
                <w:sz w:val="20"/>
                <w:szCs w:val="20"/>
                <w:color w:val="auto"/>
              </w:rPr>
            </w:pPr>
            <w:r>
              <w:rPr>
                <w:rFonts w:ascii="Arial" w:cs="Arial" w:eastAsia="Arial" w:hAnsi="Arial"/>
                <w:sz w:val="11"/>
                <w:szCs w:val="11"/>
                <w:b w:val="1"/>
                <w:bCs w:val="1"/>
                <w:color w:val="FFFFFF"/>
              </w:rPr>
              <w:t>Quarter</w:t>
            </w:r>
          </w:p>
        </w:tc>
        <w:tc>
          <w:tcPr>
            <w:tcW w:w="780" w:type="dxa"/>
            <w:vAlign w:val="bottom"/>
            <w:tcBorders>
              <w:top w:val="single" w:sz="8" w:color="auto"/>
              <w:right w:val="single" w:sz="8" w:color="auto"/>
            </w:tcBorders>
            <w:shd w:val="clear" w:color="auto" w:fill="33CCCC"/>
          </w:tcPr>
          <w:p>
            <w:pPr>
              <w:spacing w:after="0"/>
              <w:rPr>
                <w:sz w:val="11"/>
                <w:szCs w:val="11"/>
                <w:color w:val="auto"/>
              </w:rPr>
            </w:pPr>
          </w:p>
        </w:tc>
        <w:tc>
          <w:tcPr>
            <w:tcW w:w="620" w:type="dxa"/>
            <w:vAlign w:val="bottom"/>
            <w:tcBorders>
              <w:top w:val="single" w:sz="8" w:color="auto"/>
            </w:tcBorders>
            <w:shd w:val="clear" w:color="auto" w:fill="33CCCC"/>
          </w:tcPr>
          <w:p>
            <w:pPr>
              <w:spacing w:after="0"/>
              <w:rPr>
                <w:sz w:val="11"/>
                <w:szCs w:val="11"/>
                <w:color w:val="auto"/>
              </w:rPr>
            </w:pPr>
          </w:p>
        </w:tc>
        <w:tc>
          <w:tcPr>
            <w:tcW w:w="1160" w:type="dxa"/>
            <w:vAlign w:val="bottom"/>
            <w:tcBorders>
              <w:top w:val="single" w:sz="8" w:color="auto"/>
              <w:right w:val="single" w:sz="8" w:color="auto"/>
            </w:tcBorders>
            <w:shd w:val="clear" w:color="auto" w:fill="33CCCC"/>
          </w:tcPr>
          <w:p>
            <w:pPr>
              <w:spacing w:after="0"/>
              <w:rPr>
                <w:sz w:val="20"/>
                <w:szCs w:val="20"/>
                <w:color w:val="auto"/>
              </w:rPr>
            </w:pPr>
            <w:r>
              <w:rPr>
                <w:rFonts w:ascii="Arial" w:cs="Arial" w:eastAsia="Arial" w:hAnsi="Arial"/>
                <w:sz w:val="11"/>
                <w:szCs w:val="11"/>
                <w:b w:val="1"/>
                <w:bCs w:val="1"/>
                <w:color w:val="FFFFFF"/>
              </w:rPr>
              <w:t>% change</w:t>
            </w:r>
          </w:p>
        </w:tc>
        <w:tc>
          <w:tcPr>
            <w:tcW w:w="1080" w:type="dxa"/>
            <w:vAlign w:val="bottom"/>
            <w:tcBorders>
              <w:top w:val="single" w:sz="8" w:color="auto"/>
            </w:tcBorders>
            <w:shd w:val="clear" w:color="auto" w:fill="33CCCC"/>
          </w:tcPr>
          <w:p>
            <w:pPr>
              <w:jc w:val="right"/>
              <w:ind w:right="26"/>
              <w:spacing w:after="0"/>
              <w:rPr>
                <w:sz w:val="20"/>
                <w:szCs w:val="20"/>
                <w:color w:val="auto"/>
              </w:rPr>
            </w:pPr>
            <w:r>
              <w:rPr>
                <w:rFonts w:ascii="Arial" w:cs="Arial" w:eastAsia="Arial" w:hAnsi="Arial"/>
                <w:sz w:val="11"/>
                <w:szCs w:val="11"/>
                <w:b w:val="1"/>
                <w:bCs w:val="1"/>
                <w:color w:val="FFFFFF"/>
              </w:rPr>
              <w:t>Up to</w:t>
            </w:r>
          </w:p>
        </w:tc>
        <w:tc>
          <w:tcPr>
            <w:tcW w:w="700" w:type="dxa"/>
            <w:vAlign w:val="bottom"/>
            <w:tcBorders>
              <w:top w:val="single" w:sz="8" w:color="auto"/>
              <w:right w:val="single" w:sz="8" w:color="auto"/>
            </w:tcBorders>
            <w:shd w:val="clear" w:color="auto" w:fill="33CCCC"/>
          </w:tcPr>
          <w:p>
            <w:pPr>
              <w:spacing w:after="0"/>
              <w:rPr>
                <w:sz w:val="11"/>
                <w:szCs w:val="11"/>
                <w:color w:val="auto"/>
              </w:rPr>
            </w:pPr>
          </w:p>
        </w:tc>
        <w:tc>
          <w:tcPr>
            <w:tcW w:w="1060" w:type="dxa"/>
            <w:vAlign w:val="bottom"/>
            <w:tcBorders>
              <w:top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1"/>
                <w:szCs w:val="11"/>
                <w:b w:val="1"/>
                <w:bCs w:val="1"/>
                <w:color w:val="FFFFFF"/>
                <w:w w:val="97"/>
              </w:rPr>
              <w:t>% change</w:t>
            </w:r>
          </w:p>
        </w:tc>
      </w:tr>
      <w:tr>
        <w:trPr>
          <w:trHeight w:val="124"/>
        </w:trPr>
        <w:tc>
          <w:tcPr>
            <w:tcW w:w="3880" w:type="dxa"/>
            <w:vAlign w:val="bottom"/>
            <w:tcBorders>
              <w:left w:val="single" w:sz="8" w:color="auto"/>
              <w:bottom w:val="single" w:sz="8" w:color="auto"/>
              <w:right w:val="single" w:sz="8" w:color="auto"/>
            </w:tcBorders>
            <w:shd w:val="clear" w:color="auto" w:fill="33CCCC"/>
          </w:tcPr>
          <w:p>
            <w:pPr>
              <w:spacing w:after="0"/>
              <w:rPr>
                <w:sz w:val="10"/>
                <w:szCs w:val="10"/>
                <w:color w:val="auto"/>
              </w:rPr>
            </w:pPr>
          </w:p>
        </w:tc>
        <w:tc>
          <w:tcPr>
            <w:tcW w:w="1040" w:type="dxa"/>
            <w:vAlign w:val="bottom"/>
            <w:tcBorders>
              <w:bottom w:val="single" w:sz="8" w:color="auto"/>
            </w:tcBorders>
            <w:shd w:val="clear" w:color="auto" w:fill="33CCCC"/>
          </w:tcPr>
          <w:p>
            <w:pPr>
              <w:jc w:val="right"/>
              <w:ind w:right="406"/>
              <w:spacing w:after="0" w:line="124" w:lineRule="exact"/>
              <w:rPr>
                <w:sz w:val="20"/>
                <w:szCs w:val="20"/>
                <w:color w:val="auto"/>
              </w:rPr>
            </w:pPr>
            <w:r>
              <w:rPr>
                <w:rFonts w:ascii="Arial" w:cs="Arial" w:eastAsia="Arial" w:hAnsi="Arial"/>
                <w:sz w:val="11"/>
                <w:szCs w:val="11"/>
                <w:b w:val="1"/>
                <w:bCs w:val="1"/>
                <w:color w:val="FFFFFF"/>
              </w:rPr>
              <w:t>3Q22</w:t>
            </w:r>
          </w:p>
        </w:tc>
        <w:tc>
          <w:tcPr>
            <w:tcW w:w="940" w:type="dxa"/>
            <w:vAlign w:val="bottom"/>
            <w:tcBorders>
              <w:bottom w:val="single" w:sz="8" w:color="auto"/>
            </w:tcBorders>
            <w:shd w:val="clear" w:color="auto" w:fill="33CCCC"/>
          </w:tcPr>
          <w:p>
            <w:pPr>
              <w:jc w:val="right"/>
              <w:ind w:right="426"/>
              <w:spacing w:after="0" w:line="124" w:lineRule="exact"/>
              <w:rPr>
                <w:sz w:val="20"/>
                <w:szCs w:val="20"/>
                <w:color w:val="auto"/>
              </w:rPr>
            </w:pPr>
            <w:r>
              <w:rPr>
                <w:rFonts w:ascii="Arial" w:cs="Arial" w:eastAsia="Arial" w:hAnsi="Arial"/>
                <w:sz w:val="11"/>
                <w:szCs w:val="11"/>
                <w:b w:val="1"/>
                <w:bCs w:val="1"/>
                <w:color w:val="FFFFFF"/>
              </w:rPr>
              <w:t>2Q23</w:t>
            </w:r>
          </w:p>
        </w:tc>
        <w:tc>
          <w:tcPr>
            <w:tcW w:w="780" w:type="dxa"/>
            <w:vAlign w:val="bottom"/>
            <w:tcBorders>
              <w:bottom w:val="single" w:sz="8" w:color="auto"/>
              <w:right w:val="single" w:sz="8" w:color="auto"/>
            </w:tcBorders>
            <w:shd w:val="clear" w:color="auto" w:fill="33CCCC"/>
          </w:tcPr>
          <w:p>
            <w:pPr>
              <w:jc w:val="right"/>
              <w:ind w:right="306"/>
              <w:spacing w:after="0" w:line="124" w:lineRule="exact"/>
              <w:rPr>
                <w:sz w:val="20"/>
                <w:szCs w:val="20"/>
                <w:color w:val="auto"/>
              </w:rPr>
            </w:pPr>
            <w:r>
              <w:rPr>
                <w:rFonts w:ascii="Arial" w:cs="Arial" w:eastAsia="Arial" w:hAnsi="Arial"/>
                <w:sz w:val="11"/>
                <w:szCs w:val="11"/>
                <w:b w:val="1"/>
                <w:bCs w:val="1"/>
                <w:color w:val="FFFFFF"/>
              </w:rPr>
              <w:t>3Q23</w:t>
            </w:r>
          </w:p>
        </w:tc>
        <w:tc>
          <w:tcPr>
            <w:tcW w:w="620" w:type="dxa"/>
            <w:vAlign w:val="bottom"/>
            <w:tcBorders>
              <w:bottom w:val="single" w:sz="8" w:color="auto"/>
            </w:tcBorders>
            <w:shd w:val="clear" w:color="auto" w:fill="33CCCC"/>
          </w:tcPr>
          <w:p>
            <w:pPr>
              <w:ind w:left="300"/>
              <w:spacing w:after="0" w:line="124" w:lineRule="exact"/>
              <w:rPr>
                <w:sz w:val="20"/>
                <w:szCs w:val="20"/>
                <w:color w:val="auto"/>
              </w:rPr>
            </w:pPr>
            <w:r>
              <w:rPr>
                <w:rFonts w:ascii="Arial" w:cs="Arial" w:eastAsia="Arial" w:hAnsi="Arial"/>
                <w:sz w:val="11"/>
                <w:szCs w:val="11"/>
                <w:b w:val="1"/>
                <w:bCs w:val="1"/>
                <w:color w:val="FFFFFF"/>
              </w:rPr>
              <w:t>QoQ</w:t>
            </w:r>
          </w:p>
        </w:tc>
        <w:tc>
          <w:tcPr>
            <w:tcW w:w="1160" w:type="dxa"/>
            <w:vAlign w:val="bottom"/>
            <w:tcBorders>
              <w:bottom w:val="single" w:sz="8" w:color="auto"/>
              <w:right w:val="single" w:sz="8" w:color="auto"/>
            </w:tcBorders>
            <w:shd w:val="clear" w:color="auto" w:fill="33CCCC"/>
          </w:tcPr>
          <w:p>
            <w:pPr>
              <w:ind w:left="580"/>
              <w:spacing w:after="0" w:line="124" w:lineRule="exact"/>
              <w:rPr>
                <w:sz w:val="20"/>
                <w:szCs w:val="20"/>
                <w:color w:val="auto"/>
              </w:rPr>
            </w:pPr>
            <w:r>
              <w:rPr>
                <w:rFonts w:ascii="Arial" w:cs="Arial" w:eastAsia="Arial" w:hAnsi="Arial"/>
                <w:sz w:val="11"/>
                <w:szCs w:val="11"/>
                <w:b w:val="1"/>
                <w:bCs w:val="1"/>
                <w:color w:val="FFFFFF"/>
              </w:rPr>
              <w:t>YoY</w:t>
            </w:r>
          </w:p>
        </w:tc>
        <w:tc>
          <w:tcPr>
            <w:tcW w:w="1080" w:type="dxa"/>
            <w:vAlign w:val="bottom"/>
            <w:tcBorders>
              <w:bottom w:val="single" w:sz="8" w:color="auto"/>
            </w:tcBorders>
            <w:shd w:val="clear" w:color="auto" w:fill="33CCCC"/>
          </w:tcPr>
          <w:p>
            <w:pPr>
              <w:jc w:val="right"/>
              <w:ind w:right="426"/>
              <w:spacing w:after="0" w:line="124" w:lineRule="exact"/>
              <w:rPr>
                <w:sz w:val="20"/>
                <w:szCs w:val="20"/>
                <w:color w:val="auto"/>
              </w:rPr>
            </w:pPr>
            <w:r>
              <w:rPr>
                <w:rFonts w:ascii="Arial" w:cs="Arial" w:eastAsia="Arial" w:hAnsi="Arial"/>
                <w:sz w:val="11"/>
                <w:szCs w:val="11"/>
                <w:b w:val="1"/>
                <w:bCs w:val="1"/>
                <w:color w:val="FFFFFF"/>
              </w:rPr>
              <w:t>Sep 22</w:t>
            </w:r>
          </w:p>
        </w:tc>
        <w:tc>
          <w:tcPr>
            <w:tcW w:w="700" w:type="dxa"/>
            <w:vAlign w:val="bottom"/>
            <w:tcBorders>
              <w:bottom w:val="single" w:sz="8" w:color="auto"/>
              <w:right w:val="single" w:sz="8" w:color="auto"/>
            </w:tcBorders>
            <w:shd w:val="clear" w:color="auto" w:fill="33CCCC"/>
          </w:tcPr>
          <w:p>
            <w:pPr>
              <w:jc w:val="right"/>
              <w:ind w:right="246"/>
              <w:spacing w:after="0" w:line="124" w:lineRule="exact"/>
              <w:rPr>
                <w:sz w:val="20"/>
                <w:szCs w:val="20"/>
                <w:color w:val="auto"/>
              </w:rPr>
            </w:pPr>
            <w:r>
              <w:rPr>
                <w:rFonts w:ascii="Arial" w:cs="Arial" w:eastAsia="Arial" w:hAnsi="Arial"/>
                <w:sz w:val="11"/>
                <w:szCs w:val="11"/>
                <w:b w:val="1"/>
                <w:bCs w:val="1"/>
                <w:color w:val="FFFFFF"/>
              </w:rPr>
              <w:t>Sep 23</w:t>
            </w:r>
          </w:p>
        </w:tc>
        <w:tc>
          <w:tcPr>
            <w:tcW w:w="1060" w:type="dxa"/>
            <w:vAlign w:val="bottom"/>
            <w:tcBorders>
              <w:bottom w:val="single" w:sz="8" w:color="auto"/>
              <w:right w:val="single" w:sz="8" w:color="auto"/>
            </w:tcBorders>
            <w:shd w:val="clear" w:color="auto" w:fill="33CCCC"/>
          </w:tcPr>
          <w:p>
            <w:pPr>
              <w:jc w:val="center"/>
              <w:spacing w:after="0" w:line="124" w:lineRule="exact"/>
              <w:rPr>
                <w:sz w:val="20"/>
                <w:szCs w:val="20"/>
                <w:color w:val="auto"/>
              </w:rPr>
            </w:pPr>
            <w:r>
              <w:rPr>
                <w:rFonts w:ascii="Arial" w:cs="Arial" w:eastAsia="Arial" w:hAnsi="Arial"/>
                <w:sz w:val="11"/>
                <w:szCs w:val="11"/>
                <w:b w:val="1"/>
                <w:bCs w:val="1"/>
                <w:color w:val="FFFFFF"/>
                <w:w w:val="95"/>
              </w:rPr>
              <w:t>Sep 23/ Sep 22</w:t>
            </w:r>
          </w:p>
        </w:tc>
      </w:tr>
      <w:tr>
        <w:trPr>
          <w:trHeight w:val="110"/>
        </w:trPr>
        <w:tc>
          <w:tcPr>
            <w:tcW w:w="3880" w:type="dxa"/>
            <w:vAlign w:val="bottom"/>
            <w:tcBorders>
              <w:left w:val="single" w:sz="8" w:color="auto"/>
              <w:right w:val="single" w:sz="8" w:color="auto"/>
            </w:tcBorders>
          </w:tcPr>
          <w:p>
            <w:pPr>
              <w:ind w:left="20"/>
              <w:spacing w:after="0" w:line="110" w:lineRule="exact"/>
              <w:rPr>
                <w:sz w:val="20"/>
                <w:szCs w:val="20"/>
                <w:color w:val="auto"/>
              </w:rPr>
            </w:pPr>
            <w:r>
              <w:rPr>
                <w:rFonts w:ascii="Arial" w:cs="Arial" w:eastAsia="Arial" w:hAnsi="Arial"/>
                <w:sz w:val="11"/>
                <w:szCs w:val="11"/>
                <w:b w:val="1"/>
                <w:bCs w:val="1"/>
                <w:color w:val="auto"/>
              </w:rPr>
              <w:t>Interest income and expense</w:t>
            </w:r>
          </w:p>
        </w:tc>
        <w:tc>
          <w:tcPr>
            <w:tcW w:w="1040" w:type="dxa"/>
            <w:vAlign w:val="bottom"/>
          </w:tcPr>
          <w:p>
            <w:pPr>
              <w:spacing w:after="0"/>
              <w:rPr>
                <w:sz w:val="9"/>
                <w:szCs w:val="9"/>
                <w:color w:val="auto"/>
              </w:rPr>
            </w:pPr>
          </w:p>
        </w:tc>
        <w:tc>
          <w:tcPr>
            <w:tcW w:w="940" w:type="dxa"/>
            <w:vAlign w:val="bottom"/>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160" w:type="dxa"/>
            <w:vAlign w:val="bottom"/>
            <w:tcBorders>
              <w:right w:val="single" w:sz="8" w:color="auto"/>
            </w:tcBorders>
          </w:tcPr>
          <w:p>
            <w:pPr>
              <w:spacing w:after="0"/>
              <w:rPr>
                <w:sz w:val="9"/>
                <w:szCs w:val="9"/>
                <w:color w:val="auto"/>
              </w:rPr>
            </w:pPr>
          </w:p>
        </w:tc>
        <w:tc>
          <w:tcPr>
            <w:tcW w:w="1080" w:type="dxa"/>
            <w:vAlign w:val="bottom"/>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1060" w:type="dxa"/>
            <w:vAlign w:val="bottom"/>
            <w:tcBorders>
              <w:right w:val="single" w:sz="8" w:color="auto"/>
            </w:tcBorders>
          </w:tcPr>
          <w:p>
            <w:pPr>
              <w:spacing w:after="0"/>
              <w:rPr>
                <w:sz w:val="9"/>
                <w:szCs w:val="9"/>
                <w:color w:val="auto"/>
              </w:rPr>
            </w:pPr>
          </w:p>
        </w:tc>
      </w:tr>
      <w:tr>
        <w:trPr>
          <w:trHeight w:val="124"/>
        </w:trPr>
        <w:tc>
          <w:tcPr>
            <w:tcW w:w="3880" w:type="dxa"/>
            <w:vAlign w:val="bottom"/>
            <w:tcBorders>
              <w:left w:val="single" w:sz="8" w:color="auto"/>
              <w:right w:val="single" w:sz="8" w:color="auto"/>
            </w:tcBorders>
          </w:tcPr>
          <w:p>
            <w:pPr>
              <w:ind w:left="160"/>
              <w:spacing w:after="0" w:line="124" w:lineRule="exact"/>
              <w:rPr>
                <w:sz w:val="20"/>
                <w:szCs w:val="20"/>
                <w:color w:val="auto"/>
              </w:rPr>
            </w:pPr>
            <w:r>
              <w:rPr>
                <w:rFonts w:ascii="Arial" w:cs="Arial" w:eastAsia="Arial" w:hAnsi="Arial"/>
                <w:sz w:val="11"/>
                <w:szCs w:val="11"/>
                <w:color w:val="auto"/>
              </w:rPr>
              <w:t>Interest and similar income</w:t>
            </w:r>
          </w:p>
        </w:tc>
        <w:tc>
          <w:tcPr>
            <w:tcW w:w="1040" w:type="dxa"/>
            <w:vAlign w:val="bottom"/>
          </w:tcPr>
          <w:p>
            <w:pPr>
              <w:jc w:val="right"/>
              <w:ind w:right="86"/>
              <w:spacing w:after="0" w:line="124" w:lineRule="exact"/>
              <w:rPr>
                <w:sz w:val="20"/>
                <w:szCs w:val="20"/>
                <w:color w:val="auto"/>
              </w:rPr>
            </w:pPr>
            <w:r>
              <w:rPr>
                <w:rFonts w:ascii="Arial" w:cs="Arial" w:eastAsia="Arial" w:hAnsi="Arial"/>
                <w:sz w:val="11"/>
                <w:szCs w:val="11"/>
                <w:color w:val="auto"/>
              </w:rPr>
              <w:t>3,988,684</w:t>
            </w:r>
          </w:p>
        </w:tc>
        <w:tc>
          <w:tcPr>
            <w:tcW w:w="940" w:type="dxa"/>
            <w:vAlign w:val="bottom"/>
          </w:tcPr>
          <w:p>
            <w:pPr>
              <w:jc w:val="right"/>
              <w:ind w:right="106"/>
              <w:spacing w:after="0" w:line="124" w:lineRule="exact"/>
              <w:rPr>
                <w:sz w:val="20"/>
                <w:szCs w:val="20"/>
                <w:color w:val="auto"/>
              </w:rPr>
            </w:pPr>
            <w:r>
              <w:rPr>
                <w:rFonts w:ascii="Arial" w:cs="Arial" w:eastAsia="Arial" w:hAnsi="Arial"/>
                <w:sz w:val="11"/>
                <w:szCs w:val="11"/>
                <w:color w:val="auto"/>
              </w:rPr>
              <w:t>4,653,246</w:t>
            </w:r>
          </w:p>
        </w:tc>
        <w:tc>
          <w:tcPr>
            <w:tcW w:w="78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4,819,101</w:t>
            </w:r>
          </w:p>
        </w:tc>
        <w:tc>
          <w:tcPr>
            <w:tcW w:w="620" w:type="dxa"/>
            <w:vAlign w:val="bottom"/>
          </w:tcPr>
          <w:p>
            <w:pPr>
              <w:jc w:val="center"/>
              <w:ind w:left="166"/>
              <w:spacing w:after="0" w:line="124" w:lineRule="exact"/>
              <w:rPr>
                <w:sz w:val="20"/>
                <w:szCs w:val="20"/>
                <w:color w:val="auto"/>
              </w:rPr>
            </w:pPr>
            <w:r>
              <w:rPr>
                <w:rFonts w:ascii="Arial" w:cs="Arial" w:eastAsia="Arial" w:hAnsi="Arial"/>
                <w:sz w:val="11"/>
                <w:szCs w:val="11"/>
                <w:color w:val="auto"/>
                <w:w w:val="95"/>
              </w:rPr>
              <w:t>3.6%</w:t>
            </w:r>
          </w:p>
        </w:tc>
        <w:tc>
          <w:tcPr>
            <w:tcW w:w="1160" w:type="dxa"/>
            <w:vAlign w:val="bottom"/>
            <w:tcBorders>
              <w:right w:val="single" w:sz="8" w:color="auto"/>
            </w:tcBorders>
          </w:tcPr>
          <w:p>
            <w:pPr>
              <w:jc w:val="center"/>
              <w:ind w:left="166"/>
              <w:spacing w:after="0" w:line="124" w:lineRule="exact"/>
              <w:rPr>
                <w:sz w:val="20"/>
                <w:szCs w:val="20"/>
                <w:color w:val="auto"/>
              </w:rPr>
            </w:pPr>
            <w:r>
              <w:rPr>
                <w:rFonts w:ascii="Arial" w:cs="Arial" w:eastAsia="Arial" w:hAnsi="Arial"/>
                <w:sz w:val="11"/>
                <w:szCs w:val="11"/>
                <w:color w:val="auto"/>
                <w:w w:val="96"/>
              </w:rPr>
              <w:t>20.8%</w:t>
            </w:r>
          </w:p>
        </w:tc>
        <w:tc>
          <w:tcPr>
            <w:tcW w:w="1080" w:type="dxa"/>
            <w:vAlign w:val="bottom"/>
          </w:tcPr>
          <w:p>
            <w:pPr>
              <w:jc w:val="right"/>
              <w:ind w:right="166"/>
              <w:spacing w:after="0" w:line="124" w:lineRule="exact"/>
              <w:rPr>
                <w:sz w:val="20"/>
                <w:szCs w:val="20"/>
                <w:color w:val="auto"/>
              </w:rPr>
            </w:pPr>
            <w:r>
              <w:rPr>
                <w:rFonts w:ascii="Arial" w:cs="Arial" w:eastAsia="Arial" w:hAnsi="Arial"/>
                <w:sz w:val="11"/>
                <w:szCs w:val="11"/>
                <w:color w:val="auto"/>
              </w:rPr>
              <w:t>10,649,143</w:t>
            </w:r>
          </w:p>
        </w:tc>
        <w:tc>
          <w:tcPr>
            <w:tcW w:w="70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13,928,453</w:t>
            </w:r>
          </w:p>
        </w:tc>
        <w:tc>
          <w:tcPr>
            <w:tcW w:w="106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6"/>
              </w:rPr>
              <w:t>30.8%</w:t>
            </w:r>
          </w:p>
        </w:tc>
      </w:tr>
      <w:tr>
        <w:trPr>
          <w:trHeight w:val="120"/>
        </w:trPr>
        <w:tc>
          <w:tcPr>
            <w:tcW w:w="3880" w:type="dxa"/>
            <w:vAlign w:val="bottom"/>
            <w:tcBorders>
              <w:left w:val="single" w:sz="8" w:color="auto"/>
              <w:right w:val="single" w:sz="8" w:color="auto"/>
            </w:tcBorders>
          </w:tcPr>
          <w:p>
            <w:pPr>
              <w:ind w:left="160"/>
              <w:spacing w:after="0" w:line="120" w:lineRule="exact"/>
              <w:rPr>
                <w:sz w:val="20"/>
                <w:szCs w:val="20"/>
                <w:color w:val="auto"/>
              </w:rPr>
            </w:pPr>
            <w:r>
              <w:rPr>
                <w:rFonts w:ascii="Arial" w:cs="Arial" w:eastAsia="Arial" w:hAnsi="Arial"/>
                <w:sz w:val="11"/>
                <w:szCs w:val="11"/>
                <w:color w:val="auto"/>
              </w:rPr>
              <w:t>Interest and similar expenses</w:t>
            </w:r>
          </w:p>
        </w:tc>
        <w:tc>
          <w:tcPr>
            <w:tcW w:w="1040" w:type="dxa"/>
            <w:vAlign w:val="bottom"/>
          </w:tcPr>
          <w:p>
            <w:pPr>
              <w:jc w:val="right"/>
              <w:ind w:right="86"/>
              <w:spacing w:after="0" w:line="120" w:lineRule="exact"/>
              <w:rPr>
                <w:sz w:val="20"/>
                <w:szCs w:val="20"/>
                <w:color w:val="auto"/>
              </w:rPr>
            </w:pPr>
            <w:r>
              <w:rPr>
                <w:rFonts w:ascii="Arial" w:cs="Arial" w:eastAsia="Arial" w:hAnsi="Arial"/>
                <w:sz w:val="11"/>
                <w:szCs w:val="11"/>
                <w:color w:val="auto"/>
              </w:rPr>
              <w:t>(1,106,283)</w:t>
            </w:r>
          </w:p>
        </w:tc>
        <w:tc>
          <w:tcPr>
            <w:tcW w:w="940" w:type="dxa"/>
            <w:vAlign w:val="bottom"/>
          </w:tcPr>
          <w:p>
            <w:pPr>
              <w:jc w:val="right"/>
              <w:ind w:right="106"/>
              <w:spacing w:after="0" w:line="120" w:lineRule="exact"/>
              <w:rPr>
                <w:sz w:val="20"/>
                <w:szCs w:val="20"/>
                <w:color w:val="auto"/>
              </w:rPr>
            </w:pPr>
            <w:r>
              <w:rPr>
                <w:rFonts w:ascii="Arial" w:cs="Arial" w:eastAsia="Arial" w:hAnsi="Arial"/>
                <w:sz w:val="11"/>
                <w:szCs w:val="11"/>
                <w:color w:val="auto"/>
              </w:rPr>
              <w:t>(1,449,090)</w:t>
            </w:r>
          </w:p>
        </w:tc>
        <w:tc>
          <w:tcPr>
            <w:tcW w:w="780" w:type="dxa"/>
            <w:vAlign w:val="bottom"/>
            <w:tcBorders>
              <w:right w:val="single" w:sz="8" w:color="auto"/>
            </w:tcBorders>
          </w:tcPr>
          <w:p>
            <w:pPr>
              <w:jc w:val="right"/>
              <w:spacing w:after="0" w:line="120" w:lineRule="exact"/>
              <w:rPr>
                <w:sz w:val="20"/>
                <w:szCs w:val="20"/>
                <w:color w:val="auto"/>
              </w:rPr>
            </w:pPr>
            <w:r>
              <w:rPr>
                <w:rFonts w:ascii="Arial" w:cs="Arial" w:eastAsia="Arial" w:hAnsi="Arial"/>
                <w:sz w:val="11"/>
                <w:szCs w:val="11"/>
                <w:color w:val="auto"/>
              </w:rPr>
              <w:t>(1,565,058)</w:t>
            </w:r>
          </w:p>
        </w:tc>
        <w:tc>
          <w:tcPr>
            <w:tcW w:w="620" w:type="dxa"/>
            <w:vAlign w:val="bottom"/>
          </w:tcPr>
          <w:p>
            <w:pPr>
              <w:jc w:val="center"/>
              <w:ind w:left="166"/>
              <w:spacing w:after="0" w:line="120" w:lineRule="exact"/>
              <w:rPr>
                <w:sz w:val="20"/>
                <w:szCs w:val="20"/>
                <w:color w:val="auto"/>
              </w:rPr>
            </w:pPr>
            <w:r>
              <w:rPr>
                <w:rFonts w:ascii="Arial" w:cs="Arial" w:eastAsia="Arial" w:hAnsi="Arial"/>
                <w:sz w:val="11"/>
                <w:szCs w:val="11"/>
                <w:color w:val="auto"/>
                <w:w w:val="95"/>
              </w:rPr>
              <w:t>8.0%</w:t>
            </w:r>
          </w:p>
        </w:tc>
        <w:tc>
          <w:tcPr>
            <w:tcW w:w="1160" w:type="dxa"/>
            <w:vAlign w:val="bottom"/>
            <w:tcBorders>
              <w:right w:val="single" w:sz="8" w:color="auto"/>
            </w:tcBorders>
          </w:tcPr>
          <w:p>
            <w:pPr>
              <w:jc w:val="center"/>
              <w:ind w:left="166"/>
              <w:spacing w:after="0" w:line="120" w:lineRule="exact"/>
              <w:rPr>
                <w:sz w:val="20"/>
                <w:szCs w:val="20"/>
                <w:color w:val="auto"/>
              </w:rPr>
            </w:pPr>
            <w:r>
              <w:rPr>
                <w:rFonts w:ascii="Arial" w:cs="Arial" w:eastAsia="Arial" w:hAnsi="Arial"/>
                <w:sz w:val="11"/>
                <w:szCs w:val="11"/>
                <w:color w:val="auto"/>
                <w:w w:val="96"/>
              </w:rPr>
              <w:t>41.5%</w:t>
            </w:r>
          </w:p>
        </w:tc>
        <w:tc>
          <w:tcPr>
            <w:tcW w:w="1080" w:type="dxa"/>
            <w:vAlign w:val="bottom"/>
          </w:tcPr>
          <w:p>
            <w:pPr>
              <w:jc w:val="right"/>
              <w:ind w:right="166"/>
              <w:spacing w:after="0" w:line="120" w:lineRule="exact"/>
              <w:rPr>
                <w:sz w:val="20"/>
                <w:szCs w:val="20"/>
                <w:color w:val="auto"/>
              </w:rPr>
            </w:pPr>
            <w:r>
              <w:rPr>
                <w:rFonts w:ascii="Arial" w:cs="Arial" w:eastAsia="Arial" w:hAnsi="Arial"/>
                <w:sz w:val="11"/>
                <w:szCs w:val="11"/>
                <w:color w:val="auto"/>
              </w:rPr>
              <w:t>(2,697,929)</w:t>
            </w:r>
          </w:p>
        </w:tc>
        <w:tc>
          <w:tcPr>
            <w:tcW w:w="700" w:type="dxa"/>
            <w:vAlign w:val="bottom"/>
            <w:tcBorders>
              <w:right w:val="single" w:sz="8" w:color="auto"/>
            </w:tcBorders>
          </w:tcPr>
          <w:p>
            <w:pPr>
              <w:jc w:val="right"/>
              <w:spacing w:after="0" w:line="120" w:lineRule="exact"/>
              <w:rPr>
                <w:sz w:val="20"/>
                <w:szCs w:val="20"/>
                <w:color w:val="auto"/>
              </w:rPr>
            </w:pPr>
            <w:r>
              <w:rPr>
                <w:rFonts w:ascii="Arial" w:cs="Arial" w:eastAsia="Arial" w:hAnsi="Arial"/>
                <w:sz w:val="11"/>
                <w:szCs w:val="11"/>
                <w:color w:val="auto"/>
              </w:rPr>
              <w:t>(4,338,165)</w:t>
            </w:r>
          </w:p>
        </w:tc>
        <w:tc>
          <w:tcPr>
            <w:tcW w:w="1060" w:type="dxa"/>
            <w:vAlign w:val="bottom"/>
            <w:tcBorders>
              <w:right w:val="single" w:sz="8" w:color="auto"/>
            </w:tcBorders>
          </w:tcPr>
          <w:p>
            <w:pPr>
              <w:jc w:val="center"/>
              <w:spacing w:after="0" w:line="120" w:lineRule="exact"/>
              <w:rPr>
                <w:sz w:val="20"/>
                <w:szCs w:val="20"/>
                <w:color w:val="auto"/>
              </w:rPr>
            </w:pPr>
            <w:r>
              <w:rPr>
                <w:rFonts w:ascii="Arial" w:cs="Arial" w:eastAsia="Arial" w:hAnsi="Arial"/>
                <w:sz w:val="11"/>
                <w:szCs w:val="11"/>
                <w:color w:val="auto"/>
                <w:w w:val="96"/>
              </w:rPr>
              <w:t>60.8%</w:t>
            </w:r>
          </w:p>
        </w:tc>
      </w:tr>
      <w:tr>
        <w:trPr>
          <w:trHeight w:val="149"/>
        </w:trPr>
        <w:tc>
          <w:tcPr>
            <w:tcW w:w="38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1"/>
                <w:szCs w:val="11"/>
                <w:b w:val="1"/>
                <w:bCs w:val="1"/>
                <w:color w:val="auto"/>
              </w:rPr>
              <w:t>Net interest, similar income and expenses</w:t>
            </w:r>
          </w:p>
        </w:tc>
        <w:tc>
          <w:tcPr>
            <w:tcW w:w="1040" w:type="dxa"/>
            <w:vAlign w:val="bottom"/>
          </w:tcPr>
          <w:p>
            <w:pPr>
              <w:jc w:val="right"/>
              <w:ind w:right="86"/>
              <w:spacing w:after="0"/>
              <w:rPr>
                <w:sz w:val="20"/>
                <w:szCs w:val="20"/>
                <w:color w:val="auto"/>
              </w:rPr>
            </w:pPr>
            <w:r>
              <w:rPr>
                <w:rFonts w:ascii="Arial" w:cs="Arial" w:eastAsia="Arial" w:hAnsi="Arial"/>
                <w:sz w:val="11"/>
                <w:szCs w:val="11"/>
                <w:b w:val="1"/>
                <w:bCs w:val="1"/>
                <w:color w:val="auto"/>
              </w:rPr>
              <w:t>2,882,401</w:t>
            </w:r>
          </w:p>
        </w:tc>
        <w:tc>
          <w:tcPr>
            <w:tcW w:w="940" w:type="dxa"/>
            <w:vAlign w:val="bottom"/>
          </w:tcPr>
          <w:p>
            <w:pPr>
              <w:jc w:val="right"/>
              <w:ind w:right="106"/>
              <w:spacing w:after="0"/>
              <w:rPr>
                <w:sz w:val="20"/>
                <w:szCs w:val="20"/>
                <w:color w:val="auto"/>
              </w:rPr>
            </w:pPr>
            <w:r>
              <w:rPr>
                <w:rFonts w:ascii="Arial" w:cs="Arial" w:eastAsia="Arial" w:hAnsi="Arial"/>
                <w:sz w:val="11"/>
                <w:szCs w:val="11"/>
                <w:b w:val="1"/>
                <w:bCs w:val="1"/>
                <w:color w:val="auto"/>
              </w:rPr>
              <w:t>3,204,156</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1"/>
                <w:szCs w:val="11"/>
                <w:b w:val="1"/>
                <w:bCs w:val="1"/>
                <w:color w:val="auto"/>
              </w:rPr>
              <w:t>3,254,043</w:t>
            </w:r>
          </w:p>
        </w:tc>
        <w:tc>
          <w:tcPr>
            <w:tcW w:w="620" w:type="dxa"/>
            <w:vAlign w:val="bottom"/>
          </w:tcPr>
          <w:p>
            <w:pPr>
              <w:jc w:val="center"/>
              <w:ind w:left="166"/>
              <w:spacing w:after="0"/>
              <w:rPr>
                <w:sz w:val="20"/>
                <w:szCs w:val="20"/>
                <w:color w:val="auto"/>
              </w:rPr>
            </w:pPr>
            <w:r>
              <w:rPr>
                <w:rFonts w:ascii="Arial" w:cs="Arial" w:eastAsia="Arial" w:hAnsi="Arial"/>
                <w:sz w:val="11"/>
                <w:szCs w:val="11"/>
                <w:b w:val="1"/>
                <w:bCs w:val="1"/>
                <w:color w:val="auto"/>
                <w:w w:val="95"/>
              </w:rPr>
              <w:t>1.6%</w:t>
            </w:r>
          </w:p>
        </w:tc>
        <w:tc>
          <w:tcPr>
            <w:tcW w:w="1160" w:type="dxa"/>
            <w:vAlign w:val="bottom"/>
            <w:tcBorders>
              <w:right w:val="single" w:sz="8" w:color="auto"/>
            </w:tcBorders>
          </w:tcPr>
          <w:p>
            <w:pPr>
              <w:jc w:val="center"/>
              <w:ind w:left="166"/>
              <w:spacing w:after="0"/>
              <w:rPr>
                <w:sz w:val="20"/>
                <w:szCs w:val="20"/>
                <w:color w:val="auto"/>
              </w:rPr>
            </w:pPr>
            <w:r>
              <w:rPr>
                <w:rFonts w:ascii="Arial" w:cs="Arial" w:eastAsia="Arial" w:hAnsi="Arial"/>
                <w:sz w:val="11"/>
                <w:szCs w:val="11"/>
                <w:b w:val="1"/>
                <w:bCs w:val="1"/>
                <w:color w:val="auto"/>
                <w:w w:val="96"/>
              </w:rPr>
              <w:t>12.9%</w:t>
            </w:r>
          </w:p>
        </w:tc>
        <w:tc>
          <w:tcPr>
            <w:tcW w:w="1080" w:type="dxa"/>
            <w:vAlign w:val="bottom"/>
          </w:tcPr>
          <w:p>
            <w:pPr>
              <w:jc w:val="right"/>
              <w:ind w:right="166"/>
              <w:spacing w:after="0"/>
              <w:rPr>
                <w:sz w:val="20"/>
                <w:szCs w:val="20"/>
                <w:color w:val="auto"/>
              </w:rPr>
            </w:pPr>
            <w:r>
              <w:rPr>
                <w:rFonts w:ascii="Arial" w:cs="Arial" w:eastAsia="Arial" w:hAnsi="Arial"/>
                <w:sz w:val="11"/>
                <w:szCs w:val="11"/>
                <w:b w:val="1"/>
                <w:bCs w:val="1"/>
                <w:color w:val="auto"/>
              </w:rPr>
              <w:t>7,951,214</w:t>
            </w: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1"/>
                <w:szCs w:val="11"/>
                <w:b w:val="1"/>
                <w:bCs w:val="1"/>
                <w:color w:val="auto"/>
              </w:rPr>
              <w:t>9,590,288</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20.6%</w:t>
            </w:r>
          </w:p>
        </w:tc>
      </w:tr>
      <w:tr>
        <w:trPr>
          <w:trHeight w:val="226"/>
        </w:trPr>
        <w:tc>
          <w:tcPr>
            <w:tcW w:w="38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Gross provision for credit losses on loan portfolio</w:t>
            </w:r>
          </w:p>
        </w:tc>
        <w:tc>
          <w:tcPr>
            <w:tcW w:w="1040" w:type="dxa"/>
            <w:vAlign w:val="bottom"/>
          </w:tcPr>
          <w:p>
            <w:pPr>
              <w:jc w:val="right"/>
              <w:ind w:right="86"/>
              <w:spacing w:after="0"/>
              <w:rPr>
                <w:sz w:val="20"/>
                <w:szCs w:val="20"/>
                <w:color w:val="auto"/>
              </w:rPr>
            </w:pPr>
            <w:r>
              <w:rPr>
                <w:rFonts w:ascii="Arial" w:cs="Arial" w:eastAsia="Arial" w:hAnsi="Arial"/>
                <w:sz w:val="11"/>
                <w:szCs w:val="11"/>
                <w:color w:val="auto"/>
              </w:rPr>
              <w:t>(545,249)</w:t>
            </w:r>
          </w:p>
        </w:tc>
        <w:tc>
          <w:tcPr>
            <w:tcW w:w="940" w:type="dxa"/>
            <w:vAlign w:val="bottom"/>
          </w:tcPr>
          <w:p>
            <w:pPr>
              <w:jc w:val="right"/>
              <w:ind w:right="106"/>
              <w:spacing w:after="0"/>
              <w:rPr>
                <w:sz w:val="20"/>
                <w:szCs w:val="20"/>
                <w:color w:val="auto"/>
              </w:rPr>
            </w:pPr>
            <w:r>
              <w:rPr>
                <w:rFonts w:ascii="Arial" w:cs="Arial" w:eastAsia="Arial" w:hAnsi="Arial"/>
                <w:sz w:val="11"/>
                <w:szCs w:val="11"/>
                <w:color w:val="auto"/>
              </w:rPr>
              <w:t>(886,123)</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(1,008,750)</w:t>
            </w:r>
          </w:p>
        </w:tc>
        <w:tc>
          <w:tcPr>
            <w:tcW w:w="620" w:type="dxa"/>
            <w:vAlign w:val="bottom"/>
          </w:tcPr>
          <w:p>
            <w:pPr>
              <w:jc w:val="center"/>
              <w:ind w:left="186"/>
              <w:spacing w:after="0"/>
              <w:rPr>
                <w:sz w:val="20"/>
                <w:szCs w:val="20"/>
                <w:color w:val="auto"/>
              </w:rPr>
            </w:pPr>
            <w:r>
              <w:rPr>
                <w:rFonts w:ascii="Arial" w:cs="Arial" w:eastAsia="Arial" w:hAnsi="Arial"/>
                <w:sz w:val="11"/>
                <w:szCs w:val="11"/>
                <w:color w:val="auto"/>
                <w:w w:val="96"/>
              </w:rPr>
              <w:t>13.8%</w:t>
            </w:r>
          </w:p>
        </w:tc>
        <w:tc>
          <w:tcPr>
            <w:tcW w:w="1160" w:type="dxa"/>
            <w:vAlign w:val="bottom"/>
            <w:tcBorders>
              <w:right w:val="single" w:sz="8" w:color="auto"/>
            </w:tcBorders>
          </w:tcPr>
          <w:p>
            <w:pPr>
              <w:jc w:val="center"/>
              <w:ind w:left="166"/>
              <w:spacing w:after="0"/>
              <w:rPr>
                <w:sz w:val="20"/>
                <w:szCs w:val="20"/>
                <w:color w:val="auto"/>
              </w:rPr>
            </w:pPr>
            <w:r>
              <w:rPr>
                <w:rFonts w:ascii="Arial" w:cs="Arial" w:eastAsia="Arial" w:hAnsi="Arial"/>
                <w:sz w:val="11"/>
                <w:szCs w:val="11"/>
                <w:color w:val="auto"/>
                <w:w w:val="96"/>
              </w:rPr>
              <w:t>85.0%</w:t>
            </w:r>
          </w:p>
        </w:tc>
        <w:tc>
          <w:tcPr>
            <w:tcW w:w="1080" w:type="dxa"/>
            <w:vAlign w:val="bottom"/>
          </w:tcPr>
          <w:p>
            <w:pPr>
              <w:jc w:val="right"/>
              <w:ind w:right="166"/>
              <w:spacing w:after="0"/>
              <w:rPr>
                <w:sz w:val="20"/>
                <w:szCs w:val="20"/>
                <w:color w:val="auto"/>
              </w:rPr>
            </w:pPr>
            <w:r>
              <w:rPr>
                <w:rFonts w:ascii="Arial" w:cs="Arial" w:eastAsia="Arial" w:hAnsi="Arial"/>
                <w:sz w:val="11"/>
                <w:szCs w:val="11"/>
                <w:color w:val="auto"/>
              </w:rPr>
              <w:t>(1,342,966)</w:t>
            </w: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(2,696,980)</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6"/>
              </w:rPr>
              <w:t>100.8%</w:t>
            </w:r>
          </w:p>
        </w:tc>
      </w:tr>
      <w:tr>
        <w:trPr>
          <w:trHeight w:val="120"/>
        </w:trPr>
        <w:tc>
          <w:tcPr>
            <w:tcW w:w="3880" w:type="dxa"/>
            <w:vAlign w:val="bottom"/>
            <w:tcBorders>
              <w:left w:val="single" w:sz="8" w:color="auto"/>
              <w:right w:val="single" w:sz="8" w:color="auto"/>
            </w:tcBorders>
          </w:tcPr>
          <w:p>
            <w:pPr>
              <w:ind w:left="20"/>
              <w:spacing w:after="0" w:line="120" w:lineRule="exact"/>
              <w:rPr>
                <w:sz w:val="20"/>
                <w:szCs w:val="20"/>
                <w:color w:val="auto"/>
              </w:rPr>
            </w:pPr>
            <w:r>
              <w:rPr>
                <w:rFonts w:ascii="Arial" w:cs="Arial" w:eastAsia="Arial" w:hAnsi="Arial"/>
                <w:sz w:val="11"/>
                <w:szCs w:val="11"/>
                <w:color w:val="auto"/>
              </w:rPr>
              <w:t>Recoveries of written-off loans</w:t>
            </w:r>
          </w:p>
        </w:tc>
        <w:tc>
          <w:tcPr>
            <w:tcW w:w="1040" w:type="dxa"/>
            <w:vAlign w:val="bottom"/>
          </w:tcPr>
          <w:p>
            <w:pPr>
              <w:jc w:val="right"/>
              <w:ind w:right="86"/>
              <w:spacing w:after="0" w:line="120" w:lineRule="exact"/>
              <w:rPr>
                <w:sz w:val="20"/>
                <w:szCs w:val="20"/>
                <w:color w:val="auto"/>
              </w:rPr>
            </w:pPr>
            <w:r>
              <w:rPr>
                <w:rFonts w:ascii="Arial" w:cs="Arial" w:eastAsia="Arial" w:hAnsi="Arial"/>
                <w:sz w:val="11"/>
                <w:szCs w:val="11"/>
                <w:color w:val="auto"/>
              </w:rPr>
              <w:t>85,273</w:t>
            </w:r>
          </w:p>
        </w:tc>
        <w:tc>
          <w:tcPr>
            <w:tcW w:w="940" w:type="dxa"/>
            <w:vAlign w:val="bottom"/>
          </w:tcPr>
          <w:p>
            <w:pPr>
              <w:jc w:val="right"/>
              <w:ind w:right="106"/>
              <w:spacing w:after="0" w:line="120" w:lineRule="exact"/>
              <w:rPr>
                <w:sz w:val="20"/>
                <w:szCs w:val="20"/>
                <w:color w:val="auto"/>
              </w:rPr>
            </w:pPr>
            <w:r>
              <w:rPr>
                <w:rFonts w:ascii="Arial" w:cs="Arial" w:eastAsia="Arial" w:hAnsi="Arial"/>
                <w:sz w:val="11"/>
                <w:szCs w:val="11"/>
                <w:color w:val="auto"/>
              </w:rPr>
              <w:t>81,872</w:t>
            </w:r>
          </w:p>
        </w:tc>
        <w:tc>
          <w:tcPr>
            <w:tcW w:w="780" w:type="dxa"/>
            <w:vAlign w:val="bottom"/>
            <w:tcBorders>
              <w:right w:val="single" w:sz="8" w:color="auto"/>
            </w:tcBorders>
          </w:tcPr>
          <w:p>
            <w:pPr>
              <w:jc w:val="right"/>
              <w:spacing w:after="0" w:line="120" w:lineRule="exact"/>
              <w:rPr>
                <w:sz w:val="20"/>
                <w:szCs w:val="20"/>
                <w:color w:val="auto"/>
              </w:rPr>
            </w:pPr>
            <w:r>
              <w:rPr>
                <w:rFonts w:ascii="Arial" w:cs="Arial" w:eastAsia="Arial" w:hAnsi="Arial"/>
                <w:sz w:val="11"/>
                <w:szCs w:val="11"/>
                <w:color w:val="auto"/>
              </w:rPr>
              <w:t>91,108</w:t>
            </w:r>
          </w:p>
        </w:tc>
        <w:tc>
          <w:tcPr>
            <w:tcW w:w="620" w:type="dxa"/>
            <w:vAlign w:val="bottom"/>
          </w:tcPr>
          <w:p>
            <w:pPr>
              <w:jc w:val="center"/>
              <w:ind w:left="186"/>
              <w:spacing w:after="0" w:line="120" w:lineRule="exact"/>
              <w:rPr>
                <w:sz w:val="20"/>
                <w:szCs w:val="20"/>
                <w:color w:val="auto"/>
              </w:rPr>
            </w:pPr>
            <w:r>
              <w:rPr>
                <w:rFonts w:ascii="Arial" w:cs="Arial" w:eastAsia="Arial" w:hAnsi="Arial"/>
                <w:sz w:val="11"/>
                <w:szCs w:val="11"/>
                <w:color w:val="auto"/>
                <w:w w:val="96"/>
              </w:rPr>
              <w:t>11.3%</w:t>
            </w:r>
          </w:p>
        </w:tc>
        <w:tc>
          <w:tcPr>
            <w:tcW w:w="1160" w:type="dxa"/>
            <w:vAlign w:val="bottom"/>
            <w:tcBorders>
              <w:right w:val="single" w:sz="8" w:color="auto"/>
            </w:tcBorders>
          </w:tcPr>
          <w:p>
            <w:pPr>
              <w:jc w:val="center"/>
              <w:ind w:left="166"/>
              <w:spacing w:after="0" w:line="120" w:lineRule="exact"/>
              <w:rPr>
                <w:sz w:val="20"/>
                <w:szCs w:val="20"/>
                <w:color w:val="auto"/>
              </w:rPr>
            </w:pPr>
            <w:r>
              <w:rPr>
                <w:rFonts w:ascii="Arial" w:cs="Arial" w:eastAsia="Arial" w:hAnsi="Arial"/>
                <w:sz w:val="11"/>
                <w:szCs w:val="11"/>
                <w:color w:val="auto"/>
              </w:rPr>
              <w:t>6.8%</w:t>
            </w:r>
          </w:p>
        </w:tc>
        <w:tc>
          <w:tcPr>
            <w:tcW w:w="1080" w:type="dxa"/>
            <w:vAlign w:val="bottom"/>
          </w:tcPr>
          <w:p>
            <w:pPr>
              <w:jc w:val="right"/>
              <w:ind w:right="166"/>
              <w:spacing w:after="0" w:line="120" w:lineRule="exact"/>
              <w:rPr>
                <w:sz w:val="20"/>
                <w:szCs w:val="20"/>
                <w:color w:val="auto"/>
              </w:rPr>
            </w:pPr>
            <w:r>
              <w:rPr>
                <w:rFonts w:ascii="Arial" w:cs="Arial" w:eastAsia="Arial" w:hAnsi="Arial"/>
                <w:sz w:val="11"/>
                <w:szCs w:val="11"/>
                <w:color w:val="auto"/>
              </w:rPr>
              <w:t>262,109</w:t>
            </w:r>
          </w:p>
        </w:tc>
        <w:tc>
          <w:tcPr>
            <w:tcW w:w="700" w:type="dxa"/>
            <w:vAlign w:val="bottom"/>
            <w:tcBorders>
              <w:right w:val="single" w:sz="8" w:color="auto"/>
            </w:tcBorders>
          </w:tcPr>
          <w:p>
            <w:pPr>
              <w:jc w:val="right"/>
              <w:spacing w:after="0" w:line="120" w:lineRule="exact"/>
              <w:rPr>
                <w:sz w:val="20"/>
                <w:szCs w:val="20"/>
                <w:color w:val="auto"/>
              </w:rPr>
            </w:pPr>
            <w:r>
              <w:rPr>
                <w:rFonts w:ascii="Arial" w:cs="Arial" w:eastAsia="Arial" w:hAnsi="Arial"/>
                <w:sz w:val="11"/>
                <w:szCs w:val="11"/>
                <w:color w:val="auto"/>
              </w:rPr>
              <w:t>248,089</w:t>
            </w:r>
          </w:p>
        </w:tc>
        <w:tc>
          <w:tcPr>
            <w:tcW w:w="1060" w:type="dxa"/>
            <w:vAlign w:val="bottom"/>
            <w:tcBorders>
              <w:right w:val="single" w:sz="8" w:color="auto"/>
            </w:tcBorders>
          </w:tcPr>
          <w:p>
            <w:pPr>
              <w:jc w:val="center"/>
              <w:spacing w:after="0" w:line="120" w:lineRule="exact"/>
              <w:rPr>
                <w:sz w:val="20"/>
                <w:szCs w:val="20"/>
                <w:color w:val="auto"/>
              </w:rPr>
            </w:pPr>
            <w:r>
              <w:rPr>
                <w:rFonts w:ascii="Arial" w:cs="Arial" w:eastAsia="Arial" w:hAnsi="Arial"/>
                <w:sz w:val="11"/>
                <w:szCs w:val="11"/>
                <w:color w:val="auto"/>
                <w:w w:val="97"/>
              </w:rPr>
              <w:t>-5.3%</w:t>
            </w:r>
          </w:p>
        </w:tc>
      </w:tr>
      <w:tr>
        <w:trPr>
          <w:trHeight w:val="124"/>
        </w:trPr>
        <w:tc>
          <w:tcPr>
            <w:tcW w:w="3880" w:type="dxa"/>
            <w:vAlign w:val="bottom"/>
            <w:tcBorders>
              <w:left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b w:val="1"/>
                <w:bCs w:val="1"/>
                <w:color w:val="auto"/>
              </w:rPr>
              <w:t>Provision for credit losses on loan portfolio, net of recoveries</w:t>
            </w:r>
          </w:p>
        </w:tc>
        <w:tc>
          <w:tcPr>
            <w:tcW w:w="1040" w:type="dxa"/>
            <w:vAlign w:val="bottom"/>
          </w:tcPr>
          <w:p>
            <w:pPr>
              <w:jc w:val="right"/>
              <w:ind w:right="86"/>
              <w:spacing w:after="0" w:line="124" w:lineRule="exact"/>
              <w:rPr>
                <w:sz w:val="20"/>
                <w:szCs w:val="20"/>
                <w:color w:val="auto"/>
              </w:rPr>
            </w:pPr>
            <w:r>
              <w:rPr>
                <w:rFonts w:ascii="Arial" w:cs="Arial" w:eastAsia="Arial" w:hAnsi="Arial"/>
                <w:sz w:val="11"/>
                <w:szCs w:val="11"/>
                <w:b w:val="1"/>
                <w:bCs w:val="1"/>
                <w:color w:val="auto"/>
              </w:rPr>
              <w:t>(459,976)</w:t>
            </w:r>
          </w:p>
        </w:tc>
        <w:tc>
          <w:tcPr>
            <w:tcW w:w="940" w:type="dxa"/>
            <w:vAlign w:val="bottom"/>
          </w:tcPr>
          <w:p>
            <w:pPr>
              <w:jc w:val="right"/>
              <w:ind w:right="106"/>
              <w:spacing w:after="0" w:line="124" w:lineRule="exact"/>
              <w:rPr>
                <w:sz w:val="20"/>
                <w:szCs w:val="20"/>
                <w:color w:val="auto"/>
              </w:rPr>
            </w:pPr>
            <w:r>
              <w:rPr>
                <w:rFonts w:ascii="Arial" w:cs="Arial" w:eastAsia="Arial" w:hAnsi="Arial"/>
                <w:sz w:val="11"/>
                <w:szCs w:val="11"/>
                <w:b w:val="1"/>
                <w:bCs w:val="1"/>
                <w:color w:val="auto"/>
              </w:rPr>
              <w:t>(804,251)</w:t>
            </w:r>
          </w:p>
        </w:tc>
        <w:tc>
          <w:tcPr>
            <w:tcW w:w="78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1"/>
                <w:szCs w:val="11"/>
                <w:b w:val="1"/>
                <w:bCs w:val="1"/>
                <w:color w:val="auto"/>
              </w:rPr>
              <w:t>(917,642)</w:t>
            </w:r>
          </w:p>
        </w:tc>
        <w:tc>
          <w:tcPr>
            <w:tcW w:w="620" w:type="dxa"/>
            <w:vAlign w:val="bottom"/>
          </w:tcPr>
          <w:p>
            <w:pPr>
              <w:jc w:val="center"/>
              <w:ind w:left="186"/>
              <w:spacing w:after="0" w:line="124" w:lineRule="exact"/>
              <w:rPr>
                <w:sz w:val="20"/>
                <w:szCs w:val="20"/>
                <w:color w:val="auto"/>
              </w:rPr>
            </w:pPr>
            <w:r>
              <w:rPr>
                <w:rFonts w:ascii="Arial" w:cs="Arial" w:eastAsia="Arial" w:hAnsi="Arial"/>
                <w:sz w:val="11"/>
                <w:szCs w:val="11"/>
                <w:b w:val="1"/>
                <w:bCs w:val="1"/>
                <w:color w:val="auto"/>
                <w:w w:val="96"/>
              </w:rPr>
              <w:t>14.1%</w:t>
            </w:r>
          </w:p>
        </w:tc>
        <w:tc>
          <w:tcPr>
            <w:tcW w:w="1160" w:type="dxa"/>
            <w:vAlign w:val="bottom"/>
            <w:tcBorders>
              <w:right w:val="single" w:sz="8" w:color="auto"/>
            </w:tcBorders>
          </w:tcPr>
          <w:p>
            <w:pPr>
              <w:jc w:val="center"/>
              <w:ind w:left="166"/>
              <w:spacing w:after="0" w:line="124" w:lineRule="exact"/>
              <w:rPr>
                <w:sz w:val="20"/>
                <w:szCs w:val="20"/>
                <w:color w:val="auto"/>
              </w:rPr>
            </w:pPr>
            <w:r>
              <w:rPr>
                <w:rFonts w:ascii="Arial" w:cs="Arial" w:eastAsia="Arial" w:hAnsi="Arial"/>
                <w:sz w:val="11"/>
                <w:szCs w:val="11"/>
                <w:b w:val="1"/>
                <w:bCs w:val="1"/>
                <w:color w:val="auto"/>
                <w:w w:val="96"/>
              </w:rPr>
              <w:t>99.5%</w:t>
            </w:r>
          </w:p>
        </w:tc>
        <w:tc>
          <w:tcPr>
            <w:tcW w:w="1080" w:type="dxa"/>
            <w:vAlign w:val="bottom"/>
          </w:tcPr>
          <w:p>
            <w:pPr>
              <w:jc w:val="right"/>
              <w:ind w:right="166"/>
              <w:spacing w:after="0" w:line="124" w:lineRule="exact"/>
              <w:rPr>
                <w:sz w:val="20"/>
                <w:szCs w:val="20"/>
                <w:color w:val="auto"/>
              </w:rPr>
            </w:pPr>
            <w:r>
              <w:rPr>
                <w:rFonts w:ascii="Arial" w:cs="Arial" w:eastAsia="Arial" w:hAnsi="Arial"/>
                <w:sz w:val="11"/>
                <w:szCs w:val="11"/>
                <w:b w:val="1"/>
                <w:bCs w:val="1"/>
                <w:color w:val="auto"/>
              </w:rPr>
              <w:t>(1,080,857)</w:t>
            </w:r>
          </w:p>
        </w:tc>
        <w:tc>
          <w:tcPr>
            <w:tcW w:w="70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1"/>
                <w:szCs w:val="11"/>
                <w:b w:val="1"/>
                <w:bCs w:val="1"/>
                <w:color w:val="auto"/>
              </w:rPr>
              <w:t>(2,448,891)</w:t>
            </w:r>
          </w:p>
        </w:tc>
        <w:tc>
          <w:tcPr>
            <w:tcW w:w="106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b w:val="1"/>
                <w:bCs w:val="1"/>
                <w:color w:val="auto"/>
                <w:w w:val="96"/>
              </w:rPr>
              <w:t>126.6%</w:t>
            </w:r>
          </w:p>
        </w:tc>
      </w:tr>
      <w:tr>
        <w:trPr>
          <w:trHeight w:val="124"/>
        </w:trPr>
        <w:tc>
          <w:tcPr>
            <w:tcW w:w="3880" w:type="dxa"/>
            <w:vAlign w:val="bottom"/>
            <w:tcBorders>
              <w:left w:val="single" w:sz="8" w:color="auto"/>
              <w:right w:val="single" w:sz="8" w:color="auto"/>
            </w:tcBorders>
          </w:tcPr>
          <w:p>
            <w:pPr>
              <w:spacing w:after="0"/>
              <w:rPr>
                <w:sz w:val="10"/>
                <w:szCs w:val="10"/>
                <w:color w:val="auto"/>
              </w:rPr>
            </w:pPr>
          </w:p>
        </w:tc>
        <w:tc>
          <w:tcPr>
            <w:tcW w:w="1040" w:type="dxa"/>
            <w:vAlign w:val="bottom"/>
          </w:tcPr>
          <w:p>
            <w:pPr>
              <w:jc w:val="right"/>
              <w:ind w:right="86"/>
              <w:spacing w:after="0" w:line="124" w:lineRule="exact"/>
              <w:rPr>
                <w:sz w:val="20"/>
                <w:szCs w:val="20"/>
                <w:color w:val="auto"/>
              </w:rPr>
            </w:pPr>
            <w:r>
              <w:rPr>
                <w:rFonts w:ascii="Arial" w:cs="Arial" w:eastAsia="Arial" w:hAnsi="Arial"/>
                <w:sz w:val="11"/>
                <w:szCs w:val="11"/>
                <w:b w:val="1"/>
                <w:bCs w:val="1"/>
                <w:color w:val="auto"/>
              </w:rPr>
              <w:t>-</w:t>
            </w:r>
          </w:p>
        </w:tc>
        <w:tc>
          <w:tcPr>
            <w:tcW w:w="940" w:type="dxa"/>
            <w:vAlign w:val="bottom"/>
          </w:tcPr>
          <w:p>
            <w:pPr>
              <w:jc w:val="right"/>
              <w:ind w:right="106"/>
              <w:spacing w:after="0" w:line="124" w:lineRule="exact"/>
              <w:rPr>
                <w:sz w:val="20"/>
                <w:szCs w:val="20"/>
                <w:color w:val="auto"/>
              </w:rPr>
            </w:pPr>
            <w:r>
              <w:rPr>
                <w:rFonts w:ascii="Arial" w:cs="Arial" w:eastAsia="Arial" w:hAnsi="Arial"/>
                <w:sz w:val="11"/>
                <w:szCs w:val="11"/>
                <w:b w:val="1"/>
                <w:bCs w:val="1"/>
                <w:color w:val="auto"/>
              </w:rPr>
              <w:t>-</w:t>
            </w:r>
          </w:p>
        </w:tc>
        <w:tc>
          <w:tcPr>
            <w:tcW w:w="78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1"/>
                <w:szCs w:val="11"/>
                <w:b w:val="1"/>
                <w:bCs w:val="1"/>
                <w:color w:val="auto"/>
              </w:rPr>
              <w:t>-</w:t>
            </w:r>
          </w:p>
        </w:tc>
        <w:tc>
          <w:tcPr>
            <w:tcW w:w="620" w:type="dxa"/>
            <w:vAlign w:val="bottom"/>
          </w:tcPr>
          <w:p>
            <w:pPr>
              <w:spacing w:after="0"/>
              <w:rPr>
                <w:sz w:val="10"/>
                <w:szCs w:val="10"/>
                <w:color w:val="auto"/>
              </w:rPr>
            </w:pPr>
          </w:p>
        </w:tc>
        <w:tc>
          <w:tcPr>
            <w:tcW w:w="1160" w:type="dxa"/>
            <w:vAlign w:val="bottom"/>
            <w:tcBorders>
              <w:right w:val="single" w:sz="8" w:color="auto"/>
            </w:tcBorders>
          </w:tcPr>
          <w:p>
            <w:pPr>
              <w:spacing w:after="0"/>
              <w:rPr>
                <w:sz w:val="10"/>
                <w:szCs w:val="10"/>
                <w:color w:val="auto"/>
              </w:rPr>
            </w:pPr>
          </w:p>
        </w:tc>
        <w:tc>
          <w:tcPr>
            <w:tcW w:w="1080" w:type="dxa"/>
            <w:vAlign w:val="bottom"/>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1060" w:type="dxa"/>
            <w:vAlign w:val="bottom"/>
            <w:tcBorders>
              <w:right w:val="single" w:sz="8" w:color="auto"/>
            </w:tcBorders>
          </w:tcPr>
          <w:p>
            <w:pPr>
              <w:spacing w:after="0"/>
              <w:rPr>
                <w:sz w:val="10"/>
                <w:szCs w:val="10"/>
                <w:color w:val="auto"/>
              </w:rPr>
            </w:pPr>
          </w:p>
        </w:tc>
      </w:tr>
      <w:tr>
        <w:trPr>
          <w:trHeight w:val="124"/>
        </w:trPr>
        <w:tc>
          <w:tcPr>
            <w:tcW w:w="3880" w:type="dxa"/>
            <w:vAlign w:val="bottom"/>
            <w:tcBorders>
              <w:left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b w:val="1"/>
                <w:bCs w:val="1"/>
                <w:color w:val="auto"/>
                <w:w w:val="97"/>
              </w:rPr>
              <w:t>Net interest, similar income and expenses, after provision for credit losses</w:t>
            </w:r>
          </w:p>
        </w:tc>
        <w:tc>
          <w:tcPr>
            <w:tcW w:w="1040" w:type="dxa"/>
            <w:vAlign w:val="bottom"/>
          </w:tcPr>
          <w:p>
            <w:pPr>
              <w:jc w:val="right"/>
              <w:ind w:right="86"/>
              <w:spacing w:after="0" w:line="124" w:lineRule="exact"/>
              <w:rPr>
                <w:sz w:val="20"/>
                <w:szCs w:val="20"/>
                <w:color w:val="auto"/>
              </w:rPr>
            </w:pPr>
            <w:r>
              <w:rPr>
                <w:rFonts w:ascii="Arial" w:cs="Arial" w:eastAsia="Arial" w:hAnsi="Arial"/>
                <w:sz w:val="11"/>
                <w:szCs w:val="11"/>
                <w:b w:val="1"/>
                <w:bCs w:val="1"/>
                <w:color w:val="auto"/>
              </w:rPr>
              <w:t>2,422,425</w:t>
            </w:r>
          </w:p>
        </w:tc>
        <w:tc>
          <w:tcPr>
            <w:tcW w:w="940" w:type="dxa"/>
            <w:vAlign w:val="bottom"/>
          </w:tcPr>
          <w:p>
            <w:pPr>
              <w:jc w:val="right"/>
              <w:ind w:right="106"/>
              <w:spacing w:after="0" w:line="124" w:lineRule="exact"/>
              <w:rPr>
                <w:sz w:val="20"/>
                <w:szCs w:val="20"/>
                <w:color w:val="auto"/>
              </w:rPr>
            </w:pPr>
            <w:r>
              <w:rPr>
                <w:rFonts w:ascii="Arial" w:cs="Arial" w:eastAsia="Arial" w:hAnsi="Arial"/>
                <w:sz w:val="11"/>
                <w:szCs w:val="11"/>
                <w:b w:val="1"/>
                <w:bCs w:val="1"/>
                <w:color w:val="auto"/>
              </w:rPr>
              <w:t>2,399,905</w:t>
            </w:r>
          </w:p>
        </w:tc>
        <w:tc>
          <w:tcPr>
            <w:tcW w:w="78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1"/>
                <w:szCs w:val="11"/>
                <w:b w:val="1"/>
                <w:bCs w:val="1"/>
                <w:color w:val="auto"/>
              </w:rPr>
              <w:t>2,336,401</w:t>
            </w:r>
          </w:p>
        </w:tc>
        <w:tc>
          <w:tcPr>
            <w:tcW w:w="620" w:type="dxa"/>
            <w:vAlign w:val="bottom"/>
          </w:tcPr>
          <w:p>
            <w:pPr>
              <w:jc w:val="center"/>
              <w:ind w:left="166"/>
              <w:spacing w:after="0" w:line="124" w:lineRule="exact"/>
              <w:rPr>
                <w:sz w:val="20"/>
                <w:szCs w:val="20"/>
                <w:color w:val="auto"/>
              </w:rPr>
            </w:pPr>
            <w:r>
              <w:rPr>
                <w:rFonts w:ascii="Arial" w:cs="Arial" w:eastAsia="Arial" w:hAnsi="Arial"/>
                <w:sz w:val="11"/>
                <w:szCs w:val="11"/>
                <w:b w:val="1"/>
                <w:bCs w:val="1"/>
                <w:color w:val="auto"/>
                <w:w w:val="97"/>
              </w:rPr>
              <w:t>-2.6%</w:t>
            </w:r>
          </w:p>
        </w:tc>
        <w:tc>
          <w:tcPr>
            <w:tcW w:w="1160" w:type="dxa"/>
            <w:vAlign w:val="bottom"/>
            <w:tcBorders>
              <w:right w:val="single" w:sz="8" w:color="auto"/>
            </w:tcBorders>
          </w:tcPr>
          <w:p>
            <w:pPr>
              <w:jc w:val="center"/>
              <w:ind w:left="146"/>
              <w:spacing w:after="0" w:line="124" w:lineRule="exact"/>
              <w:rPr>
                <w:sz w:val="20"/>
                <w:szCs w:val="20"/>
                <w:color w:val="auto"/>
              </w:rPr>
            </w:pPr>
            <w:r>
              <w:rPr>
                <w:rFonts w:ascii="Arial" w:cs="Arial" w:eastAsia="Arial" w:hAnsi="Arial"/>
                <w:sz w:val="11"/>
                <w:szCs w:val="11"/>
                <w:b w:val="1"/>
                <w:bCs w:val="1"/>
                <w:color w:val="auto"/>
                <w:w w:val="97"/>
              </w:rPr>
              <w:t>-3.6%</w:t>
            </w:r>
          </w:p>
        </w:tc>
        <w:tc>
          <w:tcPr>
            <w:tcW w:w="1080" w:type="dxa"/>
            <w:vAlign w:val="bottom"/>
          </w:tcPr>
          <w:p>
            <w:pPr>
              <w:jc w:val="right"/>
              <w:ind w:right="166"/>
              <w:spacing w:after="0" w:line="124" w:lineRule="exact"/>
              <w:rPr>
                <w:sz w:val="20"/>
                <w:szCs w:val="20"/>
                <w:color w:val="auto"/>
              </w:rPr>
            </w:pPr>
            <w:r>
              <w:rPr>
                <w:rFonts w:ascii="Arial" w:cs="Arial" w:eastAsia="Arial" w:hAnsi="Arial"/>
                <w:sz w:val="11"/>
                <w:szCs w:val="11"/>
                <w:b w:val="1"/>
                <w:bCs w:val="1"/>
                <w:color w:val="auto"/>
              </w:rPr>
              <w:t>6,870,357</w:t>
            </w:r>
          </w:p>
        </w:tc>
        <w:tc>
          <w:tcPr>
            <w:tcW w:w="70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1"/>
                <w:szCs w:val="11"/>
                <w:b w:val="1"/>
                <w:bCs w:val="1"/>
                <w:color w:val="auto"/>
              </w:rPr>
              <w:t>7,141,397</w:t>
            </w:r>
          </w:p>
        </w:tc>
        <w:tc>
          <w:tcPr>
            <w:tcW w:w="106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b w:val="1"/>
                <w:bCs w:val="1"/>
                <w:color w:val="auto"/>
              </w:rPr>
              <w:t>3.9%</w:t>
            </w:r>
          </w:p>
        </w:tc>
      </w:tr>
      <w:tr>
        <w:trPr>
          <w:trHeight w:val="149"/>
        </w:trPr>
        <w:tc>
          <w:tcPr>
            <w:tcW w:w="38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on loan portfolio</w:t>
            </w:r>
          </w:p>
        </w:tc>
        <w:tc>
          <w:tcPr>
            <w:tcW w:w="10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1160" w:type="dxa"/>
            <w:vAlign w:val="bottom"/>
            <w:tcBorders>
              <w:right w:val="single" w:sz="8" w:color="auto"/>
            </w:tcBorders>
          </w:tcPr>
          <w:p>
            <w:pPr>
              <w:spacing w:after="0"/>
              <w:rPr>
                <w:sz w:val="12"/>
                <w:szCs w:val="12"/>
                <w:color w:val="auto"/>
              </w:rPr>
            </w:pPr>
          </w:p>
        </w:tc>
        <w:tc>
          <w:tcPr>
            <w:tcW w:w="1080" w:type="dxa"/>
            <w:vAlign w:val="bottom"/>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r>
      <w:tr>
        <w:trPr>
          <w:trHeight w:val="226"/>
        </w:trPr>
        <w:tc>
          <w:tcPr>
            <w:tcW w:w="38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Other income</w:t>
            </w:r>
          </w:p>
        </w:tc>
        <w:tc>
          <w:tcPr>
            <w:tcW w:w="10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1060" w:type="dxa"/>
            <w:vAlign w:val="bottom"/>
            <w:tcBorders>
              <w:right w:val="single" w:sz="8" w:color="auto"/>
            </w:tcBorders>
          </w:tcPr>
          <w:p>
            <w:pPr>
              <w:spacing w:after="0"/>
              <w:rPr>
                <w:sz w:val="19"/>
                <w:szCs w:val="19"/>
                <w:color w:val="auto"/>
              </w:rPr>
            </w:pPr>
          </w:p>
        </w:tc>
      </w:tr>
      <w:tr>
        <w:trPr>
          <w:trHeight w:val="124"/>
        </w:trPr>
        <w:tc>
          <w:tcPr>
            <w:tcW w:w="3880" w:type="dxa"/>
            <w:vAlign w:val="bottom"/>
            <w:tcBorders>
              <w:left w:val="single" w:sz="8" w:color="auto"/>
              <w:right w:val="single" w:sz="8" w:color="auto"/>
            </w:tcBorders>
          </w:tcPr>
          <w:p>
            <w:pPr>
              <w:ind w:left="160"/>
              <w:spacing w:after="0" w:line="124" w:lineRule="exact"/>
              <w:rPr>
                <w:sz w:val="20"/>
                <w:szCs w:val="20"/>
                <w:color w:val="auto"/>
              </w:rPr>
            </w:pPr>
            <w:r>
              <w:rPr>
                <w:rFonts w:ascii="Arial" w:cs="Arial" w:eastAsia="Arial" w:hAnsi="Arial"/>
                <w:sz w:val="11"/>
                <w:szCs w:val="11"/>
                <w:color w:val="auto"/>
              </w:rPr>
              <w:t>Fee income</w:t>
            </w:r>
          </w:p>
        </w:tc>
        <w:tc>
          <w:tcPr>
            <w:tcW w:w="1040" w:type="dxa"/>
            <w:vAlign w:val="bottom"/>
          </w:tcPr>
          <w:p>
            <w:pPr>
              <w:jc w:val="right"/>
              <w:ind w:right="86"/>
              <w:spacing w:after="0" w:line="124" w:lineRule="exact"/>
              <w:rPr>
                <w:sz w:val="20"/>
                <w:szCs w:val="20"/>
                <w:color w:val="auto"/>
              </w:rPr>
            </w:pPr>
            <w:r>
              <w:rPr>
                <w:rFonts w:ascii="Arial" w:cs="Arial" w:eastAsia="Arial" w:hAnsi="Arial"/>
                <w:sz w:val="11"/>
                <w:szCs w:val="11"/>
                <w:color w:val="auto"/>
              </w:rPr>
              <w:t>934,984</w:t>
            </w:r>
          </w:p>
        </w:tc>
        <w:tc>
          <w:tcPr>
            <w:tcW w:w="940" w:type="dxa"/>
            <w:vAlign w:val="bottom"/>
          </w:tcPr>
          <w:p>
            <w:pPr>
              <w:jc w:val="right"/>
              <w:ind w:right="106"/>
              <w:spacing w:after="0" w:line="124" w:lineRule="exact"/>
              <w:rPr>
                <w:sz w:val="20"/>
                <w:szCs w:val="20"/>
                <w:color w:val="auto"/>
              </w:rPr>
            </w:pPr>
            <w:r>
              <w:rPr>
                <w:rFonts w:ascii="Arial" w:cs="Arial" w:eastAsia="Arial" w:hAnsi="Arial"/>
                <w:sz w:val="11"/>
                <w:szCs w:val="11"/>
                <w:color w:val="auto"/>
              </w:rPr>
              <w:t>960,550</w:t>
            </w:r>
          </w:p>
        </w:tc>
        <w:tc>
          <w:tcPr>
            <w:tcW w:w="78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975,955</w:t>
            </w:r>
          </w:p>
        </w:tc>
        <w:tc>
          <w:tcPr>
            <w:tcW w:w="620" w:type="dxa"/>
            <w:vAlign w:val="bottom"/>
          </w:tcPr>
          <w:p>
            <w:pPr>
              <w:jc w:val="center"/>
              <w:ind w:left="166"/>
              <w:spacing w:after="0" w:line="124" w:lineRule="exact"/>
              <w:rPr>
                <w:sz w:val="20"/>
                <w:szCs w:val="20"/>
                <w:color w:val="auto"/>
              </w:rPr>
            </w:pPr>
            <w:r>
              <w:rPr>
                <w:rFonts w:ascii="Arial" w:cs="Arial" w:eastAsia="Arial" w:hAnsi="Arial"/>
                <w:sz w:val="11"/>
                <w:szCs w:val="11"/>
                <w:color w:val="auto"/>
                <w:w w:val="95"/>
              </w:rPr>
              <w:t>1.6%</w:t>
            </w:r>
          </w:p>
        </w:tc>
        <w:tc>
          <w:tcPr>
            <w:tcW w:w="1160" w:type="dxa"/>
            <w:vAlign w:val="bottom"/>
            <w:tcBorders>
              <w:right w:val="single" w:sz="8" w:color="auto"/>
            </w:tcBorders>
          </w:tcPr>
          <w:p>
            <w:pPr>
              <w:jc w:val="center"/>
              <w:ind w:left="166"/>
              <w:spacing w:after="0" w:line="124" w:lineRule="exact"/>
              <w:rPr>
                <w:sz w:val="20"/>
                <w:szCs w:val="20"/>
                <w:color w:val="auto"/>
              </w:rPr>
            </w:pPr>
            <w:r>
              <w:rPr>
                <w:rFonts w:ascii="Arial" w:cs="Arial" w:eastAsia="Arial" w:hAnsi="Arial"/>
                <w:sz w:val="11"/>
                <w:szCs w:val="11"/>
                <w:color w:val="auto"/>
              </w:rPr>
              <w:t>4.4%</w:t>
            </w:r>
          </w:p>
        </w:tc>
        <w:tc>
          <w:tcPr>
            <w:tcW w:w="1080" w:type="dxa"/>
            <w:vAlign w:val="bottom"/>
          </w:tcPr>
          <w:p>
            <w:pPr>
              <w:jc w:val="right"/>
              <w:ind w:right="166"/>
              <w:spacing w:after="0" w:line="124" w:lineRule="exact"/>
              <w:rPr>
                <w:sz w:val="20"/>
                <w:szCs w:val="20"/>
                <w:color w:val="auto"/>
              </w:rPr>
            </w:pPr>
            <w:r>
              <w:rPr>
                <w:rFonts w:ascii="Arial" w:cs="Arial" w:eastAsia="Arial" w:hAnsi="Arial"/>
                <w:sz w:val="11"/>
                <w:szCs w:val="11"/>
                <w:color w:val="auto"/>
              </w:rPr>
              <w:t>2,747,562</w:t>
            </w:r>
          </w:p>
        </w:tc>
        <w:tc>
          <w:tcPr>
            <w:tcW w:w="70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2,818,286</w:t>
            </w:r>
          </w:p>
        </w:tc>
        <w:tc>
          <w:tcPr>
            <w:tcW w:w="106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rPr>
              <w:t>2.6%</w:t>
            </w:r>
          </w:p>
        </w:tc>
      </w:tr>
      <w:tr>
        <w:trPr>
          <w:trHeight w:val="124"/>
        </w:trPr>
        <w:tc>
          <w:tcPr>
            <w:tcW w:w="3880" w:type="dxa"/>
            <w:vAlign w:val="bottom"/>
            <w:tcBorders>
              <w:left w:val="single" w:sz="8" w:color="auto"/>
              <w:right w:val="single" w:sz="8" w:color="auto"/>
            </w:tcBorders>
          </w:tcPr>
          <w:p>
            <w:pPr>
              <w:ind w:left="160"/>
              <w:spacing w:after="0" w:line="124" w:lineRule="exact"/>
              <w:rPr>
                <w:sz w:val="20"/>
                <w:szCs w:val="20"/>
                <w:color w:val="auto"/>
              </w:rPr>
            </w:pPr>
            <w:r>
              <w:rPr>
                <w:rFonts w:ascii="Arial" w:cs="Arial" w:eastAsia="Arial" w:hAnsi="Arial"/>
                <w:sz w:val="11"/>
                <w:szCs w:val="11"/>
                <w:color w:val="auto"/>
              </w:rPr>
              <w:t>Net gain on foreign exchange transactions</w:t>
            </w:r>
          </w:p>
        </w:tc>
        <w:tc>
          <w:tcPr>
            <w:tcW w:w="1040" w:type="dxa"/>
            <w:vAlign w:val="bottom"/>
          </w:tcPr>
          <w:p>
            <w:pPr>
              <w:jc w:val="right"/>
              <w:ind w:right="86"/>
              <w:spacing w:after="0" w:line="124" w:lineRule="exact"/>
              <w:rPr>
                <w:sz w:val="20"/>
                <w:szCs w:val="20"/>
                <w:color w:val="auto"/>
              </w:rPr>
            </w:pPr>
            <w:r>
              <w:rPr>
                <w:rFonts w:ascii="Arial" w:cs="Arial" w:eastAsia="Arial" w:hAnsi="Arial"/>
                <w:sz w:val="11"/>
                <w:szCs w:val="11"/>
                <w:color w:val="auto"/>
              </w:rPr>
              <w:t>262,167</w:t>
            </w:r>
          </w:p>
        </w:tc>
        <w:tc>
          <w:tcPr>
            <w:tcW w:w="940" w:type="dxa"/>
            <w:vAlign w:val="bottom"/>
          </w:tcPr>
          <w:p>
            <w:pPr>
              <w:jc w:val="right"/>
              <w:ind w:right="106"/>
              <w:spacing w:after="0" w:line="124" w:lineRule="exact"/>
              <w:rPr>
                <w:sz w:val="20"/>
                <w:szCs w:val="20"/>
                <w:color w:val="auto"/>
              </w:rPr>
            </w:pPr>
            <w:r>
              <w:rPr>
                <w:rFonts w:ascii="Arial" w:cs="Arial" w:eastAsia="Arial" w:hAnsi="Arial"/>
                <w:sz w:val="11"/>
                <w:szCs w:val="11"/>
                <w:color w:val="auto"/>
              </w:rPr>
              <w:t>210,944</w:t>
            </w:r>
          </w:p>
        </w:tc>
        <w:tc>
          <w:tcPr>
            <w:tcW w:w="78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208,620</w:t>
            </w:r>
          </w:p>
        </w:tc>
        <w:tc>
          <w:tcPr>
            <w:tcW w:w="620" w:type="dxa"/>
            <w:vAlign w:val="bottom"/>
          </w:tcPr>
          <w:p>
            <w:pPr>
              <w:jc w:val="center"/>
              <w:ind w:left="166"/>
              <w:spacing w:after="0" w:line="124" w:lineRule="exact"/>
              <w:rPr>
                <w:sz w:val="20"/>
                <w:szCs w:val="20"/>
                <w:color w:val="auto"/>
              </w:rPr>
            </w:pPr>
            <w:r>
              <w:rPr>
                <w:rFonts w:ascii="Arial" w:cs="Arial" w:eastAsia="Arial" w:hAnsi="Arial"/>
                <w:sz w:val="11"/>
                <w:szCs w:val="11"/>
                <w:color w:val="auto"/>
                <w:w w:val="97"/>
              </w:rPr>
              <w:t>-1.1%</w:t>
            </w:r>
          </w:p>
        </w:tc>
        <w:tc>
          <w:tcPr>
            <w:tcW w:w="1160" w:type="dxa"/>
            <w:vAlign w:val="bottom"/>
            <w:tcBorders>
              <w:right w:val="single" w:sz="8" w:color="auto"/>
            </w:tcBorders>
          </w:tcPr>
          <w:p>
            <w:pPr>
              <w:jc w:val="center"/>
              <w:ind w:left="166"/>
              <w:spacing w:after="0" w:line="124" w:lineRule="exact"/>
              <w:rPr>
                <w:sz w:val="20"/>
                <w:szCs w:val="20"/>
                <w:color w:val="auto"/>
              </w:rPr>
            </w:pPr>
            <w:r>
              <w:rPr>
                <w:rFonts w:ascii="Arial" w:cs="Arial" w:eastAsia="Arial" w:hAnsi="Arial"/>
                <w:sz w:val="11"/>
                <w:szCs w:val="11"/>
                <w:color w:val="auto"/>
                <w:w w:val="97"/>
              </w:rPr>
              <w:t>-20.4%</w:t>
            </w:r>
          </w:p>
        </w:tc>
        <w:tc>
          <w:tcPr>
            <w:tcW w:w="1080" w:type="dxa"/>
            <w:vAlign w:val="bottom"/>
          </w:tcPr>
          <w:p>
            <w:pPr>
              <w:jc w:val="right"/>
              <w:ind w:right="166"/>
              <w:spacing w:after="0" w:line="124" w:lineRule="exact"/>
              <w:rPr>
                <w:sz w:val="20"/>
                <w:szCs w:val="20"/>
                <w:color w:val="auto"/>
              </w:rPr>
            </w:pPr>
            <w:r>
              <w:rPr>
                <w:rFonts w:ascii="Arial" w:cs="Arial" w:eastAsia="Arial" w:hAnsi="Arial"/>
                <w:sz w:val="11"/>
                <w:szCs w:val="11"/>
                <w:color w:val="auto"/>
              </w:rPr>
              <w:t>790,936</w:t>
            </w:r>
          </w:p>
        </w:tc>
        <w:tc>
          <w:tcPr>
            <w:tcW w:w="70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668,079</w:t>
            </w:r>
          </w:p>
        </w:tc>
        <w:tc>
          <w:tcPr>
            <w:tcW w:w="106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7"/>
              </w:rPr>
              <w:t>-15.5%</w:t>
            </w:r>
          </w:p>
        </w:tc>
      </w:tr>
      <w:tr>
        <w:trPr>
          <w:trHeight w:val="124"/>
        </w:trPr>
        <w:tc>
          <w:tcPr>
            <w:tcW w:w="3880" w:type="dxa"/>
            <w:vAlign w:val="bottom"/>
            <w:tcBorders>
              <w:left w:val="single" w:sz="8" w:color="auto"/>
              <w:right w:val="single" w:sz="8" w:color="auto"/>
            </w:tcBorders>
          </w:tcPr>
          <w:p>
            <w:pPr>
              <w:ind w:left="160"/>
              <w:spacing w:after="0" w:line="124" w:lineRule="exact"/>
              <w:rPr>
                <w:sz w:val="20"/>
                <w:szCs w:val="20"/>
                <w:color w:val="auto"/>
              </w:rPr>
            </w:pPr>
            <w:r>
              <w:rPr>
                <w:rFonts w:ascii="Arial" w:cs="Arial" w:eastAsia="Arial" w:hAnsi="Arial"/>
                <w:sz w:val="11"/>
                <w:szCs w:val="11"/>
                <w:color w:val="auto"/>
              </w:rPr>
              <w:t>Net loss on securities</w:t>
            </w:r>
          </w:p>
        </w:tc>
        <w:tc>
          <w:tcPr>
            <w:tcW w:w="1040" w:type="dxa"/>
            <w:vAlign w:val="bottom"/>
          </w:tcPr>
          <w:p>
            <w:pPr>
              <w:jc w:val="right"/>
              <w:ind w:right="86"/>
              <w:spacing w:after="0" w:line="124" w:lineRule="exact"/>
              <w:rPr>
                <w:sz w:val="20"/>
                <w:szCs w:val="20"/>
                <w:color w:val="auto"/>
              </w:rPr>
            </w:pPr>
            <w:r>
              <w:rPr>
                <w:rFonts w:ascii="Arial" w:cs="Arial" w:eastAsia="Arial" w:hAnsi="Arial"/>
                <w:sz w:val="11"/>
                <w:szCs w:val="11"/>
                <w:color w:val="auto"/>
              </w:rPr>
              <w:t>(25,460)</w:t>
            </w:r>
          </w:p>
        </w:tc>
        <w:tc>
          <w:tcPr>
            <w:tcW w:w="940" w:type="dxa"/>
            <w:vAlign w:val="bottom"/>
          </w:tcPr>
          <w:p>
            <w:pPr>
              <w:jc w:val="right"/>
              <w:ind w:right="106"/>
              <w:spacing w:after="0" w:line="124" w:lineRule="exact"/>
              <w:rPr>
                <w:sz w:val="20"/>
                <w:szCs w:val="20"/>
                <w:color w:val="auto"/>
              </w:rPr>
            </w:pPr>
            <w:r>
              <w:rPr>
                <w:rFonts w:ascii="Arial" w:cs="Arial" w:eastAsia="Arial" w:hAnsi="Arial"/>
                <w:sz w:val="11"/>
                <w:szCs w:val="11"/>
                <w:color w:val="auto"/>
              </w:rPr>
              <w:t>68,603</w:t>
            </w:r>
          </w:p>
        </w:tc>
        <w:tc>
          <w:tcPr>
            <w:tcW w:w="78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53,591</w:t>
            </w:r>
          </w:p>
        </w:tc>
        <w:tc>
          <w:tcPr>
            <w:tcW w:w="620" w:type="dxa"/>
            <w:vAlign w:val="bottom"/>
          </w:tcPr>
          <w:p>
            <w:pPr>
              <w:jc w:val="center"/>
              <w:ind w:left="186"/>
              <w:spacing w:after="0" w:line="124" w:lineRule="exact"/>
              <w:rPr>
                <w:sz w:val="20"/>
                <w:szCs w:val="20"/>
                <w:color w:val="auto"/>
              </w:rPr>
            </w:pPr>
            <w:r>
              <w:rPr>
                <w:rFonts w:ascii="Arial" w:cs="Arial" w:eastAsia="Arial" w:hAnsi="Arial"/>
                <w:sz w:val="11"/>
                <w:szCs w:val="11"/>
                <w:color w:val="auto"/>
                <w:w w:val="97"/>
              </w:rPr>
              <w:t>-21.9%</w:t>
            </w:r>
          </w:p>
        </w:tc>
        <w:tc>
          <w:tcPr>
            <w:tcW w:w="1160" w:type="dxa"/>
            <w:vAlign w:val="bottom"/>
            <w:tcBorders>
              <w:right w:val="single" w:sz="8" w:color="auto"/>
            </w:tcBorders>
          </w:tcPr>
          <w:p>
            <w:pPr>
              <w:jc w:val="center"/>
              <w:ind w:left="146"/>
              <w:spacing w:after="0" w:line="124" w:lineRule="exact"/>
              <w:rPr>
                <w:sz w:val="20"/>
                <w:szCs w:val="20"/>
                <w:color w:val="auto"/>
              </w:rPr>
            </w:pPr>
            <w:r>
              <w:rPr>
                <w:rFonts w:ascii="Arial" w:cs="Arial" w:eastAsia="Arial" w:hAnsi="Arial"/>
                <w:sz w:val="11"/>
                <w:szCs w:val="11"/>
                <w:color w:val="auto"/>
                <w:w w:val="97"/>
              </w:rPr>
              <w:t>-310.5%</w:t>
            </w:r>
          </w:p>
        </w:tc>
        <w:tc>
          <w:tcPr>
            <w:tcW w:w="1080" w:type="dxa"/>
            <w:vAlign w:val="bottom"/>
          </w:tcPr>
          <w:p>
            <w:pPr>
              <w:jc w:val="right"/>
              <w:ind w:right="166"/>
              <w:spacing w:after="0" w:line="124" w:lineRule="exact"/>
              <w:rPr>
                <w:sz w:val="20"/>
                <w:szCs w:val="20"/>
                <w:color w:val="auto"/>
              </w:rPr>
            </w:pPr>
            <w:r>
              <w:rPr>
                <w:rFonts w:ascii="Arial" w:cs="Arial" w:eastAsia="Arial" w:hAnsi="Arial"/>
                <w:sz w:val="11"/>
                <w:szCs w:val="11"/>
                <w:color w:val="auto"/>
              </w:rPr>
              <w:t>(176,506)</w:t>
            </w:r>
          </w:p>
        </w:tc>
        <w:tc>
          <w:tcPr>
            <w:tcW w:w="70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192,230</w:t>
            </w:r>
          </w:p>
        </w:tc>
        <w:tc>
          <w:tcPr>
            <w:tcW w:w="106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7"/>
              </w:rPr>
              <w:t>-208.9%</w:t>
            </w:r>
          </w:p>
        </w:tc>
      </w:tr>
      <w:tr>
        <w:trPr>
          <w:trHeight w:val="124"/>
        </w:trPr>
        <w:tc>
          <w:tcPr>
            <w:tcW w:w="3880" w:type="dxa"/>
            <w:vAlign w:val="bottom"/>
            <w:tcBorders>
              <w:left w:val="single" w:sz="8" w:color="auto"/>
              <w:right w:val="single" w:sz="8" w:color="auto"/>
            </w:tcBorders>
          </w:tcPr>
          <w:p>
            <w:pPr>
              <w:ind w:left="160"/>
              <w:spacing w:after="0" w:line="124" w:lineRule="exact"/>
              <w:rPr>
                <w:sz w:val="20"/>
                <w:szCs w:val="20"/>
                <w:color w:val="auto"/>
              </w:rPr>
            </w:pPr>
            <w:r>
              <w:rPr>
                <w:rFonts w:ascii="Arial" w:cs="Arial" w:eastAsia="Arial" w:hAnsi="Arial"/>
                <w:sz w:val="11"/>
                <w:szCs w:val="11"/>
                <w:color w:val="auto"/>
              </w:rPr>
              <w:t>Net gain from associates</w:t>
            </w:r>
          </w:p>
        </w:tc>
        <w:tc>
          <w:tcPr>
            <w:tcW w:w="1040" w:type="dxa"/>
            <w:vAlign w:val="bottom"/>
          </w:tcPr>
          <w:p>
            <w:pPr>
              <w:jc w:val="right"/>
              <w:ind w:right="86"/>
              <w:spacing w:after="0" w:line="124" w:lineRule="exact"/>
              <w:rPr>
                <w:sz w:val="20"/>
                <w:szCs w:val="20"/>
                <w:color w:val="auto"/>
              </w:rPr>
            </w:pPr>
            <w:r>
              <w:rPr>
                <w:rFonts w:ascii="Arial" w:cs="Arial" w:eastAsia="Arial" w:hAnsi="Arial"/>
                <w:sz w:val="11"/>
                <w:szCs w:val="11"/>
                <w:color w:val="auto"/>
              </w:rPr>
              <w:t>25,806</w:t>
            </w:r>
          </w:p>
        </w:tc>
        <w:tc>
          <w:tcPr>
            <w:tcW w:w="940" w:type="dxa"/>
            <w:vAlign w:val="bottom"/>
          </w:tcPr>
          <w:p>
            <w:pPr>
              <w:jc w:val="right"/>
              <w:ind w:right="106"/>
              <w:spacing w:after="0" w:line="124" w:lineRule="exact"/>
              <w:rPr>
                <w:sz w:val="20"/>
                <w:szCs w:val="20"/>
                <w:color w:val="auto"/>
              </w:rPr>
            </w:pPr>
            <w:r>
              <w:rPr>
                <w:rFonts w:ascii="Arial" w:cs="Arial" w:eastAsia="Arial" w:hAnsi="Arial"/>
                <w:sz w:val="11"/>
                <w:szCs w:val="11"/>
                <w:color w:val="auto"/>
              </w:rPr>
              <w:t>23,689</w:t>
            </w:r>
          </w:p>
        </w:tc>
        <w:tc>
          <w:tcPr>
            <w:tcW w:w="78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32,056</w:t>
            </w:r>
          </w:p>
        </w:tc>
        <w:tc>
          <w:tcPr>
            <w:tcW w:w="620" w:type="dxa"/>
            <w:vAlign w:val="bottom"/>
          </w:tcPr>
          <w:p>
            <w:pPr>
              <w:jc w:val="center"/>
              <w:ind w:left="186"/>
              <w:spacing w:after="0" w:line="124" w:lineRule="exact"/>
              <w:rPr>
                <w:sz w:val="20"/>
                <w:szCs w:val="20"/>
                <w:color w:val="auto"/>
              </w:rPr>
            </w:pPr>
            <w:r>
              <w:rPr>
                <w:rFonts w:ascii="Arial" w:cs="Arial" w:eastAsia="Arial" w:hAnsi="Arial"/>
                <w:sz w:val="11"/>
                <w:szCs w:val="11"/>
                <w:color w:val="auto"/>
                <w:w w:val="96"/>
              </w:rPr>
              <w:t>35.3%</w:t>
            </w:r>
          </w:p>
        </w:tc>
        <w:tc>
          <w:tcPr>
            <w:tcW w:w="1160" w:type="dxa"/>
            <w:vAlign w:val="bottom"/>
            <w:tcBorders>
              <w:right w:val="single" w:sz="8" w:color="auto"/>
            </w:tcBorders>
          </w:tcPr>
          <w:p>
            <w:pPr>
              <w:jc w:val="center"/>
              <w:ind w:left="166"/>
              <w:spacing w:after="0" w:line="124" w:lineRule="exact"/>
              <w:rPr>
                <w:sz w:val="20"/>
                <w:szCs w:val="20"/>
                <w:color w:val="auto"/>
              </w:rPr>
            </w:pPr>
            <w:r>
              <w:rPr>
                <w:rFonts w:ascii="Arial" w:cs="Arial" w:eastAsia="Arial" w:hAnsi="Arial"/>
                <w:sz w:val="11"/>
                <w:szCs w:val="11"/>
                <w:color w:val="auto"/>
                <w:w w:val="96"/>
              </w:rPr>
              <w:t>24.2%</w:t>
            </w:r>
          </w:p>
        </w:tc>
        <w:tc>
          <w:tcPr>
            <w:tcW w:w="1080" w:type="dxa"/>
            <w:vAlign w:val="bottom"/>
          </w:tcPr>
          <w:p>
            <w:pPr>
              <w:jc w:val="right"/>
              <w:ind w:right="166"/>
              <w:spacing w:after="0" w:line="124" w:lineRule="exact"/>
              <w:rPr>
                <w:sz w:val="20"/>
                <w:szCs w:val="20"/>
                <w:color w:val="auto"/>
              </w:rPr>
            </w:pPr>
            <w:r>
              <w:rPr>
                <w:rFonts w:ascii="Arial" w:cs="Arial" w:eastAsia="Arial" w:hAnsi="Arial"/>
                <w:sz w:val="11"/>
                <w:szCs w:val="11"/>
                <w:color w:val="auto"/>
              </w:rPr>
              <w:t>79,039</w:t>
            </w:r>
          </w:p>
        </w:tc>
        <w:tc>
          <w:tcPr>
            <w:tcW w:w="70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82,957</w:t>
            </w:r>
          </w:p>
        </w:tc>
        <w:tc>
          <w:tcPr>
            <w:tcW w:w="106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rPr>
              <w:t>5.0%</w:t>
            </w:r>
          </w:p>
        </w:tc>
      </w:tr>
      <w:tr>
        <w:trPr>
          <w:trHeight w:val="124"/>
        </w:trPr>
        <w:tc>
          <w:tcPr>
            <w:tcW w:w="3880" w:type="dxa"/>
            <w:vAlign w:val="bottom"/>
            <w:tcBorders>
              <w:left w:val="single" w:sz="8" w:color="auto"/>
              <w:right w:val="single" w:sz="8" w:color="auto"/>
            </w:tcBorders>
          </w:tcPr>
          <w:p>
            <w:pPr>
              <w:ind w:left="160"/>
              <w:spacing w:after="0" w:line="124" w:lineRule="exact"/>
              <w:rPr>
                <w:sz w:val="20"/>
                <w:szCs w:val="20"/>
                <w:color w:val="auto"/>
              </w:rPr>
            </w:pPr>
            <w:r>
              <w:rPr>
                <w:rFonts w:ascii="Arial" w:cs="Arial" w:eastAsia="Arial" w:hAnsi="Arial"/>
                <w:sz w:val="11"/>
                <w:szCs w:val="11"/>
                <w:color w:val="auto"/>
              </w:rPr>
              <w:t>Net gain (loss) on derivatives held for trading</w:t>
            </w:r>
          </w:p>
        </w:tc>
        <w:tc>
          <w:tcPr>
            <w:tcW w:w="1040" w:type="dxa"/>
            <w:vAlign w:val="bottom"/>
          </w:tcPr>
          <w:p>
            <w:pPr>
              <w:jc w:val="right"/>
              <w:ind w:right="86"/>
              <w:spacing w:after="0" w:line="124" w:lineRule="exact"/>
              <w:rPr>
                <w:sz w:val="20"/>
                <w:szCs w:val="20"/>
                <w:color w:val="auto"/>
              </w:rPr>
            </w:pPr>
            <w:r>
              <w:rPr>
                <w:rFonts w:ascii="Arial" w:cs="Arial" w:eastAsia="Arial" w:hAnsi="Arial"/>
                <w:sz w:val="11"/>
                <w:szCs w:val="11"/>
                <w:color w:val="auto"/>
              </w:rPr>
              <w:t>53,008</w:t>
            </w:r>
          </w:p>
        </w:tc>
        <w:tc>
          <w:tcPr>
            <w:tcW w:w="940" w:type="dxa"/>
            <w:vAlign w:val="bottom"/>
          </w:tcPr>
          <w:p>
            <w:pPr>
              <w:jc w:val="right"/>
              <w:ind w:right="106"/>
              <w:spacing w:after="0" w:line="124" w:lineRule="exact"/>
              <w:rPr>
                <w:sz w:val="20"/>
                <w:szCs w:val="20"/>
                <w:color w:val="auto"/>
              </w:rPr>
            </w:pPr>
            <w:r>
              <w:rPr>
                <w:rFonts w:ascii="Arial" w:cs="Arial" w:eastAsia="Arial" w:hAnsi="Arial"/>
                <w:sz w:val="11"/>
                <w:szCs w:val="11"/>
                <w:color w:val="auto"/>
              </w:rPr>
              <w:t>16,671</w:t>
            </w:r>
          </w:p>
        </w:tc>
        <w:tc>
          <w:tcPr>
            <w:tcW w:w="78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38,545</w:t>
            </w:r>
          </w:p>
        </w:tc>
        <w:tc>
          <w:tcPr>
            <w:tcW w:w="620" w:type="dxa"/>
            <w:vAlign w:val="bottom"/>
          </w:tcPr>
          <w:p>
            <w:pPr>
              <w:jc w:val="center"/>
              <w:ind w:left="166"/>
              <w:spacing w:after="0" w:line="124" w:lineRule="exact"/>
              <w:rPr>
                <w:sz w:val="20"/>
                <w:szCs w:val="20"/>
                <w:color w:val="auto"/>
              </w:rPr>
            </w:pPr>
            <w:r>
              <w:rPr>
                <w:rFonts w:ascii="Arial" w:cs="Arial" w:eastAsia="Arial" w:hAnsi="Arial"/>
                <w:sz w:val="11"/>
                <w:szCs w:val="11"/>
                <w:color w:val="auto"/>
                <w:w w:val="96"/>
              </w:rPr>
              <w:t>131.2%</w:t>
            </w:r>
          </w:p>
        </w:tc>
        <w:tc>
          <w:tcPr>
            <w:tcW w:w="1160" w:type="dxa"/>
            <w:vAlign w:val="bottom"/>
            <w:tcBorders>
              <w:right w:val="single" w:sz="8" w:color="auto"/>
            </w:tcBorders>
          </w:tcPr>
          <w:p>
            <w:pPr>
              <w:jc w:val="center"/>
              <w:ind w:left="166"/>
              <w:spacing w:after="0" w:line="124" w:lineRule="exact"/>
              <w:rPr>
                <w:sz w:val="20"/>
                <w:szCs w:val="20"/>
                <w:color w:val="auto"/>
              </w:rPr>
            </w:pPr>
            <w:r>
              <w:rPr>
                <w:rFonts w:ascii="Arial" w:cs="Arial" w:eastAsia="Arial" w:hAnsi="Arial"/>
                <w:sz w:val="11"/>
                <w:szCs w:val="11"/>
                <w:color w:val="auto"/>
                <w:w w:val="97"/>
              </w:rPr>
              <w:t>-27.3%</w:t>
            </w:r>
          </w:p>
        </w:tc>
        <w:tc>
          <w:tcPr>
            <w:tcW w:w="1080" w:type="dxa"/>
            <w:vAlign w:val="bottom"/>
          </w:tcPr>
          <w:p>
            <w:pPr>
              <w:jc w:val="right"/>
              <w:ind w:right="166"/>
              <w:spacing w:after="0" w:line="124" w:lineRule="exact"/>
              <w:rPr>
                <w:sz w:val="20"/>
                <w:szCs w:val="20"/>
                <w:color w:val="auto"/>
              </w:rPr>
            </w:pPr>
            <w:r>
              <w:rPr>
                <w:rFonts w:ascii="Arial" w:cs="Arial" w:eastAsia="Arial" w:hAnsi="Arial"/>
                <w:sz w:val="11"/>
                <w:szCs w:val="11"/>
                <w:color w:val="auto"/>
              </w:rPr>
              <w:t>59,330</w:t>
            </w:r>
          </w:p>
        </w:tc>
        <w:tc>
          <w:tcPr>
            <w:tcW w:w="70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48,646</w:t>
            </w:r>
          </w:p>
        </w:tc>
        <w:tc>
          <w:tcPr>
            <w:tcW w:w="106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7"/>
              </w:rPr>
              <w:t>-18.0%</w:t>
            </w:r>
          </w:p>
        </w:tc>
      </w:tr>
      <w:tr>
        <w:trPr>
          <w:trHeight w:val="124"/>
        </w:trPr>
        <w:tc>
          <w:tcPr>
            <w:tcW w:w="3880" w:type="dxa"/>
            <w:vAlign w:val="bottom"/>
            <w:tcBorders>
              <w:left w:val="single" w:sz="8" w:color="auto"/>
              <w:right w:val="single" w:sz="8" w:color="auto"/>
            </w:tcBorders>
          </w:tcPr>
          <w:p>
            <w:pPr>
              <w:ind w:left="160"/>
              <w:spacing w:after="0" w:line="124" w:lineRule="exact"/>
              <w:rPr>
                <w:sz w:val="20"/>
                <w:szCs w:val="20"/>
                <w:color w:val="auto"/>
              </w:rPr>
            </w:pPr>
            <w:r>
              <w:rPr>
                <w:rFonts w:ascii="Arial" w:cs="Arial" w:eastAsia="Arial" w:hAnsi="Arial"/>
                <w:sz w:val="11"/>
                <w:szCs w:val="11"/>
                <w:color w:val="auto"/>
              </w:rPr>
              <w:t>Net gain (loss) from exchange differences</w:t>
            </w:r>
          </w:p>
        </w:tc>
        <w:tc>
          <w:tcPr>
            <w:tcW w:w="1040" w:type="dxa"/>
            <w:vAlign w:val="bottom"/>
          </w:tcPr>
          <w:p>
            <w:pPr>
              <w:jc w:val="right"/>
              <w:ind w:right="86"/>
              <w:spacing w:after="0" w:line="124" w:lineRule="exact"/>
              <w:rPr>
                <w:sz w:val="20"/>
                <w:szCs w:val="20"/>
                <w:color w:val="auto"/>
              </w:rPr>
            </w:pPr>
            <w:r>
              <w:rPr>
                <w:rFonts w:ascii="Arial" w:cs="Arial" w:eastAsia="Arial" w:hAnsi="Arial"/>
                <w:sz w:val="11"/>
                <w:szCs w:val="11"/>
                <w:color w:val="auto"/>
              </w:rPr>
              <w:t>(5,917)</w:t>
            </w:r>
          </w:p>
        </w:tc>
        <w:tc>
          <w:tcPr>
            <w:tcW w:w="940" w:type="dxa"/>
            <w:vAlign w:val="bottom"/>
          </w:tcPr>
          <w:p>
            <w:pPr>
              <w:jc w:val="right"/>
              <w:ind w:right="106"/>
              <w:spacing w:after="0" w:line="124" w:lineRule="exact"/>
              <w:rPr>
                <w:sz w:val="20"/>
                <w:szCs w:val="20"/>
                <w:color w:val="auto"/>
              </w:rPr>
            </w:pPr>
            <w:r>
              <w:rPr>
                <w:rFonts w:ascii="Arial" w:cs="Arial" w:eastAsia="Arial" w:hAnsi="Arial"/>
                <w:sz w:val="11"/>
                <w:szCs w:val="11"/>
                <w:color w:val="auto"/>
              </w:rPr>
              <w:t>2,996</w:t>
            </w:r>
          </w:p>
        </w:tc>
        <w:tc>
          <w:tcPr>
            <w:tcW w:w="78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4,564</w:t>
            </w:r>
          </w:p>
        </w:tc>
        <w:tc>
          <w:tcPr>
            <w:tcW w:w="620" w:type="dxa"/>
            <w:vAlign w:val="bottom"/>
          </w:tcPr>
          <w:p>
            <w:pPr>
              <w:jc w:val="center"/>
              <w:ind w:left="186"/>
              <w:spacing w:after="0" w:line="124" w:lineRule="exact"/>
              <w:rPr>
                <w:sz w:val="20"/>
                <w:szCs w:val="20"/>
                <w:color w:val="auto"/>
              </w:rPr>
            </w:pPr>
            <w:r>
              <w:rPr>
                <w:rFonts w:ascii="Arial" w:cs="Arial" w:eastAsia="Arial" w:hAnsi="Arial"/>
                <w:sz w:val="11"/>
                <w:szCs w:val="11"/>
                <w:color w:val="auto"/>
                <w:w w:val="96"/>
              </w:rPr>
              <w:t>52.3%</w:t>
            </w:r>
          </w:p>
        </w:tc>
        <w:tc>
          <w:tcPr>
            <w:tcW w:w="1160" w:type="dxa"/>
            <w:vAlign w:val="bottom"/>
            <w:tcBorders>
              <w:right w:val="single" w:sz="8" w:color="auto"/>
            </w:tcBorders>
          </w:tcPr>
          <w:p>
            <w:pPr>
              <w:jc w:val="center"/>
              <w:ind w:left="146"/>
              <w:spacing w:after="0" w:line="124" w:lineRule="exact"/>
              <w:rPr>
                <w:sz w:val="20"/>
                <w:szCs w:val="20"/>
                <w:color w:val="auto"/>
              </w:rPr>
            </w:pPr>
            <w:r>
              <w:rPr>
                <w:rFonts w:ascii="Arial" w:cs="Arial" w:eastAsia="Arial" w:hAnsi="Arial"/>
                <w:sz w:val="11"/>
                <w:szCs w:val="11"/>
                <w:color w:val="auto"/>
                <w:w w:val="97"/>
              </w:rPr>
              <w:t>-177.1%</w:t>
            </w:r>
          </w:p>
        </w:tc>
        <w:tc>
          <w:tcPr>
            <w:tcW w:w="1080" w:type="dxa"/>
            <w:vAlign w:val="bottom"/>
          </w:tcPr>
          <w:p>
            <w:pPr>
              <w:jc w:val="right"/>
              <w:ind w:right="166"/>
              <w:spacing w:after="0" w:line="124" w:lineRule="exact"/>
              <w:rPr>
                <w:sz w:val="20"/>
                <w:szCs w:val="20"/>
                <w:color w:val="auto"/>
              </w:rPr>
            </w:pPr>
            <w:r>
              <w:rPr>
                <w:rFonts w:ascii="Arial" w:cs="Arial" w:eastAsia="Arial" w:hAnsi="Arial"/>
                <w:sz w:val="11"/>
                <w:szCs w:val="11"/>
                <w:color w:val="auto"/>
              </w:rPr>
              <w:t>(32,721)</w:t>
            </w:r>
          </w:p>
        </w:tc>
        <w:tc>
          <w:tcPr>
            <w:tcW w:w="70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30,523</w:t>
            </w:r>
          </w:p>
        </w:tc>
        <w:tc>
          <w:tcPr>
            <w:tcW w:w="106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7"/>
              </w:rPr>
              <w:t>-193.3%</w:t>
            </w:r>
          </w:p>
        </w:tc>
      </w:tr>
      <w:tr>
        <w:trPr>
          <w:trHeight w:val="120"/>
        </w:trPr>
        <w:tc>
          <w:tcPr>
            <w:tcW w:w="3880" w:type="dxa"/>
            <w:vAlign w:val="bottom"/>
            <w:tcBorders>
              <w:left w:val="single" w:sz="8" w:color="auto"/>
              <w:right w:val="single" w:sz="8" w:color="auto"/>
            </w:tcBorders>
          </w:tcPr>
          <w:p>
            <w:pPr>
              <w:ind w:left="160"/>
              <w:spacing w:after="0" w:line="120" w:lineRule="exact"/>
              <w:rPr>
                <w:sz w:val="20"/>
                <w:szCs w:val="20"/>
                <w:color w:val="auto"/>
              </w:rPr>
            </w:pPr>
            <w:r>
              <w:rPr>
                <w:rFonts w:ascii="Arial" w:cs="Arial" w:eastAsia="Arial" w:hAnsi="Arial"/>
                <w:sz w:val="11"/>
                <w:szCs w:val="11"/>
                <w:color w:val="auto"/>
              </w:rPr>
              <w:t>Others</w:t>
            </w:r>
          </w:p>
        </w:tc>
        <w:tc>
          <w:tcPr>
            <w:tcW w:w="1040" w:type="dxa"/>
            <w:vAlign w:val="bottom"/>
          </w:tcPr>
          <w:p>
            <w:pPr>
              <w:jc w:val="right"/>
              <w:ind w:right="86"/>
              <w:spacing w:after="0" w:line="120" w:lineRule="exact"/>
              <w:rPr>
                <w:sz w:val="20"/>
                <w:szCs w:val="20"/>
                <w:color w:val="auto"/>
              </w:rPr>
            </w:pPr>
            <w:r>
              <w:rPr>
                <w:rFonts w:ascii="Arial" w:cs="Arial" w:eastAsia="Arial" w:hAnsi="Arial"/>
                <w:sz w:val="11"/>
                <w:szCs w:val="11"/>
                <w:color w:val="auto"/>
              </w:rPr>
              <w:t>56,664</w:t>
            </w:r>
          </w:p>
        </w:tc>
        <w:tc>
          <w:tcPr>
            <w:tcW w:w="940" w:type="dxa"/>
            <w:vAlign w:val="bottom"/>
          </w:tcPr>
          <w:p>
            <w:pPr>
              <w:jc w:val="right"/>
              <w:ind w:right="106"/>
              <w:spacing w:after="0" w:line="120" w:lineRule="exact"/>
              <w:rPr>
                <w:sz w:val="20"/>
                <w:szCs w:val="20"/>
                <w:color w:val="auto"/>
              </w:rPr>
            </w:pPr>
            <w:r>
              <w:rPr>
                <w:rFonts w:ascii="Arial" w:cs="Arial" w:eastAsia="Arial" w:hAnsi="Arial"/>
                <w:sz w:val="11"/>
                <w:szCs w:val="11"/>
                <w:color w:val="auto"/>
              </w:rPr>
              <w:t>149,671</w:t>
            </w:r>
          </w:p>
        </w:tc>
        <w:tc>
          <w:tcPr>
            <w:tcW w:w="780" w:type="dxa"/>
            <w:vAlign w:val="bottom"/>
            <w:tcBorders>
              <w:right w:val="single" w:sz="8" w:color="auto"/>
            </w:tcBorders>
          </w:tcPr>
          <w:p>
            <w:pPr>
              <w:jc w:val="right"/>
              <w:spacing w:after="0" w:line="120" w:lineRule="exact"/>
              <w:rPr>
                <w:sz w:val="20"/>
                <w:szCs w:val="20"/>
                <w:color w:val="auto"/>
              </w:rPr>
            </w:pPr>
            <w:r>
              <w:rPr>
                <w:rFonts w:ascii="Arial" w:cs="Arial" w:eastAsia="Arial" w:hAnsi="Arial"/>
                <w:sz w:val="11"/>
                <w:szCs w:val="11"/>
                <w:color w:val="auto"/>
              </w:rPr>
              <w:t>89,272</w:t>
            </w:r>
          </w:p>
        </w:tc>
        <w:tc>
          <w:tcPr>
            <w:tcW w:w="620" w:type="dxa"/>
            <w:vAlign w:val="bottom"/>
          </w:tcPr>
          <w:p>
            <w:pPr>
              <w:jc w:val="center"/>
              <w:ind w:left="186"/>
              <w:spacing w:after="0" w:line="120" w:lineRule="exact"/>
              <w:rPr>
                <w:sz w:val="20"/>
                <w:szCs w:val="20"/>
                <w:color w:val="auto"/>
              </w:rPr>
            </w:pPr>
            <w:r>
              <w:rPr>
                <w:rFonts w:ascii="Arial" w:cs="Arial" w:eastAsia="Arial" w:hAnsi="Arial"/>
                <w:sz w:val="11"/>
                <w:szCs w:val="11"/>
                <w:color w:val="auto"/>
                <w:w w:val="97"/>
              </w:rPr>
              <w:t>-40.4%</w:t>
            </w:r>
          </w:p>
        </w:tc>
        <w:tc>
          <w:tcPr>
            <w:tcW w:w="1160" w:type="dxa"/>
            <w:vAlign w:val="bottom"/>
            <w:tcBorders>
              <w:right w:val="single" w:sz="8" w:color="auto"/>
            </w:tcBorders>
          </w:tcPr>
          <w:p>
            <w:pPr>
              <w:jc w:val="center"/>
              <w:ind w:left="166"/>
              <w:spacing w:after="0" w:line="120" w:lineRule="exact"/>
              <w:rPr>
                <w:sz w:val="20"/>
                <w:szCs w:val="20"/>
                <w:color w:val="auto"/>
              </w:rPr>
            </w:pPr>
            <w:r>
              <w:rPr>
                <w:rFonts w:ascii="Arial" w:cs="Arial" w:eastAsia="Arial" w:hAnsi="Arial"/>
                <w:sz w:val="11"/>
                <w:szCs w:val="11"/>
                <w:color w:val="auto"/>
                <w:w w:val="96"/>
              </w:rPr>
              <w:t>57.5%</w:t>
            </w:r>
          </w:p>
        </w:tc>
        <w:tc>
          <w:tcPr>
            <w:tcW w:w="1080" w:type="dxa"/>
            <w:vAlign w:val="bottom"/>
          </w:tcPr>
          <w:p>
            <w:pPr>
              <w:jc w:val="right"/>
              <w:ind w:right="166"/>
              <w:spacing w:after="0" w:line="120" w:lineRule="exact"/>
              <w:rPr>
                <w:sz w:val="20"/>
                <w:szCs w:val="20"/>
                <w:color w:val="auto"/>
              </w:rPr>
            </w:pPr>
            <w:r>
              <w:rPr>
                <w:rFonts w:ascii="Arial" w:cs="Arial" w:eastAsia="Arial" w:hAnsi="Arial"/>
                <w:sz w:val="11"/>
                <w:szCs w:val="11"/>
                <w:color w:val="auto"/>
              </w:rPr>
              <w:t>270,594</w:t>
            </w:r>
          </w:p>
        </w:tc>
        <w:tc>
          <w:tcPr>
            <w:tcW w:w="700" w:type="dxa"/>
            <w:vAlign w:val="bottom"/>
            <w:tcBorders>
              <w:right w:val="single" w:sz="8" w:color="auto"/>
            </w:tcBorders>
          </w:tcPr>
          <w:p>
            <w:pPr>
              <w:jc w:val="right"/>
              <w:spacing w:after="0" w:line="120" w:lineRule="exact"/>
              <w:rPr>
                <w:sz w:val="20"/>
                <w:szCs w:val="20"/>
                <w:color w:val="auto"/>
              </w:rPr>
            </w:pPr>
            <w:r>
              <w:rPr>
                <w:rFonts w:ascii="Arial" w:cs="Arial" w:eastAsia="Arial" w:hAnsi="Arial"/>
                <w:sz w:val="11"/>
                <w:szCs w:val="11"/>
                <w:color w:val="auto"/>
              </w:rPr>
              <w:t>328,281</w:t>
            </w:r>
          </w:p>
        </w:tc>
        <w:tc>
          <w:tcPr>
            <w:tcW w:w="1060" w:type="dxa"/>
            <w:vAlign w:val="bottom"/>
            <w:tcBorders>
              <w:right w:val="single" w:sz="8" w:color="auto"/>
            </w:tcBorders>
          </w:tcPr>
          <w:p>
            <w:pPr>
              <w:jc w:val="center"/>
              <w:spacing w:after="0" w:line="120" w:lineRule="exact"/>
              <w:rPr>
                <w:sz w:val="20"/>
                <w:szCs w:val="20"/>
                <w:color w:val="auto"/>
              </w:rPr>
            </w:pPr>
            <w:r>
              <w:rPr>
                <w:rFonts w:ascii="Arial" w:cs="Arial" w:eastAsia="Arial" w:hAnsi="Arial"/>
                <w:sz w:val="11"/>
                <w:szCs w:val="11"/>
                <w:color w:val="auto"/>
                <w:w w:val="96"/>
              </w:rPr>
              <w:t>21.3%</w:t>
            </w:r>
          </w:p>
        </w:tc>
      </w:tr>
      <w:tr>
        <w:trPr>
          <w:trHeight w:val="149"/>
        </w:trPr>
        <w:tc>
          <w:tcPr>
            <w:tcW w:w="38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1"/>
                <w:szCs w:val="11"/>
                <w:b w:val="1"/>
                <w:bCs w:val="1"/>
                <w:color w:val="auto"/>
              </w:rPr>
              <w:t>Total non-financial income</w:t>
            </w:r>
          </w:p>
        </w:tc>
        <w:tc>
          <w:tcPr>
            <w:tcW w:w="1040" w:type="dxa"/>
            <w:vAlign w:val="bottom"/>
          </w:tcPr>
          <w:p>
            <w:pPr>
              <w:jc w:val="right"/>
              <w:ind w:right="86"/>
              <w:spacing w:after="0"/>
              <w:rPr>
                <w:sz w:val="20"/>
                <w:szCs w:val="20"/>
                <w:color w:val="auto"/>
              </w:rPr>
            </w:pPr>
            <w:r>
              <w:rPr>
                <w:rFonts w:ascii="Arial" w:cs="Arial" w:eastAsia="Arial" w:hAnsi="Arial"/>
                <w:sz w:val="11"/>
                <w:szCs w:val="11"/>
                <w:b w:val="1"/>
                <w:bCs w:val="1"/>
                <w:color w:val="auto"/>
              </w:rPr>
              <w:t>1,301,252</w:t>
            </w:r>
          </w:p>
        </w:tc>
        <w:tc>
          <w:tcPr>
            <w:tcW w:w="940" w:type="dxa"/>
            <w:vAlign w:val="bottom"/>
          </w:tcPr>
          <w:p>
            <w:pPr>
              <w:jc w:val="right"/>
              <w:ind w:right="106"/>
              <w:spacing w:after="0"/>
              <w:rPr>
                <w:sz w:val="20"/>
                <w:szCs w:val="20"/>
                <w:color w:val="auto"/>
              </w:rPr>
            </w:pPr>
            <w:r>
              <w:rPr>
                <w:rFonts w:ascii="Arial" w:cs="Arial" w:eastAsia="Arial" w:hAnsi="Arial"/>
                <w:sz w:val="11"/>
                <w:szCs w:val="11"/>
                <w:b w:val="1"/>
                <w:bCs w:val="1"/>
                <w:color w:val="auto"/>
              </w:rPr>
              <w:t>1,433,124</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1"/>
                <w:szCs w:val="11"/>
                <w:b w:val="1"/>
                <w:bCs w:val="1"/>
                <w:color w:val="auto"/>
              </w:rPr>
              <w:t>1,402,603</w:t>
            </w:r>
          </w:p>
        </w:tc>
        <w:tc>
          <w:tcPr>
            <w:tcW w:w="620" w:type="dxa"/>
            <w:vAlign w:val="bottom"/>
          </w:tcPr>
          <w:p>
            <w:pPr>
              <w:jc w:val="center"/>
              <w:ind w:left="166"/>
              <w:spacing w:after="0"/>
              <w:rPr>
                <w:sz w:val="20"/>
                <w:szCs w:val="20"/>
                <w:color w:val="auto"/>
              </w:rPr>
            </w:pPr>
            <w:r>
              <w:rPr>
                <w:rFonts w:ascii="Arial" w:cs="Arial" w:eastAsia="Arial" w:hAnsi="Arial"/>
                <w:sz w:val="11"/>
                <w:szCs w:val="11"/>
                <w:b w:val="1"/>
                <w:bCs w:val="1"/>
                <w:color w:val="auto"/>
                <w:w w:val="97"/>
              </w:rPr>
              <w:t>-2.1%</w:t>
            </w:r>
          </w:p>
        </w:tc>
        <w:tc>
          <w:tcPr>
            <w:tcW w:w="1160" w:type="dxa"/>
            <w:vAlign w:val="bottom"/>
            <w:tcBorders>
              <w:right w:val="single" w:sz="8" w:color="auto"/>
            </w:tcBorders>
          </w:tcPr>
          <w:p>
            <w:pPr>
              <w:jc w:val="center"/>
              <w:ind w:left="166"/>
              <w:spacing w:after="0"/>
              <w:rPr>
                <w:sz w:val="20"/>
                <w:szCs w:val="20"/>
                <w:color w:val="auto"/>
              </w:rPr>
            </w:pPr>
            <w:r>
              <w:rPr>
                <w:rFonts w:ascii="Arial" w:cs="Arial" w:eastAsia="Arial" w:hAnsi="Arial"/>
                <w:sz w:val="11"/>
                <w:szCs w:val="11"/>
                <w:b w:val="1"/>
                <w:bCs w:val="1"/>
                <w:color w:val="auto"/>
              </w:rPr>
              <w:t>7.8%</w:t>
            </w:r>
          </w:p>
        </w:tc>
        <w:tc>
          <w:tcPr>
            <w:tcW w:w="1080" w:type="dxa"/>
            <w:vAlign w:val="bottom"/>
          </w:tcPr>
          <w:p>
            <w:pPr>
              <w:jc w:val="right"/>
              <w:ind w:right="166"/>
              <w:spacing w:after="0"/>
              <w:rPr>
                <w:sz w:val="20"/>
                <w:szCs w:val="20"/>
                <w:color w:val="auto"/>
              </w:rPr>
            </w:pPr>
            <w:r>
              <w:rPr>
                <w:rFonts w:ascii="Arial" w:cs="Arial" w:eastAsia="Arial" w:hAnsi="Arial"/>
                <w:sz w:val="11"/>
                <w:szCs w:val="11"/>
                <w:b w:val="1"/>
                <w:bCs w:val="1"/>
                <w:color w:val="auto"/>
              </w:rPr>
              <w:t>3,738,234</w:t>
            </w: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1"/>
                <w:szCs w:val="11"/>
                <w:b w:val="1"/>
                <w:bCs w:val="1"/>
                <w:color w:val="auto"/>
              </w:rPr>
              <w:t>4,169,002</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11.5%</w:t>
            </w:r>
          </w:p>
        </w:tc>
      </w:tr>
      <w:tr>
        <w:trPr>
          <w:trHeight w:val="226"/>
        </w:trPr>
        <w:tc>
          <w:tcPr>
            <w:tcW w:w="38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Insurance underwriting result</w:t>
            </w:r>
          </w:p>
        </w:tc>
        <w:tc>
          <w:tcPr>
            <w:tcW w:w="10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1060" w:type="dxa"/>
            <w:vAlign w:val="bottom"/>
            <w:tcBorders>
              <w:right w:val="single" w:sz="8" w:color="auto"/>
            </w:tcBorders>
          </w:tcPr>
          <w:p>
            <w:pPr>
              <w:spacing w:after="0"/>
              <w:rPr>
                <w:sz w:val="19"/>
                <w:szCs w:val="19"/>
                <w:color w:val="auto"/>
              </w:rPr>
            </w:pPr>
          </w:p>
        </w:tc>
      </w:tr>
      <w:tr>
        <w:trPr>
          <w:trHeight w:val="124"/>
        </w:trPr>
        <w:tc>
          <w:tcPr>
            <w:tcW w:w="3880" w:type="dxa"/>
            <w:vAlign w:val="bottom"/>
            <w:tcBorders>
              <w:left w:val="single" w:sz="8" w:color="auto"/>
              <w:right w:val="single" w:sz="8" w:color="auto"/>
            </w:tcBorders>
          </w:tcPr>
          <w:p>
            <w:pPr>
              <w:ind w:left="160"/>
              <w:spacing w:after="0" w:line="124" w:lineRule="exact"/>
              <w:rPr>
                <w:sz w:val="20"/>
                <w:szCs w:val="20"/>
                <w:color w:val="auto"/>
              </w:rPr>
            </w:pPr>
            <w:r>
              <w:rPr>
                <w:rFonts w:ascii="Arial" w:cs="Arial" w:eastAsia="Arial" w:hAnsi="Arial"/>
                <w:sz w:val="11"/>
                <w:szCs w:val="11"/>
                <w:color w:val="auto"/>
              </w:rPr>
              <w:t>Insurance Service Result</w:t>
            </w:r>
          </w:p>
        </w:tc>
        <w:tc>
          <w:tcPr>
            <w:tcW w:w="1040" w:type="dxa"/>
            <w:vAlign w:val="bottom"/>
          </w:tcPr>
          <w:p>
            <w:pPr>
              <w:jc w:val="right"/>
              <w:ind w:right="86"/>
              <w:spacing w:after="0" w:line="124" w:lineRule="exact"/>
              <w:rPr>
                <w:sz w:val="20"/>
                <w:szCs w:val="20"/>
                <w:color w:val="auto"/>
              </w:rPr>
            </w:pPr>
            <w:r>
              <w:rPr>
                <w:rFonts w:ascii="Arial" w:cs="Arial" w:eastAsia="Arial" w:hAnsi="Arial"/>
                <w:sz w:val="11"/>
                <w:szCs w:val="11"/>
                <w:color w:val="auto"/>
              </w:rPr>
              <w:t>422,963</w:t>
            </w:r>
          </w:p>
        </w:tc>
        <w:tc>
          <w:tcPr>
            <w:tcW w:w="940" w:type="dxa"/>
            <w:vAlign w:val="bottom"/>
          </w:tcPr>
          <w:p>
            <w:pPr>
              <w:jc w:val="right"/>
              <w:ind w:right="106"/>
              <w:spacing w:after="0" w:line="124" w:lineRule="exact"/>
              <w:rPr>
                <w:sz w:val="20"/>
                <w:szCs w:val="20"/>
                <w:color w:val="auto"/>
              </w:rPr>
            </w:pPr>
            <w:r>
              <w:rPr>
                <w:rFonts w:ascii="Arial" w:cs="Arial" w:eastAsia="Arial" w:hAnsi="Arial"/>
                <w:sz w:val="11"/>
                <w:szCs w:val="11"/>
                <w:color w:val="auto"/>
              </w:rPr>
              <w:t>393,487</w:t>
            </w:r>
          </w:p>
        </w:tc>
        <w:tc>
          <w:tcPr>
            <w:tcW w:w="78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417,014</w:t>
            </w:r>
          </w:p>
        </w:tc>
        <w:tc>
          <w:tcPr>
            <w:tcW w:w="620" w:type="dxa"/>
            <w:vAlign w:val="bottom"/>
          </w:tcPr>
          <w:p>
            <w:pPr>
              <w:jc w:val="center"/>
              <w:ind w:left="166"/>
              <w:spacing w:after="0" w:line="124" w:lineRule="exact"/>
              <w:rPr>
                <w:sz w:val="20"/>
                <w:szCs w:val="20"/>
                <w:color w:val="auto"/>
              </w:rPr>
            </w:pPr>
            <w:r>
              <w:rPr>
                <w:rFonts w:ascii="Arial" w:cs="Arial" w:eastAsia="Arial" w:hAnsi="Arial"/>
                <w:sz w:val="11"/>
                <w:szCs w:val="11"/>
                <w:color w:val="auto"/>
                <w:w w:val="95"/>
              </w:rPr>
              <w:t>6.0%</w:t>
            </w:r>
          </w:p>
        </w:tc>
        <w:tc>
          <w:tcPr>
            <w:tcW w:w="1160" w:type="dxa"/>
            <w:vAlign w:val="bottom"/>
            <w:tcBorders>
              <w:right w:val="single" w:sz="8" w:color="auto"/>
            </w:tcBorders>
          </w:tcPr>
          <w:p>
            <w:pPr>
              <w:jc w:val="center"/>
              <w:ind w:left="146"/>
              <w:spacing w:after="0" w:line="124" w:lineRule="exact"/>
              <w:rPr>
                <w:sz w:val="20"/>
                <w:szCs w:val="20"/>
                <w:color w:val="auto"/>
              </w:rPr>
            </w:pPr>
            <w:r>
              <w:rPr>
                <w:rFonts w:ascii="Arial" w:cs="Arial" w:eastAsia="Arial" w:hAnsi="Arial"/>
                <w:sz w:val="11"/>
                <w:szCs w:val="11"/>
                <w:color w:val="auto"/>
                <w:w w:val="97"/>
              </w:rPr>
              <w:t>-1.4%</w:t>
            </w:r>
          </w:p>
        </w:tc>
        <w:tc>
          <w:tcPr>
            <w:tcW w:w="1080" w:type="dxa"/>
            <w:vAlign w:val="bottom"/>
          </w:tcPr>
          <w:p>
            <w:pPr>
              <w:jc w:val="right"/>
              <w:ind w:right="166"/>
              <w:spacing w:after="0" w:line="124" w:lineRule="exact"/>
              <w:rPr>
                <w:sz w:val="20"/>
                <w:szCs w:val="20"/>
                <w:color w:val="auto"/>
              </w:rPr>
            </w:pPr>
            <w:r>
              <w:rPr>
                <w:rFonts w:ascii="Arial" w:cs="Arial" w:eastAsia="Arial" w:hAnsi="Arial"/>
                <w:sz w:val="11"/>
                <w:szCs w:val="11"/>
                <w:color w:val="auto"/>
              </w:rPr>
              <w:t>1,052,511</w:t>
            </w:r>
          </w:p>
        </w:tc>
        <w:tc>
          <w:tcPr>
            <w:tcW w:w="70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1,217,378</w:t>
            </w:r>
          </w:p>
        </w:tc>
        <w:tc>
          <w:tcPr>
            <w:tcW w:w="106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6"/>
              </w:rPr>
              <w:t>15.7%</w:t>
            </w:r>
          </w:p>
        </w:tc>
      </w:tr>
      <w:tr>
        <w:trPr>
          <w:trHeight w:val="120"/>
        </w:trPr>
        <w:tc>
          <w:tcPr>
            <w:tcW w:w="3880" w:type="dxa"/>
            <w:vAlign w:val="bottom"/>
            <w:tcBorders>
              <w:left w:val="single" w:sz="8" w:color="auto"/>
              <w:right w:val="single" w:sz="8" w:color="auto"/>
            </w:tcBorders>
          </w:tcPr>
          <w:p>
            <w:pPr>
              <w:ind w:left="160"/>
              <w:spacing w:after="0" w:line="120" w:lineRule="exact"/>
              <w:rPr>
                <w:sz w:val="20"/>
                <w:szCs w:val="20"/>
                <w:color w:val="auto"/>
              </w:rPr>
            </w:pPr>
            <w:r>
              <w:rPr>
                <w:rFonts w:ascii="Arial" w:cs="Arial" w:eastAsia="Arial" w:hAnsi="Arial"/>
                <w:sz w:val="11"/>
                <w:szCs w:val="11"/>
                <w:color w:val="auto"/>
              </w:rPr>
              <w:t>Reinsurance Result</w:t>
            </w:r>
          </w:p>
        </w:tc>
        <w:tc>
          <w:tcPr>
            <w:tcW w:w="1040" w:type="dxa"/>
            <w:vAlign w:val="bottom"/>
          </w:tcPr>
          <w:p>
            <w:pPr>
              <w:jc w:val="right"/>
              <w:ind w:right="86"/>
              <w:spacing w:after="0" w:line="120" w:lineRule="exact"/>
              <w:rPr>
                <w:sz w:val="20"/>
                <w:szCs w:val="20"/>
                <w:color w:val="auto"/>
              </w:rPr>
            </w:pPr>
            <w:r>
              <w:rPr>
                <w:rFonts w:ascii="Arial" w:cs="Arial" w:eastAsia="Arial" w:hAnsi="Arial"/>
                <w:sz w:val="11"/>
                <w:szCs w:val="11"/>
                <w:color w:val="auto"/>
              </w:rPr>
              <w:t>(119,203)</w:t>
            </w:r>
          </w:p>
        </w:tc>
        <w:tc>
          <w:tcPr>
            <w:tcW w:w="940" w:type="dxa"/>
            <w:vAlign w:val="bottom"/>
          </w:tcPr>
          <w:p>
            <w:pPr>
              <w:jc w:val="right"/>
              <w:ind w:right="106"/>
              <w:spacing w:after="0" w:line="120" w:lineRule="exact"/>
              <w:rPr>
                <w:sz w:val="20"/>
                <w:szCs w:val="20"/>
                <w:color w:val="auto"/>
              </w:rPr>
            </w:pPr>
            <w:r>
              <w:rPr>
                <w:rFonts w:ascii="Arial" w:cs="Arial" w:eastAsia="Arial" w:hAnsi="Arial"/>
                <w:sz w:val="11"/>
                <w:szCs w:val="11"/>
                <w:color w:val="auto"/>
              </w:rPr>
              <w:t>(96,923)</w:t>
            </w:r>
          </w:p>
        </w:tc>
        <w:tc>
          <w:tcPr>
            <w:tcW w:w="780" w:type="dxa"/>
            <w:vAlign w:val="bottom"/>
            <w:tcBorders>
              <w:right w:val="single" w:sz="8" w:color="auto"/>
            </w:tcBorders>
          </w:tcPr>
          <w:p>
            <w:pPr>
              <w:jc w:val="right"/>
              <w:spacing w:after="0" w:line="120" w:lineRule="exact"/>
              <w:rPr>
                <w:sz w:val="20"/>
                <w:szCs w:val="20"/>
                <w:color w:val="auto"/>
              </w:rPr>
            </w:pPr>
            <w:r>
              <w:rPr>
                <w:rFonts w:ascii="Arial" w:cs="Arial" w:eastAsia="Arial" w:hAnsi="Arial"/>
                <w:sz w:val="11"/>
                <w:szCs w:val="11"/>
                <w:color w:val="auto"/>
              </w:rPr>
              <w:t>(86,114)</w:t>
            </w:r>
          </w:p>
        </w:tc>
        <w:tc>
          <w:tcPr>
            <w:tcW w:w="620" w:type="dxa"/>
            <w:vAlign w:val="bottom"/>
          </w:tcPr>
          <w:p>
            <w:pPr>
              <w:jc w:val="center"/>
              <w:ind w:left="166"/>
              <w:spacing w:after="0" w:line="120" w:lineRule="exact"/>
              <w:rPr>
                <w:sz w:val="20"/>
                <w:szCs w:val="20"/>
                <w:color w:val="auto"/>
              </w:rPr>
            </w:pPr>
            <w:r>
              <w:rPr>
                <w:rFonts w:ascii="Arial" w:cs="Arial" w:eastAsia="Arial" w:hAnsi="Arial"/>
                <w:sz w:val="11"/>
                <w:szCs w:val="11"/>
                <w:color w:val="auto"/>
                <w:w w:val="91"/>
              </w:rPr>
              <w:t>-11.2%</w:t>
            </w:r>
          </w:p>
        </w:tc>
        <w:tc>
          <w:tcPr>
            <w:tcW w:w="1160" w:type="dxa"/>
            <w:vAlign w:val="bottom"/>
            <w:tcBorders>
              <w:right w:val="single" w:sz="8" w:color="auto"/>
            </w:tcBorders>
          </w:tcPr>
          <w:p>
            <w:pPr>
              <w:jc w:val="center"/>
              <w:ind w:left="166"/>
              <w:spacing w:after="0" w:line="120" w:lineRule="exact"/>
              <w:rPr>
                <w:sz w:val="20"/>
                <w:szCs w:val="20"/>
                <w:color w:val="auto"/>
              </w:rPr>
            </w:pPr>
            <w:r>
              <w:rPr>
                <w:rFonts w:ascii="Arial" w:cs="Arial" w:eastAsia="Arial" w:hAnsi="Arial"/>
                <w:sz w:val="11"/>
                <w:szCs w:val="11"/>
                <w:color w:val="auto"/>
                <w:w w:val="97"/>
              </w:rPr>
              <w:t>-27.8%</w:t>
            </w:r>
          </w:p>
        </w:tc>
        <w:tc>
          <w:tcPr>
            <w:tcW w:w="1080" w:type="dxa"/>
            <w:vAlign w:val="bottom"/>
          </w:tcPr>
          <w:p>
            <w:pPr>
              <w:jc w:val="right"/>
              <w:ind w:right="166"/>
              <w:spacing w:after="0" w:line="120" w:lineRule="exact"/>
              <w:rPr>
                <w:sz w:val="20"/>
                <w:szCs w:val="20"/>
                <w:color w:val="auto"/>
              </w:rPr>
            </w:pPr>
            <w:r>
              <w:rPr>
                <w:rFonts w:ascii="Arial" w:cs="Arial" w:eastAsia="Arial" w:hAnsi="Arial"/>
                <w:sz w:val="11"/>
                <w:szCs w:val="11"/>
                <w:color w:val="auto"/>
              </w:rPr>
              <w:t>(347,887)</w:t>
            </w:r>
          </w:p>
        </w:tc>
        <w:tc>
          <w:tcPr>
            <w:tcW w:w="700" w:type="dxa"/>
            <w:vAlign w:val="bottom"/>
            <w:tcBorders>
              <w:right w:val="single" w:sz="8" w:color="auto"/>
            </w:tcBorders>
          </w:tcPr>
          <w:p>
            <w:pPr>
              <w:jc w:val="right"/>
              <w:spacing w:after="0" w:line="120" w:lineRule="exact"/>
              <w:rPr>
                <w:sz w:val="20"/>
                <w:szCs w:val="20"/>
                <w:color w:val="auto"/>
              </w:rPr>
            </w:pPr>
            <w:r>
              <w:rPr>
                <w:rFonts w:ascii="Arial" w:cs="Arial" w:eastAsia="Arial" w:hAnsi="Arial"/>
                <w:sz w:val="11"/>
                <w:szCs w:val="11"/>
                <w:color w:val="auto"/>
              </w:rPr>
              <w:t>(293,573)</w:t>
            </w:r>
          </w:p>
        </w:tc>
        <w:tc>
          <w:tcPr>
            <w:tcW w:w="1060" w:type="dxa"/>
            <w:vAlign w:val="bottom"/>
            <w:tcBorders>
              <w:right w:val="single" w:sz="8" w:color="auto"/>
            </w:tcBorders>
          </w:tcPr>
          <w:p>
            <w:pPr>
              <w:jc w:val="center"/>
              <w:spacing w:after="0" w:line="120" w:lineRule="exact"/>
              <w:rPr>
                <w:sz w:val="20"/>
                <w:szCs w:val="20"/>
                <w:color w:val="auto"/>
              </w:rPr>
            </w:pPr>
            <w:r>
              <w:rPr>
                <w:rFonts w:ascii="Arial" w:cs="Arial" w:eastAsia="Arial" w:hAnsi="Arial"/>
                <w:sz w:val="11"/>
                <w:szCs w:val="11"/>
                <w:color w:val="auto"/>
                <w:w w:val="97"/>
              </w:rPr>
              <w:t>-15.6%</w:t>
            </w:r>
          </w:p>
        </w:tc>
      </w:tr>
      <w:tr>
        <w:trPr>
          <w:trHeight w:val="149"/>
        </w:trPr>
        <w:tc>
          <w:tcPr>
            <w:tcW w:w="38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1"/>
                <w:szCs w:val="11"/>
                <w:b w:val="1"/>
                <w:bCs w:val="1"/>
                <w:color w:val="auto"/>
              </w:rPr>
              <w:t>Total insurance underwriting result</w:t>
            </w:r>
          </w:p>
        </w:tc>
        <w:tc>
          <w:tcPr>
            <w:tcW w:w="1040" w:type="dxa"/>
            <w:vAlign w:val="bottom"/>
          </w:tcPr>
          <w:p>
            <w:pPr>
              <w:jc w:val="right"/>
              <w:ind w:right="86"/>
              <w:spacing w:after="0"/>
              <w:rPr>
                <w:sz w:val="20"/>
                <w:szCs w:val="20"/>
                <w:color w:val="auto"/>
              </w:rPr>
            </w:pPr>
            <w:r>
              <w:rPr>
                <w:rFonts w:ascii="Arial" w:cs="Arial" w:eastAsia="Arial" w:hAnsi="Arial"/>
                <w:sz w:val="11"/>
                <w:szCs w:val="11"/>
                <w:b w:val="1"/>
                <w:bCs w:val="1"/>
                <w:color w:val="auto"/>
              </w:rPr>
              <w:t>303,760</w:t>
            </w:r>
          </w:p>
        </w:tc>
        <w:tc>
          <w:tcPr>
            <w:tcW w:w="940" w:type="dxa"/>
            <w:vAlign w:val="bottom"/>
          </w:tcPr>
          <w:p>
            <w:pPr>
              <w:jc w:val="right"/>
              <w:ind w:right="106"/>
              <w:spacing w:after="0"/>
              <w:rPr>
                <w:sz w:val="20"/>
                <w:szCs w:val="20"/>
                <w:color w:val="auto"/>
              </w:rPr>
            </w:pPr>
            <w:r>
              <w:rPr>
                <w:rFonts w:ascii="Arial" w:cs="Arial" w:eastAsia="Arial" w:hAnsi="Arial"/>
                <w:sz w:val="11"/>
                <w:szCs w:val="11"/>
                <w:b w:val="1"/>
                <w:bCs w:val="1"/>
                <w:color w:val="auto"/>
              </w:rPr>
              <w:t>296,564</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1"/>
                <w:szCs w:val="11"/>
                <w:b w:val="1"/>
                <w:bCs w:val="1"/>
                <w:color w:val="auto"/>
              </w:rPr>
              <w:t>330,900</w:t>
            </w:r>
          </w:p>
        </w:tc>
        <w:tc>
          <w:tcPr>
            <w:tcW w:w="620" w:type="dxa"/>
            <w:vAlign w:val="bottom"/>
          </w:tcPr>
          <w:p>
            <w:pPr>
              <w:jc w:val="center"/>
              <w:ind w:left="186"/>
              <w:spacing w:after="0"/>
              <w:rPr>
                <w:sz w:val="20"/>
                <w:szCs w:val="20"/>
                <w:color w:val="auto"/>
              </w:rPr>
            </w:pPr>
            <w:r>
              <w:rPr>
                <w:rFonts w:ascii="Arial" w:cs="Arial" w:eastAsia="Arial" w:hAnsi="Arial"/>
                <w:sz w:val="11"/>
                <w:szCs w:val="11"/>
                <w:b w:val="1"/>
                <w:bCs w:val="1"/>
                <w:color w:val="auto"/>
                <w:w w:val="96"/>
              </w:rPr>
              <w:t>11.6%</w:t>
            </w:r>
          </w:p>
        </w:tc>
        <w:tc>
          <w:tcPr>
            <w:tcW w:w="1160" w:type="dxa"/>
            <w:vAlign w:val="bottom"/>
            <w:tcBorders>
              <w:right w:val="single" w:sz="8" w:color="auto"/>
            </w:tcBorders>
          </w:tcPr>
          <w:p>
            <w:pPr>
              <w:jc w:val="center"/>
              <w:ind w:left="166"/>
              <w:spacing w:after="0"/>
              <w:rPr>
                <w:sz w:val="20"/>
                <w:szCs w:val="20"/>
                <w:color w:val="auto"/>
              </w:rPr>
            </w:pPr>
            <w:r>
              <w:rPr>
                <w:rFonts w:ascii="Arial" w:cs="Arial" w:eastAsia="Arial" w:hAnsi="Arial"/>
                <w:sz w:val="11"/>
                <w:szCs w:val="11"/>
                <w:b w:val="1"/>
                <w:bCs w:val="1"/>
                <w:color w:val="auto"/>
              </w:rPr>
              <w:t>8.9%</w:t>
            </w:r>
          </w:p>
        </w:tc>
        <w:tc>
          <w:tcPr>
            <w:tcW w:w="1080" w:type="dxa"/>
            <w:vAlign w:val="bottom"/>
          </w:tcPr>
          <w:p>
            <w:pPr>
              <w:jc w:val="right"/>
              <w:ind w:right="166"/>
              <w:spacing w:after="0"/>
              <w:rPr>
                <w:sz w:val="20"/>
                <w:szCs w:val="20"/>
                <w:color w:val="auto"/>
              </w:rPr>
            </w:pPr>
            <w:r>
              <w:rPr>
                <w:rFonts w:ascii="Arial" w:cs="Arial" w:eastAsia="Arial" w:hAnsi="Arial"/>
                <w:sz w:val="11"/>
                <w:szCs w:val="11"/>
                <w:b w:val="1"/>
                <w:bCs w:val="1"/>
                <w:color w:val="auto"/>
              </w:rPr>
              <w:t>704,624</w:t>
            </w: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1"/>
                <w:szCs w:val="11"/>
                <w:b w:val="1"/>
                <w:bCs w:val="1"/>
                <w:color w:val="auto"/>
              </w:rPr>
              <w:t>923,805</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31.1%</w:t>
            </w:r>
          </w:p>
        </w:tc>
      </w:tr>
      <w:tr>
        <w:trPr>
          <w:trHeight w:val="226"/>
        </w:trPr>
        <w:tc>
          <w:tcPr>
            <w:tcW w:w="38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Total expenses</w:t>
            </w:r>
          </w:p>
        </w:tc>
        <w:tc>
          <w:tcPr>
            <w:tcW w:w="10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tcBorders>
              <w:right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Borders>
              <w:right w:val="single" w:sz="8" w:color="auto"/>
            </w:tcBorders>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1060" w:type="dxa"/>
            <w:vAlign w:val="bottom"/>
            <w:tcBorders>
              <w:right w:val="single" w:sz="8" w:color="auto"/>
            </w:tcBorders>
          </w:tcPr>
          <w:p>
            <w:pPr>
              <w:spacing w:after="0"/>
              <w:rPr>
                <w:sz w:val="19"/>
                <w:szCs w:val="19"/>
                <w:color w:val="auto"/>
              </w:rPr>
            </w:pPr>
          </w:p>
        </w:tc>
      </w:tr>
      <w:tr>
        <w:trPr>
          <w:trHeight w:val="124"/>
        </w:trPr>
        <w:tc>
          <w:tcPr>
            <w:tcW w:w="3880" w:type="dxa"/>
            <w:vAlign w:val="bottom"/>
            <w:tcBorders>
              <w:left w:val="single" w:sz="8" w:color="auto"/>
              <w:right w:val="single" w:sz="8" w:color="auto"/>
            </w:tcBorders>
          </w:tcPr>
          <w:p>
            <w:pPr>
              <w:ind w:left="160"/>
              <w:spacing w:after="0" w:line="124" w:lineRule="exact"/>
              <w:rPr>
                <w:sz w:val="20"/>
                <w:szCs w:val="20"/>
                <w:color w:val="auto"/>
              </w:rPr>
            </w:pPr>
            <w:r>
              <w:rPr>
                <w:rFonts w:ascii="Arial" w:cs="Arial" w:eastAsia="Arial" w:hAnsi="Arial"/>
                <w:sz w:val="11"/>
                <w:szCs w:val="11"/>
                <w:color w:val="auto"/>
              </w:rPr>
              <w:t>Salaries and employee benefits</w:t>
            </w:r>
          </w:p>
        </w:tc>
        <w:tc>
          <w:tcPr>
            <w:tcW w:w="1040" w:type="dxa"/>
            <w:vAlign w:val="bottom"/>
          </w:tcPr>
          <w:p>
            <w:pPr>
              <w:jc w:val="right"/>
              <w:ind w:right="86"/>
              <w:spacing w:after="0" w:line="124" w:lineRule="exact"/>
              <w:rPr>
                <w:sz w:val="20"/>
                <w:szCs w:val="20"/>
                <w:color w:val="auto"/>
              </w:rPr>
            </w:pPr>
            <w:r>
              <w:rPr>
                <w:rFonts w:ascii="Arial" w:cs="Arial" w:eastAsia="Arial" w:hAnsi="Arial"/>
                <w:sz w:val="11"/>
                <w:szCs w:val="11"/>
                <w:color w:val="auto"/>
              </w:rPr>
              <w:t>(984,336)</w:t>
            </w:r>
          </w:p>
        </w:tc>
        <w:tc>
          <w:tcPr>
            <w:tcW w:w="940" w:type="dxa"/>
            <w:vAlign w:val="bottom"/>
          </w:tcPr>
          <w:p>
            <w:pPr>
              <w:jc w:val="right"/>
              <w:ind w:right="106"/>
              <w:spacing w:after="0" w:line="124" w:lineRule="exact"/>
              <w:rPr>
                <w:sz w:val="20"/>
                <w:szCs w:val="20"/>
                <w:color w:val="auto"/>
              </w:rPr>
            </w:pPr>
            <w:r>
              <w:rPr>
                <w:rFonts w:ascii="Arial" w:cs="Arial" w:eastAsia="Arial" w:hAnsi="Arial"/>
                <w:sz w:val="11"/>
                <w:szCs w:val="11"/>
                <w:color w:val="auto"/>
              </w:rPr>
              <w:t>(1,054,735)</w:t>
            </w:r>
          </w:p>
        </w:tc>
        <w:tc>
          <w:tcPr>
            <w:tcW w:w="78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(1,061,402)</w:t>
            </w:r>
          </w:p>
        </w:tc>
        <w:tc>
          <w:tcPr>
            <w:tcW w:w="620" w:type="dxa"/>
            <w:vAlign w:val="bottom"/>
          </w:tcPr>
          <w:p>
            <w:pPr>
              <w:jc w:val="center"/>
              <w:ind w:left="166"/>
              <w:spacing w:after="0" w:line="124" w:lineRule="exact"/>
              <w:rPr>
                <w:sz w:val="20"/>
                <w:szCs w:val="20"/>
                <w:color w:val="auto"/>
              </w:rPr>
            </w:pPr>
            <w:r>
              <w:rPr>
                <w:rFonts w:ascii="Arial" w:cs="Arial" w:eastAsia="Arial" w:hAnsi="Arial"/>
                <w:sz w:val="11"/>
                <w:szCs w:val="11"/>
                <w:color w:val="auto"/>
                <w:w w:val="95"/>
              </w:rPr>
              <w:t>0.6%</w:t>
            </w:r>
          </w:p>
        </w:tc>
        <w:tc>
          <w:tcPr>
            <w:tcW w:w="1160" w:type="dxa"/>
            <w:vAlign w:val="bottom"/>
            <w:tcBorders>
              <w:right w:val="single" w:sz="8" w:color="auto"/>
            </w:tcBorders>
          </w:tcPr>
          <w:p>
            <w:pPr>
              <w:jc w:val="center"/>
              <w:ind w:left="166"/>
              <w:spacing w:after="0" w:line="124" w:lineRule="exact"/>
              <w:rPr>
                <w:sz w:val="20"/>
                <w:szCs w:val="20"/>
                <w:color w:val="auto"/>
              </w:rPr>
            </w:pPr>
            <w:r>
              <w:rPr>
                <w:rFonts w:ascii="Arial" w:cs="Arial" w:eastAsia="Arial" w:hAnsi="Arial"/>
                <w:sz w:val="11"/>
                <w:szCs w:val="11"/>
                <w:color w:val="auto"/>
              </w:rPr>
              <w:t>7.8%</w:t>
            </w:r>
          </w:p>
        </w:tc>
        <w:tc>
          <w:tcPr>
            <w:tcW w:w="1080" w:type="dxa"/>
            <w:vAlign w:val="bottom"/>
          </w:tcPr>
          <w:p>
            <w:pPr>
              <w:jc w:val="right"/>
              <w:ind w:right="166"/>
              <w:spacing w:after="0" w:line="124" w:lineRule="exact"/>
              <w:rPr>
                <w:sz w:val="20"/>
                <w:szCs w:val="20"/>
                <w:color w:val="auto"/>
              </w:rPr>
            </w:pPr>
            <w:r>
              <w:rPr>
                <w:rFonts w:ascii="Arial" w:cs="Arial" w:eastAsia="Arial" w:hAnsi="Arial"/>
                <w:sz w:val="11"/>
                <w:szCs w:val="11"/>
                <w:color w:val="auto"/>
              </w:rPr>
              <w:t>(2,866,013)</w:t>
            </w:r>
          </w:p>
        </w:tc>
        <w:tc>
          <w:tcPr>
            <w:tcW w:w="70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(3,145,695)</w:t>
            </w:r>
          </w:p>
        </w:tc>
        <w:tc>
          <w:tcPr>
            <w:tcW w:w="106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rPr>
              <w:t>9.8%</w:t>
            </w:r>
          </w:p>
        </w:tc>
      </w:tr>
      <w:tr>
        <w:trPr>
          <w:trHeight w:val="124"/>
        </w:trPr>
        <w:tc>
          <w:tcPr>
            <w:tcW w:w="3880" w:type="dxa"/>
            <w:vAlign w:val="bottom"/>
            <w:tcBorders>
              <w:left w:val="single" w:sz="8" w:color="auto"/>
              <w:right w:val="single" w:sz="8" w:color="auto"/>
            </w:tcBorders>
          </w:tcPr>
          <w:p>
            <w:pPr>
              <w:ind w:left="160"/>
              <w:spacing w:after="0" w:line="124" w:lineRule="exact"/>
              <w:rPr>
                <w:sz w:val="20"/>
                <w:szCs w:val="20"/>
                <w:color w:val="auto"/>
              </w:rPr>
            </w:pPr>
            <w:r>
              <w:rPr>
                <w:rFonts w:ascii="Arial" w:cs="Arial" w:eastAsia="Arial" w:hAnsi="Arial"/>
                <w:sz w:val="11"/>
                <w:szCs w:val="11"/>
                <w:color w:val="auto"/>
              </w:rPr>
              <w:t>Administrative, general and tax expenses</w:t>
            </w:r>
          </w:p>
        </w:tc>
        <w:tc>
          <w:tcPr>
            <w:tcW w:w="1040" w:type="dxa"/>
            <w:vAlign w:val="bottom"/>
          </w:tcPr>
          <w:p>
            <w:pPr>
              <w:jc w:val="right"/>
              <w:ind w:right="86"/>
              <w:spacing w:after="0" w:line="124" w:lineRule="exact"/>
              <w:rPr>
                <w:sz w:val="20"/>
                <w:szCs w:val="20"/>
                <w:color w:val="auto"/>
              </w:rPr>
            </w:pPr>
            <w:r>
              <w:rPr>
                <w:rFonts w:ascii="Arial" w:cs="Arial" w:eastAsia="Arial" w:hAnsi="Arial"/>
                <w:sz w:val="11"/>
                <w:szCs w:val="11"/>
                <w:color w:val="auto"/>
              </w:rPr>
              <w:t>(869,873)</w:t>
            </w:r>
          </w:p>
        </w:tc>
        <w:tc>
          <w:tcPr>
            <w:tcW w:w="940" w:type="dxa"/>
            <w:vAlign w:val="bottom"/>
          </w:tcPr>
          <w:p>
            <w:pPr>
              <w:jc w:val="right"/>
              <w:ind w:right="106"/>
              <w:spacing w:after="0" w:line="124" w:lineRule="exact"/>
              <w:rPr>
                <w:sz w:val="20"/>
                <w:szCs w:val="20"/>
                <w:color w:val="auto"/>
              </w:rPr>
            </w:pPr>
            <w:r>
              <w:rPr>
                <w:rFonts w:ascii="Arial" w:cs="Arial" w:eastAsia="Arial" w:hAnsi="Arial"/>
                <w:sz w:val="11"/>
                <w:szCs w:val="11"/>
                <w:color w:val="auto"/>
              </w:rPr>
              <w:t>(871,046)</w:t>
            </w:r>
          </w:p>
        </w:tc>
        <w:tc>
          <w:tcPr>
            <w:tcW w:w="78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(1,007,894)</w:t>
            </w:r>
          </w:p>
        </w:tc>
        <w:tc>
          <w:tcPr>
            <w:tcW w:w="620" w:type="dxa"/>
            <w:vAlign w:val="bottom"/>
          </w:tcPr>
          <w:p>
            <w:pPr>
              <w:jc w:val="center"/>
              <w:ind w:left="186"/>
              <w:spacing w:after="0" w:line="124" w:lineRule="exact"/>
              <w:rPr>
                <w:sz w:val="20"/>
                <w:szCs w:val="20"/>
                <w:color w:val="auto"/>
              </w:rPr>
            </w:pPr>
            <w:r>
              <w:rPr>
                <w:rFonts w:ascii="Arial" w:cs="Arial" w:eastAsia="Arial" w:hAnsi="Arial"/>
                <w:sz w:val="11"/>
                <w:szCs w:val="11"/>
                <w:color w:val="auto"/>
                <w:w w:val="96"/>
              </w:rPr>
              <w:t>15.7%</w:t>
            </w:r>
          </w:p>
        </w:tc>
        <w:tc>
          <w:tcPr>
            <w:tcW w:w="1160" w:type="dxa"/>
            <w:vAlign w:val="bottom"/>
            <w:tcBorders>
              <w:right w:val="single" w:sz="8" w:color="auto"/>
            </w:tcBorders>
          </w:tcPr>
          <w:p>
            <w:pPr>
              <w:jc w:val="center"/>
              <w:ind w:left="166"/>
              <w:spacing w:after="0" w:line="124" w:lineRule="exact"/>
              <w:rPr>
                <w:sz w:val="20"/>
                <w:szCs w:val="20"/>
                <w:color w:val="auto"/>
              </w:rPr>
            </w:pPr>
            <w:r>
              <w:rPr>
                <w:rFonts w:ascii="Arial" w:cs="Arial" w:eastAsia="Arial" w:hAnsi="Arial"/>
                <w:sz w:val="11"/>
                <w:szCs w:val="11"/>
                <w:color w:val="auto"/>
                <w:w w:val="96"/>
              </w:rPr>
              <w:t>15.9%</w:t>
            </w:r>
          </w:p>
        </w:tc>
        <w:tc>
          <w:tcPr>
            <w:tcW w:w="1080" w:type="dxa"/>
            <w:vAlign w:val="bottom"/>
          </w:tcPr>
          <w:p>
            <w:pPr>
              <w:jc w:val="right"/>
              <w:ind w:right="166"/>
              <w:spacing w:after="0" w:line="124" w:lineRule="exact"/>
              <w:rPr>
                <w:sz w:val="20"/>
                <w:szCs w:val="20"/>
                <w:color w:val="auto"/>
              </w:rPr>
            </w:pPr>
            <w:r>
              <w:rPr>
                <w:rFonts w:ascii="Arial" w:cs="Arial" w:eastAsia="Arial" w:hAnsi="Arial"/>
                <w:sz w:val="11"/>
                <w:szCs w:val="11"/>
                <w:color w:val="auto"/>
              </w:rPr>
              <w:t>(2,385,038)</w:t>
            </w:r>
          </w:p>
        </w:tc>
        <w:tc>
          <w:tcPr>
            <w:tcW w:w="70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(2,714,000)</w:t>
            </w:r>
          </w:p>
        </w:tc>
        <w:tc>
          <w:tcPr>
            <w:tcW w:w="106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6"/>
              </w:rPr>
              <w:t>13.8%</w:t>
            </w:r>
          </w:p>
        </w:tc>
      </w:tr>
      <w:tr>
        <w:trPr>
          <w:trHeight w:val="124"/>
        </w:trPr>
        <w:tc>
          <w:tcPr>
            <w:tcW w:w="3880" w:type="dxa"/>
            <w:vAlign w:val="bottom"/>
            <w:tcBorders>
              <w:left w:val="single" w:sz="8" w:color="auto"/>
              <w:right w:val="single" w:sz="8" w:color="auto"/>
            </w:tcBorders>
          </w:tcPr>
          <w:p>
            <w:pPr>
              <w:ind w:left="160"/>
              <w:spacing w:after="0" w:line="124" w:lineRule="exact"/>
              <w:rPr>
                <w:sz w:val="20"/>
                <w:szCs w:val="20"/>
                <w:color w:val="auto"/>
              </w:rPr>
            </w:pPr>
            <w:r>
              <w:rPr>
                <w:rFonts w:ascii="Arial" w:cs="Arial" w:eastAsia="Arial" w:hAnsi="Arial"/>
                <w:sz w:val="11"/>
                <w:szCs w:val="11"/>
                <w:color w:val="auto"/>
              </w:rPr>
              <w:t>Depreciation and amortization</w:t>
            </w:r>
          </w:p>
        </w:tc>
        <w:tc>
          <w:tcPr>
            <w:tcW w:w="1040" w:type="dxa"/>
            <w:vAlign w:val="bottom"/>
          </w:tcPr>
          <w:p>
            <w:pPr>
              <w:jc w:val="right"/>
              <w:ind w:right="86"/>
              <w:spacing w:after="0" w:line="124" w:lineRule="exact"/>
              <w:rPr>
                <w:sz w:val="20"/>
                <w:szCs w:val="20"/>
                <w:color w:val="auto"/>
              </w:rPr>
            </w:pPr>
            <w:r>
              <w:rPr>
                <w:rFonts w:ascii="Arial" w:cs="Arial" w:eastAsia="Arial" w:hAnsi="Arial"/>
                <w:sz w:val="11"/>
                <w:szCs w:val="11"/>
                <w:color w:val="auto"/>
              </w:rPr>
              <w:t>(162,009)</w:t>
            </w:r>
          </w:p>
        </w:tc>
        <w:tc>
          <w:tcPr>
            <w:tcW w:w="940" w:type="dxa"/>
            <w:vAlign w:val="bottom"/>
          </w:tcPr>
          <w:p>
            <w:pPr>
              <w:jc w:val="right"/>
              <w:ind w:right="106"/>
              <w:spacing w:after="0" w:line="124" w:lineRule="exact"/>
              <w:rPr>
                <w:sz w:val="20"/>
                <w:szCs w:val="20"/>
                <w:color w:val="auto"/>
              </w:rPr>
            </w:pPr>
            <w:r>
              <w:rPr>
                <w:rFonts w:ascii="Arial" w:cs="Arial" w:eastAsia="Arial" w:hAnsi="Arial"/>
                <w:sz w:val="11"/>
                <w:szCs w:val="11"/>
                <w:color w:val="auto"/>
              </w:rPr>
              <w:t>(160,549)</w:t>
            </w:r>
          </w:p>
        </w:tc>
        <w:tc>
          <w:tcPr>
            <w:tcW w:w="78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(159,761)</w:t>
            </w:r>
          </w:p>
        </w:tc>
        <w:tc>
          <w:tcPr>
            <w:tcW w:w="620" w:type="dxa"/>
            <w:vAlign w:val="bottom"/>
          </w:tcPr>
          <w:p>
            <w:pPr>
              <w:jc w:val="center"/>
              <w:ind w:left="166"/>
              <w:spacing w:after="0" w:line="124" w:lineRule="exact"/>
              <w:rPr>
                <w:sz w:val="20"/>
                <w:szCs w:val="20"/>
                <w:color w:val="auto"/>
              </w:rPr>
            </w:pPr>
            <w:r>
              <w:rPr>
                <w:rFonts w:ascii="Arial" w:cs="Arial" w:eastAsia="Arial" w:hAnsi="Arial"/>
                <w:sz w:val="11"/>
                <w:szCs w:val="11"/>
                <w:color w:val="auto"/>
                <w:w w:val="97"/>
              </w:rPr>
              <w:t>-0.5%</w:t>
            </w:r>
          </w:p>
        </w:tc>
        <w:tc>
          <w:tcPr>
            <w:tcW w:w="1160" w:type="dxa"/>
            <w:vAlign w:val="bottom"/>
            <w:tcBorders>
              <w:right w:val="single" w:sz="8" w:color="auto"/>
            </w:tcBorders>
          </w:tcPr>
          <w:p>
            <w:pPr>
              <w:jc w:val="center"/>
              <w:ind w:left="146"/>
              <w:spacing w:after="0" w:line="124" w:lineRule="exact"/>
              <w:rPr>
                <w:sz w:val="20"/>
                <w:szCs w:val="20"/>
                <w:color w:val="auto"/>
              </w:rPr>
            </w:pPr>
            <w:r>
              <w:rPr>
                <w:rFonts w:ascii="Arial" w:cs="Arial" w:eastAsia="Arial" w:hAnsi="Arial"/>
                <w:sz w:val="11"/>
                <w:szCs w:val="11"/>
                <w:color w:val="auto"/>
                <w:w w:val="97"/>
              </w:rPr>
              <w:t>-1.4%</w:t>
            </w:r>
          </w:p>
        </w:tc>
        <w:tc>
          <w:tcPr>
            <w:tcW w:w="1080" w:type="dxa"/>
            <w:vAlign w:val="bottom"/>
          </w:tcPr>
          <w:p>
            <w:pPr>
              <w:jc w:val="right"/>
              <w:ind w:right="166"/>
              <w:spacing w:after="0" w:line="124" w:lineRule="exact"/>
              <w:rPr>
                <w:sz w:val="20"/>
                <w:szCs w:val="20"/>
                <w:color w:val="auto"/>
              </w:rPr>
            </w:pPr>
            <w:r>
              <w:rPr>
                <w:rFonts w:ascii="Arial" w:cs="Arial" w:eastAsia="Arial" w:hAnsi="Arial"/>
                <w:sz w:val="11"/>
                <w:szCs w:val="11"/>
                <w:color w:val="auto"/>
              </w:rPr>
              <w:t>(470,795)</w:t>
            </w:r>
          </w:p>
        </w:tc>
        <w:tc>
          <w:tcPr>
            <w:tcW w:w="70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(481,389)</w:t>
            </w:r>
          </w:p>
        </w:tc>
        <w:tc>
          <w:tcPr>
            <w:tcW w:w="106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rPr>
              <w:t>2.3%</w:t>
            </w:r>
          </w:p>
        </w:tc>
      </w:tr>
      <w:tr>
        <w:trPr>
          <w:trHeight w:val="124"/>
        </w:trPr>
        <w:tc>
          <w:tcPr>
            <w:tcW w:w="3880" w:type="dxa"/>
            <w:vAlign w:val="bottom"/>
            <w:tcBorders>
              <w:left w:val="single" w:sz="8" w:color="auto"/>
              <w:right w:val="single" w:sz="8" w:color="auto"/>
            </w:tcBorders>
          </w:tcPr>
          <w:p>
            <w:pPr>
              <w:ind w:left="160"/>
              <w:spacing w:after="0" w:line="124" w:lineRule="exact"/>
              <w:rPr>
                <w:sz w:val="20"/>
                <w:szCs w:val="20"/>
                <w:color w:val="auto"/>
              </w:rPr>
            </w:pPr>
            <w:r>
              <w:rPr>
                <w:rFonts w:ascii="Arial" w:cs="Arial" w:eastAsia="Arial" w:hAnsi="Arial"/>
                <w:sz w:val="11"/>
                <w:szCs w:val="11"/>
                <w:color w:val="auto"/>
              </w:rPr>
              <w:t>Association in participation</w:t>
            </w:r>
          </w:p>
        </w:tc>
        <w:tc>
          <w:tcPr>
            <w:tcW w:w="1040" w:type="dxa"/>
            <w:vAlign w:val="bottom"/>
          </w:tcPr>
          <w:p>
            <w:pPr>
              <w:jc w:val="right"/>
              <w:ind w:right="86"/>
              <w:spacing w:after="0" w:line="124" w:lineRule="exact"/>
              <w:rPr>
                <w:sz w:val="20"/>
                <w:szCs w:val="20"/>
                <w:color w:val="auto"/>
              </w:rPr>
            </w:pPr>
            <w:r>
              <w:rPr>
                <w:rFonts w:ascii="Arial" w:cs="Arial" w:eastAsia="Arial" w:hAnsi="Arial"/>
                <w:sz w:val="11"/>
                <w:szCs w:val="11"/>
                <w:color w:val="auto"/>
              </w:rPr>
              <w:t>(9,999)</w:t>
            </w:r>
          </w:p>
        </w:tc>
        <w:tc>
          <w:tcPr>
            <w:tcW w:w="940" w:type="dxa"/>
            <w:vAlign w:val="bottom"/>
          </w:tcPr>
          <w:p>
            <w:pPr>
              <w:jc w:val="right"/>
              <w:ind w:right="106"/>
              <w:spacing w:after="0" w:line="124" w:lineRule="exact"/>
              <w:rPr>
                <w:sz w:val="20"/>
                <w:szCs w:val="20"/>
                <w:color w:val="auto"/>
              </w:rPr>
            </w:pPr>
            <w:r>
              <w:rPr>
                <w:rFonts w:ascii="Arial" w:cs="Arial" w:eastAsia="Arial" w:hAnsi="Arial"/>
                <w:sz w:val="11"/>
                <w:szCs w:val="11"/>
                <w:color w:val="auto"/>
              </w:rPr>
              <w:t>(16,742)</w:t>
            </w:r>
          </w:p>
        </w:tc>
        <w:tc>
          <w:tcPr>
            <w:tcW w:w="78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(14,634)</w:t>
            </w:r>
          </w:p>
        </w:tc>
        <w:tc>
          <w:tcPr>
            <w:tcW w:w="620" w:type="dxa"/>
            <w:vAlign w:val="bottom"/>
          </w:tcPr>
          <w:p>
            <w:pPr>
              <w:jc w:val="center"/>
              <w:ind w:left="186"/>
              <w:spacing w:after="0" w:line="124" w:lineRule="exact"/>
              <w:rPr>
                <w:sz w:val="20"/>
                <w:szCs w:val="20"/>
                <w:color w:val="auto"/>
              </w:rPr>
            </w:pPr>
            <w:r>
              <w:rPr>
                <w:rFonts w:ascii="Arial" w:cs="Arial" w:eastAsia="Arial" w:hAnsi="Arial"/>
                <w:sz w:val="11"/>
                <w:szCs w:val="11"/>
                <w:color w:val="auto"/>
                <w:w w:val="97"/>
              </w:rPr>
              <w:t>-12.6%</w:t>
            </w:r>
          </w:p>
        </w:tc>
        <w:tc>
          <w:tcPr>
            <w:tcW w:w="1160" w:type="dxa"/>
            <w:vAlign w:val="bottom"/>
            <w:tcBorders>
              <w:right w:val="single" w:sz="8" w:color="auto"/>
            </w:tcBorders>
          </w:tcPr>
          <w:p>
            <w:pPr>
              <w:jc w:val="center"/>
              <w:ind w:left="166"/>
              <w:spacing w:after="0" w:line="124" w:lineRule="exact"/>
              <w:rPr>
                <w:sz w:val="20"/>
                <w:szCs w:val="20"/>
                <w:color w:val="auto"/>
              </w:rPr>
            </w:pPr>
            <w:r>
              <w:rPr>
                <w:rFonts w:ascii="Arial" w:cs="Arial" w:eastAsia="Arial" w:hAnsi="Arial"/>
                <w:sz w:val="11"/>
                <w:szCs w:val="11"/>
                <w:color w:val="auto"/>
                <w:w w:val="96"/>
              </w:rPr>
              <w:t>46.4%</w:t>
            </w:r>
          </w:p>
        </w:tc>
        <w:tc>
          <w:tcPr>
            <w:tcW w:w="1080" w:type="dxa"/>
            <w:vAlign w:val="bottom"/>
          </w:tcPr>
          <w:p>
            <w:pPr>
              <w:jc w:val="right"/>
              <w:ind w:right="166"/>
              <w:spacing w:after="0" w:line="124" w:lineRule="exact"/>
              <w:rPr>
                <w:sz w:val="20"/>
                <w:szCs w:val="20"/>
                <w:color w:val="auto"/>
              </w:rPr>
            </w:pPr>
            <w:r>
              <w:rPr>
                <w:rFonts w:ascii="Arial" w:cs="Arial" w:eastAsia="Arial" w:hAnsi="Arial"/>
                <w:sz w:val="11"/>
                <w:szCs w:val="11"/>
                <w:color w:val="auto"/>
              </w:rPr>
              <w:t>(28,019)</w:t>
            </w:r>
          </w:p>
        </w:tc>
        <w:tc>
          <w:tcPr>
            <w:tcW w:w="70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(43,988)</w:t>
            </w:r>
          </w:p>
        </w:tc>
        <w:tc>
          <w:tcPr>
            <w:tcW w:w="106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6"/>
              </w:rPr>
              <w:t>57.0%</w:t>
            </w:r>
          </w:p>
        </w:tc>
      </w:tr>
      <w:tr>
        <w:trPr>
          <w:trHeight w:val="120"/>
        </w:trPr>
        <w:tc>
          <w:tcPr>
            <w:tcW w:w="3880" w:type="dxa"/>
            <w:vAlign w:val="bottom"/>
            <w:tcBorders>
              <w:left w:val="single" w:sz="8" w:color="auto"/>
              <w:right w:val="single" w:sz="8" w:color="auto"/>
            </w:tcBorders>
          </w:tcPr>
          <w:p>
            <w:pPr>
              <w:ind w:left="160"/>
              <w:spacing w:after="0" w:line="120" w:lineRule="exact"/>
              <w:rPr>
                <w:sz w:val="20"/>
                <w:szCs w:val="20"/>
                <w:color w:val="auto"/>
              </w:rPr>
            </w:pPr>
            <w:r>
              <w:rPr>
                <w:rFonts w:ascii="Arial" w:cs="Arial" w:eastAsia="Arial" w:hAnsi="Arial"/>
                <w:sz w:val="11"/>
                <w:szCs w:val="11"/>
                <w:color w:val="auto"/>
              </w:rPr>
              <w:t>Other expenses</w:t>
            </w:r>
          </w:p>
        </w:tc>
        <w:tc>
          <w:tcPr>
            <w:tcW w:w="1040" w:type="dxa"/>
            <w:vAlign w:val="bottom"/>
          </w:tcPr>
          <w:p>
            <w:pPr>
              <w:jc w:val="right"/>
              <w:ind w:right="86"/>
              <w:spacing w:after="0" w:line="120" w:lineRule="exact"/>
              <w:rPr>
                <w:sz w:val="20"/>
                <w:szCs w:val="20"/>
                <w:color w:val="auto"/>
              </w:rPr>
            </w:pPr>
            <w:r>
              <w:rPr>
                <w:rFonts w:ascii="Arial" w:cs="Arial" w:eastAsia="Arial" w:hAnsi="Arial"/>
                <w:sz w:val="11"/>
                <w:szCs w:val="11"/>
                <w:color w:val="auto"/>
              </w:rPr>
              <w:t>(71,373)</w:t>
            </w:r>
          </w:p>
        </w:tc>
        <w:tc>
          <w:tcPr>
            <w:tcW w:w="940" w:type="dxa"/>
            <w:vAlign w:val="bottom"/>
          </w:tcPr>
          <w:p>
            <w:pPr>
              <w:jc w:val="right"/>
              <w:ind w:right="106"/>
              <w:spacing w:after="0" w:line="120" w:lineRule="exact"/>
              <w:rPr>
                <w:sz w:val="20"/>
                <w:szCs w:val="20"/>
                <w:color w:val="auto"/>
              </w:rPr>
            </w:pPr>
            <w:r>
              <w:rPr>
                <w:rFonts w:ascii="Arial" w:cs="Arial" w:eastAsia="Arial" w:hAnsi="Arial"/>
                <w:sz w:val="11"/>
                <w:szCs w:val="11"/>
                <w:color w:val="auto"/>
              </w:rPr>
              <w:t>(92,232)</w:t>
            </w:r>
          </w:p>
        </w:tc>
        <w:tc>
          <w:tcPr>
            <w:tcW w:w="780" w:type="dxa"/>
            <w:vAlign w:val="bottom"/>
            <w:tcBorders>
              <w:right w:val="single" w:sz="8" w:color="auto"/>
            </w:tcBorders>
          </w:tcPr>
          <w:p>
            <w:pPr>
              <w:jc w:val="right"/>
              <w:spacing w:after="0" w:line="120" w:lineRule="exact"/>
              <w:rPr>
                <w:sz w:val="20"/>
                <w:szCs w:val="20"/>
                <w:color w:val="auto"/>
              </w:rPr>
            </w:pPr>
            <w:r>
              <w:rPr>
                <w:rFonts w:ascii="Arial" w:cs="Arial" w:eastAsia="Arial" w:hAnsi="Arial"/>
                <w:sz w:val="11"/>
                <w:szCs w:val="11"/>
                <w:color w:val="auto"/>
              </w:rPr>
              <w:t>(106,778)</w:t>
            </w:r>
          </w:p>
        </w:tc>
        <w:tc>
          <w:tcPr>
            <w:tcW w:w="620" w:type="dxa"/>
            <w:vAlign w:val="bottom"/>
          </w:tcPr>
          <w:p>
            <w:pPr>
              <w:jc w:val="center"/>
              <w:ind w:left="186"/>
              <w:spacing w:after="0" w:line="120" w:lineRule="exact"/>
              <w:rPr>
                <w:sz w:val="20"/>
                <w:szCs w:val="20"/>
                <w:color w:val="auto"/>
              </w:rPr>
            </w:pPr>
            <w:r>
              <w:rPr>
                <w:rFonts w:ascii="Arial" w:cs="Arial" w:eastAsia="Arial" w:hAnsi="Arial"/>
                <w:sz w:val="11"/>
                <w:szCs w:val="11"/>
                <w:color w:val="auto"/>
                <w:w w:val="96"/>
              </w:rPr>
              <w:t>15.8%</w:t>
            </w:r>
          </w:p>
        </w:tc>
        <w:tc>
          <w:tcPr>
            <w:tcW w:w="1160" w:type="dxa"/>
            <w:vAlign w:val="bottom"/>
            <w:tcBorders>
              <w:right w:val="single" w:sz="8" w:color="auto"/>
            </w:tcBorders>
          </w:tcPr>
          <w:p>
            <w:pPr>
              <w:jc w:val="center"/>
              <w:ind w:left="166"/>
              <w:spacing w:after="0" w:line="120" w:lineRule="exact"/>
              <w:rPr>
                <w:sz w:val="20"/>
                <w:szCs w:val="20"/>
                <w:color w:val="auto"/>
              </w:rPr>
            </w:pPr>
            <w:r>
              <w:rPr>
                <w:rFonts w:ascii="Arial" w:cs="Arial" w:eastAsia="Arial" w:hAnsi="Arial"/>
                <w:sz w:val="11"/>
                <w:szCs w:val="11"/>
                <w:color w:val="auto"/>
                <w:w w:val="96"/>
              </w:rPr>
              <w:t>49.6%</w:t>
            </w:r>
          </w:p>
        </w:tc>
        <w:tc>
          <w:tcPr>
            <w:tcW w:w="1080" w:type="dxa"/>
            <w:vAlign w:val="bottom"/>
          </w:tcPr>
          <w:p>
            <w:pPr>
              <w:jc w:val="right"/>
              <w:ind w:right="166"/>
              <w:spacing w:after="0" w:line="120" w:lineRule="exact"/>
              <w:rPr>
                <w:sz w:val="20"/>
                <w:szCs w:val="20"/>
                <w:color w:val="auto"/>
              </w:rPr>
            </w:pPr>
            <w:r>
              <w:rPr>
                <w:rFonts w:ascii="Arial" w:cs="Arial" w:eastAsia="Arial" w:hAnsi="Arial"/>
                <w:sz w:val="11"/>
                <w:szCs w:val="11"/>
                <w:color w:val="auto"/>
              </w:rPr>
              <w:t>(203,361)</w:t>
            </w:r>
          </w:p>
        </w:tc>
        <w:tc>
          <w:tcPr>
            <w:tcW w:w="700" w:type="dxa"/>
            <w:vAlign w:val="bottom"/>
            <w:tcBorders>
              <w:right w:val="single" w:sz="8" w:color="auto"/>
            </w:tcBorders>
          </w:tcPr>
          <w:p>
            <w:pPr>
              <w:jc w:val="right"/>
              <w:spacing w:after="0" w:line="120" w:lineRule="exact"/>
              <w:rPr>
                <w:sz w:val="20"/>
                <w:szCs w:val="20"/>
                <w:color w:val="auto"/>
              </w:rPr>
            </w:pPr>
            <w:r>
              <w:rPr>
                <w:rFonts w:ascii="Arial" w:cs="Arial" w:eastAsia="Arial" w:hAnsi="Arial"/>
                <w:sz w:val="11"/>
                <w:szCs w:val="11"/>
                <w:color w:val="auto"/>
              </w:rPr>
              <w:t>(287,609)</w:t>
            </w:r>
          </w:p>
        </w:tc>
        <w:tc>
          <w:tcPr>
            <w:tcW w:w="1060" w:type="dxa"/>
            <w:vAlign w:val="bottom"/>
            <w:tcBorders>
              <w:right w:val="single" w:sz="8" w:color="auto"/>
            </w:tcBorders>
          </w:tcPr>
          <w:p>
            <w:pPr>
              <w:jc w:val="center"/>
              <w:spacing w:after="0" w:line="120" w:lineRule="exact"/>
              <w:rPr>
                <w:sz w:val="20"/>
                <w:szCs w:val="20"/>
                <w:color w:val="auto"/>
              </w:rPr>
            </w:pPr>
            <w:r>
              <w:rPr>
                <w:rFonts w:ascii="Arial" w:cs="Arial" w:eastAsia="Arial" w:hAnsi="Arial"/>
                <w:sz w:val="11"/>
                <w:szCs w:val="11"/>
                <w:color w:val="auto"/>
                <w:w w:val="96"/>
              </w:rPr>
              <w:t>41.4%</w:t>
            </w:r>
          </w:p>
        </w:tc>
      </w:tr>
      <w:tr>
        <w:trPr>
          <w:trHeight w:val="149"/>
        </w:trPr>
        <w:tc>
          <w:tcPr>
            <w:tcW w:w="38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1"/>
                <w:szCs w:val="11"/>
                <w:b w:val="1"/>
                <w:bCs w:val="1"/>
                <w:color w:val="auto"/>
              </w:rPr>
              <w:t>Total expenses</w:t>
            </w:r>
          </w:p>
        </w:tc>
        <w:tc>
          <w:tcPr>
            <w:tcW w:w="1040" w:type="dxa"/>
            <w:vAlign w:val="bottom"/>
          </w:tcPr>
          <w:p>
            <w:pPr>
              <w:jc w:val="right"/>
              <w:ind w:right="86"/>
              <w:spacing w:after="0"/>
              <w:rPr>
                <w:sz w:val="20"/>
                <w:szCs w:val="20"/>
                <w:color w:val="auto"/>
              </w:rPr>
            </w:pPr>
            <w:r>
              <w:rPr>
                <w:rFonts w:ascii="Arial" w:cs="Arial" w:eastAsia="Arial" w:hAnsi="Arial"/>
                <w:sz w:val="11"/>
                <w:szCs w:val="11"/>
                <w:b w:val="1"/>
                <w:bCs w:val="1"/>
                <w:color w:val="auto"/>
              </w:rPr>
              <w:t>(2,097,590)</w:t>
            </w:r>
          </w:p>
        </w:tc>
        <w:tc>
          <w:tcPr>
            <w:tcW w:w="940" w:type="dxa"/>
            <w:vAlign w:val="bottom"/>
          </w:tcPr>
          <w:p>
            <w:pPr>
              <w:jc w:val="right"/>
              <w:ind w:right="106"/>
              <w:spacing w:after="0"/>
              <w:rPr>
                <w:sz w:val="20"/>
                <w:szCs w:val="20"/>
                <w:color w:val="auto"/>
              </w:rPr>
            </w:pPr>
            <w:r>
              <w:rPr>
                <w:rFonts w:ascii="Arial" w:cs="Arial" w:eastAsia="Arial" w:hAnsi="Arial"/>
                <w:sz w:val="11"/>
                <w:szCs w:val="11"/>
                <w:b w:val="1"/>
                <w:bCs w:val="1"/>
                <w:color w:val="auto"/>
              </w:rPr>
              <w:t>(2,195,304)</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1"/>
                <w:szCs w:val="11"/>
                <w:b w:val="1"/>
                <w:bCs w:val="1"/>
                <w:color w:val="auto"/>
              </w:rPr>
              <w:t>(2,350,469)</w:t>
            </w:r>
          </w:p>
        </w:tc>
        <w:tc>
          <w:tcPr>
            <w:tcW w:w="620" w:type="dxa"/>
            <w:vAlign w:val="bottom"/>
          </w:tcPr>
          <w:p>
            <w:pPr>
              <w:jc w:val="center"/>
              <w:ind w:left="166"/>
              <w:spacing w:after="0"/>
              <w:rPr>
                <w:sz w:val="20"/>
                <w:szCs w:val="20"/>
                <w:color w:val="auto"/>
              </w:rPr>
            </w:pPr>
            <w:r>
              <w:rPr>
                <w:rFonts w:ascii="Arial" w:cs="Arial" w:eastAsia="Arial" w:hAnsi="Arial"/>
                <w:sz w:val="11"/>
                <w:szCs w:val="11"/>
                <w:b w:val="1"/>
                <w:bCs w:val="1"/>
                <w:color w:val="auto"/>
                <w:w w:val="95"/>
              </w:rPr>
              <w:t>7.1%</w:t>
            </w:r>
          </w:p>
        </w:tc>
        <w:tc>
          <w:tcPr>
            <w:tcW w:w="1160" w:type="dxa"/>
            <w:vAlign w:val="bottom"/>
            <w:tcBorders>
              <w:right w:val="single" w:sz="8" w:color="auto"/>
            </w:tcBorders>
          </w:tcPr>
          <w:p>
            <w:pPr>
              <w:jc w:val="center"/>
              <w:ind w:left="166"/>
              <w:spacing w:after="0"/>
              <w:rPr>
                <w:sz w:val="20"/>
                <w:szCs w:val="20"/>
                <w:color w:val="auto"/>
              </w:rPr>
            </w:pPr>
            <w:r>
              <w:rPr>
                <w:rFonts w:ascii="Arial" w:cs="Arial" w:eastAsia="Arial" w:hAnsi="Arial"/>
                <w:sz w:val="11"/>
                <w:szCs w:val="11"/>
                <w:b w:val="1"/>
                <w:bCs w:val="1"/>
                <w:color w:val="auto"/>
                <w:w w:val="96"/>
              </w:rPr>
              <w:t>12.1%</w:t>
            </w:r>
          </w:p>
        </w:tc>
        <w:tc>
          <w:tcPr>
            <w:tcW w:w="1080" w:type="dxa"/>
            <w:vAlign w:val="bottom"/>
          </w:tcPr>
          <w:p>
            <w:pPr>
              <w:jc w:val="right"/>
              <w:ind w:right="166"/>
              <w:spacing w:after="0"/>
              <w:rPr>
                <w:sz w:val="20"/>
                <w:szCs w:val="20"/>
                <w:color w:val="auto"/>
              </w:rPr>
            </w:pPr>
            <w:r>
              <w:rPr>
                <w:rFonts w:ascii="Arial" w:cs="Arial" w:eastAsia="Arial" w:hAnsi="Arial"/>
                <w:sz w:val="11"/>
                <w:szCs w:val="11"/>
                <w:b w:val="1"/>
                <w:bCs w:val="1"/>
                <w:color w:val="auto"/>
              </w:rPr>
              <w:t>(5,953,226)</w:t>
            </w: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1"/>
                <w:szCs w:val="11"/>
                <w:b w:val="1"/>
                <w:bCs w:val="1"/>
                <w:color w:val="auto"/>
              </w:rPr>
              <w:t>(6,672,681)</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12.1%</w:t>
            </w:r>
          </w:p>
        </w:tc>
      </w:tr>
      <w:tr>
        <w:trPr>
          <w:trHeight w:val="226"/>
        </w:trPr>
        <w:tc>
          <w:tcPr>
            <w:tcW w:w="38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Profit before income tax</w:t>
            </w:r>
          </w:p>
        </w:tc>
        <w:tc>
          <w:tcPr>
            <w:tcW w:w="1040" w:type="dxa"/>
            <w:vAlign w:val="bottom"/>
          </w:tcPr>
          <w:p>
            <w:pPr>
              <w:jc w:val="right"/>
              <w:ind w:right="86"/>
              <w:spacing w:after="0"/>
              <w:rPr>
                <w:sz w:val="20"/>
                <w:szCs w:val="20"/>
                <w:color w:val="auto"/>
              </w:rPr>
            </w:pPr>
            <w:r>
              <w:rPr>
                <w:rFonts w:ascii="Arial" w:cs="Arial" w:eastAsia="Arial" w:hAnsi="Arial"/>
                <w:sz w:val="11"/>
                <w:szCs w:val="11"/>
                <w:b w:val="1"/>
                <w:bCs w:val="1"/>
                <w:color w:val="auto"/>
              </w:rPr>
              <w:t>1,929,847</w:t>
            </w:r>
          </w:p>
        </w:tc>
        <w:tc>
          <w:tcPr>
            <w:tcW w:w="940" w:type="dxa"/>
            <w:vAlign w:val="bottom"/>
          </w:tcPr>
          <w:p>
            <w:pPr>
              <w:jc w:val="right"/>
              <w:ind w:right="106"/>
              <w:spacing w:after="0"/>
              <w:rPr>
                <w:sz w:val="20"/>
                <w:szCs w:val="20"/>
                <w:color w:val="auto"/>
              </w:rPr>
            </w:pPr>
            <w:r>
              <w:rPr>
                <w:rFonts w:ascii="Arial" w:cs="Arial" w:eastAsia="Arial" w:hAnsi="Arial"/>
                <w:sz w:val="11"/>
                <w:szCs w:val="11"/>
                <w:b w:val="1"/>
                <w:bCs w:val="1"/>
                <w:color w:val="auto"/>
              </w:rPr>
              <w:t>1,934,289</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1"/>
                <w:szCs w:val="11"/>
                <w:b w:val="1"/>
                <w:bCs w:val="1"/>
                <w:color w:val="auto"/>
              </w:rPr>
              <w:t>1,719,435</w:t>
            </w:r>
          </w:p>
        </w:tc>
        <w:tc>
          <w:tcPr>
            <w:tcW w:w="620" w:type="dxa"/>
            <w:vAlign w:val="bottom"/>
          </w:tcPr>
          <w:p>
            <w:pPr>
              <w:jc w:val="center"/>
              <w:ind w:left="186"/>
              <w:spacing w:after="0"/>
              <w:rPr>
                <w:sz w:val="20"/>
                <w:szCs w:val="20"/>
                <w:color w:val="auto"/>
              </w:rPr>
            </w:pPr>
            <w:r>
              <w:rPr>
                <w:rFonts w:ascii="Arial" w:cs="Arial" w:eastAsia="Arial" w:hAnsi="Arial"/>
                <w:sz w:val="11"/>
                <w:szCs w:val="11"/>
                <w:b w:val="1"/>
                <w:bCs w:val="1"/>
                <w:color w:val="auto"/>
                <w:w w:val="97"/>
              </w:rPr>
              <w:t>-11.1%</w:t>
            </w:r>
          </w:p>
        </w:tc>
        <w:tc>
          <w:tcPr>
            <w:tcW w:w="1160" w:type="dxa"/>
            <w:vAlign w:val="bottom"/>
            <w:tcBorders>
              <w:right w:val="single" w:sz="8" w:color="auto"/>
            </w:tcBorders>
          </w:tcPr>
          <w:p>
            <w:pPr>
              <w:jc w:val="center"/>
              <w:ind w:left="166"/>
              <w:spacing w:after="0"/>
              <w:rPr>
                <w:sz w:val="20"/>
                <w:szCs w:val="20"/>
                <w:color w:val="auto"/>
              </w:rPr>
            </w:pPr>
            <w:r>
              <w:rPr>
                <w:rFonts w:ascii="Arial" w:cs="Arial" w:eastAsia="Arial" w:hAnsi="Arial"/>
                <w:sz w:val="11"/>
                <w:szCs w:val="11"/>
                <w:b w:val="1"/>
                <w:bCs w:val="1"/>
                <w:color w:val="auto"/>
                <w:w w:val="97"/>
              </w:rPr>
              <w:t>-10.9%</w:t>
            </w:r>
          </w:p>
        </w:tc>
        <w:tc>
          <w:tcPr>
            <w:tcW w:w="1080" w:type="dxa"/>
            <w:vAlign w:val="bottom"/>
          </w:tcPr>
          <w:p>
            <w:pPr>
              <w:jc w:val="right"/>
              <w:ind w:right="166"/>
              <w:spacing w:after="0"/>
              <w:rPr>
                <w:sz w:val="20"/>
                <w:szCs w:val="20"/>
                <w:color w:val="auto"/>
              </w:rPr>
            </w:pPr>
            <w:r>
              <w:rPr>
                <w:rFonts w:ascii="Arial" w:cs="Arial" w:eastAsia="Arial" w:hAnsi="Arial"/>
                <w:sz w:val="11"/>
                <w:szCs w:val="11"/>
                <w:b w:val="1"/>
                <w:bCs w:val="1"/>
                <w:color w:val="auto"/>
              </w:rPr>
              <w:t>5,359,989</w:t>
            </w: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1"/>
                <w:szCs w:val="11"/>
                <w:b w:val="1"/>
                <w:bCs w:val="1"/>
                <w:color w:val="auto"/>
              </w:rPr>
              <w:t>5,561,523</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rPr>
              <w:t>3.8%</w:t>
            </w:r>
          </w:p>
        </w:tc>
      </w:tr>
      <w:tr>
        <w:trPr>
          <w:trHeight w:val="124"/>
        </w:trPr>
        <w:tc>
          <w:tcPr>
            <w:tcW w:w="3880" w:type="dxa"/>
            <w:vAlign w:val="bottom"/>
            <w:tcBorders>
              <w:left w:val="single" w:sz="8" w:color="auto"/>
              <w:right w:val="single" w:sz="8" w:color="auto"/>
            </w:tcBorders>
          </w:tcPr>
          <w:p>
            <w:pPr>
              <w:spacing w:after="0"/>
              <w:rPr>
                <w:sz w:val="10"/>
                <w:szCs w:val="10"/>
                <w:color w:val="auto"/>
              </w:rPr>
            </w:pPr>
          </w:p>
        </w:tc>
        <w:tc>
          <w:tcPr>
            <w:tcW w:w="10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8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w:t>
            </w:r>
          </w:p>
        </w:tc>
        <w:tc>
          <w:tcPr>
            <w:tcW w:w="620" w:type="dxa"/>
            <w:vAlign w:val="bottom"/>
          </w:tcPr>
          <w:p>
            <w:pPr>
              <w:spacing w:after="0"/>
              <w:rPr>
                <w:sz w:val="10"/>
                <w:szCs w:val="10"/>
                <w:color w:val="auto"/>
              </w:rPr>
            </w:pPr>
          </w:p>
        </w:tc>
        <w:tc>
          <w:tcPr>
            <w:tcW w:w="1160" w:type="dxa"/>
            <w:vAlign w:val="bottom"/>
            <w:tcBorders>
              <w:right w:val="single" w:sz="8" w:color="auto"/>
            </w:tcBorders>
          </w:tcPr>
          <w:p>
            <w:pPr>
              <w:spacing w:after="0"/>
              <w:rPr>
                <w:sz w:val="10"/>
                <w:szCs w:val="10"/>
                <w:color w:val="auto"/>
              </w:rPr>
            </w:pPr>
          </w:p>
        </w:tc>
        <w:tc>
          <w:tcPr>
            <w:tcW w:w="1080" w:type="dxa"/>
            <w:vAlign w:val="bottom"/>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1060" w:type="dxa"/>
            <w:vAlign w:val="bottom"/>
            <w:tcBorders>
              <w:right w:val="single" w:sz="8" w:color="auto"/>
            </w:tcBorders>
          </w:tcPr>
          <w:p>
            <w:pPr>
              <w:spacing w:after="0"/>
              <w:rPr>
                <w:sz w:val="10"/>
                <w:szCs w:val="10"/>
                <w:color w:val="auto"/>
              </w:rPr>
            </w:pPr>
          </w:p>
        </w:tc>
      </w:tr>
      <w:tr>
        <w:trPr>
          <w:trHeight w:val="137"/>
        </w:trPr>
        <w:tc>
          <w:tcPr>
            <w:tcW w:w="38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1"/>
                <w:szCs w:val="11"/>
                <w:color w:val="auto"/>
              </w:rPr>
              <w:t>Income tax</w:t>
            </w:r>
          </w:p>
        </w:tc>
        <w:tc>
          <w:tcPr>
            <w:tcW w:w="1040" w:type="dxa"/>
            <w:vAlign w:val="bottom"/>
          </w:tcPr>
          <w:p>
            <w:pPr>
              <w:jc w:val="right"/>
              <w:ind w:right="86"/>
              <w:spacing w:after="0"/>
              <w:rPr>
                <w:sz w:val="20"/>
                <w:szCs w:val="20"/>
                <w:color w:val="auto"/>
              </w:rPr>
            </w:pPr>
            <w:r>
              <w:rPr>
                <w:rFonts w:ascii="Arial" w:cs="Arial" w:eastAsia="Arial" w:hAnsi="Arial"/>
                <w:sz w:val="11"/>
                <w:szCs w:val="11"/>
                <w:color w:val="auto"/>
              </w:rPr>
              <w:t>(575,083)</w:t>
            </w:r>
          </w:p>
        </w:tc>
        <w:tc>
          <w:tcPr>
            <w:tcW w:w="940" w:type="dxa"/>
            <w:vAlign w:val="bottom"/>
          </w:tcPr>
          <w:p>
            <w:pPr>
              <w:jc w:val="right"/>
              <w:ind w:right="106"/>
              <w:spacing w:after="0"/>
              <w:rPr>
                <w:sz w:val="20"/>
                <w:szCs w:val="20"/>
                <w:color w:val="auto"/>
              </w:rPr>
            </w:pPr>
            <w:r>
              <w:rPr>
                <w:rFonts w:ascii="Arial" w:cs="Arial" w:eastAsia="Arial" w:hAnsi="Arial"/>
                <w:sz w:val="11"/>
                <w:szCs w:val="11"/>
                <w:color w:val="auto"/>
              </w:rPr>
              <w:t>(504,472)</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(455,865)</w:t>
            </w:r>
          </w:p>
        </w:tc>
        <w:tc>
          <w:tcPr>
            <w:tcW w:w="620" w:type="dxa"/>
            <w:vAlign w:val="bottom"/>
          </w:tcPr>
          <w:p>
            <w:pPr>
              <w:jc w:val="center"/>
              <w:ind w:left="166"/>
              <w:spacing w:after="0"/>
              <w:rPr>
                <w:sz w:val="20"/>
                <w:szCs w:val="20"/>
                <w:color w:val="auto"/>
              </w:rPr>
            </w:pPr>
            <w:r>
              <w:rPr>
                <w:rFonts w:ascii="Arial" w:cs="Arial" w:eastAsia="Arial" w:hAnsi="Arial"/>
                <w:sz w:val="11"/>
                <w:szCs w:val="11"/>
                <w:color w:val="auto"/>
                <w:w w:val="97"/>
              </w:rPr>
              <w:t>-9.6%</w:t>
            </w:r>
          </w:p>
        </w:tc>
        <w:tc>
          <w:tcPr>
            <w:tcW w:w="1160" w:type="dxa"/>
            <w:vAlign w:val="bottom"/>
            <w:tcBorders>
              <w:right w:val="single" w:sz="8" w:color="auto"/>
            </w:tcBorders>
          </w:tcPr>
          <w:p>
            <w:pPr>
              <w:jc w:val="center"/>
              <w:ind w:left="166"/>
              <w:spacing w:after="0"/>
              <w:rPr>
                <w:sz w:val="20"/>
                <w:szCs w:val="20"/>
                <w:color w:val="auto"/>
              </w:rPr>
            </w:pPr>
            <w:r>
              <w:rPr>
                <w:rFonts w:ascii="Arial" w:cs="Arial" w:eastAsia="Arial" w:hAnsi="Arial"/>
                <w:sz w:val="11"/>
                <w:szCs w:val="11"/>
                <w:color w:val="auto"/>
                <w:w w:val="97"/>
              </w:rPr>
              <w:t>-20.7%</w:t>
            </w:r>
          </w:p>
        </w:tc>
        <w:tc>
          <w:tcPr>
            <w:tcW w:w="1080" w:type="dxa"/>
            <w:vAlign w:val="bottom"/>
          </w:tcPr>
          <w:p>
            <w:pPr>
              <w:jc w:val="right"/>
              <w:ind w:right="166"/>
              <w:spacing w:after="0"/>
              <w:rPr>
                <w:sz w:val="20"/>
                <w:szCs w:val="20"/>
                <w:color w:val="auto"/>
              </w:rPr>
            </w:pPr>
            <w:r>
              <w:rPr>
                <w:rFonts w:ascii="Arial" w:cs="Arial" w:eastAsia="Arial" w:hAnsi="Arial"/>
                <w:sz w:val="11"/>
                <w:szCs w:val="11"/>
                <w:color w:val="auto"/>
              </w:rPr>
              <w:t>(1,634,265)</w:t>
            </w: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(1,453,803)</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-11.0%</w:t>
            </w:r>
          </w:p>
        </w:tc>
      </w:tr>
      <w:tr>
        <w:trPr>
          <w:trHeight w:val="234"/>
        </w:trPr>
        <w:tc>
          <w:tcPr>
            <w:tcW w:w="38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Net profit</w:t>
            </w:r>
          </w:p>
        </w:tc>
        <w:tc>
          <w:tcPr>
            <w:tcW w:w="1040" w:type="dxa"/>
            <w:vAlign w:val="bottom"/>
          </w:tcPr>
          <w:p>
            <w:pPr>
              <w:jc w:val="right"/>
              <w:ind w:right="86"/>
              <w:spacing w:after="0"/>
              <w:rPr>
                <w:sz w:val="20"/>
                <w:szCs w:val="20"/>
                <w:color w:val="auto"/>
              </w:rPr>
            </w:pPr>
            <w:r>
              <w:rPr>
                <w:rFonts w:ascii="Arial" w:cs="Arial" w:eastAsia="Arial" w:hAnsi="Arial"/>
                <w:sz w:val="11"/>
                <w:szCs w:val="11"/>
                <w:b w:val="1"/>
                <w:bCs w:val="1"/>
                <w:color w:val="auto"/>
              </w:rPr>
              <w:t>1,354,764</w:t>
            </w:r>
          </w:p>
        </w:tc>
        <w:tc>
          <w:tcPr>
            <w:tcW w:w="940" w:type="dxa"/>
            <w:vAlign w:val="bottom"/>
          </w:tcPr>
          <w:p>
            <w:pPr>
              <w:jc w:val="right"/>
              <w:ind w:right="106"/>
              <w:spacing w:after="0"/>
              <w:rPr>
                <w:sz w:val="20"/>
                <w:szCs w:val="20"/>
                <w:color w:val="auto"/>
              </w:rPr>
            </w:pPr>
            <w:r>
              <w:rPr>
                <w:rFonts w:ascii="Arial" w:cs="Arial" w:eastAsia="Arial" w:hAnsi="Arial"/>
                <w:sz w:val="11"/>
                <w:szCs w:val="11"/>
                <w:b w:val="1"/>
                <w:bCs w:val="1"/>
                <w:color w:val="auto"/>
              </w:rPr>
              <w:t>1,429,817</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1"/>
                <w:szCs w:val="11"/>
                <w:b w:val="1"/>
                <w:bCs w:val="1"/>
                <w:color w:val="auto"/>
              </w:rPr>
              <w:t>1,263,570</w:t>
            </w:r>
          </w:p>
        </w:tc>
        <w:tc>
          <w:tcPr>
            <w:tcW w:w="620" w:type="dxa"/>
            <w:vAlign w:val="bottom"/>
          </w:tcPr>
          <w:p>
            <w:pPr>
              <w:jc w:val="center"/>
              <w:ind w:left="186"/>
              <w:spacing w:after="0"/>
              <w:rPr>
                <w:sz w:val="20"/>
                <w:szCs w:val="20"/>
                <w:color w:val="auto"/>
              </w:rPr>
            </w:pPr>
            <w:r>
              <w:rPr>
                <w:rFonts w:ascii="Arial" w:cs="Arial" w:eastAsia="Arial" w:hAnsi="Arial"/>
                <w:sz w:val="11"/>
                <w:szCs w:val="11"/>
                <w:b w:val="1"/>
                <w:bCs w:val="1"/>
                <w:color w:val="auto"/>
                <w:w w:val="97"/>
              </w:rPr>
              <w:t>-11.6%</w:t>
            </w:r>
          </w:p>
        </w:tc>
        <w:tc>
          <w:tcPr>
            <w:tcW w:w="1160" w:type="dxa"/>
            <w:vAlign w:val="bottom"/>
            <w:tcBorders>
              <w:right w:val="single" w:sz="8" w:color="auto"/>
            </w:tcBorders>
          </w:tcPr>
          <w:p>
            <w:pPr>
              <w:jc w:val="center"/>
              <w:ind w:left="146"/>
              <w:spacing w:after="0"/>
              <w:rPr>
                <w:sz w:val="20"/>
                <w:szCs w:val="20"/>
                <w:color w:val="auto"/>
              </w:rPr>
            </w:pPr>
            <w:r>
              <w:rPr>
                <w:rFonts w:ascii="Arial" w:cs="Arial" w:eastAsia="Arial" w:hAnsi="Arial"/>
                <w:sz w:val="11"/>
                <w:szCs w:val="11"/>
                <w:b w:val="1"/>
                <w:bCs w:val="1"/>
                <w:color w:val="auto"/>
                <w:w w:val="97"/>
              </w:rPr>
              <w:t>-6.7%</w:t>
            </w:r>
          </w:p>
        </w:tc>
        <w:tc>
          <w:tcPr>
            <w:tcW w:w="1080" w:type="dxa"/>
            <w:vAlign w:val="bottom"/>
          </w:tcPr>
          <w:p>
            <w:pPr>
              <w:jc w:val="right"/>
              <w:ind w:right="166"/>
              <w:spacing w:after="0"/>
              <w:rPr>
                <w:sz w:val="20"/>
                <w:szCs w:val="20"/>
                <w:color w:val="auto"/>
              </w:rPr>
            </w:pPr>
            <w:r>
              <w:rPr>
                <w:rFonts w:ascii="Arial" w:cs="Arial" w:eastAsia="Arial" w:hAnsi="Arial"/>
                <w:sz w:val="11"/>
                <w:szCs w:val="11"/>
                <w:b w:val="1"/>
                <w:bCs w:val="1"/>
                <w:color w:val="auto"/>
              </w:rPr>
              <w:t>3,725,724</w:t>
            </w: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1"/>
                <w:szCs w:val="11"/>
                <w:b w:val="1"/>
                <w:bCs w:val="1"/>
                <w:color w:val="auto"/>
              </w:rPr>
              <w:t>4,107,720</w:t>
            </w:r>
          </w:p>
        </w:tc>
        <w:tc>
          <w:tcPr>
            <w:tcW w:w="106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10.3%</w:t>
            </w:r>
          </w:p>
        </w:tc>
      </w:tr>
      <w:tr>
        <w:trPr>
          <w:trHeight w:val="120"/>
        </w:trPr>
        <w:tc>
          <w:tcPr>
            <w:tcW w:w="3880" w:type="dxa"/>
            <w:vAlign w:val="bottom"/>
            <w:tcBorders>
              <w:left w:val="single" w:sz="8" w:color="auto"/>
              <w:right w:val="single" w:sz="8" w:color="auto"/>
            </w:tcBorders>
          </w:tcPr>
          <w:p>
            <w:pPr>
              <w:ind w:left="20"/>
              <w:spacing w:after="0" w:line="120" w:lineRule="exact"/>
              <w:rPr>
                <w:sz w:val="20"/>
                <w:szCs w:val="20"/>
                <w:color w:val="auto"/>
              </w:rPr>
            </w:pPr>
            <w:r>
              <w:rPr>
                <w:rFonts w:ascii="Arial" w:cs="Arial" w:eastAsia="Arial" w:hAnsi="Arial"/>
                <w:sz w:val="11"/>
                <w:szCs w:val="11"/>
                <w:color w:val="auto"/>
              </w:rPr>
              <w:t>Non-controlling interest</w:t>
            </w:r>
          </w:p>
        </w:tc>
        <w:tc>
          <w:tcPr>
            <w:tcW w:w="1040" w:type="dxa"/>
            <w:vAlign w:val="bottom"/>
          </w:tcPr>
          <w:p>
            <w:pPr>
              <w:jc w:val="right"/>
              <w:ind w:right="86"/>
              <w:spacing w:after="0" w:line="120" w:lineRule="exact"/>
              <w:rPr>
                <w:sz w:val="20"/>
                <w:szCs w:val="20"/>
                <w:color w:val="auto"/>
              </w:rPr>
            </w:pPr>
            <w:r>
              <w:rPr>
                <w:rFonts w:ascii="Arial" w:cs="Arial" w:eastAsia="Arial" w:hAnsi="Arial"/>
                <w:sz w:val="11"/>
                <w:szCs w:val="11"/>
                <w:color w:val="auto"/>
              </w:rPr>
              <w:t>31,855</w:t>
            </w:r>
          </w:p>
        </w:tc>
        <w:tc>
          <w:tcPr>
            <w:tcW w:w="940" w:type="dxa"/>
            <w:vAlign w:val="bottom"/>
          </w:tcPr>
          <w:p>
            <w:pPr>
              <w:jc w:val="right"/>
              <w:ind w:right="106"/>
              <w:spacing w:after="0" w:line="120" w:lineRule="exact"/>
              <w:rPr>
                <w:sz w:val="20"/>
                <w:szCs w:val="20"/>
                <w:color w:val="auto"/>
              </w:rPr>
            </w:pPr>
            <w:r>
              <w:rPr>
                <w:rFonts w:ascii="Arial" w:cs="Arial" w:eastAsia="Arial" w:hAnsi="Arial"/>
                <w:sz w:val="11"/>
                <w:szCs w:val="11"/>
                <w:color w:val="auto"/>
              </w:rPr>
              <w:t>28,550</w:t>
            </w:r>
          </w:p>
        </w:tc>
        <w:tc>
          <w:tcPr>
            <w:tcW w:w="780" w:type="dxa"/>
            <w:vAlign w:val="bottom"/>
            <w:tcBorders>
              <w:right w:val="single" w:sz="8" w:color="auto"/>
            </w:tcBorders>
          </w:tcPr>
          <w:p>
            <w:pPr>
              <w:jc w:val="right"/>
              <w:spacing w:after="0" w:line="120" w:lineRule="exact"/>
              <w:rPr>
                <w:sz w:val="20"/>
                <w:szCs w:val="20"/>
                <w:color w:val="auto"/>
              </w:rPr>
            </w:pPr>
            <w:r>
              <w:rPr>
                <w:rFonts w:ascii="Arial" w:cs="Arial" w:eastAsia="Arial" w:hAnsi="Arial"/>
                <w:sz w:val="11"/>
                <w:szCs w:val="11"/>
                <w:color w:val="auto"/>
              </w:rPr>
              <w:t>25,397</w:t>
            </w:r>
          </w:p>
        </w:tc>
        <w:tc>
          <w:tcPr>
            <w:tcW w:w="620" w:type="dxa"/>
            <w:vAlign w:val="bottom"/>
          </w:tcPr>
          <w:p>
            <w:pPr>
              <w:jc w:val="center"/>
              <w:ind w:left="166"/>
              <w:spacing w:after="0" w:line="120" w:lineRule="exact"/>
              <w:rPr>
                <w:sz w:val="20"/>
                <w:szCs w:val="20"/>
                <w:color w:val="auto"/>
              </w:rPr>
            </w:pPr>
            <w:r>
              <w:rPr>
                <w:rFonts w:ascii="Arial" w:cs="Arial" w:eastAsia="Arial" w:hAnsi="Arial"/>
                <w:sz w:val="11"/>
                <w:szCs w:val="11"/>
                <w:color w:val="auto"/>
                <w:w w:val="91"/>
              </w:rPr>
              <w:t>-11.0%</w:t>
            </w:r>
          </w:p>
        </w:tc>
        <w:tc>
          <w:tcPr>
            <w:tcW w:w="1160" w:type="dxa"/>
            <w:vAlign w:val="bottom"/>
            <w:tcBorders>
              <w:right w:val="single" w:sz="8" w:color="auto"/>
            </w:tcBorders>
          </w:tcPr>
          <w:p>
            <w:pPr>
              <w:jc w:val="center"/>
              <w:ind w:left="166"/>
              <w:spacing w:after="0" w:line="120" w:lineRule="exact"/>
              <w:rPr>
                <w:sz w:val="20"/>
                <w:szCs w:val="20"/>
                <w:color w:val="auto"/>
              </w:rPr>
            </w:pPr>
            <w:r>
              <w:rPr>
                <w:rFonts w:ascii="Arial" w:cs="Arial" w:eastAsia="Arial" w:hAnsi="Arial"/>
                <w:sz w:val="11"/>
                <w:szCs w:val="11"/>
                <w:color w:val="auto"/>
                <w:w w:val="97"/>
              </w:rPr>
              <w:t>-20.3%</w:t>
            </w:r>
          </w:p>
        </w:tc>
        <w:tc>
          <w:tcPr>
            <w:tcW w:w="1080" w:type="dxa"/>
            <w:vAlign w:val="bottom"/>
          </w:tcPr>
          <w:p>
            <w:pPr>
              <w:jc w:val="right"/>
              <w:ind w:right="166"/>
              <w:spacing w:after="0" w:line="120" w:lineRule="exact"/>
              <w:rPr>
                <w:sz w:val="20"/>
                <w:szCs w:val="20"/>
                <w:color w:val="auto"/>
              </w:rPr>
            </w:pPr>
            <w:r>
              <w:rPr>
                <w:rFonts w:ascii="Arial" w:cs="Arial" w:eastAsia="Arial" w:hAnsi="Arial"/>
                <w:sz w:val="11"/>
                <w:szCs w:val="11"/>
                <w:color w:val="auto"/>
              </w:rPr>
              <w:t>88,061</w:t>
            </w:r>
          </w:p>
        </w:tc>
        <w:tc>
          <w:tcPr>
            <w:tcW w:w="700" w:type="dxa"/>
            <w:vAlign w:val="bottom"/>
            <w:tcBorders>
              <w:right w:val="single" w:sz="8" w:color="auto"/>
            </w:tcBorders>
          </w:tcPr>
          <w:p>
            <w:pPr>
              <w:jc w:val="right"/>
              <w:spacing w:after="0" w:line="120" w:lineRule="exact"/>
              <w:rPr>
                <w:sz w:val="20"/>
                <w:szCs w:val="20"/>
                <w:color w:val="auto"/>
              </w:rPr>
            </w:pPr>
            <w:r>
              <w:rPr>
                <w:rFonts w:ascii="Arial" w:cs="Arial" w:eastAsia="Arial" w:hAnsi="Arial"/>
                <w:sz w:val="11"/>
                <w:szCs w:val="11"/>
                <w:color w:val="auto"/>
              </w:rPr>
              <w:t>84,007</w:t>
            </w:r>
          </w:p>
        </w:tc>
        <w:tc>
          <w:tcPr>
            <w:tcW w:w="1060" w:type="dxa"/>
            <w:vAlign w:val="bottom"/>
            <w:tcBorders>
              <w:right w:val="single" w:sz="8" w:color="auto"/>
            </w:tcBorders>
          </w:tcPr>
          <w:p>
            <w:pPr>
              <w:jc w:val="center"/>
              <w:spacing w:after="0" w:line="120" w:lineRule="exact"/>
              <w:rPr>
                <w:sz w:val="20"/>
                <w:szCs w:val="20"/>
                <w:color w:val="auto"/>
              </w:rPr>
            </w:pPr>
            <w:r>
              <w:rPr>
                <w:rFonts w:ascii="Arial" w:cs="Arial" w:eastAsia="Arial" w:hAnsi="Arial"/>
                <w:sz w:val="11"/>
                <w:szCs w:val="11"/>
                <w:color w:val="auto"/>
                <w:w w:val="97"/>
              </w:rPr>
              <w:t>-4.6%</w:t>
            </w:r>
          </w:p>
        </w:tc>
      </w:tr>
      <w:tr>
        <w:trPr>
          <w:trHeight w:val="134"/>
        </w:trPr>
        <w:tc>
          <w:tcPr>
            <w:tcW w:w="38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Net profit attributable to Credicorp</w:t>
            </w:r>
          </w:p>
        </w:tc>
        <w:tc>
          <w:tcPr>
            <w:tcW w:w="10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1,322,909</w:t>
            </w:r>
          </w:p>
        </w:tc>
        <w:tc>
          <w:tcPr>
            <w:tcW w:w="9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1,401,267</w:t>
            </w:r>
          </w:p>
        </w:tc>
        <w:tc>
          <w:tcPr>
            <w:tcW w:w="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b w:val="1"/>
                <w:bCs w:val="1"/>
                <w:color w:val="auto"/>
              </w:rPr>
              <w:t>1,238,173</w:t>
            </w:r>
          </w:p>
        </w:tc>
        <w:tc>
          <w:tcPr>
            <w:tcW w:w="620" w:type="dxa"/>
            <w:vAlign w:val="bottom"/>
            <w:tcBorders>
              <w:bottom w:val="single" w:sz="8" w:color="auto"/>
            </w:tcBorders>
          </w:tcPr>
          <w:p>
            <w:pPr>
              <w:jc w:val="center"/>
              <w:ind w:left="186"/>
              <w:spacing w:after="0"/>
              <w:rPr>
                <w:sz w:val="20"/>
                <w:szCs w:val="20"/>
                <w:color w:val="auto"/>
              </w:rPr>
            </w:pPr>
            <w:r>
              <w:rPr>
                <w:rFonts w:ascii="Arial" w:cs="Arial" w:eastAsia="Arial" w:hAnsi="Arial"/>
                <w:sz w:val="11"/>
                <w:szCs w:val="11"/>
                <w:b w:val="1"/>
                <w:bCs w:val="1"/>
                <w:color w:val="auto"/>
                <w:w w:val="97"/>
              </w:rPr>
              <w:t>-11.6%</w:t>
            </w:r>
          </w:p>
        </w:tc>
        <w:tc>
          <w:tcPr>
            <w:tcW w:w="1160" w:type="dxa"/>
            <w:vAlign w:val="bottom"/>
            <w:tcBorders>
              <w:bottom w:val="single" w:sz="8" w:color="auto"/>
              <w:right w:val="single" w:sz="8" w:color="auto"/>
            </w:tcBorders>
          </w:tcPr>
          <w:p>
            <w:pPr>
              <w:jc w:val="center"/>
              <w:ind w:left="146"/>
              <w:spacing w:after="0"/>
              <w:rPr>
                <w:sz w:val="20"/>
                <w:szCs w:val="20"/>
                <w:color w:val="auto"/>
              </w:rPr>
            </w:pPr>
            <w:r>
              <w:rPr>
                <w:rFonts w:ascii="Arial" w:cs="Arial" w:eastAsia="Arial" w:hAnsi="Arial"/>
                <w:sz w:val="11"/>
                <w:szCs w:val="11"/>
                <w:b w:val="1"/>
                <w:bCs w:val="1"/>
                <w:color w:val="auto"/>
                <w:w w:val="97"/>
              </w:rPr>
              <w:t>-6.4%</w:t>
            </w:r>
          </w:p>
        </w:tc>
        <w:tc>
          <w:tcPr>
            <w:tcW w:w="108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auto"/>
              </w:rPr>
              <w:t>3,637,663</w:t>
            </w:r>
          </w:p>
        </w:tc>
        <w:tc>
          <w:tcPr>
            <w:tcW w:w="7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b w:val="1"/>
                <w:bCs w:val="1"/>
                <w:color w:val="auto"/>
              </w:rPr>
              <w:t>4,023,713</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10.6%</w:t>
            </w:r>
          </w:p>
        </w:tc>
      </w:tr>
    </w:tbl>
    <w:p>
      <w:pPr>
        <w:spacing w:after="0" w:line="31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43750" cy="1587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4" w:name="page65"/>
    <w:bookmarkEnd w:id="64"/>
    <w:p>
      <w:pPr>
        <w:ind w:left="2980"/>
        <w:spacing w:after="0"/>
        <w:tabs>
          <w:tab w:leader="none" w:pos="3160" w:val="left"/>
          <w:tab w:leader="none" w:pos="7720" w:val="left"/>
        </w:tabs>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202565</wp:posOffset>
            </wp:positionH>
            <wp:positionV relativeFrom="page">
              <wp:posOffset>88900</wp:posOffset>
            </wp:positionV>
            <wp:extent cx="7143750" cy="41592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3750" cy="415925"/>
                    </a:xfrm>
                    <a:prstGeom prst="rect">
                      <a:avLst/>
                    </a:prstGeom>
                    <a:noFill/>
                  </pic:spPr>
                </pic:pic>
              </a:graphicData>
            </a:graphic>
          </wp:anchor>
        </w:drawing>
        <w:t>|</w:t>
      </w:r>
      <w:r>
        <w:rPr>
          <w:sz w:val="20"/>
          <w:szCs w:val="20"/>
          <w:color w:val="auto"/>
        </w:rPr>
        <w:tab/>
      </w:r>
      <w:r>
        <w:rPr>
          <w:rFonts w:ascii="Arial" w:cs="Arial" w:eastAsia="Arial" w:hAnsi="Arial"/>
          <w:sz w:val="16"/>
          <w:szCs w:val="16"/>
          <w:b w:val="1"/>
          <w:bCs w:val="1"/>
          <w:color w:val="FFFFFF"/>
        </w:rPr>
        <w:t>Earnings Release 3Q / 2023</w:t>
      </w:r>
      <w:r>
        <w:rPr>
          <w:sz w:val="20"/>
          <w:szCs w:val="20"/>
          <w:color w:val="auto"/>
        </w:rPr>
        <w:tab/>
      </w:r>
      <w:r>
        <w:rPr>
          <w:rFonts w:ascii="Arial" w:cs="Arial" w:eastAsia="Arial" w:hAnsi="Arial"/>
          <w:sz w:val="18"/>
          <w:szCs w:val="18"/>
          <w:b w:val="1"/>
          <w:bCs w:val="1"/>
          <w:color w:val="E93CAC"/>
        </w:rPr>
        <w:t>Analysis of 3Q23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175260</wp:posOffset>
            </wp:positionV>
            <wp:extent cx="7143750" cy="2038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3750" cy="203835"/>
                    </a:xfrm>
                    <a:prstGeom prst="rect">
                      <a:avLst/>
                    </a:prstGeom>
                    <a:noFill/>
                  </pic:spPr>
                </pic:pic>
              </a:graphicData>
            </a:graphic>
          </wp:anchor>
        </w:drawing>
      </w:r>
    </w:p>
    <w:p>
      <w:pPr>
        <w:spacing w:after="0" w:line="275" w:lineRule="exact"/>
        <w:rPr>
          <w:sz w:val="20"/>
          <w:szCs w:val="20"/>
          <w:color w:val="auto"/>
        </w:rPr>
      </w:pPr>
    </w:p>
    <w:p>
      <w:pPr>
        <w:ind w:left="60"/>
        <w:spacing w:after="0"/>
        <w:rPr>
          <w:sz w:val="20"/>
          <w:szCs w:val="20"/>
          <w:color w:val="auto"/>
        </w:rPr>
      </w:pPr>
      <w:r>
        <w:rPr>
          <w:rFonts w:ascii="Arial" w:cs="Arial" w:eastAsia="Arial" w:hAnsi="Arial"/>
          <w:sz w:val="20"/>
          <w:szCs w:val="20"/>
          <w:b w:val="1"/>
          <w:bCs w:val="1"/>
          <w:color w:val="FFFFFF"/>
        </w:rPr>
        <w:t>12. Appendix</w:t>
      </w:r>
    </w:p>
    <w:p>
      <w:pPr>
        <w:spacing w:after="0" w:line="7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12.6.2. Credicorp Stand-alone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1"/>
          <w:szCs w:val="11"/>
          <w:b w:val="1"/>
          <w:bCs w:val="1"/>
          <w:color w:val="auto"/>
        </w:rPr>
        <w:t>Credicorp Ltd.</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1"/>
          <w:szCs w:val="11"/>
          <w:b w:val="1"/>
          <w:bCs w:val="1"/>
          <w:color w:val="auto"/>
        </w:rPr>
        <w:t>Separate Statement of Financal Position</w:t>
      </w:r>
    </w:p>
    <w:p>
      <w:pPr>
        <w:jc w:val="center"/>
        <w:ind w:right="-19"/>
        <w:spacing w:after="0"/>
        <w:rPr>
          <w:sz w:val="20"/>
          <w:szCs w:val="20"/>
          <w:color w:val="auto"/>
        </w:rPr>
      </w:pPr>
      <w:r>
        <w:rPr>
          <w:rFonts w:ascii="Arial" w:cs="Arial" w:eastAsia="Arial" w:hAnsi="Arial"/>
          <w:sz w:val="11"/>
          <w:szCs w:val="11"/>
          <w:b w:val="1"/>
          <w:bCs w:val="1"/>
          <w:color w:val="auto"/>
        </w:rPr>
        <w:t>(S/ thousands, IFRS)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Borders>
              <w:right w:val="single" w:sz="8" w:color="auto"/>
            </w:tcBorders>
          </w:tcPr>
          <w:p>
            <w:pPr>
              <w:spacing w:after="0"/>
              <w:rPr>
                <w:sz w:val="14"/>
                <w:szCs w:val="14"/>
                <w:color w:val="auto"/>
              </w:rPr>
            </w:pPr>
          </w:p>
        </w:tc>
        <w:tc>
          <w:tcPr>
            <w:tcW w:w="4080" w:type="dxa"/>
            <w:vAlign w:val="bottom"/>
            <w:tcBorders>
              <w:top w:val="single" w:sz="8" w:color="auto"/>
              <w:right w:val="single" w:sz="8" w:color="auto"/>
            </w:tcBorders>
          </w:tcPr>
          <w:p>
            <w:pPr>
              <w:spacing w:after="0"/>
              <w:rPr>
                <w:sz w:val="14"/>
                <w:szCs w:val="14"/>
                <w:color w:val="auto"/>
              </w:rPr>
            </w:pPr>
          </w:p>
        </w:tc>
        <w:tc>
          <w:tcPr>
            <w:tcW w:w="1120" w:type="dxa"/>
            <w:vAlign w:val="bottom"/>
            <w:tcBorders>
              <w:top w:val="single" w:sz="8" w:color="auto"/>
            </w:tcBorders>
            <w:shd w:val="clear" w:color="auto" w:fill="33CCCC"/>
          </w:tcPr>
          <w:p>
            <w:pPr>
              <w:spacing w:after="0"/>
              <w:rPr>
                <w:sz w:val="14"/>
                <w:szCs w:val="14"/>
                <w:color w:val="auto"/>
              </w:rPr>
            </w:pPr>
          </w:p>
        </w:tc>
        <w:tc>
          <w:tcPr>
            <w:tcW w:w="1020" w:type="dxa"/>
            <w:vAlign w:val="bottom"/>
            <w:tcBorders>
              <w:top w:val="single" w:sz="8" w:color="auto"/>
            </w:tcBorders>
            <w:shd w:val="clear" w:color="auto" w:fill="33CCCC"/>
          </w:tcPr>
          <w:p>
            <w:pPr>
              <w:jc w:val="center"/>
              <w:ind w:right="246"/>
              <w:spacing w:after="0"/>
              <w:rPr>
                <w:sz w:val="20"/>
                <w:szCs w:val="20"/>
                <w:color w:val="auto"/>
              </w:rPr>
            </w:pPr>
            <w:r>
              <w:rPr>
                <w:rFonts w:ascii="Arial" w:cs="Arial" w:eastAsia="Arial" w:hAnsi="Arial"/>
                <w:sz w:val="11"/>
                <w:szCs w:val="11"/>
                <w:b w:val="1"/>
                <w:bCs w:val="1"/>
                <w:color w:val="FFFFFF"/>
              </w:rPr>
              <w:t>As of</w:t>
            </w:r>
          </w:p>
        </w:tc>
        <w:tc>
          <w:tcPr>
            <w:tcW w:w="880" w:type="dxa"/>
            <w:vAlign w:val="bottom"/>
            <w:tcBorders>
              <w:top w:val="single" w:sz="8" w:color="auto"/>
              <w:right w:val="single" w:sz="8" w:color="auto"/>
            </w:tcBorders>
            <w:shd w:val="clear" w:color="auto" w:fill="33CCCC"/>
          </w:tcPr>
          <w:p>
            <w:pPr>
              <w:spacing w:after="0"/>
              <w:rPr>
                <w:sz w:val="14"/>
                <w:szCs w:val="14"/>
                <w:color w:val="auto"/>
              </w:rPr>
            </w:pPr>
          </w:p>
        </w:tc>
        <w:tc>
          <w:tcPr>
            <w:tcW w:w="1120" w:type="dxa"/>
            <w:vAlign w:val="bottom"/>
            <w:tcBorders>
              <w:top w:val="single" w:sz="8" w:color="auto"/>
              <w:right w:val="single" w:sz="8" w:color="auto"/>
            </w:tcBorders>
            <w:gridSpan w:val="2"/>
            <w:shd w:val="clear" w:color="auto" w:fill="33CCCC"/>
          </w:tcPr>
          <w:p>
            <w:pPr>
              <w:ind w:left="300"/>
              <w:spacing w:after="0"/>
              <w:rPr>
                <w:sz w:val="20"/>
                <w:szCs w:val="20"/>
                <w:color w:val="auto"/>
              </w:rPr>
            </w:pPr>
            <w:r>
              <w:rPr>
                <w:rFonts w:ascii="Arial" w:cs="Arial" w:eastAsia="Arial" w:hAnsi="Arial"/>
                <w:sz w:val="11"/>
                <w:szCs w:val="11"/>
                <w:b w:val="1"/>
                <w:bCs w:val="1"/>
                <w:color w:val="FFFFFF"/>
              </w:rPr>
              <w:t>% change</w:t>
            </w:r>
          </w:p>
        </w:tc>
        <w:tc>
          <w:tcPr>
            <w:tcW w:w="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97"/>
        </w:trPr>
        <w:tc>
          <w:tcPr>
            <w:tcW w:w="40" w:type="dxa"/>
            <w:vAlign w:val="bottom"/>
            <w:tcBorders>
              <w:right w:val="single" w:sz="8" w:color="auto"/>
            </w:tcBorders>
          </w:tcPr>
          <w:p>
            <w:pPr>
              <w:spacing w:after="0"/>
              <w:rPr>
                <w:sz w:val="17"/>
                <w:szCs w:val="17"/>
                <w:color w:val="auto"/>
              </w:rPr>
            </w:pPr>
          </w:p>
        </w:tc>
        <w:tc>
          <w:tcPr>
            <w:tcW w:w="4080" w:type="dxa"/>
            <w:vAlign w:val="bottom"/>
            <w:tcBorders>
              <w:right w:val="single" w:sz="8" w:color="auto"/>
            </w:tcBorders>
          </w:tcPr>
          <w:p>
            <w:pPr>
              <w:spacing w:after="0"/>
              <w:rPr>
                <w:sz w:val="17"/>
                <w:szCs w:val="17"/>
                <w:color w:val="auto"/>
              </w:rPr>
            </w:pPr>
          </w:p>
        </w:tc>
        <w:tc>
          <w:tcPr>
            <w:tcW w:w="1120" w:type="dxa"/>
            <w:vAlign w:val="bottom"/>
            <w:tcBorders>
              <w:bottom w:val="single" w:sz="8" w:color="33CCCC"/>
            </w:tcBorders>
            <w:shd w:val="clear" w:color="auto" w:fill="33CCCC"/>
          </w:tcPr>
          <w:p>
            <w:pPr>
              <w:jc w:val="right"/>
              <w:ind w:right="426"/>
              <w:spacing w:after="0"/>
              <w:rPr>
                <w:sz w:val="20"/>
                <w:szCs w:val="20"/>
                <w:color w:val="auto"/>
              </w:rPr>
            </w:pPr>
            <w:r>
              <w:rPr>
                <w:rFonts w:ascii="Arial" w:cs="Arial" w:eastAsia="Arial" w:hAnsi="Arial"/>
                <w:sz w:val="11"/>
                <w:szCs w:val="11"/>
                <w:b w:val="1"/>
                <w:bCs w:val="1"/>
                <w:color w:val="FFFFFF"/>
              </w:rPr>
              <w:t>Sep 22</w:t>
            </w:r>
          </w:p>
        </w:tc>
        <w:tc>
          <w:tcPr>
            <w:tcW w:w="1020" w:type="dxa"/>
            <w:vAlign w:val="bottom"/>
            <w:tcBorders>
              <w:bottom w:val="single" w:sz="8" w:color="33CCCC"/>
            </w:tcBorders>
            <w:shd w:val="clear" w:color="auto" w:fill="33CCCC"/>
          </w:tcPr>
          <w:p>
            <w:pPr>
              <w:jc w:val="center"/>
              <w:ind w:right="266"/>
              <w:spacing w:after="0"/>
              <w:rPr>
                <w:sz w:val="20"/>
                <w:szCs w:val="20"/>
                <w:color w:val="auto"/>
              </w:rPr>
            </w:pPr>
            <w:r>
              <w:rPr>
                <w:rFonts w:ascii="Arial" w:cs="Arial" w:eastAsia="Arial" w:hAnsi="Arial"/>
                <w:sz w:val="11"/>
                <w:szCs w:val="11"/>
                <w:b w:val="1"/>
                <w:bCs w:val="1"/>
                <w:color w:val="FFFFFF"/>
                <w:w w:val="97"/>
              </w:rPr>
              <w:t>Jun 23</w:t>
            </w:r>
          </w:p>
        </w:tc>
        <w:tc>
          <w:tcPr>
            <w:tcW w:w="880" w:type="dxa"/>
            <w:vAlign w:val="bottom"/>
            <w:tcBorders>
              <w:bottom w:val="single" w:sz="8" w:color="33CCCC"/>
              <w:right w:val="single" w:sz="8" w:color="auto"/>
            </w:tcBorders>
            <w:shd w:val="clear" w:color="auto" w:fill="33CCCC"/>
          </w:tcPr>
          <w:p>
            <w:pPr>
              <w:jc w:val="right"/>
              <w:ind w:right="306"/>
              <w:spacing w:after="0"/>
              <w:rPr>
                <w:sz w:val="20"/>
                <w:szCs w:val="20"/>
                <w:color w:val="auto"/>
              </w:rPr>
            </w:pPr>
            <w:r>
              <w:rPr>
                <w:rFonts w:ascii="Arial" w:cs="Arial" w:eastAsia="Arial" w:hAnsi="Arial"/>
                <w:sz w:val="11"/>
                <w:szCs w:val="11"/>
                <w:b w:val="1"/>
                <w:bCs w:val="1"/>
                <w:color w:val="FFFFFF"/>
              </w:rPr>
              <w:t>Sep 23</w:t>
            </w:r>
          </w:p>
        </w:tc>
        <w:tc>
          <w:tcPr>
            <w:tcW w:w="540" w:type="dxa"/>
            <w:vAlign w:val="bottom"/>
            <w:tcBorders>
              <w:bottom w:val="single" w:sz="8" w:color="33CCCC"/>
            </w:tcBorders>
            <w:shd w:val="clear" w:color="auto" w:fill="33CCCC"/>
          </w:tcPr>
          <w:p>
            <w:pPr>
              <w:jc w:val="center"/>
              <w:spacing w:after="0"/>
              <w:rPr>
                <w:sz w:val="20"/>
                <w:szCs w:val="20"/>
                <w:color w:val="auto"/>
              </w:rPr>
            </w:pPr>
            <w:r>
              <w:rPr>
                <w:rFonts w:ascii="Arial" w:cs="Arial" w:eastAsia="Arial" w:hAnsi="Arial"/>
                <w:sz w:val="11"/>
                <w:szCs w:val="11"/>
                <w:b w:val="1"/>
                <w:bCs w:val="1"/>
                <w:color w:val="FFFFFF"/>
              </w:rPr>
              <w:t>QoQ</w:t>
            </w:r>
          </w:p>
        </w:tc>
        <w:tc>
          <w:tcPr>
            <w:tcW w:w="580" w:type="dxa"/>
            <w:vAlign w:val="bottom"/>
            <w:tcBorders>
              <w:bottom w:val="single" w:sz="8" w:color="33CCCC"/>
              <w:right w:val="single" w:sz="8" w:color="auto"/>
            </w:tcBorders>
            <w:shd w:val="clear" w:color="auto" w:fill="33CCCC"/>
          </w:tcPr>
          <w:p>
            <w:pPr>
              <w:jc w:val="center"/>
              <w:spacing w:after="0"/>
              <w:rPr>
                <w:sz w:val="20"/>
                <w:szCs w:val="20"/>
                <w:color w:val="auto"/>
              </w:rPr>
            </w:pPr>
            <w:r>
              <w:rPr>
                <w:rFonts w:ascii="Arial" w:cs="Arial" w:eastAsia="Arial" w:hAnsi="Arial"/>
                <w:sz w:val="11"/>
                <w:szCs w:val="11"/>
                <w:b w:val="1"/>
                <w:bCs w:val="1"/>
                <w:color w:val="FFFFFF"/>
                <w:w w:val="93"/>
              </w:rPr>
              <w:t>YoY</w:t>
            </w: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10"/>
        </w:trPr>
        <w:tc>
          <w:tcPr>
            <w:tcW w:w="40" w:type="dxa"/>
            <w:vAlign w:val="bottom"/>
            <w:tcBorders>
              <w:right w:val="single" w:sz="8" w:color="auto"/>
            </w:tcBorders>
          </w:tcPr>
          <w:p>
            <w:pPr>
              <w:spacing w:after="0"/>
              <w:rPr>
                <w:sz w:val="9"/>
                <w:szCs w:val="9"/>
                <w:color w:val="auto"/>
              </w:rPr>
            </w:pPr>
          </w:p>
        </w:tc>
        <w:tc>
          <w:tcPr>
            <w:tcW w:w="4080" w:type="dxa"/>
            <w:vAlign w:val="bottom"/>
            <w:tcBorders>
              <w:top w:val="single" w:sz="8" w:color="auto"/>
              <w:right w:val="single" w:sz="8" w:color="auto"/>
            </w:tcBorders>
          </w:tcPr>
          <w:p>
            <w:pPr>
              <w:spacing w:after="0" w:line="110" w:lineRule="exact"/>
              <w:rPr>
                <w:sz w:val="20"/>
                <w:szCs w:val="20"/>
                <w:color w:val="auto"/>
              </w:rPr>
            </w:pPr>
            <w:r>
              <w:rPr>
                <w:rFonts w:ascii="Arial" w:cs="Arial" w:eastAsia="Arial" w:hAnsi="Arial"/>
                <w:sz w:val="11"/>
                <w:szCs w:val="11"/>
                <w:b w:val="1"/>
                <w:bCs w:val="1"/>
                <w:color w:val="auto"/>
              </w:rPr>
              <w:t>ASSETS</w:t>
            </w:r>
          </w:p>
        </w:tc>
        <w:tc>
          <w:tcPr>
            <w:tcW w:w="112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880" w:type="dxa"/>
            <w:vAlign w:val="bottom"/>
            <w:tcBorders>
              <w:top w:val="single" w:sz="8" w:color="auto"/>
              <w:right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580" w:type="dxa"/>
            <w:vAlign w:val="bottom"/>
            <w:tcBorders>
              <w:top w:val="single" w:sz="8" w:color="auto"/>
              <w:right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980" w:type="dxa"/>
            <w:vAlign w:val="bottom"/>
          </w:tcPr>
          <w:p>
            <w:pPr>
              <w:spacing w:after="0"/>
              <w:rPr>
                <w:sz w:val="9"/>
                <w:szCs w:val="9"/>
                <w:color w:val="auto"/>
              </w:rPr>
            </w:pPr>
          </w:p>
        </w:tc>
      </w:tr>
      <w:tr>
        <w:trPr>
          <w:trHeight w:val="137"/>
        </w:trPr>
        <w:tc>
          <w:tcPr>
            <w:tcW w:w="40" w:type="dxa"/>
            <w:vAlign w:val="bottom"/>
            <w:tcBorders>
              <w:right w:val="single" w:sz="8" w:color="auto"/>
            </w:tcBorders>
          </w:tcPr>
          <w:p>
            <w:pPr>
              <w:spacing w:after="0"/>
              <w:rPr>
                <w:sz w:val="11"/>
                <w:szCs w:val="11"/>
                <w:color w:val="auto"/>
              </w:rPr>
            </w:pPr>
          </w:p>
        </w:tc>
        <w:tc>
          <w:tcPr>
            <w:tcW w:w="408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Cash and cash equivalents</w:t>
            </w:r>
          </w:p>
        </w:tc>
        <w:tc>
          <w:tcPr>
            <w:tcW w:w="1120" w:type="dxa"/>
            <w:vAlign w:val="bottom"/>
          </w:tcPr>
          <w:p>
            <w:pPr>
              <w:jc w:val="right"/>
              <w:ind w:right="106"/>
              <w:spacing w:after="0"/>
              <w:rPr>
                <w:sz w:val="20"/>
                <w:szCs w:val="20"/>
                <w:color w:val="auto"/>
              </w:rPr>
            </w:pPr>
            <w:r>
              <w:rPr>
                <w:rFonts w:ascii="Arial" w:cs="Arial" w:eastAsia="Arial" w:hAnsi="Arial"/>
                <w:sz w:val="11"/>
                <w:szCs w:val="11"/>
                <w:color w:val="auto"/>
              </w:rPr>
              <w:t>125,092</w:t>
            </w:r>
          </w:p>
        </w:tc>
        <w:tc>
          <w:tcPr>
            <w:tcW w:w="1020" w:type="dxa"/>
            <w:vAlign w:val="bottom"/>
          </w:tcPr>
          <w:p>
            <w:pPr>
              <w:jc w:val="right"/>
              <w:ind w:right="106"/>
              <w:spacing w:after="0"/>
              <w:rPr>
                <w:sz w:val="20"/>
                <w:szCs w:val="20"/>
                <w:color w:val="auto"/>
              </w:rPr>
            </w:pPr>
            <w:r>
              <w:rPr>
                <w:rFonts w:ascii="Arial" w:cs="Arial" w:eastAsia="Arial" w:hAnsi="Arial"/>
                <w:sz w:val="11"/>
                <w:szCs w:val="11"/>
                <w:color w:val="auto"/>
              </w:rPr>
              <w:t>122,665</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79,883</w:t>
            </w:r>
          </w:p>
        </w:tc>
        <w:tc>
          <w:tcPr>
            <w:tcW w:w="540" w:type="dxa"/>
            <w:vAlign w:val="bottom"/>
          </w:tcPr>
          <w:p>
            <w:pPr>
              <w:jc w:val="center"/>
              <w:spacing w:after="0"/>
              <w:rPr>
                <w:sz w:val="20"/>
                <w:szCs w:val="20"/>
                <w:color w:val="auto"/>
              </w:rPr>
            </w:pPr>
            <w:r>
              <w:rPr>
                <w:rFonts w:ascii="Arial" w:cs="Arial" w:eastAsia="Arial" w:hAnsi="Arial"/>
                <w:sz w:val="11"/>
                <w:szCs w:val="11"/>
                <w:color w:val="auto"/>
                <w:w w:val="97"/>
              </w:rPr>
              <w:t>-34.9%</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-36.1%</w:t>
            </w:r>
          </w:p>
        </w:tc>
        <w:tc>
          <w:tcPr>
            <w:tcW w:w="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73"/>
        </w:trPr>
        <w:tc>
          <w:tcPr>
            <w:tcW w:w="4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At fair value through profit or loss</w:t>
            </w:r>
          </w:p>
        </w:tc>
        <w:tc>
          <w:tcPr>
            <w:tcW w:w="1120" w:type="dxa"/>
            <w:vAlign w:val="bottom"/>
          </w:tcPr>
          <w:p>
            <w:pPr>
              <w:jc w:val="right"/>
              <w:ind w:right="106"/>
              <w:spacing w:after="0"/>
              <w:rPr>
                <w:sz w:val="20"/>
                <w:szCs w:val="20"/>
                <w:color w:val="auto"/>
              </w:rPr>
            </w:pPr>
            <w:r>
              <w:rPr>
                <w:rFonts w:ascii="Arial" w:cs="Arial" w:eastAsia="Arial" w:hAnsi="Arial"/>
                <w:sz w:val="11"/>
                <w:szCs w:val="11"/>
                <w:color w:val="auto"/>
              </w:rPr>
              <w:t>967,331</w:t>
            </w:r>
          </w:p>
        </w:tc>
        <w:tc>
          <w:tcPr>
            <w:tcW w:w="1020" w:type="dxa"/>
            <w:vAlign w:val="bottom"/>
          </w:tcPr>
          <w:p>
            <w:pPr>
              <w:jc w:val="right"/>
              <w:ind w:right="106"/>
              <w:spacing w:after="0"/>
              <w:rPr>
                <w:sz w:val="20"/>
                <w:szCs w:val="20"/>
                <w:color w:val="auto"/>
              </w:rPr>
            </w:pPr>
            <w:r>
              <w:rPr>
                <w:rFonts w:ascii="Arial" w:cs="Arial" w:eastAsia="Arial" w:hAnsi="Arial"/>
                <w:sz w:val="11"/>
                <w:szCs w:val="11"/>
                <w:color w:val="auto"/>
              </w:rPr>
              <w:t>937,921</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937,279</w:t>
            </w:r>
          </w:p>
        </w:tc>
        <w:tc>
          <w:tcPr>
            <w:tcW w:w="540" w:type="dxa"/>
            <w:vAlign w:val="bottom"/>
          </w:tcPr>
          <w:p>
            <w:pPr>
              <w:jc w:val="center"/>
              <w:spacing w:after="0"/>
              <w:rPr>
                <w:sz w:val="20"/>
                <w:szCs w:val="20"/>
                <w:color w:val="auto"/>
              </w:rPr>
            </w:pPr>
            <w:r>
              <w:rPr>
                <w:rFonts w:ascii="Arial" w:cs="Arial" w:eastAsia="Arial" w:hAnsi="Arial"/>
                <w:sz w:val="11"/>
                <w:szCs w:val="11"/>
                <w:color w:val="auto"/>
                <w:w w:val="97"/>
              </w:rPr>
              <w:t>-0.1%</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-3.1%</w:t>
            </w:r>
          </w:p>
        </w:tc>
        <w:tc>
          <w:tcPr>
            <w:tcW w:w="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3"/>
        </w:trPr>
        <w:tc>
          <w:tcPr>
            <w:tcW w:w="4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Fair value through other comprehensive income investments</w:t>
            </w:r>
          </w:p>
        </w:tc>
        <w:tc>
          <w:tcPr>
            <w:tcW w:w="1120" w:type="dxa"/>
            <w:vAlign w:val="bottom"/>
          </w:tcPr>
          <w:p>
            <w:pPr>
              <w:jc w:val="right"/>
              <w:ind w:right="106"/>
              <w:spacing w:after="0"/>
              <w:rPr>
                <w:sz w:val="20"/>
                <w:szCs w:val="20"/>
                <w:color w:val="auto"/>
              </w:rPr>
            </w:pPr>
            <w:r>
              <w:rPr>
                <w:rFonts w:ascii="Arial" w:cs="Arial" w:eastAsia="Arial" w:hAnsi="Arial"/>
                <w:sz w:val="11"/>
                <w:szCs w:val="11"/>
                <w:color w:val="auto"/>
              </w:rPr>
              <w:t>313,739</w:t>
            </w:r>
          </w:p>
        </w:tc>
        <w:tc>
          <w:tcPr>
            <w:tcW w:w="1020" w:type="dxa"/>
            <w:vAlign w:val="bottom"/>
          </w:tcPr>
          <w:p>
            <w:pPr>
              <w:jc w:val="right"/>
              <w:ind w:right="106"/>
              <w:spacing w:after="0"/>
              <w:rPr>
                <w:sz w:val="20"/>
                <w:szCs w:val="20"/>
                <w:color w:val="auto"/>
              </w:rPr>
            </w:pPr>
            <w:r>
              <w:rPr>
                <w:rFonts w:ascii="Arial" w:cs="Arial" w:eastAsia="Arial" w:hAnsi="Arial"/>
                <w:sz w:val="11"/>
                <w:szCs w:val="11"/>
                <w:color w:val="auto"/>
              </w:rPr>
              <w:t>317,479</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303,303</w:t>
            </w:r>
          </w:p>
        </w:tc>
        <w:tc>
          <w:tcPr>
            <w:tcW w:w="540" w:type="dxa"/>
            <w:vAlign w:val="bottom"/>
          </w:tcPr>
          <w:p>
            <w:pPr>
              <w:jc w:val="center"/>
              <w:spacing w:after="0"/>
              <w:rPr>
                <w:sz w:val="20"/>
                <w:szCs w:val="20"/>
                <w:color w:val="auto"/>
              </w:rPr>
            </w:pPr>
            <w:r>
              <w:rPr>
                <w:rFonts w:ascii="Arial" w:cs="Arial" w:eastAsia="Arial" w:hAnsi="Arial"/>
                <w:sz w:val="11"/>
                <w:szCs w:val="11"/>
                <w:color w:val="auto"/>
                <w:w w:val="97"/>
              </w:rPr>
              <w:t>-4.5%</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-3.3%</w:t>
            </w:r>
          </w:p>
        </w:tc>
        <w:tc>
          <w:tcPr>
            <w:tcW w:w="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3"/>
        </w:trPr>
        <w:tc>
          <w:tcPr>
            <w:tcW w:w="4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In subsidiaries and associates investments</w:t>
            </w:r>
          </w:p>
        </w:tc>
        <w:tc>
          <w:tcPr>
            <w:tcW w:w="1120" w:type="dxa"/>
            <w:vAlign w:val="bottom"/>
          </w:tcPr>
          <w:p>
            <w:pPr>
              <w:jc w:val="right"/>
              <w:ind w:right="106"/>
              <w:spacing w:after="0"/>
              <w:rPr>
                <w:sz w:val="20"/>
                <w:szCs w:val="20"/>
                <w:color w:val="auto"/>
              </w:rPr>
            </w:pPr>
            <w:r>
              <w:rPr>
                <w:rFonts w:ascii="Arial" w:cs="Arial" w:eastAsia="Arial" w:hAnsi="Arial"/>
                <w:sz w:val="11"/>
                <w:szCs w:val="11"/>
                <w:color w:val="auto"/>
              </w:rPr>
              <w:t>32,308,088</w:t>
            </w:r>
          </w:p>
        </w:tc>
        <w:tc>
          <w:tcPr>
            <w:tcW w:w="1020" w:type="dxa"/>
            <w:vAlign w:val="bottom"/>
          </w:tcPr>
          <w:p>
            <w:pPr>
              <w:jc w:val="right"/>
              <w:ind w:right="106"/>
              <w:spacing w:after="0"/>
              <w:rPr>
                <w:sz w:val="20"/>
                <w:szCs w:val="20"/>
                <w:color w:val="auto"/>
              </w:rPr>
            </w:pPr>
            <w:r>
              <w:rPr>
                <w:rFonts w:ascii="Arial" w:cs="Arial" w:eastAsia="Arial" w:hAnsi="Arial"/>
                <w:sz w:val="11"/>
                <w:szCs w:val="11"/>
                <w:color w:val="auto"/>
              </w:rPr>
              <w:t>34,755,621</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36,167,571</w:t>
            </w:r>
          </w:p>
        </w:tc>
        <w:tc>
          <w:tcPr>
            <w:tcW w:w="540" w:type="dxa"/>
            <w:vAlign w:val="bottom"/>
          </w:tcPr>
          <w:p>
            <w:pPr>
              <w:jc w:val="center"/>
              <w:spacing w:after="0"/>
              <w:rPr>
                <w:sz w:val="20"/>
                <w:szCs w:val="20"/>
                <w:color w:val="auto"/>
              </w:rPr>
            </w:pPr>
            <w:r>
              <w:rPr>
                <w:rFonts w:ascii="Arial" w:cs="Arial" w:eastAsia="Arial" w:hAnsi="Arial"/>
                <w:sz w:val="11"/>
                <w:szCs w:val="11"/>
                <w:color w:val="auto"/>
                <w:w w:val="95"/>
              </w:rPr>
              <w:t>4.1%</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9"/>
              </w:rPr>
              <w:t>11.9%</w:t>
            </w:r>
          </w:p>
        </w:tc>
        <w:tc>
          <w:tcPr>
            <w:tcW w:w="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3"/>
        </w:trPr>
        <w:tc>
          <w:tcPr>
            <w:tcW w:w="4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Other assets</w:t>
            </w:r>
          </w:p>
        </w:tc>
        <w:tc>
          <w:tcPr>
            <w:tcW w:w="1120" w:type="dxa"/>
            <w:vAlign w:val="bottom"/>
          </w:tcPr>
          <w:p>
            <w:pPr>
              <w:jc w:val="right"/>
              <w:ind w:right="106"/>
              <w:spacing w:after="0"/>
              <w:rPr>
                <w:sz w:val="20"/>
                <w:szCs w:val="20"/>
                <w:color w:val="auto"/>
              </w:rPr>
            </w:pPr>
            <w:r>
              <w:rPr>
                <w:rFonts w:ascii="Arial" w:cs="Arial" w:eastAsia="Arial" w:hAnsi="Arial"/>
                <w:sz w:val="11"/>
                <w:szCs w:val="11"/>
                <w:color w:val="auto"/>
              </w:rPr>
              <w:t>12,115</w:t>
            </w:r>
          </w:p>
        </w:tc>
        <w:tc>
          <w:tcPr>
            <w:tcW w:w="1020" w:type="dxa"/>
            <w:vAlign w:val="bottom"/>
          </w:tcPr>
          <w:p>
            <w:pPr>
              <w:jc w:val="right"/>
              <w:ind w:right="106"/>
              <w:spacing w:after="0"/>
              <w:rPr>
                <w:sz w:val="20"/>
                <w:szCs w:val="20"/>
                <w:color w:val="auto"/>
              </w:rPr>
            </w:pPr>
            <w:r>
              <w:rPr>
                <w:rFonts w:ascii="Arial" w:cs="Arial" w:eastAsia="Arial" w:hAnsi="Arial"/>
                <w:sz w:val="11"/>
                <w:szCs w:val="11"/>
                <w:color w:val="auto"/>
              </w:rPr>
              <w:t>197</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324</w:t>
            </w:r>
          </w:p>
        </w:tc>
        <w:tc>
          <w:tcPr>
            <w:tcW w:w="540" w:type="dxa"/>
            <w:vAlign w:val="bottom"/>
          </w:tcPr>
          <w:p>
            <w:pPr>
              <w:jc w:val="center"/>
              <w:spacing w:after="0"/>
              <w:rPr>
                <w:sz w:val="20"/>
                <w:szCs w:val="20"/>
                <w:color w:val="auto"/>
              </w:rPr>
            </w:pPr>
            <w:r>
              <w:rPr>
                <w:rFonts w:ascii="Arial" w:cs="Arial" w:eastAsia="Arial" w:hAnsi="Arial"/>
                <w:sz w:val="11"/>
                <w:szCs w:val="11"/>
                <w:color w:val="auto"/>
                <w:w w:val="96"/>
              </w:rPr>
              <w:t>64.5%</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-97.3%</w:t>
            </w:r>
          </w:p>
        </w:tc>
        <w:tc>
          <w:tcPr>
            <w:tcW w:w="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305"/>
        </w:trPr>
        <w:tc>
          <w:tcPr>
            <w:tcW w:w="40" w:type="dxa"/>
            <w:vAlign w:val="bottom"/>
            <w:tcBorders>
              <w:right w:val="single" w:sz="8" w:color="auto"/>
            </w:tcBorders>
          </w:tcPr>
          <w:p>
            <w:pPr>
              <w:spacing w:after="0"/>
              <w:rPr>
                <w:sz w:val="24"/>
                <w:szCs w:val="24"/>
                <w:color w:val="auto"/>
              </w:rPr>
            </w:pPr>
          </w:p>
        </w:tc>
        <w:tc>
          <w:tcPr>
            <w:tcW w:w="4080" w:type="dxa"/>
            <w:vAlign w:val="bottom"/>
            <w:tcBorders>
              <w:right w:val="single" w:sz="8" w:color="auto"/>
            </w:tcBorders>
          </w:tcPr>
          <w:p>
            <w:pPr>
              <w:ind w:left="1700"/>
              <w:spacing w:after="0"/>
              <w:rPr>
                <w:sz w:val="20"/>
                <w:szCs w:val="20"/>
                <w:color w:val="auto"/>
              </w:rPr>
            </w:pPr>
            <w:r>
              <w:rPr>
                <w:rFonts w:ascii="Arial" w:cs="Arial" w:eastAsia="Arial" w:hAnsi="Arial"/>
                <w:sz w:val="11"/>
                <w:szCs w:val="11"/>
                <w:b w:val="1"/>
                <w:bCs w:val="1"/>
                <w:color w:val="auto"/>
              </w:rPr>
              <w:t>Total Assets</w:t>
            </w:r>
          </w:p>
        </w:tc>
        <w:tc>
          <w:tcPr>
            <w:tcW w:w="1120" w:type="dxa"/>
            <w:vAlign w:val="bottom"/>
          </w:tcPr>
          <w:p>
            <w:pPr>
              <w:jc w:val="right"/>
              <w:ind w:right="106"/>
              <w:spacing w:after="0"/>
              <w:rPr>
                <w:sz w:val="20"/>
                <w:szCs w:val="20"/>
                <w:color w:val="auto"/>
              </w:rPr>
            </w:pPr>
            <w:r>
              <w:rPr>
                <w:rFonts w:ascii="Arial" w:cs="Arial" w:eastAsia="Arial" w:hAnsi="Arial"/>
                <w:sz w:val="11"/>
                <w:szCs w:val="11"/>
                <w:b w:val="1"/>
                <w:bCs w:val="1"/>
                <w:color w:val="auto"/>
              </w:rPr>
              <w:t>33,726,365</w:t>
            </w:r>
          </w:p>
        </w:tc>
        <w:tc>
          <w:tcPr>
            <w:tcW w:w="1020" w:type="dxa"/>
            <w:vAlign w:val="bottom"/>
          </w:tcPr>
          <w:p>
            <w:pPr>
              <w:jc w:val="right"/>
              <w:ind w:right="106"/>
              <w:spacing w:after="0"/>
              <w:rPr>
                <w:sz w:val="20"/>
                <w:szCs w:val="20"/>
                <w:color w:val="auto"/>
              </w:rPr>
            </w:pPr>
            <w:r>
              <w:rPr>
                <w:rFonts w:ascii="Arial" w:cs="Arial" w:eastAsia="Arial" w:hAnsi="Arial"/>
                <w:sz w:val="11"/>
                <w:szCs w:val="11"/>
                <w:b w:val="1"/>
                <w:bCs w:val="1"/>
                <w:color w:val="auto"/>
              </w:rPr>
              <w:t>36,133,883</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1"/>
                <w:szCs w:val="11"/>
                <w:b w:val="1"/>
                <w:bCs w:val="1"/>
                <w:color w:val="auto"/>
              </w:rPr>
              <w:t>37,488,360</w:t>
            </w:r>
          </w:p>
        </w:tc>
        <w:tc>
          <w:tcPr>
            <w:tcW w:w="540" w:type="dxa"/>
            <w:vAlign w:val="bottom"/>
          </w:tcPr>
          <w:p>
            <w:pPr>
              <w:jc w:val="center"/>
              <w:spacing w:after="0"/>
              <w:rPr>
                <w:sz w:val="20"/>
                <w:szCs w:val="20"/>
                <w:color w:val="auto"/>
              </w:rPr>
            </w:pPr>
            <w:r>
              <w:rPr>
                <w:rFonts w:ascii="Arial" w:cs="Arial" w:eastAsia="Arial" w:hAnsi="Arial"/>
                <w:sz w:val="11"/>
                <w:szCs w:val="11"/>
                <w:b w:val="1"/>
                <w:bCs w:val="1"/>
                <w:color w:val="auto"/>
                <w:w w:val="95"/>
              </w:rPr>
              <w:t>3.7%</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11.2%</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97"/>
        </w:trPr>
        <w:tc>
          <w:tcPr>
            <w:tcW w:w="40" w:type="dxa"/>
            <w:vAlign w:val="bottom"/>
            <w:tcBorders>
              <w:right w:val="single" w:sz="8" w:color="auto"/>
            </w:tcBorders>
          </w:tcPr>
          <w:p>
            <w:pPr>
              <w:spacing w:after="0"/>
              <w:rPr>
                <w:sz w:val="24"/>
                <w:szCs w:val="24"/>
                <w:color w:val="auto"/>
              </w:rPr>
            </w:pPr>
          </w:p>
        </w:tc>
        <w:tc>
          <w:tcPr>
            <w:tcW w:w="4080" w:type="dxa"/>
            <w:vAlign w:val="bottom"/>
            <w:tcBorders>
              <w:right w:val="single" w:sz="8" w:color="auto"/>
            </w:tcBorders>
          </w:tcPr>
          <w:p>
            <w:pPr>
              <w:spacing w:after="0"/>
              <w:rPr>
                <w:sz w:val="20"/>
                <w:szCs w:val="20"/>
                <w:color w:val="auto"/>
              </w:rPr>
            </w:pPr>
            <w:r>
              <w:rPr>
                <w:rFonts w:ascii="Arial" w:cs="Arial" w:eastAsia="Arial" w:hAnsi="Arial"/>
                <w:sz w:val="11"/>
                <w:szCs w:val="11"/>
                <w:b w:val="1"/>
                <w:bCs w:val="1"/>
                <w:color w:val="auto"/>
              </w:rPr>
              <w:t>LIABILITIES AND NET SHAREHOLDERS’ EQUITY</w:t>
            </w: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39"/>
        </w:trPr>
        <w:tc>
          <w:tcPr>
            <w:tcW w:w="40" w:type="dxa"/>
            <w:vAlign w:val="bottom"/>
            <w:tcBorders>
              <w:right w:val="single" w:sz="8" w:color="auto"/>
            </w:tcBorders>
          </w:tcPr>
          <w:p>
            <w:pPr>
              <w:spacing w:after="0"/>
              <w:rPr>
                <w:sz w:val="20"/>
                <w:szCs w:val="20"/>
                <w:color w:val="auto"/>
              </w:rPr>
            </w:pPr>
          </w:p>
        </w:tc>
        <w:tc>
          <w:tcPr>
            <w:tcW w:w="408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Due to banks, correspondents and other entities</w:t>
            </w:r>
          </w:p>
        </w:tc>
        <w:tc>
          <w:tcPr>
            <w:tcW w:w="1120" w:type="dxa"/>
            <w:vAlign w:val="bottom"/>
          </w:tcPr>
          <w:p>
            <w:pPr>
              <w:jc w:val="right"/>
              <w:ind w:right="106"/>
              <w:spacing w:after="0"/>
              <w:rPr>
                <w:sz w:val="20"/>
                <w:szCs w:val="20"/>
                <w:color w:val="auto"/>
              </w:rPr>
            </w:pPr>
            <w:r>
              <w:rPr>
                <w:rFonts w:ascii="Arial" w:cs="Arial" w:eastAsia="Arial" w:hAnsi="Arial"/>
                <w:sz w:val="11"/>
                <w:szCs w:val="11"/>
                <w:color w:val="auto"/>
              </w:rPr>
              <w:t>256,528</w:t>
            </w:r>
          </w:p>
        </w:tc>
        <w:tc>
          <w:tcPr>
            <w:tcW w:w="102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30,165</w:t>
            </w:r>
          </w:p>
        </w:tc>
        <w:tc>
          <w:tcPr>
            <w:tcW w:w="540" w:type="dxa"/>
            <w:vAlign w:val="bottom"/>
          </w:tcPr>
          <w:p>
            <w:pPr>
              <w:jc w:val="center"/>
              <w:spacing w:after="0"/>
              <w:rPr>
                <w:sz w:val="20"/>
                <w:szCs w:val="20"/>
                <w:color w:val="auto"/>
              </w:rPr>
            </w:pPr>
            <w:r>
              <w:rPr>
                <w:rFonts w:ascii="Arial" w:cs="Arial" w:eastAsia="Arial" w:hAnsi="Arial"/>
                <w:sz w:val="11"/>
                <w:szCs w:val="11"/>
                <w:color w:val="auto"/>
                <w:w w:val="91"/>
              </w:rPr>
              <w:t>n.a</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-88.2%</w:t>
            </w: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173"/>
        </w:trPr>
        <w:tc>
          <w:tcPr>
            <w:tcW w:w="4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Bonds and notes issued</w:t>
            </w:r>
          </w:p>
        </w:tc>
        <w:tc>
          <w:tcPr>
            <w:tcW w:w="1120" w:type="dxa"/>
            <w:vAlign w:val="bottom"/>
          </w:tcPr>
          <w:p>
            <w:pPr>
              <w:jc w:val="right"/>
              <w:ind w:right="106"/>
              <w:spacing w:after="0"/>
              <w:rPr>
                <w:sz w:val="20"/>
                <w:szCs w:val="20"/>
                <w:color w:val="auto"/>
              </w:rPr>
            </w:pPr>
            <w:r>
              <w:rPr>
                <w:rFonts w:ascii="Arial" w:cs="Arial" w:eastAsia="Arial" w:hAnsi="Arial"/>
                <w:sz w:val="11"/>
                <w:szCs w:val="11"/>
                <w:color w:val="auto"/>
              </w:rPr>
              <w:t>1,993,778</w:t>
            </w:r>
          </w:p>
        </w:tc>
        <w:tc>
          <w:tcPr>
            <w:tcW w:w="1020" w:type="dxa"/>
            <w:vAlign w:val="bottom"/>
          </w:tcPr>
          <w:p>
            <w:pPr>
              <w:jc w:val="right"/>
              <w:ind w:right="106"/>
              <w:spacing w:after="0"/>
              <w:rPr>
                <w:sz w:val="20"/>
                <w:szCs w:val="20"/>
                <w:color w:val="auto"/>
              </w:rPr>
            </w:pPr>
            <w:r>
              <w:rPr>
                <w:rFonts w:ascii="Arial" w:cs="Arial" w:eastAsia="Arial" w:hAnsi="Arial"/>
                <w:sz w:val="11"/>
                <w:szCs w:val="11"/>
                <w:color w:val="auto"/>
              </w:rPr>
              <w:t>1,803,725</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1,851,185</w:t>
            </w:r>
          </w:p>
        </w:tc>
        <w:tc>
          <w:tcPr>
            <w:tcW w:w="540" w:type="dxa"/>
            <w:vAlign w:val="bottom"/>
          </w:tcPr>
          <w:p>
            <w:pPr>
              <w:jc w:val="center"/>
              <w:spacing w:after="0"/>
              <w:rPr>
                <w:sz w:val="20"/>
                <w:szCs w:val="20"/>
                <w:color w:val="auto"/>
              </w:rPr>
            </w:pPr>
            <w:r>
              <w:rPr>
                <w:rFonts w:ascii="Arial" w:cs="Arial" w:eastAsia="Arial" w:hAnsi="Arial"/>
                <w:sz w:val="11"/>
                <w:szCs w:val="11"/>
                <w:color w:val="auto"/>
                <w:w w:val="95"/>
              </w:rPr>
              <w:t>2.6%</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-7.2%</w:t>
            </w:r>
          </w:p>
        </w:tc>
        <w:tc>
          <w:tcPr>
            <w:tcW w:w="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3"/>
        </w:trPr>
        <w:tc>
          <w:tcPr>
            <w:tcW w:w="4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Other liabilities</w:t>
            </w:r>
          </w:p>
        </w:tc>
        <w:tc>
          <w:tcPr>
            <w:tcW w:w="1120" w:type="dxa"/>
            <w:vAlign w:val="bottom"/>
          </w:tcPr>
          <w:p>
            <w:pPr>
              <w:jc w:val="right"/>
              <w:ind w:right="106"/>
              <w:spacing w:after="0"/>
              <w:rPr>
                <w:sz w:val="20"/>
                <w:szCs w:val="20"/>
                <w:color w:val="auto"/>
              </w:rPr>
            </w:pPr>
            <w:r>
              <w:rPr>
                <w:rFonts w:ascii="Arial" w:cs="Arial" w:eastAsia="Arial" w:hAnsi="Arial"/>
                <w:sz w:val="11"/>
                <w:szCs w:val="11"/>
                <w:color w:val="auto"/>
              </w:rPr>
              <w:t>218,687</w:t>
            </w:r>
          </w:p>
        </w:tc>
        <w:tc>
          <w:tcPr>
            <w:tcW w:w="1020" w:type="dxa"/>
            <w:vAlign w:val="bottom"/>
          </w:tcPr>
          <w:p>
            <w:pPr>
              <w:jc w:val="right"/>
              <w:ind w:right="106"/>
              <w:spacing w:after="0"/>
              <w:rPr>
                <w:sz w:val="20"/>
                <w:szCs w:val="20"/>
                <w:color w:val="auto"/>
              </w:rPr>
            </w:pPr>
            <w:r>
              <w:rPr>
                <w:rFonts w:ascii="Arial" w:cs="Arial" w:eastAsia="Arial" w:hAnsi="Arial"/>
                <w:sz w:val="11"/>
                <w:szCs w:val="11"/>
                <w:color w:val="auto"/>
              </w:rPr>
              <w:t>161,170</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206,963</w:t>
            </w:r>
          </w:p>
        </w:tc>
        <w:tc>
          <w:tcPr>
            <w:tcW w:w="540" w:type="dxa"/>
            <w:vAlign w:val="bottom"/>
          </w:tcPr>
          <w:p>
            <w:pPr>
              <w:jc w:val="center"/>
              <w:spacing w:after="0"/>
              <w:rPr>
                <w:sz w:val="20"/>
                <w:szCs w:val="20"/>
                <w:color w:val="auto"/>
              </w:rPr>
            </w:pPr>
            <w:r>
              <w:rPr>
                <w:rFonts w:ascii="Arial" w:cs="Arial" w:eastAsia="Arial" w:hAnsi="Arial"/>
                <w:sz w:val="11"/>
                <w:szCs w:val="11"/>
                <w:color w:val="auto"/>
                <w:w w:val="96"/>
              </w:rPr>
              <w:t>28.4%</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-5.4%</w:t>
            </w:r>
          </w:p>
        </w:tc>
        <w:tc>
          <w:tcPr>
            <w:tcW w:w="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305"/>
        </w:trPr>
        <w:tc>
          <w:tcPr>
            <w:tcW w:w="40" w:type="dxa"/>
            <w:vAlign w:val="bottom"/>
            <w:tcBorders>
              <w:right w:val="single" w:sz="8" w:color="auto"/>
            </w:tcBorders>
          </w:tcPr>
          <w:p>
            <w:pPr>
              <w:spacing w:after="0"/>
              <w:rPr>
                <w:sz w:val="24"/>
                <w:szCs w:val="24"/>
                <w:color w:val="auto"/>
              </w:rPr>
            </w:pPr>
          </w:p>
        </w:tc>
        <w:tc>
          <w:tcPr>
            <w:tcW w:w="4080" w:type="dxa"/>
            <w:vAlign w:val="bottom"/>
            <w:tcBorders>
              <w:right w:val="single" w:sz="8" w:color="auto"/>
            </w:tcBorders>
          </w:tcPr>
          <w:p>
            <w:pPr>
              <w:ind w:left="1620"/>
              <w:spacing w:after="0"/>
              <w:rPr>
                <w:sz w:val="20"/>
                <w:szCs w:val="20"/>
                <w:color w:val="auto"/>
              </w:rPr>
            </w:pPr>
            <w:r>
              <w:rPr>
                <w:rFonts w:ascii="Arial" w:cs="Arial" w:eastAsia="Arial" w:hAnsi="Arial"/>
                <w:sz w:val="11"/>
                <w:szCs w:val="11"/>
                <w:b w:val="1"/>
                <w:bCs w:val="1"/>
                <w:color w:val="auto"/>
              </w:rPr>
              <w:t>Total Liabilities</w:t>
            </w:r>
          </w:p>
        </w:tc>
        <w:tc>
          <w:tcPr>
            <w:tcW w:w="1120" w:type="dxa"/>
            <w:vAlign w:val="bottom"/>
          </w:tcPr>
          <w:p>
            <w:pPr>
              <w:jc w:val="right"/>
              <w:ind w:right="106"/>
              <w:spacing w:after="0"/>
              <w:rPr>
                <w:sz w:val="20"/>
                <w:szCs w:val="20"/>
                <w:color w:val="auto"/>
              </w:rPr>
            </w:pPr>
            <w:r>
              <w:rPr>
                <w:rFonts w:ascii="Arial" w:cs="Arial" w:eastAsia="Arial" w:hAnsi="Arial"/>
                <w:sz w:val="11"/>
                <w:szCs w:val="11"/>
                <w:b w:val="1"/>
                <w:bCs w:val="1"/>
                <w:color w:val="auto"/>
              </w:rPr>
              <w:t>2,468,993</w:t>
            </w:r>
          </w:p>
        </w:tc>
        <w:tc>
          <w:tcPr>
            <w:tcW w:w="1020" w:type="dxa"/>
            <w:vAlign w:val="bottom"/>
          </w:tcPr>
          <w:p>
            <w:pPr>
              <w:jc w:val="right"/>
              <w:ind w:right="106"/>
              <w:spacing w:after="0"/>
              <w:rPr>
                <w:sz w:val="20"/>
                <w:szCs w:val="20"/>
                <w:color w:val="auto"/>
              </w:rPr>
            </w:pPr>
            <w:r>
              <w:rPr>
                <w:rFonts w:ascii="Arial" w:cs="Arial" w:eastAsia="Arial" w:hAnsi="Arial"/>
                <w:sz w:val="11"/>
                <w:szCs w:val="11"/>
                <w:b w:val="1"/>
                <w:bCs w:val="1"/>
                <w:color w:val="auto"/>
              </w:rPr>
              <w:t>1,964,895</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1"/>
                <w:szCs w:val="11"/>
                <w:b w:val="1"/>
                <w:bCs w:val="1"/>
                <w:color w:val="auto"/>
              </w:rPr>
              <w:t>2,088,313</w:t>
            </w:r>
          </w:p>
        </w:tc>
        <w:tc>
          <w:tcPr>
            <w:tcW w:w="540" w:type="dxa"/>
            <w:vAlign w:val="bottom"/>
          </w:tcPr>
          <w:p>
            <w:pPr>
              <w:jc w:val="center"/>
              <w:spacing w:after="0"/>
              <w:rPr>
                <w:sz w:val="20"/>
                <w:szCs w:val="20"/>
                <w:color w:val="auto"/>
              </w:rPr>
            </w:pPr>
            <w:r>
              <w:rPr>
                <w:rFonts w:ascii="Arial" w:cs="Arial" w:eastAsia="Arial" w:hAnsi="Arial"/>
                <w:sz w:val="11"/>
                <w:szCs w:val="11"/>
                <w:b w:val="1"/>
                <w:bCs w:val="1"/>
                <w:color w:val="auto"/>
                <w:w w:val="95"/>
              </w:rPr>
              <w:t>6.3%</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7"/>
              </w:rPr>
              <w:t>-15.4%</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5"/>
        </w:trPr>
        <w:tc>
          <w:tcPr>
            <w:tcW w:w="40" w:type="dxa"/>
            <w:vAlign w:val="bottom"/>
            <w:tcBorders>
              <w:right w:val="single" w:sz="8" w:color="auto"/>
            </w:tcBorders>
          </w:tcPr>
          <w:p>
            <w:pPr>
              <w:spacing w:after="0"/>
              <w:rPr>
                <w:sz w:val="23"/>
                <w:szCs w:val="23"/>
                <w:color w:val="auto"/>
              </w:rPr>
            </w:pPr>
          </w:p>
        </w:tc>
        <w:tc>
          <w:tcPr>
            <w:tcW w:w="4080" w:type="dxa"/>
            <w:vAlign w:val="bottom"/>
            <w:tcBorders>
              <w:right w:val="single" w:sz="8" w:color="auto"/>
            </w:tcBorders>
          </w:tcPr>
          <w:p>
            <w:pPr>
              <w:spacing w:after="0"/>
              <w:rPr>
                <w:sz w:val="20"/>
                <w:szCs w:val="20"/>
                <w:color w:val="auto"/>
              </w:rPr>
            </w:pPr>
            <w:r>
              <w:rPr>
                <w:rFonts w:ascii="Arial" w:cs="Arial" w:eastAsia="Arial" w:hAnsi="Arial"/>
                <w:sz w:val="11"/>
                <w:szCs w:val="11"/>
                <w:b w:val="1"/>
                <w:bCs w:val="1"/>
                <w:color w:val="auto"/>
              </w:rPr>
              <w:t>NET EQUITY</w:t>
            </w:r>
          </w:p>
        </w:tc>
        <w:tc>
          <w:tcPr>
            <w:tcW w:w="1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880" w:type="dxa"/>
            <w:vAlign w:val="bottom"/>
            <w:tcBorders>
              <w:right w:val="single" w:sz="8" w:color="auto"/>
            </w:tcBorders>
          </w:tcPr>
          <w:p>
            <w:pPr>
              <w:spacing w:after="0"/>
              <w:rPr>
                <w:sz w:val="23"/>
                <w:szCs w:val="23"/>
                <w:color w:val="auto"/>
              </w:rPr>
            </w:pPr>
          </w:p>
        </w:tc>
        <w:tc>
          <w:tcPr>
            <w:tcW w:w="540" w:type="dxa"/>
            <w:vAlign w:val="bottom"/>
          </w:tcPr>
          <w:p>
            <w:pPr>
              <w:spacing w:after="0"/>
              <w:rPr>
                <w:sz w:val="23"/>
                <w:szCs w:val="23"/>
                <w:color w:val="auto"/>
              </w:rPr>
            </w:pPr>
          </w:p>
        </w:tc>
        <w:tc>
          <w:tcPr>
            <w:tcW w:w="580" w:type="dxa"/>
            <w:vAlign w:val="bottom"/>
            <w:tcBorders>
              <w:right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137"/>
        </w:trPr>
        <w:tc>
          <w:tcPr>
            <w:tcW w:w="40" w:type="dxa"/>
            <w:vAlign w:val="bottom"/>
            <w:tcBorders>
              <w:right w:val="single" w:sz="8" w:color="auto"/>
            </w:tcBorders>
          </w:tcPr>
          <w:p>
            <w:pPr>
              <w:spacing w:after="0"/>
              <w:rPr>
                <w:sz w:val="11"/>
                <w:szCs w:val="11"/>
                <w:color w:val="auto"/>
              </w:rPr>
            </w:pPr>
          </w:p>
        </w:tc>
        <w:tc>
          <w:tcPr>
            <w:tcW w:w="408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Capital stock</w:t>
            </w:r>
          </w:p>
        </w:tc>
        <w:tc>
          <w:tcPr>
            <w:tcW w:w="1120" w:type="dxa"/>
            <w:vAlign w:val="bottom"/>
          </w:tcPr>
          <w:p>
            <w:pPr>
              <w:jc w:val="right"/>
              <w:ind w:right="106"/>
              <w:spacing w:after="0"/>
              <w:rPr>
                <w:sz w:val="20"/>
                <w:szCs w:val="20"/>
                <w:color w:val="auto"/>
              </w:rPr>
            </w:pPr>
            <w:r>
              <w:rPr>
                <w:rFonts w:ascii="Arial" w:cs="Arial" w:eastAsia="Arial" w:hAnsi="Arial"/>
                <w:sz w:val="11"/>
                <w:szCs w:val="11"/>
                <w:color w:val="auto"/>
              </w:rPr>
              <w:t>1,318,993</w:t>
            </w:r>
          </w:p>
        </w:tc>
        <w:tc>
          <w:tcPr>
            <w:tcW w:w="1020" w:type="dxa"/>
            <w:vAlign w:val="bottom"/>
          </w:tcPr>
          <w:p>
            <w:pPr>
              <w:jc w:val="right"/>
              <w:ind w:right="106"/>
              <w:spacing w:after="0"/>
              <w:rPr>
                <w:sz w:val="20"/>
                <w:szCs w:val="20"/>
                <w:color w:val="auto"/>
              </w:rPr>
            </w:pPr>
            <w:r>
              <w:rPr>
                <w:rFonts w:ascii="Arial" w:cs="Arial" w:eastAsia="Arial" w:hAnsi="Arial"/>
                <w:sz w:val="11"/>
                <w:szCs w:val="11"/>
                <w:color w:val="auto"/>
              </w:rPr>
              <w:t>1,318,993</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1,318,993</w:t>
            </w:r>
          </w:p>
        </w:tc>
        <w:tc>
          <w:tcPr>
            <w:tcW w:w="540" w:type="dxa"/>
            <w:vAlign w:val="bottom"/>
          </w:tcPr>
          <w:p>
            <w:pPr>
              <w:jc w:val="center"/>
              <w:spacing w:after="0"/>
              <w:rPr>
                <w:sz w:val="20"/>
                <w:szCs w:val="20"/>
                <w:color w:val="auto"/>
              </w:rPr>
            </w:pPr>
            <w:r>
              <w:rPr>
                <w:rFonts w:ascii="Arial" w:cs="Arial" w:eastAsia="Arial" w:hAnsi="Arial"/>
                <w:sz w:val="11"/>
                <w:szCs w:val="11"/>
                <w:color w:val="auto"/>
                <w:w w:val="95"/>
              </w:rPr>
              <w:t>0.0%</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0.0%</w:t>
            </w:r>
          </w:p>
        </w:tc>
        <w:tc>
          <w:tcPr>
            <w:tcW w:w="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73"/>
        </w:trPr>
        <w:tc>
          <w:tcPr>
            <w:tcW w:w="4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Capital Surplus</w:t>
            </w:r>
          </w:p>
        </w:tc>
        <w:tc>
          <w:tcPr>
            <w:tcW w:w="1120" w:type="dxa"/>
            <w:vAlign w:val="bottom"/>
          </w:tcPr>
          <w:p>
            <w:pPr>
              <w:jc w:val="right"/>
              <w:ind w:right="106"/>
              <w:spacing w:after="0"/>
              <w:rPr>
                <w:sz w:val="20"/>
                <w:szCs w:val="20"/>
                <w:color w:val="auto"/>
              </w:rPr>
            </w:pPr>
            <w:r>
              <w:rPr>
                <w:rFonts w:ascii="Arial" w:cs="Arial" w:eastAsia="Arial" w:hAnsi="Arial"/>
                <w:sz w:val="11"/>
                <w:szCs w:val="11"/>
                <w:color w:val="auto"/>
              </w:rPr>
              <w:t>384,542</w:t>
            </w:r>
          </w:p>
        </w:tc>
        <w:tc>
          <w:tcPr>
            <w:tcW w:w="1020" w:type="dxa"/>
            <w:vAlign w:val="bottom"/>
          </w:tcPr>
          <w:p>
            <w:pPr>
              <w:jc w:val="right"/>
              <w:ind w:right="106"/>
              <w:spacing w:after="0"/>
              <w:rPr>
                <w:sz w:val="20"/>
                <w:szCs w:val="20"/>
                <w:color w:val="auto"/>
              </w:rPr>
            </w:pPr>
            <w:r>
              <w:rPr>
                <w:rFonts w:ascii="Arial" w:cs="Arial" w:eastAsia="Arial" w:hAnsi="Arial"/>
                <w:sz w:val="11"/>
                <w:szCs w:val="11"/>
                <w:color w:val="auto"/>
              </w:rPr>
              <w:t>384,542</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384,542</w:t>
            </w:r>
          </w:p>
        </w:tc>
        <w:tc>
          <w:tcPr>
            <w:tcW w:w="540" w:type="dxa"/>
            <w:vAlign w:val="bottom"/>
          </w:tcPr>
          <w:p>
            <w:pPr>
              <w:jc w:val="center"/>
              <w:spacing w:after="0"/>
              <w:rPr>
                <w:sz w:val="20"/>
                <w:szCs w:val="20"/>
                <w:color w:val="auto"/>
              </w:rPr>
            </w:pPr>
            <w:r>
              <w:rPr>
                <w:rFonts w:ascii="Arial" w:cs="Arial" w:eastAsia="Arial" w:hAnsi="Arial"/>
                <w:sz w:val="11"/>
                <w:szCs w:val="11"/>
                <w:color w:val="auto"/>
                <w:w w:val="95"/>
              </w:rPr>
              <w:t>0.0%</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0.0%</w:t>
            </w:r>
          </w:p>
        </w:tc>
        <w:tc>
          <w:tcPr>
            <w:tcW w:w="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3"/>
        </w:trPr>
        <w:tc>
          <w:tcPr>
            <w:tcW w:w="4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Reserve</w:t>
            </w:r>
          </w:p>
        </w:tc>
        <w:tc>
          <w:tcPr>
            <w:tcW w:w="1120" w:type="dxa"/>
            <w:vAlign w:val="bottom"/>
          </w:tcPr>
          <w:p>
            <w:pPr>
              <w:jc w:val="right"/>
              <w:ind w:right="106"/>
              <w:spacing w:after="0"/>
              <w:rPr>
                <w:sz w:val="20"/>
                <w:szCs w:val="20"/>
                <w:color w:val="auto"/>
              </w:rPr>
            </w:pPr>
            <w:r>
              <w:rPr>
                <w:rFonts w:ascii="Arial" w:cs="Arial" w:eastAsia="Arial" w:hAnsi="Arial"/>
                <w:sz w:val="11"/>
                <w:szCs w:val="11"/>
                <w:color w:val="auto"/>
              </w:rPr>
              <w:t>23,300,350</w:t>
            </w:r>
          </w:p>
        </w:tc>
        <w:tc>
          <w:tcPr>
            <w:tcW w:w="1020" w:type="dxa"/>
            <w:vAlign w:val="bottom"/>
          </w:tcPr>
          <w:p>
            <w:pPr>
              <w:jc w:val="right"/>
              <w:ind w:right="106"/>
              <w:spacing w:after="0"/>
              <w:rPr>
                <w:sz w:val="20"/>
                <w:szCs w:val="20"/>
                <w:color w:val="auto"/>
              </w:rPr>
            </w:pPr>
            <w:r>
              <w:rPr>
                <w:rFonts w:ascii="Arial" w:cs="Arial" w:eastAsia="Arial" w:hAnsi="Arial"/>
                <w:sz w:val="11"/>
                <w:szCs w:val="11"/>
                <w:color w:val="auto"/>
              </w:rPr>
              <w:t>25,905,604</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25,905,576</w:t>
            </w:r>
          </w:p>
        </w:tc>
        <w:tc>
          <w:tcPr>
            <w:tcW w:w="540" w:type="dxa"/>
            <w:vAlign w:val="bottom"/>
          </w:tcPr>
          <w:p>
            <w:pPr>
              <w:jc w:val="center"/>
              <w:spacing w:after="0"/>
              <w:rPr>
                <w:sz w:val="20"/>
                <w:szCs w:val="20"/>
                <w:color w:val="auto"/>
              </w:rPr>
            </w:pPr>
            <w:r>
              <w:rPr>
                <w:rFonts w:ascii="Arial" w:cs="Arial" w:eastAsia="Arial" w:hAnsi="Arial"/>
                <w:sz w:val="11"/>
                <w:szCs w:val="11"/>
                <w:color w:val="auto"/>
                <w:w w:val="95"/>
              </w:rPr>
              <w:t>0.0%</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9"/>
              </w:rPr>
              <w:t>11.2%</w:t>
            </w:r>
          </w:p>
        </w:tc>
        <w:tc>
          <w:tcPr>
            <w:tcW w:w="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3"/>
        </w:trPr>
        <w:tc>
          <w:tcPr>
            <w:tcW w:w="4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Unrealized results</w:t>
            </w:r>
          </w:p>
        </w:tc>
        <w:tc>
          <w:tcPr>
            <w:tcW w:w="1120" w:type="dxa"/>
            <w:vAlign w:val="bottom"/>
          </w:tcPr>
          <w:p>
            <w:pPr>
              <w:jc w:val="right"/>
              <w:ind w:right="106"/>
              <w:spacing w:after="0"/>
              <w:rPr>
                <w:sz w:val="20"/>
                <w:szCs w:val="20"/>
                <w:color w:val="auto"/>
              </w:rPr>
            </w:pPr>
            <w:r>
              <w:rPr>
                <w:rFonts w:ascii="Arial" w:cs="Arial" w:eastAsia="Arial" w:hAnsi="Arial"/>
                <w:sz w:val="11"/>
                <w:szCs w:val="11"/>
                <w:color w:val="auto"/>
              </w:rPr>
              <w:t>(1,661,404)</w:t>
            </w:r>
          </w:p>
        </w:tc>
        <w:tc>
          <w:tcPr>
            <w:tcW w:w="1020" w:type="dxa"/>
            <w:vAlign w:val="bottom"/>
          </w:tcPr>
          <w:p>
            <w:pPr>
              <w:jc w:val="right"/>
              <w:ind w:right="106"/>
              <w:spacing w:after="0"/>
              <w:rPr>
                <w:sz w:val="20"/>
                <w:szCs w:val="20"/>
                <w:color w:val="auto"/>
              </w:rPr>
            </w:pPr>
            <w:r>
              <w:rPr>
                <w:rFonts w:ascii="Arial" w:cs="Arial" w:eastAsia="Arial" w:hAnsi="Arial"/>
                <w:sz w:val="11"/>
                <w:szCs w:val="11"/>
                <w:color w:val="auto"/>
              </w:rPr>
              <w:t>(362,199)</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(215,370)</w:t>
            </w:r>
          </w:p>
        </w:tc>
        <w:tc>
          <w:tcPr>
            <w:tcW w:w="540" w:type="dxa"/>
            <w:vAlign w:val="bottom"/>
          </w:tcPr>
          <w:p>
            <w:pPr>
              <w:jc w:val="center"/>
              <w:spacing w:after="0"/>
              <w:rPr>
                <w:sz w:val="20"/>
                <w:szCs w:val="20"/>
                <w:color w:val="auto"/>
              </w:rPr>
            </w:pPr>
            <w:r>
              <w:rPr>
                <w:rFonts w:ascii="Arial" w:cs="Arial" w:eastAsia="Arial" w:hAnsi="Arial"/>
                <w:sz w:val="11"/>
                <w:szCs w:val="11"/>
                <w:color w:val="auto"/>
                <w:w w:val="97"/>
              </w:rPr>
              <w:t>-40.5%</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-87.0%</w:t>
            </w:r>
          </w:p>
        </w:tc>
        <w:tc>
          <w:tcPr>
            <w:tcW w:w="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3"/>
        </w:trPr>
        <w:tc>
          <w:tcPr>
            <w:tcW w:w="40" w:type="dxa"/>
            <w:vAlign w:val="bottom"/>
            <w:tcBorders>
              <w:right w:val="single" w:sz="8" w:color="auto"/>
            </w:tcBorders>
          </w:tcPr>
          <w:p>
            <w:pPr>
              <w:spacing w:after="0"/>
              <w:rPr>
                <w:sz w:val="15"/>
                <w:szCs w:val="15"/>
                <w:color w:val="auto"/>
              </w:rPr>
            </w:pPr>
          </w:p>
        </w:tc>
        <w:tc>
          <w:tcPr>
            <w:tcW w:w="408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Retained earnings</w:t>
            </w:r>
          </w:p>
        </w:tc>
        <w:tc>
          <w:tcPr>
            <w:tcW w:w="1120" w:type="dxa"/>
            <w:vAlign w:val="bottom"/>
          </w:tcPr>
          <w:p>
            <w:pPr>
              <w:jc w:val="right"/>
              <w:ind w:right="106"/>
              <w:spacing w:after="0"/>
              <w:rPr>
                <w:sz w:val="20"/>
                <w:szCs w:val="20"/>
                <w:color w:val="auto"/>
              </w:rPr>
            </w:pPr>
            <w:r>
              <w:rPr>
                <w:rFonts w:ascii="Arial" w:cs="Arial" w:eastAsia="Arial" w:hAnsi="Arial"/>
                <w:sz w:val="11"/>
                <w:szCs w:val="11"/>
                <w:color w:val="auto"/>
              </w:rPr>
              <w:t>7,914,891</w:t>
            </w:r>
          </w:p>
        </w:tc>
        <w:tc>
          <w:tcPr>
            <w:tcW w:w="1020" w:type="dxa"/>
            <w:vAlign w:val="bottom"/>
          </w:tcPr>
          <w:p>
            <w:pPr>
              <w:jc w:val="right"/>
              <w:ind w:right="106"/>
              <w:spacing w:after="0"/>
              <w:rPr>
                <w:sz w:val="20"/>
                <w:szCs w:val="20"/>
                <w:color w:val="auto"/>
              </w:rPr>
            </w:pPr>
            <w:r>
              <w:rPr>
                <w:rFonts w:ascii="Arial" w:cs="Arial" w:eastAsia="Arial" w:hAnsi="Arial"/>
                <w:sz w:val="11"/>
                <w:szCs w:val="11"/>
                <w:color w:val="auto"/>
              </w:rPr>
              <w:t>6,922,048</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8,006,306</w:t>
            </w:r>
          </w:p>
        </w:tc>
        <w:tc>
          <w:tcPr>
            <w:tcW w:w="540" w:type="dxa"/>
            <w:vAlign w:val="bottom"/>
          </w:tcPr>
          <w:p>
            <w:pPr>
              <w:jc w:val="center"/>
              <w:spacing w:after="0"/>
              <w:rPr>
                <w:sz w:val="20"/>
                <w:szCs w:val="20"/>
                <w:color w:val="auto"/>
              </w:rPr>
            </w:pPr>
            <w:r>
              <w:rPr>
                <w:rFonts w:ascii="Arial" w:cs="Arial" w:eastAsia="Arial" w:hAnsi="Arial"/>
                <w:sz w:val="11"/>
                <w:szCs w:val="11"/>
                <w:color w:val="auto"/>
                <w:w w:val="96"/>
              </w:rPr>
              <w:t>15.7%</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5"/>
              </w:rPr>
              <w:t>1.2%</w:t>
            </w:r>
          </w:p>
        </w:tc>
        <w:tc>
          <w:tcPr>
            <w:tcW w:w="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305"/>
        </w:trPr>
        <w:tc>
          <w:tcPr>
            <w:tcW w:w="40" w:type="dxa"/>
            <w:vAlign w:val="bottom"/>
            <w:tcBorders>
              <w:right w:val="single" w:sz="8" w:color="auto"/>
            </w:tcBorders>
          </w:tcPr>
          <w:p>
            <w:pPr>
              <w:spacing w:after="0"/>
              <w:rPr>
                <w:sz w:val="24"/>
                <w:szCs w:val="24"/>
                <w:color w:val="auto"/>
              </w:rPr>
            </w:pPr>
          </w:p>
        </w:tc>
        <w:tc>
          <w:tcPr>
            <w:tcW w:w="4080" w:type="dxa"/>
            <w:vAlign w:val="bottom"/>
            <w:tcBorders>
              <w:right w:val="single" w:sz="8" w:color="auto"/>
            </w:tcBorders>
          </w:tcPr>
          <w:p>
            <w:pPr>
              <w:ind w:left="1620"/>
              <w:spacing w:after="0"/>
              <w:rPr>
                <w:sz w:val="20"/>
                <w:szCs w:val="20"/>
                <w:color w:val="auto"/>
              </w:rPr>
            </w:pPr>
            <w:r>
              <w:rPr>
                <w:rFonts w:ascii="Arial" w:cs="Arial" w:eastAsia="Arial" w:hAnsi="Arial"/>
                <w:sz w:val="11"/>
                <w:szCs w:val="11"/>
                <w:b w:val="1"/>
                <w:bCs w:val="1"/>
                <w:color w:val="auto"/>
              </w:rPr>
              <w:t>Total net equity</w:t>
            </w:r>
          </w:p>
        </w:tc>
        <w:tc>
          <w:tcPr>
            <w:tcW w:w="1120" w:type="dxa"/>
            <w:vAlign w:val="bottom"/>
          </w:tcPr>
          <w:p>
            <w:pPr>
              <w:jc w:val="right"/>
              <w:ind w:right="106"/>
              <w:spacing w:after="0"/>
              <w:rPr>
                <w:sz w:val="20"/>
                <w:szCs w:val="20"/>
                <w:color w:val="auto"/>
              </w:rPr>
            </w:pPr>
            <w:r>
              <w:rPr>
                <w:rFonts w:ascii="Arial" w:cs="Arial" w:eastAsia="Arial" w:hAnsi="Arial"/>
                <w:sz w:val="11"/>
                <w:szCs w:val="11"/>
                <w:b w:val="1"/>
                <w:bCs w:val="1"/>
                <w:color w:val="auto"/>
              </w:rPr>
              <w:t>31,257,372</w:t>
            </w:r>
          </w:p>
        </w:tc>
        <w:tc>
          <w:tcPr>
            <w:tcW w:w="1020" w:type="dxa"/>
            <w:vAlign w:val="bottom"/>
          </w:tcPr>
          <w:p>
            <w:pPr>
              <w:jc w:val="right"/>
              <w:ind w:right="106"/>
              <w:spacing w:after="0"/>
              <w:rPr>
                <w:sz w:val="20"/>
                <w:szCs w:val="20"/>
                <w:color w:val="auto"/>
              </w:rPr>
            </w:pPr>
            <w:r>
              <w:rPr>
                <w:rFonts w:ascii="Arial" w:cs="Arial" w:eastAsia="Arial" w:hAnsi="Arial"/>
                <w:sz w:val="11"/>
                <w:szCs w:val="11"/>
                <w:b w:val="1"/>
                <w:bCs w:val="1"/>
                <w:color w:val="auto"/>
              </w:rPr>
              <w:t>34,168,988</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1"/>
                <w:szCs w:val="11"/>
                <w:b w:val="1"/>
                <w:bCs w:val="1"/>
                <w:color w:val="auto"/>
              </w:rPr>
              <w:t>35,400,047</w:t>
            </w:r>
          </w:p>
        </w:tc>
        <w:tc>
          <w:tcPr>
            <w:tcW w:w="540" w:type="dxa"/>
            <w:vAlign w:val="bottom"/>
          </w:tcPr>
          <w:p>
            <w:pPr>
              <w:jc w:val="center"/>
              <w:spacing w:after="0"/>
              <w:rPr>
                <w:sz w:val="20"/>
                <w:szCs w:val="20"/>
                <w:color w:val="auto"/>
              </w:rPr>
            </w:pPr>
            <w:r>
              <w:rPr>
                <w:rFonts w:ascii="Arial" w:cs="Arial" w:eastAsia="Arial" w:hAnsi="Arial"/>
                <w:sz w:val="11"/>
                <w:szCs w:val="11"/>
                <w:b w:val="1"/>
                <w:bCs w:val="1"/>
                <w:color w:val="auto"/>
                <w:w w:val="95"/>
              </w:rPr>
              <w:t>3.6%</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13.3%</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97"/>
        </w:trPr>
        <w:tc>
          <w:tcPr>
            <w:tcW w:w="40" w:type="dxa"/>
            <w:vAlign w:val="bottom"/>
            <w:tcBorders>
              <w:right w:val="single" w:sz="8" w:color="auto"/>
            </w:tcBorders>
          </w:tcPr>
          <w:p>
            <w:pPr>
              <w:spacing w:after="0"/>
              <w:rPr>
                <w:sz w:val="24"/>
                <w:szCs w:val="24"/>
                <w:color w:val="auto"/>
              </w:rPr>
            </w:pPr>
          </w:p>
        </w:tc>
        <w:tc>
          <w:tcPr>
            <w:tcW w:w="4080" w:type="dxa"/>
            <w:vAlign w:val="bottom"/>
            <w:tcBorders>
              <w:right w:val="single" w:sz="8" w:color="auto"/>
            </w:tcBorders>
          </w:tcPr>
          <w:p>
            <w:pPr>
              <w:spacing w:after="0"/>
              <w:rPr>
                <w:sz w:val="20"/>
                <w:szCs w:val="20"/>
                <w:color w:val="auto"/>
              </w:rPr>
            </w:pPr>
            <w:r>
              <w:rPr>
                <w:rFonts w:ascii="Arial" w:cs="Arial" w:eastAsia="Arial" w:hAnsi="Arial"/>
                <w:sz w:val="11"/>
                <w:szCs w:val="11"/>
                <w:b w:val="1"/>
                <w:bCs w:val="1"/>
                <w:color w:val="auto"/>
              </w:rPr>
              <w:t>Total Liabilities And Equity</w:t>
            </w:r>
          </w:p>
        </w:tc>
        <w:tc>
          <w:tcPr>
            <w:tcW w:w="1120" w:type="dxa"/>
            <w:vAlign w:val="bottom"/>
          </w:tcPr>
          <w:p>
            <w:pPr>
              <w:jc w:val="right"/>
              <w:ind w:right="106"/>
              <w:spacing w:after="0"/>
              <w:rPr>
                <w:sz w:val="20"/>
                <w:szCs w:val="20"/>
                <w:color w:val="auto"/>
              </w:rPr>
            </w:pPr>
            <w:r>
              <w:rPr>
                <w:rFonts w:ascii="Arial" w:cs="Arial" w:eastAsia="Arial" w:hAnsi="Arial"/>
                <w:sz w:val="11"/>
                <w:szCs w:val="11"/>
                <w:b w:val="1"/>
                <w:bCs w:val="1"/>
                <w:color w:val="auto"/>
              </w:rPr>
              <w:t>33,726,365</w:t>
            </w:r>
          </w:p>
        </w:tc>
        <w:tc>
          <w:tcPr>
            <w:tcW w:w="1020" w:type="dxa"/>
            <w:vAlign w:val="bottom"/>
          </w:tcPr>
          <w:p>
            <w:pPr>
              <w:jc w:val="right"/>
              <w:ind w:right="106"/>
              <w:spacing w:after="0"/>
              <w:rPr>
                <w:sz w:val="20"/>
                <w:szCs w:val="20"/>
                <w:color w:val="auto"/>
              </w:rPr>
            </w:pPr>
            <w:r>
              <w:rPr>
                <w:rFonts w:ascii="Arial" w:cs="Arial" w:eastAsia="Arial" w:hAnsi="Arial"/>
                <w:sz w:val="11"/>
                <w:szCs w:val="11"/>
                <w:b w:val="1"/>
                <w:bCs w:val="1"/>
                <w:color w:val="auto"/>
              </w:rPr>
              <w:t>36,133,883</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1"/>
                <w:szCs w:val="11"/>
                <w:b w:val="1"/>
                <w:bCs w:val="1"/>
                <w:color w:val="auto"/>
              </w:rPr>
              <w:t>37,488,360</w:t>
            </w:r>
          </w:p>
        </w:tc>
        <w:tc>
          <w:tcPr>
            <w:tcW w:w="540" w:type="dxa"/>
            <w:vAlign w:val="bottom"/>
          </w:tcPr>
          <w:p>
            <w:pPr>
              <w:jc w:val="center"/>
              <w:spacing w:after="0"/>
              <w:rPr>
                <w:sz w:val="20"/>
                <w:szCs w:val="20"/>
                <w:color w:val="auto"/>
              </w:rPr>
            </w:pPr>
            <w:r>
              <w:rPr>
                <w:rFonts w:ascii="Arial" w:cs="Arial" w:eastAsia="Arial" w:hAnsi="Arial"/>
                <w:sz w:val="11"/>
                <w:szCs w:val="11"/>
                <w:b w:val="1"/>
                <w:bCs w:val="1"/>
                <w:color w:val="auto"/>
                <w:w w:val="95"/>
              </w:rPr>
              <w:t>3.7%</w:t>
            </w:r>
          </w:p>
        </w:tc>
        <w:tc>
          <w:tcPr>
            <w:tcW w:w="58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11.2%</w:t>
            </w: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7"/>
        </w:trPr>
        <w:tc>
          <w:tcPr>
            <w:tcW w:w="40" w:type="dxa"/>
            <w:vAlign w:val="bottom"/>
            <w:tcBorders>
              <w:right w:val="single" w:sz="8" w:color="auto"/>
            </w:tcBorders>
          </w:tcPr>
          <w:p>
            <w:pPr>
              <w:spacing w:after="0"/>
              <w:rPr>
                <w:sz w:val="4"/>
                <w:szCs w:val="4"/>
                <w:color w:val="auto"/>
              </w:rPr>
            </w:pPr>
          </w:p>
        </w:tc>
        <w:tc>
          <w:tcPr>
            <w:tcW w:w="408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gridSpan w:val="2"/>
          </w:tcPr>
          <w:p>
            <w:pPr>
              <w:spacing w:after="0"/>
              <w:rPr>
                <w:sz w:val="4"/>
                <w:szCs w:val="4"/>
                <w:color w:val="auto"/>
              </w:rPr>
            </w:pPr>
          </w:p>
        </w:tc>
        <w:tc>
          <w:tcPr>
            <w:tcW w:w="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165"/>
        </w:trPr>
        <w:tc>
          <w:tcPr>
            <w:tcW w:w="4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r>
      <w:tr>
        <w:trPr>
          <w:trHeight w:val="141"/>
        </w:trPr>
        <w:tc>
          <w:tcPr>
            <w:tcW w:w="40" w:type="dxa"/>
            <w:vAlign w:val="bottom"/>
          </w:tcPr>
          <w:p>
            <w:pPr>
              <w:spacing w:after="0"/>
              <w:rPr>
                <w:sz w:val="12"/>
                <w:szCs w:val="12"/>
                <w:color w:val="auto"/>
              </w:rPr>
            </w:pPr>
          </w:p>
        </w:tc>
        <w:tc>
          <w:tcPr>
            <w:tcW w:w="4080" w:type="dxa"/>
            <w:vAlign w:val="bottom"/>
            <w:tcBorders>
              <w:right w:val="single" w:sz="8" w:color="auto"/>
            </w:tcBorders>
          </w:tcPr>
          <w:p>
            <w:pPr>
              <w:spacing w:after="0"/>
              <w:rPr>
                <w:sz w:val="12"/>
                <w:szCs w:val="12"/>
                <w:color w:val="auto"/>
              </w:rPr>
            </w:pPr>
          </w:p>
        </w:tc>
        <w:tc>
          <w:tcPr>
            <w:tcW w:w="1120" w:type="dxa"/>
            <w:vAlign w:val="bottom"/>
            <w:shd w:val="clear" w:color="auto" w:fill="33CCCC"/>
          </w:tcPr>
          <w:p>
            <w:pPr>
              <w:spacing w:after="0"/>
              <w:rPr>
                <w:sz w:val="12"/>
                <w:szCs w:val="12"/>
                <w:color w:val="auto"/>
              </w:rPr>
            </w:pPr>
          </w:p>
        </w:tc>
        <w:tc>
          <w:tcPr>
            <w:tcW w:w="1020" w:type="dxa"/>
            <w:vAlign w:val="bottom"/>
            <w:shd w:val="clear" w:color="auto" w:fill="33CCCC"/>
          </w:tcPr>
          <w:p>
            <w:pPr>
              <w:jc w:val="center"/>
              <w:ind w:right="266"/>
              <w:spacing w:after="0"/>
              <w:rPr>
                <w:sz w:val="20"/>
                <w:szCs w:val="20"/>
                <w:color w:val="auto"/>
              </w:rPr>
            </w:pPr>
            <w:r>
              <w:rPr>
                <w:rFonts w:ascii="Arial" w:cs="Arial" w:eastAsia="Arial" w:hAnsi="Arial"/>
                <w:sz w:val="11"/>
                <w:szCs w:val="11"/>
                <w:b w:val="1"/>
                <w:bCs w:val="1"/>
                <w:color w:val="FFFFFF"/>
                <w:w w:val="95"/>
              </w:rPr>
              <w:t>Quarter</w:t>
            </w:r>
          </w:p>
        </w:tc>
        <w:tc>
          <w:tcPr>
            <w:tcW w:w="880" w:type="dxa"/>
            <w:vAlign w:val="bottom"/>
            <w:tcBorders>
              <w:right w:val="single" w:sz="8" w:color="auto"/>
            </w:tcBorders>
            <w:shd w:val="clear" w:color="auto" w:fill="33CCCC"/>
          </w:tcPr>
          <w:p>
            <w:pPr>
              <w:spacing w:after="0"/>
              <w:rPr>
                <w:sz w:val="12"/>
                <w:szCs w:val="12"/>
                <w:color w:val="auto"/>
              </w:rPr>
            </w:pPr>
          </w:p>
        </w:tc>
        <w:tc>
          <w:tcPr>
            <w:tcW w:w="1120" w:type="dxa"/>
            <w:vAlign w:val="bottom"/>
            <w:tcBorders>
              <w:right w:val="single" w:sz="8" w:color="33CCCC"/>
            </w:tcBorders>
            <w:gridSpan w:val="2"/>
            <w:shd w:val="clear" w:color="auto" w:fill="33CCCC"/>
          </w:tcPr>
          <w:p>
            <w:pPr>
              <w:ind w:left="320"/>
              <w:spacing w:after="0"/>
              <w:rPr>
                <w:sz w:val="20"/>
                <w:szCs w:val="20"/>
                <w:color w:val="auto"/>
              </w:rPr>
            </w:pPr>
            <w:r>
              <w:rPr>
                <w:rFonts w:ascii="Arial" w:cs="Arial" w:eastAsia="Arial" w:hAnsi="Arial"/>
                <w:sz w:val="11"/>
                <w:szCs w:val="11"/>
                <w:b w:val="1"/>
                <w:bCs w:val="1"/>
                <w:color w:val="FFFFFF"/>
              </w:rPr>
              <w:t>% change</w:t>
            </w:r>
          </w:p>
        </w:tc>
        <w:tc>
          <w:tcPr>
            <w:tcW w:w="60" w:type="dxa"/>
            <w:vAlign w:val="bottom"/>
            <w:tcBorders>
              <w:right w:val="single" w:sz="8" w:color="auto"/>
            </w:tcBorders>
            <w:shd w:val="clear" w:color="auto" w:fill="33CCCC"/>
          </w:tcPr>
          <w:p>
            <w:pPr>
              <w:spacing w:after="0"/>
              <w:rPr>
                <w:sz w:val="12"/>
                <w:szCs w:val="12"/>
                <w:color w:val="auto"/>
              </w:rPr>
            </w:pPr>
          </w:p>
        </w:tc>
        <w:tc>
          <w:tcPr>
            <w:tcW w:w="1200" w:type="dxa"/>
            <w:vAlign w:val="bottom"/>
            <w:shd w:val="clear" w:color="auto" w:fill="33CCCC"/>
          </w:tcPr>
          <w:p>
            <w:pPr>
              <w:jc w:val="right"/>
              <w:ind w:right="46"/>
              <w:spacing w:after="0"/>
              <w:rPr>
                <w:sz w:val="20"/>
                <w:szCs w:val="20"/>
                <w:color w:val="auto"/>
              </w:rPr>
            </w:pPr>
            <w:r>
              <w:rPr>
                <w:rFonts w:ascii="Arial" w:cs="Arial" w:eastAsia="Arial" w:hAnsi="Arial"/>
                <w:sz w:val="11"/>
                <w:szCs w:val="11"/>
                <w:b w:val="1"/>
                <w:bCs w:val="1"/>
                <w:color w:val="FFFFFF"/>
              </w:rPr>
              <w:t>Up to</w:t>
            </w:r>
          </w:p>
        </w:tc>
        <w:tc>
          <w:tcPr>
            <w:tcW w:w="780" w:type="dxa"/>
            <w:vAlign w:val="bottom"/>
            <w:tcBorders>
              <w:right w:val="single" w:sz="8" w:color="auto"/>
            </w:tcBorders>
            <w:shd w:val="clear" w:color="auto" w:fill="33CCCC"/>
          </w:tcPr>
          <w:p>
            <w:pPr>
              <w:spacing w:after="0"/>
              <w:rPr>
                <w:sz w:val="12"/>
                <w:szCs w:val="12"/>
                <w:color w:val="auto"/>
              </w:rPr>
            </w:pPr>
          </w:p>
        </w:tc>
        <w:tc>
          <w:tcPr>
            <w:tcW w:w="980" w:type="dxa"/>
            <w:vAlign w:val="bottom"/>
            <w:tcBorders>
              <w:right w:val="single" w:sz="8" w:color="auto"/>
            </w:tcBorders>
            <w:shd w:val="clear" w:color="auto" w:fill="33CCCC"/>
          </w:tcPr>
          <w:p>
            <w:pPr>
              <w:jc w:val="center"/>
              <w:spacing w:after="0"/>
              <w:rPr>
                <w:sz w:val="20"/>
                <w:szCs w:val="20"/>
                <w:color w:val="auto"/>
              </w:rPr>
            </w:pPr>
            <w:r>
              <w:rPr>
                <w:rFonts w:ascii="Arial" w:cs="Arial" w:eastAsia="Arial" w:hAnsi="Arial"/>
                <w:sz w:val="11"/>
                <w:szCs w:val="11"/>
                <w:b w:val="1"/>
                <w:bCs w:val="1"/>
                <w:color w:val="FFFFFF"/>
                <w:w w:val="97"/>
              </w:rPr>
              <w:t>% Change</w:t>
            </w:r>
          </w:p>
        </w:tc>
      </w:tr>
      <w:tr>
        <w:trPr>
          <w:trHeight w:val="160"/>
        </w:trPr>
        <w:tc>
          <w:tcPr>
            <w:tcW w:w="40" w:type="dxa"/>
            <w:vAlign w:val="bottom"/>
          </w:tcPr>
          <w:p>
            <w:pPr>
              <w:spacing w:after="0"/>
              <w:rPr>
                <w:sz w:val="13"/>
                <w:szCs w:val="13"/>
                <w:color w:val="auto"/>
              </w:rPr>
            </w:pPr>
          </w:p>
        </w:tc>
        <w:tc>
          <w:tcPr>
            <w:tcW w:w="4080" w:type="dxa"/>
            <w:vAlign w:val="bottom"/>
            <w:tcBorders>
              <w:bottom w:val="single" w:sz="8" w:color="auto"/>
              <w:right w:val="single" w:sz="8" w:color="auto"/>
            </w:tcBorders>
          </w:tcPr>
          <w:p>
            <w:pPr>
              <w:spacing w:after="0"/>
              <w:rPr>
                <w:sz w:val="13"/>
                <w:szCs w:val="13"/>
                <w:color w:val="auto"/>
              </w:rPr>
            </w:pPr>
          </w:p>
        </w:tc>
        <w:tc>
          <w:tcPr>
            <w:tcW w:w="1120" w:type="dxa"/>
            <w:vAlign w:val="bottom"/>
            <w:tcBorders>
              <w:bottom w:val="single" w:sz="8" w:color="auto"/>
            </w:tcBorders>
            <w:shd w:val="clear" w:color="auto" w:fill="33CCCC"/>
          </w:tcPr>
          <w:p>
            <w:pPr>
              <w:jc w:val="right"/>
              <w:ind w:right="466"/>
              <w:spacing w:after="0"/>
              <w:rPr>
                <w:sz w:val="20"/>
                <w:szCs w:val="20"/>
                <w:color w:val="auto"/>
              </w:rPr>
            </w:pPr>
            <w:r>
              <w:rPr>
                <w:rFonts w:ascii="Arial" w:cs="Arial" w:eastAsia="Arial" w:hAnsi="Arial"/>
                <w:sz w:val="11"/>
                <w:szCs w:val="11"/>
                <w:b w:val="1"/>
                <w:bCs w:val="1"/>
                <w:color w:val="FFFFFF"/>
              </w:rPr>
              <w:t>3Q22</w:t>
            </w:r>
          </w:p>
        </w:tc>
        <w:tc>
          <w:tcPr>
            <w:tcW w:w="1020" w:type="dxa"/>
            <w:vAlign w:val="bottom"/>
            <w:tcBorders>
              <w:bottom w:val="single" w:sz="8" w:color="auto"/>
            </w:tcBorders>
            <w:shd w:val="clear" w:color="auto" w:fill="33CCCC"/>
          </w:tcPr>
          <w:p>
            <w:pPr>
              <w:jc w:val="center"/>
              <w:ind w:right="266"/>
              <w:spacing w:after="0"/>
              <w:rPr>
                <w:sz w:val="20"/>
                <w:szCs w:val="20"/>
                <w:color w:val="auto"/>
              </w:rPr>
            </w:pPr>
            <w:r>
              <w:rPr>
                <w:rFonts w:ascii="Arial" w:cs="Arial" w:eastAsia="Arial" w:hAnsi="Arial"/>
                <w:sz w:val="11"/>
                <w:szCs w:val="11"/>
                <w:b w:val="1"/>
                <w:bCs w:val="1"/>
                <w:color w:val="FFFFFF"/>
                <w:w w:val="96"/>
              </w:rPr>
              <w:t>2Q23</w:t>
            </w:r>
          </w:p>
        </w:tc>
        <w:tc>
          <w:tcPr>
            <w:tcW w:w="880" w:type="dxa"/>
            <w:vAlign w:val="bottom"/>
            <w:tcBorders>
              <w:bottom w:val="single" w:sz="8" w:color="auto"/>
              <w:right w:val="single" w:sz="8" w:color="auto"/>
            </w:tcBorders>
            <w:shd w:val="clear" w:color="auto" w:fill="33CCCC"/>
          </w:tcPr>
          <w:p>
            <w:pPr>
              <w:jc w:val="right"/>
              <w:ind w:right="346"/>
              <w:spacing w:after="0"/>
              <w:rPr>
                <w:sz w:val="20"/>
                <w:szCs w:val="20"/>
                <w:color w:val="auto"/>
              </w:rPr>
            </w:pPr>
            <w:r>
              <w:rPr>
                <w:rFonts w:ascii="Arial" w:cs="Arial" w:eastAsia="Arial" w:hAnsi="Arial"/>
                <w:sz w:val="11"/>
                <w:szCs w:val="11"/>
                <w:b w:val="1"/>
                <w:bCs w:val="1"/>
                <w:color w:val="FFFFFF"/>
              </w:rPr>
              <w:t>3Q23</w:t>
            </w:r>
          </w:p>
        </w:tc>
        <w:tc>
          <w:tcPr>
            <w:tcW w:w="54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1"/>
                <w:szCs w:val="11"/>
                <w:b w:val="1"/>
                <w:bCs w:val="1"/>
                <w:color w:val="FFFFFF"/>
                <w:w w:val="92"/>
              </w:rPr>
              <w:t>QoQ</w:t>
            </w:r>
          </w:p>
        </w:tc>
        <w:tc>
          <w:tcPr>
            <w:tcW w:w="580" w:type="dxa"/>
            <w:vAlign w:val="bottom"/>
            <w:tcBorders>
              <w:bottom w:val="single" w:sz="8" w:color="auto"/>
              <w:right w:val="single" w:sz="8" w:color="33CCCC"/>
            </w:tcBorders>
            <w:shd w:val="clear" w:color="auto" w:fill="33CCCC"/>
          </w:tcPr>
          <w:p>
            <w:pPr>
              <w:jc w:val="center"/>
              <w:spacing w:after="0"/>
              <w:rPr>
                <w:sz w:val="20"/>
                <w:szCs w:val="20"/>
                <w:color w:val="auto"/>
              </w:rPr>
            </w:pPr>
            <w:r>
              <w:rPr>
                <w:rFonts w:ascii="Arial" w:cs="Arial" w:eastAsia="Arial" w:hAnsi="Arial"/>
                <w:sz w:val="11"/>
                <w:szCs w:val="11"/>
                <w:b w:val="1"/>
                <w:bCs w:val="1"/>
                <w:color w:val="FFFFFF"/>
                <w:w w:val="93"/>
              </w:rPr>
              <w:t>YoY</w:t>
            </w:r>
          </w:p>
        </w:tc>
        <w:tc>
          <w:tcPr>
            <w:tcW w:w="60" w:type="dxa"/>
            <w:vAlign w:val="bottom"/>
            <w:tcBorders>
              <w:bottom w:val="single" w:sz="8" w:color="auto"/>
              <w:right w:val="single" w:sz="8" w:color="auto"/>
            </w:tcBorders>
            <w:shd w:val="clear" w:color="auto" w:fill="33CCCC"/>
          </w:tcPr>
          <w:p>
            <w:pPr>
              <w:spacing w:after="0"/>
              <w:rPr>
                <w:sz w:val="13"/>
                <w:szCs w:val="13"/>
                <w:color w:val="auto"/>
              </w:rPr>
            </w:pPr>
          </w:p>
        </w:tc>
        <w:tc>
          <w:tcPr>
            <w:tcW w:w="1200" w:type="dxa"/>
            <w:vAlign w:val="bottom"/>
            <w:tcBorders>
              <w:bottom w:val="single" w:sz="8" w:color="auto"/>
            </w:tcBorders>
            <w:shd w:val="clear" w:color="auto" w:fill="33CCCC"/>
          </w:tcPr>
          <w:p>
            <w:pPr>
              <w:jc w:val="right"/>
              <w:ind w:right="506"/>
              <w:spacing w:after="0"/>
              <w:rPr>
                <w:sz w:val="20"/>
                <w:szCs w:val="20"/>
                <w:color w:val="auto"/>
              </w:rPr>
            </w:pPr>
            <w:r>
              <w:rPr>
                <w:rFonts w:ascii="Arial" w:cs="Arial" w:eastAsia="Arial" w:hAnsi="Arial"/>
                <w:sz w:val="11"/>
                <w:szCs w:val="11"/>
                <w:b w:val="1"/>
                <w:bCs w:val="1"/>
                <w:color w:val="FFFFFF"/>
              </w:rPr>
              <w:t>Sep 22</w:t>
            </w:r>
          </w:p>
        </w:tc>
        <w:tc>
          <w:tcPr>
            <w:tcW w:w="780" w:type="dxa"/>
            <w:vAlign w:val="bottom"/>
            <w:tcBorders>
              <w:bottom w:val="single" w:sz="8" w:color="auto"/>
              <w:right w:val="single" w:sz="8" w:color="auto"/>
            </w:tcBorders>
            <w:shd w:val="clear" w:color="auto" w:fill="33CCCC"/>
          </w:tcPr>
          <w:p>
            <w:pPr>
              <w:jc w:val="right"/>
              <w:ind w:right="286"/>
              <w:spacing w:after="0"/>
              <w:rPr>
                <w:sz w:val="20"/>
                <w:szCs w:val="20"/>
                <w:color w:val="auto"/>
              </w:rPr>
            </w:pPr>
            <w:r>
              <w:rPr>
                <w:rFonts w:ascii="Arial" w:cs="Arial" w:eastAsia="Arial" w:hAnsi="Arial"/>
                <w:sz w:val="11"/>
                <w:szCs w:val="11"/>
                <w:b w:val="1"/>
                <w:bCs w:val="1"/>
                <w:color w:val="FFFFFF"/>
              </w:rPr>
              <w:t>Sep 23</w:t>
            </w:r>
          </w:p>
        </w:tc>
        <w:tc>
          <w:tcPr>
            <w:tcW w:w="98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1"/>
                <w:szCs w:val="11"/>
                <w:b w:val="1"/>
                <w:bCs w:val="1"/>
                <w:color w:val="FFFFFF"/>
                <w:w w:val="97"/>
              </w:rPr>
              <w:t>Sep 23 / Sep 22</w:t>
            </w:r>
          </w:p>
        </w:tc>
      </w:tr>
      <w:tr>
        <w:trPr>
          <w:trHeight w:val="141"/>
        </w:trPr>
        <w:tc>
          <w:tcPr>
            <w:tcW w:w="40" w:type="dxa"/>
            <w:vAlign w:val="bottom"/>
            <w:tcBorders>
              <w:right w:val="single" w:sz="8" w:color="auto"/>
            </w:tcBorders>
          </w:tcPr>
          <w:p>
            <w:pPr>
              <w:spacing w:after="0"/>
              <w:rPr>
                <w:sz w:val="12"/>
                <w:szCs w:val="12"/>
                <w:color w:val="auto"/>
              </w:rPr>
            </w:pPr>
          </w:p>
        </w:tc>
        <w:tc>
          <w:tcPr>
            <w:tcW w:w="4080" w:type="dxa"/>
            <w:vAlign w:val="bottom"/>
            <w:tcBorders>
              <w:right w:val="single" w:sz="8" w:color="auto"/>
            </w:tcBorders>
          </w:tcPr>
          <w:p>
            <w:pPr>
              <w:spacing w:after="0"/>
              <w:rPr>
                <w:sz w:val="20"/>
                <w:szCs w:val="20"/>
                <w:color w:val="auto"/>
              </w:rPr>
            </w:pPr>
            <w:r>
              <w:rPr>
                <w:rFonts w:ascii="Arial" w:cs="Arial" w:eastAsia="Arial" w:hAnsi="Arial"/>
                <w:sz w:val="11"/>
                <w:szCs w:val="11"/>
                <w:b w:val="1"/>
                <w:bCs w:val="1"/>
                <w:color w:val="auto"/>
              </w:rPr>
              <w:t>Interest income</w:t>
            </w:r>
          </w:p>
        </w:tc>
        <w:tc>
          <w:tcPr>
            <w:tcW w:w="1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c>
          <w:tcPr>
            <w:tcW w:w="1200" w:type="dxa"/>
            <w:vAlign w:val="bottom"/>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408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Net share of the income from investments in subsidiaries and associates</w:t>
            </w:r>
          </w:p>
        </w:tc>
        <w:tc>
          <w:tcPr>
            <w:tcW w:w="1120" w:type="dxa"/>
            <w:vAlign w:val="bottom"/>
          </w:tcPr>
          <w:p>
            <w:pPr>
              <w:jc w:val="right"/>
              <w:ind w:right="106"/>
              <w:spacing w:after="0"/>
              <w:rPr>
                <w:sz w:val="20"/>
                <w:szCs w:val="20"/>
                <w:color w:val="auto"/>
              </w:rPr>
            </w:pPr>
            <w:r>
              <w:rPr>
                <w:rFonts w:ascii="Arial" w:cs="Arial" w:eastAsia="Arial" w:hAnsi="Arial"/>
                <w:sz w:val="11"/>
                <w:szCs w:val="11"/>
                <w:color w:val="auto"/>
              </w:rPr>
              <w:t>1,379,036</w:t>
            </w:r>
          </w:p>
        </w:tc>
        <w:tc>
          <w:tcPr>
            <w:tcW w:w="1020" w:type="dxa"/>
            <w:vAlign w:val="bottom"/>
          </w:tcPr>
          <w:p>
            <w:pPr>
              <w:jc w:val="right"/>
              <w:ind w:right="106"/>
              <w:spacing w:after="0"/>
              <w:rPr>
                <w:sz w:val="20"/>
                <w:szCs w:val="20"/>
                <w:color w:val="auto"/>
              </w:rPr>
            </w:pPr>
            <w:r>
              <w:rPr>
                <w:rFonts w:ascii="Arial" w:cs="Arial" w:eastAsia="Arial" w:hAnsi="Arial"/>
                <w:sz w:val="11"/>
                <w:szCs w:val="11"/>
                <w:color w:val="auto"/>
              </w:rPr>
              <w:t>3,244,084</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1,288,466</w:t>
            </w:r>
          </w:p>
        </w:tc>
        <w:tc>
          <w:tcPr>
            <w:tcW w:w="540" w:type="dxa"/>
            <w:vAlign w:val="bottom"/>
          </w:tcPr>
          <w:p>
            <w:pPr>
              <w:jc w:val="center"/>
              <w:spacing w:after="0"/>
              <w:rPr>
                <w:sz w:val="20"/>
                <w:szCs w:val="20"/>
                <w:color w:val="auto"/>
              </w:rPr>
            </w:pPr>
            <w:r>
              <w:rPr>
                <w:rFonts w:ascii="Arial" w:cs="Arial" w:eastAsia="Arial" w:hAnsi="Arial"/>
                <w:sz w:val="11"/>
                <w:szCs w:val="11"/>
                <w:color w:val="auto"/>
                <w:w w:val="97"/>
              </w:rPr>
              <w:t>-60.3%</w:t>
            </w:r>
          </w:p>
        </w:tc>
        <w:tc>
          <w:tcPr>
            <w:tcW w:w="580" w:type="dxa"/>
            <w:vAlign w:val="bottom"/>
          </w:tcPr>
          <w:p>
            <w:pPr>
              <w:jc w:val="center"/>
              <w:spacing w:after="0"/>
              <w:rPr>
                <w:sz w:val="20"/>
                <w:szCs w:val="20"/>
                <w:color w:val="auto"/>
              </w:rPr>
            </w:pPr>
            <w:r>
              <w:rPr>
                <w:rFonts w:ascii="Arial" w:cs="Arial" w:eastAsia="Arial" w:hAnsi="Arial"/>
                <w:sz w:val="11"/>
                <w:szCs w:val="11"/>
                <w:color w:val="auto"/>
                <w:w w:val="97"/>
              </w:rPr>
              <w:t>-6.6%</w:t>
            </w:r>
          </w:p>
        </w:tc>
        <w:tc>
          <w:tcPr>
            <w:tcW w:w="60" w:type="dxa"/>
            <w:vAlign w:val="bottom"/>
            <w:tcBorders>
              <w:right w:val="single" w:sz="8" w:color="auto"/>
            </w:tcBorders>
          </w:tcPr>
          <w:p>
            <w:pPr>
              <w:spacing w:after="0"/>
              <w:rPr>
                <w:sz w:val="18"/>
                <w:szCs w:val="18"/>
                <w:color w:val="auto"/>
              </w:rPr>
            </w:pPr>
          </w:p>
        </w:tc>
        <w:tc>
          <w:tcPr>
            <w:tcW w:w="1200" w:type="dxa"/>
            <w:vAlign w:val="bottom"/>
          </w:tcPr>
          <w:p>
            <w:pPr>
              <w:jc w:val="right"/>
              <w:ind w:right="186"/>
              <w:spacing w:after="0"/>
              <w:rPr>
                <w:sz w:val="20"/>
                <w:szCs w:val="20"/>
                <w:color w:val="auto"/>
              </w:rPr>
            </w:pPr>
            <w:r>
              <w:rPr>
                <w:rFonts w:ascii="Arial" w:cs="Arial" w:eastAsia="Arial" w:hAnsi="Arial"/>
                <w:sz w:val="11"/>
                <w:szCs w:val="11"/>
                <w:color w:val="auto"/>
              </w:rPr>
              <w:t>4,040,880</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4,532,550</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6"/>
              </w:rPr>
              <w:t>12.2%</w:t>
            </w:r>
          </w:p>
        </w:tc>
      </w:tr>
      <w:tr>
        <w:trPr>
          <w:trHeight w:val="124"/>
        </w:trPr>
        <w:tc>
          <w:tcPr>
            <w:tcW w:w="40" w:type="dxa"/>
            <w:vAlign w:val="bottom"/>
            <w:tcBorders>
              <w:right w:val="single" w:sz="8" w:color="auto"/>
            </w:tcBorders>
          </w:tcPr>
          <w:p>
            <w:pPr>
              <w:spacing w:after="0"/>
              <w:rPr>
                <w:sz w:val="10"/>
                <w:szCs w:val="10"/>
                <w:color w:val="auto"/>
              </w:rPr>
            </w:pPr>
          </w:p>
        </w:tc>
        <w:tc>
          <w:tcPr>
            <w:tcW w:w="4080" w:type="dxa"/>
            <w:vAlign w:val="bottom"/>
            <w:tcBorders>
              <w:right w:val="single" w:sz="8" w:color="auto"/>
            </w:tcBorders>
          </w:tcPr>
          <w:p>
            <w:pPr>
              <w:spacing w:after="0" w:line="124" w:lineRule="exact"/>
              <w:rPr>
                <w:sz w:val="20"/>
                <w:szCs w:val="20"/>
                <w:color w:val="auto"/>
              </w:rPr>
            </w:pPr>
            <w:r>
              <w:rPr>
                <w:rFonts w:ascii="Arial" w:cs="Arial" w:eastAsia="Arial" w:hAnsi="Arial"/>
                <w:sz w:val="11"/>
                <w:szCs w:val="11"/>
                <w:color w:val="auto"/>
              </w:rPr>
              <w:t>Interest and similar income</w:t>
            </w:r>
          </w:p>
        </w:tc>
        <w:tc>
          <w:tcPr>
            <w:tcW w:w="1120" w:type="dxa"/>
            <w:vAlign w:val="bottom"/>
          </w:tcPr>
          <w:p>
            <w:pPr>
              <w:jc w:val="right"/>
              <w:ind w:right="106"/>
              <w:spacing w:after="0" w:line="124" w:lineRule="exact"/>
              <w:rPr>
                <w:sz w:val="20"/>
                <w:szCs w:val="20"/>
                <w:color w:val="auto"/>
              </w:rPr>
            </w:pPr>
            <w:r>
              <w:rPr>
                <w:rFonts w:ascii="Arial" w:cs="Arial" w:eastAsia="Arial" w:hAnsi="Arial"/>
                <w:sz w:val="11"/>
                <w:szCs w:val="11"/>
                <w:color w:val="auto"/>
              </w:rPr>
              <w:t>307</w:t>
            </w:r>
          </w:p>
        </w:tc>
        <w:tc>
          <w:tcPr>
            <w:tcW w:w="1020" w:type="dxa"/>
            <w:vAlign w:val="bottom"/>
          </w:tcPr>
          <w:p>
            <w:pPr>
              <w:jc w:val="right"/>
              <w:ind w:right="106"/>
              <w:spacing w:after="0" w:line="124" w:lineRule="exact"/>
              <w:rPr>
                <w:sz w:val="20"/>
                <w:szCs w:val="20"/>
                <w:color w:val="auto"/>
              </w:rPr>
            </w:pPr>
            <w:r>
              <w:rPr>
                <w:rFonts w:ascii="Arial" w:cs="Arial" w:eastAsia="Arial" w:hAnsi="Arial"/>
                <w:sz w:val="11"/>
                <w:szCs w:val="11"/>
                <w:color w:val="auto"/>
              </w:rPr>
              <w:t>9,296</w:t>
            </w:r>
          </w:p>
        </w:tc>
        <w:tc>
          <w:tcPr>
            <w:tcW w:w="88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429</w:t>
            </w:r>
          </w:p>
        </w:tc>
        <w:tc>
          <w:tcPr>
            <w:tcW w:w="540" w:type="dxa"/>
            <w:vAlign w:val="bottom"/>
          </w:tcPr>
          <w:p>
            <w:pPr>
              <w:jc w:val="center"/>
              <w:spacing w:after="0" w:line="124" w:lineRule="exact"/>
              <w:rPr>
                <w:sz w:val="20"/>
                <w:szCs w:val="20"/>
                <w:color w:val="auto"/>
              </w:rPr>
            </w:pPr>
            <w:r>
              <w:rPr>
                <w:rFonts w:ascii="Arial" w:cs="Arial" w:eastAsia="Arial" w:hAnsi="Arial"/>
                <w:sz w:val="11"/>
                <w:szCs w:val="11"/>
                <w:color w:val="auto"/>
                <w:w w:val="97"/>
              </w:rPr>
              <w:t>-95.4%</w:t>
            </w:r>
          </w:p>
        </w:tc>
        <w:tc>
          <w:tcPr>
            <w:tcW w:w="580" w:type="dxa"/>
            <w:vAlign w:val="bottom"/>
          </w:tcPr>
          <w:p>
            <w:pPr>
              <w:jc w:val="center"/>
              <w:spacing w:after="0" w:line="124" w:lineRule="exact"/>
              <w:rPr>
                <w:sz w:val="20"/>
                <w:szCs w:val="20"/>
                <w:color w:val="auto"/>
              </w:rPr>
            </w:pPr>
            <w:r>
              <w:rPr>
                <w:rFonts w:ascii="Arial" w:cs="Arial" w:eastAsia="Arial" w:hAnsi="Arial"/>
                <w:sz w:val="11"/>
                <w:szCs w:val="11"/>
                <w:color w:val="auto"/>
                <w:w w:val="96"/>
              </w:rPr>
              <w:t>39.7%</w:t>
            </w:r>
          </w:p>
        </w:tc>
        <w:tc>
          <w:tcPr>
            <w:tcW w:w="60" w:type="dxa"/>
            <w:vAlign w:val="bottom"/>
            <w:tcBorders>
              <w:right w:val="single" w:sz="8" w:color="auto"/>
            </w:tcBorders>
          </w:tcPr>
          <w:p>
            <w:pPr>
              <w:spacing w:after="0"/>
              <w:rPr>
                <w:sz w:val="10"/>
                <w:szCs w:val="10"/>
                <w:color w:val="auto"/>
              </w:rPr>
            </w:pPr>
          </w:p>
        </w:tc>
        <w:tc>
          <w:tcPr>
            <w:tcW w:w="1200" w:type="dxa"/>
            <w:vAlign w:val="bottom"/>
          </w:tcPr>
          <w:p>
            <w:pPr>
              <w:jc w:val="right"/>
              <w:ind w:right="186"/>
              <w:spacing w:after="0" w:line="124" w:lineRule="exact"/>
              <w:rPr>
                <w:sz w:val="20"/>
                <w:szCs w:val="20"/>
                <w:color w:val="auto"/>
              </w:rPr>
            </w:pPr>
            <w:r>
              <w:rPr>
                <w:rFonts w:ascii="Arial" w:cs="Arial" w:eastAsia="Arial" w:hAnsi="Arial"/>
                <w:sz w:val="11"/>
                <w:szCs w:val="11"/>
                <w:color w:val="auto"/>
              </w:rPr>
              <w:t>7,661</w:t>
            </w:r>
          </w:p>
        </w:tc>
        <w:tc>
          <w:tcPr>
            <w:tcW w:w="78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9,725</w:t>
            </w:r>
          </w:p>
        </w:tc>
        <w:tc>
          <w:tcPr>
            <w:tcW w:w="98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6"/>
              </w:rPr>
              <w:t>26.9%</w:t>
            </w:r>
          </w:p>
        </w:tc>
      </w:tr>
      <w:tr>
        <w:trPr>
          <w:trHeight w:val="120"/>
        </w:trPr>
        <w:tc>
          <w:tcPr>
            <w:tcW w:w="40" w:type="dxa"/>
            <w:vAlign w:val="bottom"/>
            <w:tcBorders>
              <w:right w:val="single" w:sz="8" w:color="auto"/>
            </w:tcBorders>
          </w:tcPr>
          <w:p>
            <w:pPr>
              <w:spacing w:after="0"/>
              <w:rPr>
                <w:sz w:val="10"/>
                <w:szCs w:val="10"/>
                <w:color w:val="auto"/>
              </w:rPr>
            </w:pPr>
          </w:p>
        </w:tc>
        <w:tc>
          <w:tcPr>
            <w:tcW w:w="4080" w:type="dxa"/>
            <w:vAlign w:val="bottom"/>
            <w:tcBorders>
              <w:right w:val="single" w:sz="8" w:color="auto"/>
            </w:tcBorders>
          </w:tcPr>
          <w:p>
            <w:pPr>
              <w:spacing w:after="0" w:line="120" w:lineRule="exact"/>
              <w:rPr>
                <w:sz w:val="20"/>
                <w:szCs w:val="20"/>
                <w:color w:val="auto"/>
              </w:rPr>
            </w:pPr>
            <w:r>
              <w:rPr>
                <w:rFonts w:ascii="Arial" w:cs="Arial" w:eastAsia="Arial" w:hAnsi="Arial"/>
                <w:sz w:val="11"/>
                <w:szCs w:val="11"/>
                <w:color w:val="auto"/>
              </w:rPr>
              <w:t>Net gain on financial assets at fair value through profit or loss</w:t>
            </w:r>
          </w:p>
        </w:tc>
        <w:tc>
          <w:tcPr>
            <w:tcW w:w="1120" w:type="dxa"/>
            <w:vAlign w:val="bottom"/>
          </w:tcPr>
          <w:p>
            <w:pPr>
              <w:jc w:val="right"/>
              <w:ind w:right="106"/>
              <w:spacing w:after="0" w:line="120" w:lineRule="exact"/>
              <w:rPr>
                <w:sz w:val="20"/>
                <w:szCs w:val="20"/>
                <w:color w:val="auto"/>
              </w:rPr>
            </w:pPr>
            <w:r>
              <w:rPr>
                <w:rFonts w:ascii="Arial" w:cs="Arial" w:eastAsia="Arial" w:hAnsi="Arial"/>
                <w:sz w:val="11"/>
                <w:szCs w:val="11"/>
                <w:color w:val="auto"/>
              </w:rPr>
              <w:t>(10,214)</w:t>
            </w:r>
          </w:p>
        </w:tc>
        <w:tc>
          <w:tcPr>
            <w:tcW w:w="1020" w:type="dxa"/>
            <w:vAlign w:val="bottom"/>
          </w:tcPr>
          <w:p>
            <w:pPr>
              <w:jc w:val="right"/>
              <w:ind w:right="106"/>
              <w:spacing w:after="0" w:line="120" w:lineRule="exact"/>
              <w:rPr>
                <w:sz w:val="20"/>
                <w:szCs w:val="20"/>
                <w:color w:val="auto"/>
              </w:rPr>
            </w:pPr>
            <w:r>
              <w:rPr>
                <w:rFonts w:ascii="Arial" w:cs="Arial" w:eastAsia="Arial" w:hAnsi="Arial"/>
                <w:sz w:val="11"/>
                <w:szCs w:val="11"/>
                <w:color w:val="auto"/>
              </w:rPr>
              <w:t>26,377</w:t>
            </w:r>
          </w:p>
        </w:tc>
        <w:tc>
          <w:tcPr>
            <w:tcW w:w="880" w:type="dxa"/>
            <w:vAlign w:val="bottom"/>
            <w:tcBorders>
              <w:right w:val="single" w:sz="8" w:color="auto"/>
            </w:tcBorders>
          </w:tcPr>
          <w:p>
            <w:pPr>
              <w:jc w:val="right"/>
              <w:spacing w:after="0" w:line="120" w:lineRule="exact"/>
              <w:rPr>
                <w:sz w:val="20"/>
                <w:szCs w:val="20"/>
                <w:color w:val="auto"/>
              </w:rPr>
            </w:pPr>
            <w:r>
              <w:rPr>
                <w:rFonts w:ascii="Arial" w:cs="Arial" w:eastAsia="Arial" w:hAnsi="Arial"/>
                <w:sz w:val="11"/>
                <w:szCs w:val="11"/>
                <w:color w:val="auto"/>
              </w:rPr>
              <w:t>8,845</w:t>
            </w:r>
          </w:p>
        </w:tc>
        <w:tc>
          <w:tcPr>
            <w:tcW w:w="540" w:type="dxa"/>
            <w:vAlign w:val="bottom"/>
          </w:tcPr>
          <w:p>
            <w:pPr>
              <w:jc w:val="center"/>
              <w:spacing w:after="0" w:line="120" w:lineRule="exact"/>
              <w:rPr>
                <w:sz w:val="20"/>
                <w:szCs w:val="20"/>
                <w:color w:val="auto"/>
              </w:rPr>
            </w:pPr>
            <w:r>
              <w:rPr>
                <w:rFonts w:ascii="Arial" w:cs="Arial" w:eastAsia="Arial" w:hAnsi="Arial"/>
                <w:sz w:val="11"/>
                <w:szCs w:val="11"/>
                <w:color w:val="auto"/>
                <w:w w:val="97"/>
              </w:rPr>
              <w:t>-66.5%</w:t>
            </w:r>
          </w:p>
        </w:tc>
        <w:tc>
          <w:tcPr>
            <w:tcW w:w="580" w:type="dxa"/>
            <w:vAlign w:val="bottom"/>
          </w:tcPr>
          <w:p>
            <w:pPr>
              <w:jc w:val="center"/>
              <w:spacing w:after="0" w:line="120" w:lineRule="exact"/>
              <w:rPr>
                <w:sz w:val="20"/>
                <w:szCs w:val="20"/>
                <w:color w:val="auto"/>
              </w:rPr>
            </w:pPr>
            <w:r>
              <w:rPr>
                <w:rFonts w:ascii="Arial" w:cs="Arial" w:eastAsia="Arial" w:hAnsi="Arial"/>
                <w:sz w:val="11"/>
                <w:szCs w:val="11"/>
                <w:color w:val="auto"/>
                <w:w w:val="97"/>
              </w:rPr>
              <w:t>-186.6%</w:t>
            </w:r>
          </w:p>
        </w:tc>
        <w:tc>
          <w:tcPr>
            <w:tcW w:w="60" w:type="dxa"/>
            <w:vAlign w:val="bottom"/>
            <w:tcBorders>
              <w:right w:val="single" w:sz="8" w:color="auto"/>
            </w:tcBorders>
          </w:tcPr>
          <w:p>
            <w:pPr>
              <w:spacing w:after="0"/>
              <w:rPr>
                <w:sz w:val="10"/>
                <w:szCs w:val="10"/>
                <w:color w:val="auto"/>
              </w:rPr>
            </w:pPr>
          </w:p>
        </w:tc>
        <w:tc>
          <w:tcPr>
            <w:tcW w:w="1200" w:type="dxa"/>
            <w:vAlign w:val="bottom"/>
          </w:tcPr>
          <w:p>
            <w:pPr>
              <w:jc w:val="right"/>
              <w:ind w:right="186"/>
              <w:spacing w:after="0" w:line="120" w:lineRule="exact"/>
              <w:rPr>
                <w:sz w:val="20"/>
                <w:szCs w:val="20"/>
                <w:color w:val="auto"/>
              </w:rPr>
            </w:pPr>
            <w:r>
              <w:rPr>
                <w:rFonts w:ascii="Arial" w:cs="Arial" w:eastAsia="Arial" w:hAnsi="Arial"/>
                <w:sz w:val="11"/>
                <w:szCs w:val="11"/>
                <w:color w:val="auto"/>
              </w:rPr>
              <w:t>(78,428)</w:t>
            </w:r>
          </w:p>
        </w:tc>
        <w:tc>
          <w:tcPr>
            <w:tcW w:w="780" w:type="dxa"/>
            <w:vAlign w:val="bottom"/>
            <w:tcBorders>
              <w:right w:val="single" w:sz="8" w:color="auto"/>
            </w:tcBorders>
          </w:tcPr>
          <w:p>
            <w:pPr>
              <w:jc w:val="right"/>
              <w:spacing w:after="0" w:line="120" w:lineRule="exact"/>
              <w:rPr>
                <w:sz w:val="20"/>
                <w:szCs w:val="20"/>
                <w:color w:val="auto"/>
              </w:rPr>
            </w:pPr>
            <w:r>
              <w:rPr>
                <w:rFonts w:ascii="Arial" w:cs="Arial" w:eastAsia="Arial" w:hAnsi="Arial"/>
                <w:sz w:val="11"/>
                <w:szCs w:val="11"/>
                <w:color w:val="auto"/>
              </w:rPr>
              <w:t>35,222</w:t>
            </w:r>
          </w:p>
        </w:tc>
        <w:tc>
          <w:tcPr>
            <w:tcW w:w="980" w:type="dxa"/>
            <w:vAlign w:val="bottom"/>
            <w:tcBorders>
              <w:right w:val="single" w:sz="8" w:color="auto"/>
            </w:tcBorders>
          </w:tcPr>
          <w:p>
            <w:pPr>
              <w:jc w:val="center"/>
              <w:spacing w:after="0" w:line="120" w:lineRule="exact"/>
              <w:rPr>
                <w:sz w:val="20"/>
                <w:szCs w:val="20"/>
                <w:color w:val="auto"/>
              </w:rPr>
            </w:pPr>
            <w:r>
              <w:rPr>
                <w:rFonts w:ascii="Arial" w:cs="Arial" w:eastAsia="Arial" w:hAnsi="Arial"/>
                <w:sz w:val="11"/>
                <w:szCs w:val="11"/>
                <w:color w:val="auto"/>
                <w:w w:val="91"/>
              </w:rPr>
              <w:t>n.a</w:t>
            </w:r>
          </w:p>
        </w:tc>
      </w:tr>
      <w:tr>
        <w:trPr>
          <w:trHeight w:val="149"/>
        </w:trPr>
        <w:tc>
          <w:tcPr>
            <w:tcW w:w="40" w:type="dxa"/>
            <w:vAlign w:val="bottom"/>
            <w:tcBorders>
              <w:right w:val="single" w:sz="8" w:color="auto"/>
            </w:tcBorders>
          </w:tcPr>
          <w:p>
            <w:pPr>
              <w:spacing w:after="0"/>
              <w:rPr>
                <w:sz w:val="12"/>
                <w:szCs w:val="12"/>
                <w:color w:val="auto"/>
              </w:rPr>
            </w:pPr>
          </w:p>
        </w:tc>
        <w:tc>
          <w:tcPr>
            <w:tcW w:w="4080" w:type="dxa"/>
            <w:vAlign w:val="bottom"/>
            <w:tcBorders>
              <w:right w:val="single" w:sz="8" w:color="auto"/>
            </w:tcBorders>
          </w:tcPr>
          <w:p>
            <w:pPr>
              <w:spacing w:after="0"/>
              <w:rPr>
                <w:sz w:val="20"/>
                <w:szCs w:val="20"/>
                <w:color w:val="auto"/>
              </w:rPr>
            </w:pPr>
            <w:r>
              <w:rPr>
                <w:rFonts w:ascii="Arial" w:cs="Arial" w:eastAsia="Arial" w:hAnsi="Arial"/>
                <w:sz w:val="11"/>
                <w:szCs w:val="11"/>
                <w:b w:val="1"/>
                <w:bCs w:val="1"/>
                <w:color w:val="auto"/>
              </w:rPr>
              <w:t>Total income</w:t>
            </w:r>
          </w:p>
        </w:tc>
        <w:tc>
          <w:tcPr>
            <w:tcW w:w="1120" w:type="dxa"/>
            <w:vAlign w:val="bottom"/>
          </w:tcPr>
          <w:p>
            <w:pPr>
              <w:jc w:val="right"/>
              <w:ind w:right="106"/>
              <w:spacing w:after="0"/>
              <w:rPr>
                <w:sz w:val="20"/>
                <w:szCs w:val="20"/>
                <w:color w:val="auto"/>
              </w:rPr>
            </w:pPr>
            <w:r>
              <w:rPr>
                <w:rFonts w:ascii="Arial" w:cs="Arial" w:eastAsia="Arial" w:hAnsi="Arial"/>
                <w:sz w:val="11"/>
                <w:szCs w:val="11"/>
                <w:b w:val="1"/>
                <w:bCs w:val="1"/>
                <w:color w:val="auto"/>
              </w:rPr>
              <w:t>1,369,129</w:t>
            </w:r>
          </w:p>
        </w:tc>
        <w:tc>
          <w:tcPr>
            <w:tcW w:w="1020" w:type="dxa"/>
            <w:vAlign w:val="bottom"/>
          </w:tcPr>
          <w:p>
            <w:pPr>
              <w:jc w:val="right"/>
              <w:ind w:right="106"/>
              <w:spacing w:after="0"/>
              <w:rPr>
                <w:sz w:val="20"/>
                <w:szCs w:val="20"/>
                <w:color w:val="auto"/>
              </w:rPr>
            </w:pPr>
            <w:r>
              <w:rPr>
                <w:rFonts w:ascii="Arial" w:cs="Arial" w:eastAsia="Arial" w:hAnsi="Arial"/>
                <w:sz w:val="11"/>
                <w:szCs w:val="11"/>
                <w:b w:val="1"/>
                <w:bCs w:val="1"/>
                <w:color w:val="auto"/>
              </w:rPr>
              <w:t>3,279,757</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1"/>
                <w:szCs w:val="11"/>
                <w:b w:val="1"/>
                <w:bCs w:val="1"/>
                <w:color w:val="auto"/>
              </w:rPr>
              <w:t>1,297,740</w:t>
            </w:r>
          </w:p>
        </w:tc>
        <w:tc>
          <w:tcPr>
            <w:tcW w:w="540" w:type="dxa"/>
            <w:vAlign w:val="bottom"/>
          </w:tcPr>
          <w:p>
            <w:pPr>
              <w:jc w:val="center"/>
              <w:spacing w:after="0"/>
              <w:rPr>
                <w:sz w:val="20"/>
                <w:szCs w:val="20"/>
                <w:color w:val="auto"/>
              </w:rPr>
            </w:pPr>
            <w:r>
              <w:rPr>
                <w:rFonts w:ascii="Arial" w:cs="Arial" w:eastAsia="Arial" w:hAnsi="Arial"/>
                <w:sz w:val="11"/>
                <w:szCs w:val="11"/>
                <w:color w:val="auto"/>
                <w:w w:val="97"/>
              </w:rPr>
              <w:t>-60.4%</w:t>
            </w:r>
          </w:p>
        </w:tc>
        <w:tc>
          <w:tcPr>
            <w:tcW w:w="580" w:type="dxa"/>
            <w:vAlign w:val="bottom"/>
          </w:tcPr>
          <w:p>
            <w:pPr>
              <w:jc w:val="center"/>
              <w:spacing w:after="0"/>
              <w:rPr>
                <w:sz w:val="20"/>
                <w:szCs w:val="20"/>
                <w:color w:val="auto"/>
              </w:rPr>
            </w:pPr>
            <w:r>
              <w:rPr>
                <w:rFonts w:ascii="Arial" w:cs="Arial" w:eastAsia="Arial" w:hAnsi="Arial"/>
                <w:sz w:val="11"/>
                <w:szCs w:val="11"/>
                <w:color w:val="auto"/>
                <w:w w:val="97"/>
              </w:rPr>
              <w:t>-5.2%</w:t>
            </w:r>
          </w:p>
        </w:tc>
        <w:tc>
          <w:tcPr>
            <w:tcW w:w="60" w:type="dxa"/>
            <w:vAlign w:val="bottom"/>
            <w:tcBorders>
              <w:right w:val="single" w:sz="8" w:color="auto"/>
            </w:tcBorders>
          </w:tcPr>
          <w:p>
            <w:pPr>
              <w:spacing w:after="0"/>
              <w:rPr>
                <w:sz w:val="12"/>
                <w:szCs w:val="12"/>
                <w:color w:val="auto"/>
              </w:rPr>
            </w:pPr>
          </w:p>
        </w:tc>
        <w:tc>
          <w:tcPr>
            <w:tcW w:w="1200" w:type="dxa"/>
            <w:vAlign w:val="bottom"/>
          </w:tcPr>
          <w:p>
            <w:pPr>
              <w:jc w:val="right"/>
              <w:ind w:right="186"/>
              <w:spacing w:after="0"/>
              <w:rPr>
                <w:sz w:val="20"/>
                <w:szCs w:val="20"/>
                <w:color w:val="auto"/>
              </w:rPr>
            </w:pPr>
            <w:r>
              <w:rPr>
                <w:rFonts w:ascii="Arial" w:cs="Arial" w:eastAsia="Arial" w:hAnsi="Arial"/>
                <w:sz w:val="11"/>
                <w:szCs w:val="11"/>
                <w:b w:val="1"/>
                <w:bCs w:val="1"/>
                <w:color w:val="auto"/>
              </w:rPr>
              <w:t>3,970,113</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1"/>
                <w:szCs w:val="11"/>
                <w:b w:val="1"/>
                <w:bCs w:val="1"/>
                <w:color w:val="auto"/>
              </w:rPr>
              <w:t>4,577,497</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6"/>
              </w:rPr>
              <w:t>15.3%</w:t>
            </w:r>
          </w:p>
        </w:tc>
      </w:tr>
      <w:tr>
        <w:trPr>
          <w:trHeight w:val="226"/>
        </w:trPr>
        <w:tc>
          <w:tcPr>
            <w:tcW w:w="40" w:type="dxa"/>
            <w:vAlign w:val="bottom"/>
            <w:tcBorders>
              <w:right w:val="single" w:sz="8" w:color="auto"/>
            </w:tcBorders>
          </w:tcPr>
          <w:p>
            <w:pPr>
              <w:spacing w:after="0"/>
              <w:rPr>
                <w:sz w:val="19"/>
                <w:szCs w:val="19"/>
                <w:color w:val="auto"/>
              </w:rPr>
            </w:pPr>
          </w:p>
        </w:tc>
        <w:tc>
          <w:tcPr>
            <w:tcW w:w="408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Interest and similar expense</w:t>
            </w:r>
          </w:p>
        </w:tc>
        <w:tc>
          <w:tcPr>
            <w:tcW w:w="1120" w:type="dxa"/>
            <w:vAlign w:val="bottom"/>
          </w:tcPr>
          <w:p>
            <w:pPr>
              <w:jc w:val="right"/>
              <w:ind w:right="106"/>
              <w:spacing w:after="0"/>
              <w:rPr>
                <w:sz w:val="20"/>
                <w:szCs w:val="20"/>
                <w:color w:val="auto"/>
              </w:rPr>
            </w:pPr>
            <w:r>
              <w:rPr>
                <w:rFonts w:ascii="Arial" w:cs="Arial" w:eastAsia="Arial" w:hAnsi="Arial"/>
                <w:sz w:val="11"/>
                <w:szCs w:val="11"/>
                <w:color w:val="auto"/>
              </w:rPr>
              <w:t>(19,155)</w:t>
            </w:r>
          </w:p>
        </w:tc>
        <w:tc>
          <w:tcPr>
            <w:tcW w:w="1020" w:type="dxa"/>
            <w:vAlign w:val="bottom"/>
          </w:tcPr>
          <w:p>
            <w:pPr>
              <w:jc w:val="right"/>
              <w:ind w:right="106"/>
              <w:spacing w:after="0"/>
              <w:rPr>
                <w:sz w:val="20"/>
                <w:szCs w:val="20"/>
                <w:color w:val="auto"/>
              </w:rPr>
            </w:pPr>
            <w:r>
              <w:rPr>
                <w:rFonts w:ascii="Arial" w:cs="Arial" w:eastAsia="Arial" w:hAnsi="Arial"/>
                <w:sz w:val="11"/>
                <w:szCs w:val="11"/>
                <w:color w:val="auto"/>
              </w:rPr>
              <w:t>(27,952)</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(13,880)</w:t>
            </w:r>
          </w:p>
        </w:tc>
        <w:tc>
          <w:tcPr>
            <w:tcW w:w="540" w:type="dxa"/>
            <w:vAlign w:val="bottom"/>
          </w:tcPr>
          <w:p>
            <w:pPr>
              <w:jc w:val="center"/>
              <w:spacing w:after="0"/>
              <w:rPr>
                <w:sz w:val="20"/>
                <w:szCs w:val="20"/>
                <w:color w:val="auto"/>
              </w:rPr>
            </w:pPr>
            <w:r>
              <w:rPr>
                <w:rFonts w:ascii="Arial" w:cs="Arial" w:eastAsia="Arial" w:hAnsi="Arial"/>
                <w:sz w:val="11"/>
                <w:szCs w:val="11"/>
                <w:color w:val="auto"/>
                <w:w w:val="97"/>
              </w:rPr>
              <w:t>-50.3%</w:t>
            </w:r>
          </w:p>
        </w:tc>
        <w:tc>
          <w:tcPr>
            <w:tcW w:w="580" w:type="dxa"/>
            <w:vAlign w:val="bottom"/>
          </w:tcPr>
          <w:p>
            <w:pPr>
              <w:jc w:val="center"/>
              <w:spacing w:after="0"/>
              <w:rPr>
                <w:sz w:val="20"/>
                <w:szCs w:val="20"/>
                <w:color w:val="auto"/>
              </w:rPr>
            </w:pPr>
            <w:r>
              <w:rPr>
                <w:rFonts w:ascii="Arial" w:cs="Arial" w:eastAsia="Arial" w:hAnsi="Arial"/>
                <w:sz w:val="11"/>
                <w:szCs w:val="11"/>
                <w:color w:val="auto"/>
                <w:w w:val="97"/>
              </w:rPr>
              <w:t>-27.5%</w:t>
            </w:r>
          </w:p>
        </w:tc>
        <w:tc>
          <w:tcPr>
            <w:tcW w:w="60" w:type="dxa"/>
            <w:vAlign w:val="bottom"/>
            <w:tcBorders>
              <w:right w:val="single" w:sz="8" w:color="auto"/>
            </w:tcBorders>
          </w:tcPr>
          <w:p>
            <w:pPr>
              <w:spacing w:after="0"/>
              <w:rPr>
                <w:sz w:val="19"/>
                <w:szCs w:val="19"/>
                <w:color w:val="auto"/>
              </w:rPr>
            </w:pPr>
          </w:p>
        </w:tc>
        <w:tc>
          <w:tcPr>
            <w:tcW w:w="1200" w:type="dxa"/>
            <w:vAlign w:val="bottom"/>
          </w:tcPr>
          <w:p>
            <w:pPr>
              <w:jc w:val="right"/>
              <w:ind w:right="186"/>
              <w:spacing w:after="0"/>
              <w:rPr>
                <w:sz w:val="20"/>
                <w:szCs w:val="20"/>
                <w:color w:val="auto"/>
              </w:rPr>
            </w:pPr>
            <w:r>
              <w:rPr>
                <w:rFonts w:ascii="Arial" w:cs="Arial" w:eastAsia="Arial" w:hAnsi="Arial"/>
                <w:sz w:val="11"/>
                <w:szCs w:val="11"/>
                <w:color w:val="auto"/>
              </w:rPr>
              <w:t>(47,584)</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(41,832)</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-12.1%</w:t>
            </w:r>
          </w:p>
        </w:tc>
      </w:tr>
      <w:tr>
        <w:trPr>
          <w:trHeight w:val="120"/>
        </w:trPr>
        <w:tc>
          <w:tcPr>
            <w:tcW w:w="40" w:type="dxa"/>
            <w:vAlign w:val="bottom"/>
            <w:tcBorders>
              <w:right w:val="single" w:sz="8" w:color="auto"/>
            </w:tcBorders>
          </w:tcPr>
          <w:p>
            <w:pPr>
              <w:spacing w:after="0"/>
              <w:rPr>
                <w:sz w:val="10"/>
                <w:szCs w:val="10"/>
                <w:color w:val="auto"/>
              </w:rPr>
            </w:pPr>
          </w:p>
        </w:tc>
        <w:tc>
          <w:tcPr>
            <w:tcW w:w="4080" w:type="dxa"/>
            <w:vAlign w:val="bottom"/>
            <w:tcBorders>
              <w:right w:val="single" w:sz="8" w:color="auto"/>
            </w:tcBorders>
          </w:tcPr>
          <w:p>
            <w:pPr>
              <w:spacing w:after="0" w:line="120" w:lineRule="exact"/>
              <w:rPr>
                <w:sz w:val="20"/>
                <w:szCs w:val="20"/>
                <w:color w:val="auto"/>
              </w:rPr>
            </w:pPr>
            <w:r>
              <w:rPr>
                <w:rFonts w:ascii="Arial" w:cs="Arial" w:eastAsia="Arial" w:hAnsi="Arial"/>
                <w:sz w:val="11"/>
                <w:szCs w:val="11"/>
                <w:color w:val="auto"/>
              </w:rPr>
              <w:t>Administrative and general expenses</w:t>
            </w:r>
          </w:p>
        </w:tc>
        <w:tc>
          <w:tcPr>
            <w:tcW w:w="1120" w:type="dxa"/>
            <w:vAlign w:val="bottom"/>
          </w:tcPr>
          <w:p>
            <w:pPr>
              <w:jc w:val="right"/>
              <w:ind w:right="106"/>
              <w:spacing w:after="0" w:line="120" w:lineRule="exact"/>
              <w:rPr>
                <w:sz w:val="20"/>
                <w:szCs w:val="20"/>
                <w:color w:val="auto"/>
              </w:rPr>
            </w:pPr>
            <w:r>
              <w:rPr>
                <w:rFonts w:ascii="Arial" w:cs="Arial" w:eastAsia="Arial" w:hAnsi="Arial"/>
                <w:sz w:val="11"/>
                <w:szCs w:val="11"/>
                <w:color w:val="auto"/>
              </w:rPr>
              <w:t>(5,908)</w:t>
            </w:r>
          </w:p>
        </w:tc>
        <w:tc>
          <w:tcPr>
            <w:tcW w:w="1020" w:type="dxa"/>
            <w:vAlign w:val="bottom"/>
          </w:tcPr>
          <w:p>
            <w:pPr>
              <w:jc w:val="right"/>
              <w:ind w:right="106"/>
              <w:spacing w:after="0" w:line="120" w:lineRule="exact"/>
              <w:rPr>
                <w:sz w:val="20"/>
                <w:szCs w:val="20"/>
                <w:color w:val="auto"/>
              </w:rPr>
            </w:pPr>
            <w:r>
              <w:rPr>
                <w:rFonts w:ascii="Arial" w:cs="Arial" w:eastAsia="Arial" w:hAnsi="Arial"/>
                <w:sz w:val="11"/>
                <w:szCs w:val="11"/>
                <w:color w:val="auto"/>
              </w:rPr>
              <w:t>(11,991)</w:t>
            </w:r>
          </w:p>
        </w:tc>
        <w:tc>
          <w:tcPr>
            <w:tcW w:w="880" w:type="dxa"/>
            <w:vAlign w:val="bottom"/>
            <w:tcBorders>
              <w:right w:val="single" w:sz="8" w:color="auto"/>
            </w:tcBorders>
          </w:tcPr>
          <w:p>
            <w:pPr>
              <w:jc w:val="right"/>
              <w:spacing w:after="0" w:line="120" w:lineRule="exact"/>
              <w:rPr>
                <w:sz w:val="20"/>
                <w:szCs w:val="20"/>
                <w:color w:val="auto"/>
              </w:rPr>
            </w:pPr>
            <w:r>
              <w:rPr>
                <w:rFonts w:ascii="Arial" w:cs="Arial" w:eastAsia="Arial" w:hAnsi="Arial"/>
                <w:sz w:val="11"/>
                <w:szCs w:val="11"/>
                <w:color w:val="auto"/>
              </w:rPr>
              <w:t>(4,097)</w:t>
            </w:r>
          </w:p>
        </w:tc>
        <w:tc>
          <w:tcPr>
            <w:tcW w:w="540" w:type="dxa"/>
            <w:vAlign w:val="bottom"/>
          </w:tcPr>
          <w:p>
            <w:pPr>
              <w:jc w:val="center"/>
              <w:spacing w:after="0" w:line="120" w:lineRule="exact"/>
              <w:rPr>
                <w:sz w:val="20"/>
                <w:szCs w:val="20"/>
                <w:color w:val="auto"/>
              </w:rPr>
            </w:pPr>
            <w:r>
              <w:rPr>
                <w:rFonts w:ascii="Arial" w:cs="Arial" w:eastAsia="Arial" w:hAnsi="Arial"/>
                <w:sz w:val="11"/>
                <w:szCs w:val="11"/>
                <w:color w:val="auto"/>
                <w:w w:val="97"/>
              </w:rPr>
              <w:t>-65.8%</w:t>
            </w:r>
          </w:p>
        </w:tc>
        <w:tc>
          <w:tcPr>
            <w:tcW w:w="580" w:type="dxa"/>
            <w:vAlign w:val="bottom"/>
          </w:tcPr>
          <w:p>
            <w:pPr>
              <w:jc w:val="center"/>
              <w:spacing w:after="0" w:line="120" w:lineRule="exact"/>
              <w:rPr>
                <w:sz w:val="20"/>
                <w:szCs w:val="20"/>
                <w:color w:val="auto"/>
              </w:rPr>
            </w:pPr>
            <w:r>
              <w:rPr>
                <w:rFonts w:ascii="Arial" w:cs="Arial" w:eastAsia="Arial" w:hAnsi="Arial"/>
                <w:sz w:val="11"/>
                <w:szCs w:val="11"/>
                <w:color w:val="auto"/>
                <w:w w:val="97"/>
              </w:rPr>
              <w:t>-30.7%</w:t>
            </w:r>
          </w:p>
        </w:tc>
        <w:tc>
          <w:tcPr>
            <w:tcW w:w="60" w:type="dxa"/>
            <w:vAlign w:val="bottom"/>
            <w:tcBorders>
              <w:right w:val="single" w:sz="8" w:color="auto"/>
            </w:tcBorders>
          </w:tcPr>
          <w:p>
            <w:pPr>
              <w:spacing w:after="0"/>
              <w:rPr>
                <w:sz w:val="10"/>
                <w:szCs w:val="10"/>
                <w:color w:val="auto"/>
              </w:rPr>
            </w:pPr>
          </w:p>
        </w:tc>
        <w:tc>
          <w:tcPr>
            <w:tcW w:w="1200" w:type="dxa"/>
            <w:vAlign w:val="bottom"/>
          </w:tcPr>
          <w:p>
            <w:pPr>
              <w:jc w:val="right"/>
              <w:ind w:right="186"/>
              <w:spacing w:after="0" w:line="120" w:lineRule="exact"/>
              <w:rPr>
                <w:sz w:val="20"/>
                <w:szCs w:val="20"/>
                <w:color w:val="auto"/>
              </w:rPr>
            </w:pPr>
            <w:r>
              <w:rPr>
                <w:rFonts w:ascii="Arial" w:cs="Arial" w:eastAsia="Arial" w:hAnsi="Arial"/>
                <w:sz w:val="11"/>
                <w:szCs w:val="11"/>
                <w:color w:val="auto"/>
              </w:rPr>
              <w:t>(13,933)</w:t>
            </w:r>
          </w:p>
        </w:tc>
        <w:tc>
          <w:tcPr>
            <w:tcW w:w="780" w:type="dxa"/>
            <w:vAlign w:val="bottom"/>
            <w:tcBorders>
              <w:right w:val="single" w:sz="8" w:color="auto"/>
            </w:tcBorders>
          </w:tcPr>
          <w:p>
            <w:pPr>
              <w:jc w:val="right"/>
              <w:spacing w:after="0" w:line="120" w:lineRule="exact"/>
              <w:rPr>
                <w:sz w:val="20"/>
                <w:szCs w:val="20"/>
                <w:color w:val="auto"/>
              </w:rPr>
            </w:pPr>
            <w:r>
              <w:rPr>
                <w:rFonts w:ascii="Arial" w:cs="Arial" w:eastAsia="Arial" w:hAnsi="Arial"/>
                <w:sz w:val="11"/>
                <w:szCs w:val="11"/>
                <w:color w:val="auto"/>
              </w:rPr>
              <w:t>(16,088)</w:t>
            </w:r>
          </w:p>
        </w:tc>
        <w:tc>
          <w:tcPr>
            <w:tcW w:w="980" w:type="dxa"/>
            <w:vAlign w:val="bottom"/>
            <w:tcBorders>
              <w:right w:val="single" w:sz="8" w:color="auto"/>
            </w:tcBorders>
          </w:tcPr>
          <w:p>
            <w:pPr>
              <w:jc w:val="center"/>
              <w:spacing w:after="0" w:line="120" w:lineRule="exact"/>
              <w:rPr>
                <w:sz w:val="20"/>
                <w:szCs w:val="20"/>
                <w:color w:val="auto"/>
              </w:rPr>
            </w:pPr>
            <w:r>
              <w:rPr>
                <w:rFonts w:ascii="Arial" w:cs="Arial" w:eastAsia="Arial" w:hAnsi="Arial"/>
                <w:sz w:val="11"/>
                <w:szCs w:val="11"/>
                <w:color w:val="auto"/>
                <w:w w:val="96"/>
              </w:rPr>
              <w:t>15.5%</w:t>
            </w:r>
          </w:p>
        </w:tc>
      </w:tr>
      <w:tr>
        <w:trPr>
          <w:trHeight w:val="149"/>
        </w:trPr>
        <w:tc>
          <w:tcPr>
            <w:tcW w:w="40" w:type="dxa"/>
            <w:vAlign w:val="bottom"/>
            <w:tcBorders>
              <w:right w:val="single" w:sz="8" w:color="auto"/>
            </w:tcBorders>
          </w:tcPr>
          <w:p>
            <w:pPr>
              <w:spacing w:after="0"/>
              <w:rPr>
                <w:sz w:val="12"/>
                <w:szCs w:val="12"/>
                <w:color w:val="auto"/>
              </w:rPr>
            </w:pPr>
          </w:p>
        </w:tc>
        <w:tc>
          <w:tcPr>
            <w:tcW w:w="4080" w:type="dxa"/>
            <w:vAlign w:val="bottom"/>
            <w:tcBorders>
              <w:right w:val="single" w:sz="8" w:color="auto"/>
            </w:tcBorders>
          </w:tcPr>
          <w:p>
            <w:pPr>
              <w:spacing w:after="0"/>
              <w:rPr>
                <w:sz w:val="20"/>
                <w:szCs w:val="20"/>
                <w:color w:val="auto"/>
              </w:rPr>
            </w:pPr>
            <w:r>
              <w:rPr>
                <w:rFonts w:ascii="Arial" w:cs="Arial" w:eastAsia="Arial" w:hAnsi="Arial"/>
                <w:sz w:val="11"/>
                <w:szCs w:val="11"/>
                <w:b w:val="1"/>
                <w:bCs w:val="1"/>
                <w:color w:val="auto"/>
              </w:rPr>
              <w:t>Total expenses</w:t>
            </w:r>
          </w:p>
        </w:tc>
        <w:tc>
          <w:tcPr>
            <w:tcW w:w="1120" w:type="dxa"/>
            <w:vAlign w:val="bottom"/>
          </w:tcPr>
          <w:p>
            <w:pPr>
              <w:jc w:val="right"/>
              <w:ind w:right="106"/>
              <w:spacing w:after="0"/>
              <w:rPr>
                <w:sz w:val="20"/>
                <w:szCs w:val="20"/>
                <w:color w:val="auto"/>
              </w:rPr>
            </w:pPr>
            <w:r>
              <w:rPr>
                <w:rFonts w:ascii="Arial" w:cs="Arial" w:eastAsia="Arial" w:hAnsi="Arial"/>
                <w:sz w:val="11"/>
                <w:szCs w:val="11"/>
                <w:b w:val="1"/>
                <w:bCs w:val="1"/>
                <w:color w:val="auto"/>
              </w:rPr>
              <w:t>(25,063)</w:t>
            </w:r>
          </w:p>
        </w:tc>
        <w:tc>
          <w:tcPr>
            <w:tcW w:w="1020" w:type="dxa"/>
            <w:vAlign w:val="bottom"/>
          </w:tcPr>
          <w:p>
            <w:pPr>
              <w:jc w:val="right"/>
              <w:ind w:right="106"/>
              <w:spacing w:after="0"/>
              <w:rPr>
                <w:sz w:val="20"/>
                <w:szCs w:val="20"/>
                <w:color w:val="auto"/>
              </w:rPr>
            </w:pPr>
            <w:r>
              <w:rPr>
                <w:rFonts w:ascii="Arial" w:cs="Arial" w:eastAsia="Arial" w:hAnsi="Arial"/>
                <w:sz w:val="11"/>
                <w:szCs w:val="11"/>
                <w:b w:val="1"/>
                <w:bCs w:val="1"/>
                <w:color w:val="auto"/>
              </w:rPr>
              <w:t>(39,943)</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1"/>
                <w:szCs w:val="11"/>
                <w:b w:val="1"/>
                <w:bCs w:val="1"/>
                <w:color w:val="auto"/>
              </w:rPr>
              <w:t>(17,977)</w:t>
            </w:r>
          </w:p>
        </w:tc>
        <w:tc>
          <w:tcPr>
            <w:tcW w:w="540" w:type="dxa"/>
            <w:vAlign w:val="bottom"/>
          </w:tcPr>
          <w:p>
            <w:pPr>
              <w:jc w:val="center"/>
              <w:spacing w:after="0"/>
              <w:rPr>
                <w:sz w:val="20"/>
                <w:szCs w:val="20"/>
                <w:color w:val="auto"/>
              </w:rPr>
            </w:pPr>
            <w:r>
              <w:rPr>
                <w:rFonts w:ascii="Arial" w:cs="Arial" w:eastAsia="Arial" w:hAnsi="Arial"/>
                <w:sz w:val="11"/>
                <w:szCs w:val="11"/>
                <w:color w:val="auto"/>
                <w:w w:val="97"/>
              </w:rPr>
              <w:t>-55.0%</w:t>
            </w:r>
          </w:p>
        </w:tc>
        <w:tc>
          <w:tcPr>
            <w:tcW w:w="580" w:type="dxa"/>
            <w:vAlign w:val="bottom"/>
          </w:tcPr>
          <w:p>
            <w:pPr>
              <w:jc w:val="center"/>
              <w:spacing w:after="0"/>
              <w:rPr>
                <w:sz w:val="20"/>
                <w:szCs w:val="20"/>
                <w:color w:val="auto"/>
              </w:rPr>
            </w:pPr>
            <w:r>
              <w:rPr>
                <w:rFonts w:ascii="Arial" w:cs="Arial" w:eastAsia="Arial" w:hAnsi="Arial"/>
                <w:sz w:val="11"/>
                <w:szCs w:val="11"/>
                <w:color w:val="auto"/>
                <w:w w:val="97"/>
              </w:rPr>
              <w:t>-28.3%</w:t>
            </w:r>
          </w:p>
        </w:tc>
        <w:tc>
          <w:tcPr>
            <w:tcW w:w="60" w:type="dxa"/>
            <w:vAlign w:val="bottom"/>
            <w:tcBorders>
              <w:right w:val="single" w:sz="8" w:color="auto"/>
            </w:tcBorders>
          </w:tcPr>
          <w:p>
            <w:pPr>
              <w:spacing w:after="0"/>
              <w:rPr>
                <w:sz w:val="12"/>
                <w:szCs w:val="12"/>
                <w:color w:val="auto"/>
              </w:rPr>
            </w:pPr>
          </w:p>
        </w:tc>
        <w:tc>
          <w:tcPr>
            <w:tcW w:w="1200" w:type="dxa"/>
            <w:vAlign w:val="bottom"/>
          </w:tcPr>
          <w:p>
            <w:pPr>
              <w:jc w:val="right"/>
              <w:ind w:right="186"/>
              <w:spacing w:after="0"/>
              <w:rPr>
                <w:sz w:val="20"/>
                <w:szCs w:val="20"/>
                <w:color w:val="auto"/>
              </w:rPr>
            </w:pPr>
            <w:r>
              <w:rPr>
                <w:rFonts w:ascii="Arial" w:cs="Arial" w:eastAsia="Arial" w:hAnsi="Arial"/>
                <w:sz w:val="11"/>
                <w:szCs w:val="11"/>
                <w:b w:val="1"/>
                <w:bCs w:val="1"/>
                <w:color w:val="auto"/>
              </w:rPr>
              <w:t>(61,517)</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1"/>
                <w:szCs w:val="11"/>
                <w:b w:val="1"/>
                <w:bCs w:val="1"/>
                <w:color w:val="auto"/>
              </w:rPr>
              <w:t>(57,920)</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-5.8%</w:t>
            </w:r>
          </w:p>
        </w:tc>
      </w:tr>
      <w:tr>
        <w:trPr>
          <w:trHeight w:val="247"/>
        </w:trPr>
        <w:tc>
          <w:tcPr>
            <w:tcW w:w="40" w:type="dxa"/>
            <w:vAlign w:val="bottom"/>
            <w:tcBorders>
              <w:right w:val="single" w:sz="8" w:color="auto"/>
            </w:tcBorders>
          </w:tcPr>
          <w:p>
            <w:pPr>
              <w:spacing w:after="0"/>
              <w:rPr>
                <w:sz w:val="21"/>
                <w:szCs w:val="21"/>
                <w:color w:val="auto"/>
              </w:rPr>
            </w:pPr>
          </w:p>
        </w:tc>
        <w:tc>
          <w:tcPr>
            <w:tcW w:w="4080" w:type="dxa"/>
            <w:vAlign w:val="bottom"/>
            <w:tcBorders>
              <w:right w:val="single" w:sz="8" w:color="auto"/>
            </w:tcBorders>
          </w:tcPr>
          <w:p>
            <w:pPr>
              <w:spacing w:after="0"/>
              <w:rPr>
                <w:sz w:val="20"/>
                <w:szCs w:val="20"/>
                <w:color w:val="auto"/>
              </w:rPr>
            </w:pPr>
            <w:r>
              <w:rPr>
                <w:rFonts w:ascii="Arial" w:cs="Arial" w:eastAsia="Arial" w:hAnsi="Arial"/>
                <w:sz w:val="11"/>
                <w:szCs w:val="11"/>
                <w:b w:val="1"/>
                <w:bCs w:val="1"/>
                <w:color w:val="auto"/>
              </w:rPr>
              <w:t>Operating income</w:t>
            </w:r>
          </w:p>
        </w:tc>
        <w:tc>
          <w:tcPr>
            <w:tcW w:w="1120" w:type="dxa"/>
            <w:vAlign w:val="bottom"/>
          </w:tcPr>
          <w:p>
            <w:pPr>
              <w:jc w:val="right"/>
              <w:ind w:right="106"/>
              <w:spacing w:after="0"/>
              <w:rPr>
                <w:sz w:val="20"/>
                <w:szCs w:val="20"/>
                <w:color w:val="auto"/>
              </w:rPr>
            </w:pPr>
            <w:r>
              <w:rPr>
                <w:rFonts w:ascii="Arial" w:cs="Arial" w:eastAsia="Arial" w:hAnsi="Arial"/>
                <w:sz w:val="11"/>
                <w:szCs w:val="11"/>
                <w:b w:val="1"/>
                <w:bCs w:val="1"/>
                <w:color w:val="auto"/>
              </w:rPr>
              <w:t>1,344,066</w:t>
            </w:r>
          </w:p>
        </w:tc>
        <w:tc>
          <w:tcPr>
            <w:tcW w:w="1020" w:type="dxa"/>
            <w:vAlign w:val="bottom"/>
          </w:tcPr>
          <w:p>
            <w:pPr>
              <w:jc w:val="right"/>
              <w:ind w:right="106"/>
              <w:spacing w:after="0"/>
              <w:rPr>
                <w:sz w:val="20"/>
                <w:szCs w:val="20"/>
                <w:color w:val="auto"/>
              </w:rPr>
            </w:pPr>
            <w:r>
              <w:rPr>
                <w:rFonts w:ascii="Arial" w:cs="Arial" w:eastAsia="Arial" w:hAnsi="Arial"/>
                <w:sz w:val="11"/>
                <w:szCs w:val="11"/>
                <w:b w:val="1"/>
                <w:bCs w:val="1"/>
                <w:color w:val="auto"/>
              </w:rPr>
              <w:t>3,267,766</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1"/>
                <w:szCs w:val="11"/>
                <w:b w:val="1"/>
                <w:bCs w:val="1"/>
                <w:color w:val="auto"/>
              </w:rPr>
              <w:t>1,293,643</w:t>
            </w:r>
          </w:p>
        </w:tc>
        <w:tc>
          <w:tcPr>
            <w:tcW w:w="540" w:type="dxa"/>
            <w:vAlign w:val="bottom"/>
          </w:tcPr>
          <w:p>
            <w:pPr>
              <w:jc w:val="center"/>
              <w:spacing w:after="0"/>
              <w:rPr>
                <w:sz w:val="20"/>
                <w:szCs w:val="20"/>
                <w:color w:val="auto"/>
              </w:rPr>
            </w:pPr>
            <w:r>
              <w:rPr>
                <w:rFonts w:ascii="Arial" w:cs="Arial" w:eastAsia="Arial" w:hAnsi="Arial"/>
                <w:sz w:val="11"/>
                <w:szCs w:val="11"/>
                <w:color w:val="auto"/>
                <w:w w:val="97"/>
              </w:rPr>
              <w:t>-60.4%</w:t>
            </w:r>
          </w:p>
        </w:tc>
        <w:tc>
          <w:tcPr>
            <w:tcW w:w="580" w:type="dxa"/>
            <w:vAlign w:val="bottom"/>
          </w:tcPr>
          <w:p>
            <w:pPr>
              <w:jc w:val="center"/>
              <w:spacing w:after="0"/>
              <w:rPr>
                <w:sz w:val="20"/>
                <w:szCs w:val="20"/>
                <w:color w:val="auto"/>
              </w:rPr>
            </w:pPr>
            <w:r>
              <w:rPr>
                <w:rFonts w:ascii="Arial" w:cs="Arial" w:eastAsia="Arial" w:hAnsi="Arial"/>
                <w:sz w:val="11"/>
                <w:szCs w:val="11"/>
                <w:color w:val="auto"/>
                <w:w w:val="97"/>
              </w:rPr>
              <w:t>-3.8%</w:t>
            </w:r>
          </w:p>
        </w:tc>
        <w:tc>
          <w:tcPr>
            <w:tcW w:w="60" w:type="dxa"/>
            <w:vAlign w:val="bottom"/>
            <w:tcBorders>
              <w:right w:val="single" w:sz="8" w:color="auto"/>
            </w:tcBorders>
          </w:tcPr>
          <w:p>
            <w:pPr>
              <w:spacing w:after="0"/>
              <w:rPr>
                <w:sz w:val="21"/>
                <w:szCs w:val="21"/>
                <w:color w:val="auto"/>
              </w:rPr>
            </w:pPr>
          </w:p>
        </w:tc>
        <w:tc>
          <w:tcPr>
            <w:tcW w:w="1200" w:type="dxa"/>
            <w:vAlign w:val="bottom"/>
          </w:tcPr>
          <w:p>
            <w:pPr>
              <w:jc w:val="right"/>
              <w:ind w:right="186"/>
              <w:spacing w:after="0"/>
              <w:rPr>
                <w:sz w:val="20"/>
                <w:szCs w:val="20"/>
                <w:color w:val="auto"/>
              </w:rPr>
            </w:pPr>
            <w:r>
              <w:rPr>
                <w:rFonts w:ascii="Arial" w:cs="Arial" w:eastAsia="Arial" w:hAnsi="Arial"/>
                <w:sz w:val="11"/>
                <w:szCs w:val="11"/>
                <w:b w:val="1"/>
                <w:bCs w:val="1"/>
                <w:color w:val="auto"/>
              </w:rPr>
              <w:t>3,908,596</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1"/>
                <w:szCs w:val="11"/>
                <w:b w:val="1"/>
                <w:bCs w:val="1"/>
                <w:color w:val="auto"/>
              </w:rPr>
              <w:t>4,533,457</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6"/>
              </w:rPr>
              <w:t>16.0%</w:t>
            </w:r>
          </w:p>
        </w:tc>
      </w:tr>
      <w:tr>
        <w:trPr>
          <w:trHeight w:val="226"/>
        </w:trPr>
        <w:tc>
          <w:tcPr>
            <w:tcW w:w="40" w:type="dxa"/>
            <w:vAlign w:val="bottom"/>
            <w:tcBorders>
              <w:right w:val="single" w:sz="8" w:color="auto"/>
            </w:tcBorders>
          </w:tcPr>
          <w:p>
            <w:pPr>
              <w:spacing w:after="0"/>
              <w:rPr>
                <w:sz w:val="19"/>
                <w:szCs w:val="19"/>
                <w:color w:val="auto"/>
              </w:rPr>
            </w:pPr>
          </w:p>
        </w:tc>
        <w:tc>
          <w:tcPr>
            <w:tcW w:w="408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Net gain (losses) from exchange differences</w:t>
            </w:r>
          </w:p>
        </w:tc>
        <w:tc>
          <w:tcPr>
            <w:tcW w:w="1120" w:type="dxa"/>
            <w:vAlign w:val="bottom"/>
          </w:tcPr>
          <w:p>
            <w:pPr>
              <w:jc w:val="right"/>
              <w:ind w:right="106"/>
              <w:spacing w:after="0"/>
              <w:rPr>
                <w:sz w:val="20"/>
                <w:szCs w:val="20"/>
                <w:color w:val="auto"/>
              </w:rPr>
            </w:pPr>
            <w:r>
              <w:rPr>
                <w:rFonts w:ascii="Arial" w:cs="Arial" w:eastAsia="Arial" w:hAnsi="Arial"/>
                <w:sz w:val="11"/>
                <w:szCs w:val="11"/>
                <w:color w:val="auto"/>
              </w:rPr>
              <w:t>31</w:t>
            </w:r>
          </w:p>
        </w:tc>
        <w:tc>
          <w:tcPr>
            <w:tcW w:w="1020" w:type="dxa"/>
            <w:vAlign w:val="bottom"/>
          </w:tcPr>
          <w:p>
            <w:pPr>
              <w:jc w:val="right"/>
              <w:ind w:right="106"/>
              <w:spacing w:after="0"/>
              <w:rPr>
                <w:sz w:val="20"/>
                <w:szCs w:val="20"/>
                <w:color w:val="auto"/>
              </w:rPr>
            </w:pPr>
            <w:r>
              <w:rPr>
                <w:rFonts w:ascii="Arial" w:cs="Arial" w:eastAsia="Arial" w:hAnsi="Arial"/>
                <w:sz w:val="11"/>
                <w:szCs w:val="11"/>
                <w:color w:val="auto"/>
              </w:rPr>
              <w:t>(3,442)</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1,383</w:t>
            </w:r>
          </w:p>
        </w:tc>
        <w:tc>
          <w:tcPr>
            <w:tcW w:w="540" w:type="dxa"/>
            <w:vAlign w:val="bottom"/>
          </w:tcPr>
          <w:p>
            <w:pPr>
              <w:jc w:val="center"/>
              <w:spacing w:after="0"/>
              <w:rPr>
                <w:sz w:val="20"/>
                <w:szCs w:val="20"/>
                <w:color w:val="auto"/>
              </w:rPr>
            </w:pPr>
            <w:r>
              <w:rPr>
                <w:rFonts w:ascii="Arial" w:cs="Arial" w:eastAsia="Arial" w:hAnsi="Arial"/>
                <w:sz w:val="11"/>
                <w:szCs w:val="11"/>
                <w:color w:val="auto"/>
                <w:w w:val="97"/>
              </w:rPr>
              <w:t>-140.2%</w:t>
            </w:r>
          </w:p>
        </w:tc>
        <w:tc>
          <w:tcPr>
            <w:tcW w:w="580" w:type="dxa"/>
            <w:vAlign w:val="bottom"/>
          </w:tcPr>
          <w:p>
            <w:pPr>
              <w:jc w:val="center"/>
              <w:spacing w:after="0"/>
              <w:rPr>
                <w:sz w:val="20"/>
                <w:szCs w:val="20"/>
                <w:color w:val="auto"/>
              </w:rPr>
            </w:pPr>
            <w:r>
              <w:rPr>
                <w:rFonts w:ascii="Arial" w:cs="Arial" w:eastAsia="Arial" w:hAnsi="Arial"/>
                <w:sz w:val="11"/>
                <w:szCs w:val="11"/>
                <w:color w:val="auto"/>
                <w:w w:val="96"/>
              </w:rPr>
              <w:t>4361.3%</w:t>
            </w:r>
          </w:p>
        </w:tc>
        <w:tc>
          <w:tcPr>
            <w:tcW w:w="60" w:type="dxa"/>
            <w:vAlign w:val="bottom"/>
            <w:tcBorders>
              <w:right w:val="single" w:sz="8" w:color="auto"/>
            </w:tcBorders>
          </w:tcPr>
          <w:p>
            <w:pPr>
              <w:spacing w:after="0"/>
              <w:rPr>
                <w:sz w:val="19"/>
                <w:szCs w:val="19"/>
                <w:color w:val="auto"/>
              </w:rPr>
            </w:pPr>
          </w:p>
        </w:tc>
        <w:tc>
          <w:tcPr>
            <w:tcW w:w="1200" w:type="dxa"/>
            <w:vAlign w:val="bottom"/>
          </w:tcPr>
          <w:p>
            <w:pPr>
              <w:jc w:val="right"/>
              <w:ind w:right="186"/>
              <w:spacing w:after="0"/>
              <w:rPr>
                <w:sz w:val="20"/>
                <w:szCs w:val="20"/>
                <w:color w:val="auto"/>
              </w:rPr>
            </w:pPr>
            <w:r>
              <w:rPr>
                <w:rFonts w:ascii="Arial" w:cs="Arial" w:eastAsia="Arial" w:hAnsi="Arial"/>
                <w:sz w:val="11"/>
                <w:szCs w:val="11"/>
                <w:color w:val="auto"/>
              </w:rPr>
              <w:t>(866)</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(2,059)</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6"/>
              </w:rPr>
              <w:t>137.8%</w:t>
            </w:r>
          </w:p>
        </w:tc>
      </w:tr>
      <w:tr>
        <w:trPr>
          <w:trHeight w:val="137"/>
        </w:trPr>
        <w:tc>
          <w:tcPr>
            <w:tcW w:w="40" w:type="dxa"/>
            <w:vAlign w:val="bottom"/>
            <w:tcBorders>
              <w:right w:val="single" w:sz="8" w:color="auto"/>
            </w:tcBorders>
          </w:tcPr>
          <w:p>
            <w:pPr>
              <w:spacing w:after="0"/>
              <w:rPr>
                <w:sz w:val="11"/>
                <w:szCs w:val="11"/>
                <w:color w:val="auto"/>
              </w:rPr>
            </w:pPr>
          </w:p>
        </w:tc>
        <w:tc>
          <w:tcPr>
            <w:tcW w:w="4080" w:type="dxa"/>
            <w:vAlign w:val="bottom"/>
            <w:tcBorders>
              <w:right w:val="single" w:sz="8" w:color="auto"/>
            </w:tcBorders>
          </w:tcPr>
          <w:p>
            <w:pPr>
              <w:spacing w:after="0"/>
              <w:rPr>
                <w:sz w:val="20"/>
                <w:szCs w:val="20"/>
                <w:color w:val="auto"/>
              </w:rPr>
            </w:pPr>
            <w:r>
              <w:rPr>
                <w:rFonts w:ascii="Arial" w:cs="Arial" w:eastAsia="Arial" w:hAnsi="Arial"/>
                <w:sz w:val="11"/>
                <w:szCs w:val="11"/>
                <w:color w:val="auto"/>
              </w:rPr>
              <w:t>Other, net</w:t>
            </w:r>
          </w:p>
        </w:tc>
        <w:tc>
          <w:tcPr>
            <w:tcW w:w="1120" w:type="dxa"/>
            <w:vAlign w:val="bottom"/>
          </w:tcPr>
          <w:p>
            <w:pPr>
              <w:jc w:val="right"/>
              <w:ind w:right="106"/>
              <w:spacing w:after="0"/>
              <w:rPr>
                <w:sz w:val="20"/>
                <w:szCs w:val="20"/>
                <w:color w:val="auto"/>
              </w:rPr>
            </w:pPr>
            <w:r>
              <w:rPr>
                <w:rFonts w:ascii="Arial" w:cs="Arial" w:eastAsia="Arial" w:hAnsi="Arial"/>
                <w:sz w:val="11"/>
                <w:szCs w:val="11"/>
                <w:color w:val="auto"/>
              </w:rPr>
              <w:t>231</w:t>
            </w:r>
          </w:p>
        </w:tc>
        <w:tc>
          <w:tcPr>
            <w:tcW w:w="1020" w:type="dxa"/>
            <w:vAlign w:val="bottom"/>
          </w:tcPr>
          <w:p>
            <w:pPr>
              <w:jc w:val="right"/>
              <w:ind w:right="106"/>
              <w:spacing w:after="0"/>
              <w:rPr>
                <w:sz w:val="20"/>
                <w:szCs w:val="20"/>
                <w:color w:val="auto"/>
              </w:rPr>
            </w:pPr>
            <w:r>
              <w:rPr>
                <w:rFonts w:ascii="Arial" w:cs="Arial" w:eastAsia="Arial" w:hAnsi="Arial"/>
                <w:sz w:val="11"/>
                <w:szCs w:val="11"/>
                <w:color w:val="auto"/>
              </w:rPr>
              <w:t>201</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2,665</w:t>
            </w:r>
          </w:p>
        </w:tc>
        <w:tc>
          <w:tcPr>
            <w:tcW w:w="540" w:type="dxa"/>
            <w:vAlign w:val="bottom"/>
          </w:tcPr>
          <w:p>
            <w:pPr>
              <w:jc w:val="center"/>
              <w:spacing w:after="0"/>
              <w:rPr>
                <w:sz w:val="20"/>
                <w:szCs w:val="20"/>
                <w:color w:val="auto"/>
              </w:rPr>
            </w:pPr>
            <w:r>
              <w:rPr>
                <w:rFonts w:ascii="Arial" w:cs="Arial" w:eastAsia="Arial" w:hAnsi="Arial"/>
                <w:sz w:val="11"/>
                <w:szCs w:val="11"/>
                <w:color w:val="auto"/>
                <w:w w:val="91"/>
              </w:rPr>
              <w:t>n.a</w:t>
            </w:r>
          </w:p>
        </w:tc>
        <w:tc>
          <w:tcPr>
            <w:tcW w:w="580" w:type="dxa"/>
            <w:vAlign w:val="bottom"/>
          </w:tcPr>
          <w:p>
            <w:pPr>
              <w:jc w:val="center"/>
              <w:spacing w:after="0"/>
              <w:rPr>
                <w:sz w:val="20"/>
                <w:szCs w:val="20"/>
                <w:color w:val="auto"/>
              </w:rPr>
            </w:pPr>
            <w:r>
              <w:rPr>
                <w:rFonts w:ascii="Arial" w:cs="Arial" w:eastAsia="Arial" w:hAnsi="Arial"/>
                <w:sz w:val="11"/>
                <w:szCs w:val="11"/>
                <w:color w:val="auto"/>
                <w:w w:val="91"/>
              </w:rPr>
              <w:t>n.a</w:t>
            </w:r>
          </w:p>
        </w:tc>
        <w:tc>
          <w:tcPr>
            <w:tcW w:w="60" w:type="dxa"/>
            <w:vAlign w:val="bottom"/>
            <w:tcBorders>
              <w:right w:val="single" w:sz="8" w:color="auto"/>
            </w:tcBorders>
          </w:tcPr>
          <w:p>
            <w:pPr>
              <w:spacing w:after="0"/>
              <w:rPr>
                <w:sz w:val="11"/>
                <w:szCs w:val="11"/>
                <w:color w:val="auto"/>
              </w:rPr>
            </w:pPr>
          </w:p>
        </w:tc>
        <w:tc>
          <w:tcPr>
            <w:tcW w:w="1200" w:type="dxa"/>
            <w:vAlign w:val="bottom"/>
          </w:tcPr>
          <w:p>
            <w:pPr>
              <w:jc w:val="right"/>
              <w:ind w:right="186"/>
              <w:spacing w:after="0"/>
              <w:rPr>
                <w:sz w:val="20"/>
                <w:szCs w:val="20"/>
                <w:color w:val="auto"/>
              </w:rPr>
            </w:pPr>
            <w:r>
              <w:rPr>
                <w:rFonts w:ascii="Arial" w:cs="Arial" w:eastAsia="Arial" w:hAnsi="Arial"/>
                <w:sz w:val="11"/>
                <w:szCs w:val="11"/>
                <w:color w:val="auto"/>
              </w:rPr>
              <w:t>450</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2,866</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6"/>
              </w:rPr>
              <w:t>536.9%</w:t>
            </w:r>
          </w:p>
        </w:tc>
      </w:tr>
      <w:tr>
        <w:trPr>
          <w:trHeight w:val="358"/>
        </w:trPr>
        <w:tc>
          <w:tcPr>
            <w:tcW w:w="40" w:type="dxa"/>
            <w:vAlign w:val="bottom"/>
            <w:tcBorders>
              <w:right w:val="single" w:sz="8" w:color="auto"/>
            </w:tcBorders>
          </w:tcPr>
          <w:p>
            <w:pPr>
              <w:spacing w:after="0"/>
              <w:rPr>
                <w:sz w:val="24"/>
                <w:szCs w:val="24"/>
                <w:color w:val="auto"/>
              </w:rPr>
            </w:pPr>
          </w:p>
        </w:tc>
        <w:tc>
          <w:tcPr>
            <w:tcW w:w="4080" w:type="dxa"/>
            <w:vAlign w:val="bottom"/>
            <w:tcBorders>
              <w:right w:val="single" w:sz="8" w:color="auto"/>
            </w:tcBorders>
          </w:tcPr>
          <w:p>
            <w:pPr>
              <w:spacing w:after="0"/>
              <w:rPr>
                <w:sz w:val="20"/>
                <w:szCs w:val="20"/>
                <w:color w:val="auto"/>
              </w:rPr>
            </w:pPr>
            <w:r>
              <w:rPr>
                <w:rFonts w:ascii="Arial" w:cs="Arial" w:eastAsia="Arial" w:hAnsi="Arial"/>
                <w:sz w:val="11"/>
                <w:szCs w:val="11"/>
                <w:b w:val="1"/>
                <w:bCs w:val="1"/>
                <w:color w:val="auto"/>
              </w:rPr>
              <w:t>Profit before income tax</w:t>
            </w:r>
          </w:p>
        </w:tc>
        <w:tc>
          <w:tcPr>
            <w:tcW w:w="1120" w:type="dxa"/>
            <w:vAlign w:val="bottom"/>
          </w:tcPr>
          <w:p>
            <w:pPr>
              <w:jc w:val="right"/>
              <w:ind w:right="106"/>
              <w:spacing w:after="0"/>
              <w:rPr>
                <w:sz w:val="20"/>
                <w:szCs w:val="20"/>
                <w:color w:val="auto"/>
              </w:rPr>
            </w:pPr>
            <w:r>
              <w:rPr>
                <w:rFonts w:ascii="Arial" w:cs="Arial" w:eastAsia="Arial" w:hAnsi="Arial"/>
                <w:sz w:val="11"/>
                <w:szCs w:val="11"/>
                <w:b w:val="1"/>
                <w:bCs w:val="1"/>
                <w:color w:val="auto"/>
              </w:rPr>
              <w:t>1,344,328</w:t>
            </w:r>
          </w:p>
        </w:tc>
        <w:tc>
          <w:tcPr>
            <w:tcW w:w="1020" w:type="dxa"/>
            <w:vAlign w:val="bottom"/>
          </w:tcPr>
          <w:p>
            <w:pPr>
              <w:jc w:val="right"/>
              <w:ind w:right="106"/>
              <w:spacing w:after="0"/>
              <w:rPr>
                <w:sz w:val="20"/>
                <w:szCs w:val="20"/>
                <w:color w:val="auto"/>
              </w:rPr>
            </w:pPr>
            <w:r>
              <w:rPr>
                <w:rFonts w:ascii="Arial" w:cs="Arial" w:eastAsia="Arial" w:hAnsi="Arial"/>
                <w:sz w:val="11"/>
                <w:szCs w:val="11"/>
                <w:b w:val="1"/>
                <w:bCs w:val="1"/>
                <w:color w:val="auto"/>
              </w:rPr>
              <w:t>3,236,573</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1"/>
                <w:szCs w:val="11"/>
                <w:b w:val="1"/>
                <w:bCs w:val="1"/>
                <w:color w:val="auto"/>
              </w:rPr>
              <w:t>1,283,811</w:t>
            </w:r>
          </w:p>
        </w:tc>
        <w:tc>
          <w:tcPr>
            <w:tcW w:w="540" w:type="dxa"/>
            <w:vAlign w:val="bottom"/>
          </w:tcPr>
          <w:p>
            <w:pPr>
              <w:jc w:val="center"/>
              <w:spacing w:after="0"/>
              <w:rPr>
                <w:sz w:val="20"/>
                <w:szCs w:val="20"/>
                <w:color w:val="auto"/>
              </w:rPr>
            </w:pPr>
            <w:r>
              <w:rPr>
                <w:rFonts w:ascii="Arial" w:cs="Arial" w:eastAsia="Arial" w:hAnsi="Arial"/>
                <w:sz w:val="11"/>
                <w:szCs w:val="11"/>
                <w:color w:val="auto"/>
                <w:w w:val="97"/>
              </w:rPr>
              <w:t>-60.3%</w:t>
            </w:r>
          </w:p>
        </w:tc>
        <w:tc>
          <w:tcPr>
            <w:tcW w:w="580" w:type="dxa"/>
            <w:vAlign w:val="bottom"/>
          </w:tcPr>
          <w:p>
            <w:pPr>
              <w:jc w:val="center"/>
              <w:spacing w:after="0"/>
              <w:rPr>
                <w:sz w:val="20"/>
                <w:szCs w:val="20"/>
                <w:color w:val="auto"/>
              </w:rPr>
            </w:pPr>
            <w:r>
              <w:rPr>
                <w:rFonts w:ascii="Arial" w:cs="Arial" w:eastAsia="Arial" w:hAnsi="Arial"/>
                <w:sz w:val="11"/>
                <w:szCs w:val="11"/>
                <w:color w:val="auto"/>
                <w:w w:val="97"/>
              </w:rPr>
              <w:t>-4.5%</w:t>
            </w:r>
          </w:p>
        </w:tc>
        <w:tc>
          <w:tcPr>
            <w:tcW w:w="60" w:type="dxa"/>
            <w:vAlign w:val="bottom"/>
            <w:tcBorders>
              <w:right w:val="single" w:sz="8" w:color="auto"/>
            </w:tcBorders>
          </w:tcPr>
          <w:p>
            <w:pPr>
              <w:spacing w:after="0"/>
              <w:rPr>
                <w:sz w:val="24"/>
                <w:szCs w:val="24"/>
                <w:color w:val="auto"/>
              </w:rPr>
            </w:pPr>
          </w:p>
        </w:tc>
        <w:tc>
          <w:tcPr>
            <w:tcW w:w="1200" w:type="dxa"/>
            <w:vAlign w:val="bottom"/>
          </w:tcPr>
          <w:p>
            <w:pPr>
              <w:jc w:val="right"/>
              <w:ind w:right="186"/>
              <w:spacing w:after="0"/>
              <w:rPr>
                <w:sz w:val="20"/>
                <w:szCs w:val="20"/>
                <w:color w:val="auto"/>
              </w:rPr>
            </w:pPr>
            <w:r>
              <w:rPr>
                <w:rFonts w:ascii="Arial" w:cs="Arial" w:eastAsia="Arial" w:hAnsi="Arial"/>
                <w:sz w:val="11"/>
                <w:szCs w:val="11"/>
                <w:b w:val="1"/>
                <w:bCs w:val="1"/>
                <w:color w:val="auto"/>
              </w:rPr>
              <w:t>3,908,180</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1"/>
                <w:szCs w:val="11"/>
                <w:b w:val="1"/>
                <w:bCs w:val="1"/>
                <w:color w:val="auto"/>
              </w:rPr>
              <w:t>4,520,384</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6"/>
              </w:rPr>
              <w:t>15.7%</w:t>
            </w:r>
          </w:p>
        </w:tc>
      </w:tr>
      <w:tr>
        <w:trPr>
          <w:trHeight w:val="120"/>
        </w:trPr>
        <w:tc>
          <w:tcPr>
            <w:tcW w:w="40" w:type="dxa"/>
            <w:vAlign w:val="bottom"/>
            <w:tcBorders>
              <w:right w:val="single" w:sz="8" w:color="auto"/>
            </w:tcBorders>
          </w:tcPr>
          <w:p>
            <w:pPr>
              <w:spacing w:after="0"/>
              <w:rPr>
                <w:sz w:val="10"/>
                <w:szCs w:val="10"/>
                <w:color w:val="auto"/>
              </w:rPr>
            </w:pPr>
          </w:p>
        </w:tc>
        <w:tc>
          <w:tcPr>
            <w:tcW w:w="4080" w:type="dxa"/>
            <w:vAlign w:val="bottom"/>
            <w:tcBorders>
              <w:right w:val="single" w:sz="8" w:color="auto"/>
            </w:tcBorders>
          </w:tcPr>
          <w:p>
            <w:pPr>
              <w:spacing w:after="0" w:line="120" w:lineRule="exact"/>
              <w:rPr>
                <w:sz w:val="20"/>
                <w:szCs w:val="20"/>
                <w:color w:val="auto"/>
              </w:rPr>
            </w:pPr>
            <w:r>
              <w:rPr>
                <w:rFonts w:ascii="Arial" w:cs="Arial" w:eastAsia="Arial" w:hAnsi="Arial"/>
                <w:sz w:val="11"/>
                <w:szCs w:val="11"/>
                <w:color w:val="auto"/>
              </w:rPr>
              <w:t>Income tax</w:t>
            </w:r>
          </w:p>
        </w:tc>
        <w:tc>
          <w:tcPr>
            <w:tcW w:w="1120" w:type="dxa"/>
            <w:vAlign w:val="bottom"/>
          </w:tcPr>
          <w:p>
            <w:pPr>
              <w:jc w:val="right"/>
              <w:ind w:right="106"/>
              <w:spacing w:after="0" w:line="120" w:lineRule="exact"/>
              <w:rPr>
                <w:sz w:val="20"/>
                <w:szCs w:val="20"/>
                <w:color w:val="auto"/>
              </w:rPr>
            </w:pPr>
            <w:r>
              <w:rPr>
                <w:rFonts w:ascii="Arial" w:cs="Arial" w:eastAsia="Arial" w:hAnsi="Arial"/>
                <w:sz w:val="11"/>
                <w:szCs w:val="11"/>
                <w:color w:val="auto"/>
              </w:rPr>
              <w:t>(42,000)</w:t>
            </w:r>
          </w:p>
        </w:tc>
        <w:tc>
          <w:tcPr>
            <w:tcW w:w="1020" w:type="dxa"/>
            <w:vAlign w:val="bottom"/>
          </w:tcPr>
          <w:p>
            <w:pPr>
              <w:jc w:val="right"/>
              <w:ind w:right="106"/>
              <w:spacing w:after="0" w:line="120" w:lineRule="exact"/>
              <w:rPr>
                <w:sz w:val="20"/>
                <w:szCs w:val="20"/>
                <w:color w:val="auto"/>
              </w:rPr>
            </w:pPr>
            <w:r>
              <w:rPr>
                <w:rFonts w:ascii="Arial" w:cs="Arial" w:eastAsia="Arial" w:hAnsi="Arial"/>
                <w:sz w:val="11"/>
                <w:szCs w:val="11"/>
                <w:color w:val="auto"/>
              </w:rPr>
              <w:t>(93,888)</w:t>
            </w:r>
          </w:p>
        </w:tc>
        <w:tc>
          <w:tcPr>
            <w:tcW w:w="880" w:type="dxa"/>
            <w:vAlign w:val="bottom"/>
            <w:tcBorders>
              <w:right w:val="single" w:sz="8" w:color="auto"/>
            </w:tcBorders>
          </w:tcPr>
          <w:p>
            <w:pPr>
              <w:jc w:val="right"/>
              <w:spacing w:after="0" w:line="120" w:lineRule="exact"/>
              <w:rPr>
                <w:sz w:val="20"/>
                <w:szCs w:val="20"/>
                <w:color w:val="auto"/>
              </w:rPr>
            </w:pPr>
            <w:r>
              <w:rPr>
                <w:rFonts w:ascii="Arial" w:cs="Arial" w:eastAsia="Arial" w:hAnsi="Arial"/>
                <w:sz w:val="11"/>
                <w:szCs w:val="11"/>
                <w:color w:val="auto"/>
              </w:rPr>
              <w:t>(46,850)</w:t>
            </w:r>
          </w:p>
        </w:tc>
        <w:tc>
          <w:tcPr>
            <w:tcW w:w="540" w:type="dxa"/>
            <w:vAlign w:val="bottom"/>
          </w:tcPr>
          <w:p>
            <w:pPr>
              <w:jc w:val="center"/>
              <w:spacing w:after="0" w:line="120" w:lineRule="exact"/>
              <w:rPr>
                <w:sz w:val="20"/>
                <w:szCs w:val="20"/>
                <w:color w:val="auto"/>
              </w:rPr>
            </w:pPr>
            <w:r>
              <w:rPr>
                <w:rFonts w:ascii="Arial" w:cs="Arial" w:eastAsia="Arial" w:hAnsi="Arial"/>
                <w:sz w:val="11"/>
                <w:szCs w:val="11"/>
                <w:color w:val="auto"/>
                <w:w w:val="97"/>
              </w:rPr>
              <w:t>-50.1%</w:t>
            </w:r>
          </w:p>
        </w:tc>
        <w:tc>
          <w:tcPr>
            <w:tcW w:w="580" w:type="dxa"/>
            <w:vAlign w:val="bottom"/>
          </w:tcPr>
          <w:p>
            <w:pPr>
              <w:jc w:val="center"/>
              <w:spacing w:after="0" w:line="120" w:lineRule="exact"/>
              <w:rPr>
                <w:sz w:val="20"/>
                <w:szCs w:val="20"/>
                <w:color w:val="auto"/>
              </w:rPr>
            </w:pPr>
            <w:r>
              <w:rPr>
                <w:rFonts w:ascii="Arial" w:cs="Arial" w:eastAsia="Arial" w:hAnsi="Arial"/>
                <w:sz w:val="11"/>
                <w:szCs w:val="11"/>
                <w:color w:val="auto"/>
                <w:w w:val="96"/>
              </w:rPr>
              <w:t>11.5%</w:t>
            </w:r>
          </w:p>
        </w:tc>
        <w:tc>
          <w:tcPr>
            <w:tcW w:w="60" w:type="dxa"/>
            <w:vAlign w:val="bottom"/>
            <w:tcBorders>
              <w:right w:val="single" w:sz="8" w:color="auto"/>
            </w:tcBorders>
          </w:tcPr>
          <w:p>
            <w:pPr>
              <w:spacing w:after="0"/>
              <w:rPr>
                <w:sz w:val="10"/>
                <w:szCs w:val="10"/>
                <w:color w:val="auto"/>
              </w:rPr>
            </w:pPr>
          </w:p>
        </w:tc>
        <w:tc>
          <w:tcPr>
            <w:tcW w:w="1200" w:type="dxa"/>
            <w:vAlign w:val="bottom"/>
          </w:tcPr>
          <w:p>
            <w:pPr>
              <w:jc w:val="right"/>
              <w:ind w:right="186"/>
              <w:spacing w:after="0" w:line="120" w:lineRule="exact"/>
              <w:rPr>
                <w:sz w:val="20"/>
                <w:szCs w:val="20"/>
                <w:color w:val="auto"/>
              </w:rPr>
            </w:pPr>
            <w:r>
              <w:rPr>
                <w:rFonts w:ascii="Arial" w:cs="Arial" w:eastAsia="Arial" w:hAnsi="Arial"/>
                <w:sz w:val="11"/>
                <w:szCs w:val="11"/>
                <w:color w:val="auto"/>
              </w:rPr>
              <w:t>(126,290)</w:t>
            </w:r>
          </w:p>
        </w:tc>
        <w:tc>
          <w:tcPr>
            <w:tcW w:w="780" w:type="dxa"/>
            <w:vAlign w:val="bottom"/>
            <w:tcBorders>
              <w:right w:val="single" w:sz="8" w:color="auto"/>
            </w:tcBorders>
          </w:tcPr>
          <w:p>
            <w:pPr>
              <w:jc w:val="right"/>
              <w:spacing w:after="0" w:line="120" w:lineRule="exact"/>
              <w:rPr>
                <w:sz w:val="20"/>
                <w:szCs w:val="20"/>
                <w:color w:val="auto"/>
              </w:rPr>
            </w:pPr>
            <w:r>
              <w:rPr>
                <w:rFonts w:ascii="Arial" w:cs="Arial" w:eastAsia="Arial" w:hAnsi="Arial"/>
                <w:sz w:val="11"/>
                <w:szCs w:val="11"/>
                <w:color w:val="auto"/>
              </w:rPr>
              <w:t>(140,738)</w:t>
            </w:r>
          </w:p>
        </w:tc>
        <w:tc>
          <w:tcPr>
            <w:tcW w:w="980" w:type="dxa"/>
            <w:vAlign w:val="bottom"/>
            <w:tcBorders>
              <w:right w:val="single" w:sz="8" w:color="auto"/>
            </w:tcBorders>
          </w:tcPr>
          <w:p>
            <w:pPr>
              <w:jc w:val="center"/>
              <w:spacing w:after="0" w:line="120" w:lineRule="exact"/>
              <w:rPr>
                <w:sz w:val="20"/>
                <w:szCs w:val="20"/>
                <w:color w:val="auto"/>
              </w:rPr>
            </w:pPr>
            <w:r>
              <w:rPr>
                <w:rFonts w:ascii="Arial" w:cs="Arial" w:eastAsia="Arial" w:hAnsi="Arial"/>
                <w:sz w:val="11"/>
                <w:szCs w:val="11"/>
                <w:color w:val="auto"/>
                <w:w w:val="96"/>
              </w:rPr>
              <w:t>11.4%</w:t>
            </w:r>
          </w:p>
        </w:tc>
      </w:tr>
      <w:tr>
        <w:trPr>
          <w:trHeight w:val="134"/>
        </w:trPr>
        <w:tc>
          <w:tcPr>
            <w:tcW w:w="40" w:type="dxa"/>
            <w:vAlign w:val="bottom"/>
            <w:tcBorders>
              <w:right w:val="single" w:sz="8" w:color="auto"/>
            </w:tcBorders>
          </w:tcPr>
          <w:p>
            <w:pPr>
              <w:spacing w:after="0"/>
              <w:rPr>
                <w:sz w:val="11"/>
                <w:szCs w:val="11"/>
                <w:color w:val="auto"/>
              </w:rPr>
            </w:pPr>
          </w:p>
        </w:tc>
        <w:tc>
          <w:tcPr>
            <w:tcW w:w="40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b w:val="1"/>
                <w:bCs w:val="1"/>
                <w:color w:val="auto"/>
              </w:rPr>
              <w:t>Net income</w:t>
            </w:r>
          </w:p>
        </w:tc>
        <w:tc>
          <w:tcPr>
            <w:tcW w:w="11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1,302,328</w:t>
            </w:r>
          </w:p>
        </w:tc>
        <w:tc>
          <w:tcPr>
            <w:tcW w:w="102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3,142,685</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b w:val="1"/>
                <w:bCs w:val="1"/>
                <w:color w:val="auto"/>
              </w:rPr>
              <w:t>1,236,961</w:t>
            </w: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7"/>
              </w:rPr>
              <w:t>-60.6%</w:t>
            </w: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w w:val="97"/>
              </w:rPr>
              <w:t>-5.0%</w:t>
            </w:r>
          </w:p>
        </w:tc>
        <w:tc>
          <w:tcPr>
            <w:tcW w:w="60" w:type="dxa"/>
            <w:vAlign w:val="bottom"/>
            <w:tcBorders>
              <w:bottom w:val="single" w:sz="8" w:color="auto"/>
              <w:right w:val="single" w:sz="8" w:color="auto"/>
            </w:tcBorders>
          </w:tcPr>
          <w:p>
            <w:pPr>
              <w:spacing w:after="0"/>
              <w:rPr>
                <w:sz w:val="11"/>
                <w:szCs w:val="11"/>
                <w:color w:val="auto"/>
              </w:rPr>
            </w:pPr>
          </w:p>
        </w:tc>
        <w:tc>
          <w:tcPr>
            <w:tcW w:w="1200" w:type="dxa"/>
            <w:vAlign w:val="bottom"/>
            <w:tcBorders>
              <w:bottom w:val="single" w:sz="8" w:color="auto"/>
            </w:tcBorders>
          </w:tcPr>
          <w:p>
            <w:pPr>
              <w:jc w:val="right"/>
              <w:ind w:right="186"/>
              <w:spacing w:after="0"/>
              <w:rPr>
                <w:sz w:val="20"/>
                <w:szCs w:val="20"/>
                <w:color w:val="auto"/>
              </w:rPr>
            </w:pPr>
            <w:r>
              <w:rPr>
                <w:rFonts w:ascii="Arial" w:cs="Arial" w:eastAsia="Arial" w:hAnsi="Arial"/>
                <w:sz w:val="11"/>
                <w:szCs w:val="11"/>
                <w:b w:val="1"/>
                <w:bCs w:val="1"/>
                <w:color w:val="auto"/>
              </w:rPr>
              <w:t>3,781,890</w:t>
            </w:r>
          </w:p>
        </w:tc>
        <w:tc>
          <w:tcPr>
            <w:tcW w:w="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b w:val="1"/>
                <w:bCs w:val="1"/>
                <w:color w:val="auto"/>
              </w:rPr>
              <w:t>4,379,646</w:t>
            </w: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6"/>
              </w:rPr>
              <w:t>15.8%</w:t>
            </w:r>
          </w:p>
        </w:tc>
      </w:tr>
      <w:tr>
        <w:trPr>
          <w:trHeight w:val="116"/>
        </w:trPr>
        <w:tc>
          <w:tcPr>
            <w:tcW w:w="40" w:type="dxa"/>
            <w:vAlign w:val="bottom"/>
            <w:tcBorders>
              <w:bottom w:val="single" w:sz="8" w:color="646464"/>
            </w:tcBorders>
          </w:tcPr>
          <w:p>
            <w:pPr>
              <w:spacing w:after="0"/>
              <w:rPr>
                <w:sz w:val="10"/>
                <w:szCs w:val="10"/>
                <w:color w:val="auto"/>
              </w:rPr>
            </w:pPr>
          </w:p>
        </w:tc>
        <w:tc>
          <w:tcPr>
            <w:tcW w:w="40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r>
      <w:tr>
        <w:trPr>
          <w:trHeight w:val="116"/>
        </w:trPr>
        <w:tc>
          <w:tcPr>
            <w:tcW w:w="40" w:type="dxa"/>
            <w:vAlign w:val="bottom"/>
            <w:tcBorders>
              <w:bottom w:val="single" w:sz="8" w:color="646464"/>
              <w:right w:val="single" w:sz="8" w:color="646464"/>
            </w:tcBorders>
            <w:shd w:val="clear" w:color="auto" w:fill="646464"/>
          </w:tcPr>
          <w:p>
            <w:pPr>
              <w:spacing w:after="0"/>
              <w:rPr>
                <w:sz w:val="10"/>
                <w:szCs w:val="10"/>
                <w:color w:val="auto"/>
              </w:rPr>
            </w:pPr>
          </w:p>
        </w:tc>
        <w:tc>
          <w:tcPr>
            <w:tcW w:w="4080" w:type="dxa"/>
            <w:vAlign w:val="bottom"/>
            <w:tcBorders>
              <w:bottom w:val="single" w:sz="8" w:color="auto"/>
              <w:right w:val="single" w:sz="8" w:color="auto"/>
            </w:tcBorders>
          </w:tcPr>
          <w:p>
            <w:pPr>
              <w:spacing w:after="0" w:line="116" w:lineRule="exact"/>
              <w:rPr>
                <w:sz w:val="20"/>
                <w:szCs w:val="20"/>
                <w:color w:val="auto"/>
              </w:rPr>
            </w:pPr>
            <w:r>
              <w:rPr>
                <w:rFonts w:ascii="Arial" w:cs="Arial" w:eastAsia="Arial" w:hAnsi="Arial"/>
                <w:sz w:val="11"/>
                <w:szCs w:val="11"/>
                <w:b w:val="1"/>
                <w:bCs w:val="1"/>
                <w:color w:val="auto"/>
              </w:rPr>
              <w:t>Double Leverage Ratio</w:t>
            </w:r>
          </w:p>
        </w:tc>
        <w:tc>
          <w:tcPr>
            <w:tcW w:w="1120" w:type="dxa"/>
            <w:vAlign w:val="bottom"/>
            <w:tcBorders>
              <w:bottom w:val="single" w:sz="8" w:color="auto"/>
            </w:tcBorders>
          </w:tcPr>
          <w:p>
            <w:pPr>
              <w:jc w:val="right"/>
              <w:ind w:right="106"/>
              <w:spacing w:after="0" w:line="116" w:lineRule="exact"/>
              <w:rPr>
                <w:sz w:val="20"/>
                <w:szCs w:val="20"/>
                <w:color w:val="auto"/>
              </w:rPr>
            </w:pPr>
            <w:r>
              <w:rPr>
                <w:rFonts w:ascii="Arial" w:cs="Arial" w:eastAsia="Arial" w:hAnsi="Arial"/>
                <w:sz w:val="11"/>
                <w:szCs w:val="11"/>
                <w:b w:val="1"/>
                <w:bCs w:val="1"/>
                <w:color w:val="auto"/>
              </w:rPr>
              <w:t>103.36%</w:t>
            </w:r>
          </w:p>
        </w:tc>
        <w:tc>
          <w:tcPr>
            <w:tcW w:w="1020" w:type="dxa"/>
            <w:vAlign w:val="bottom"/>
            <w:tcBorders>
              <w:bottom w:val="single" w:sz="8" w:color="auto"/>
            </w:tcBorders>
          </w:tcPr>
          <w:p>
            <w:pPr>
              <w:jc w:val="right"/>
              <w:ind w:right="106"/>
              <w:spacing w:after="0" w:line="116" w:lineRule="exact"/>
              <w:rPr>
                <w:sz w:val="20"/>
                <w:szCs w:val="20"/>
                <w:color w:val="auto"/>
              </w:rPr>
            </w:pPr>
            <w:r>
              <w:rPr>
                <w:rFonts w:ascii="Arial" w:cs="Arial" w:eastAsia="Arial" w:hAnsi="Arial"/>
                <w:sz w:val="11"/>
                <w:szCs w:val="11"/>
                <w:b w:val="1"/>
                <w:bCs w:val="1"/>
                <w:color w:val="auto"/>
              </w:rPr>
              <w:t>101.72%</w:t>
            </w:r>
          </w:p>
        </w:tc>
        <w:tc>
          <w:tcPr>
            <w:tcW w:w="880" w:type="dxa"/>
            <w:vAlign w:val="bottom"/>
            <w:tcBorders>
              <w:bottom w:val="single" w:sz="8" w:color="auto"/>
              <w:right w:val="single" w:sz="8" w:color="auto"/>
            </w:tcBorders>
          </w:tcPr>
          <w:p>
            <w:pPr>
              <w:jc w:val="right"/>
              <w:spacing w:after="0" w:line="116" w:lineRule="exact"/>
              <w:rPr>
                <w:sz w:val="20"/>
                <w:szCs w:val="20"/>
                <w:color w:val="auto"/>
              </w:rPr>
            </w:pPr>
            <w:r>
              <w:rPr>
                <w:rFonts w:ascii="Arial" w:cs="Arial" w:eastAsia="Arial" w:hAnsi="Arial"/>
                <w:sz w:val="11"/>
                <w:szCs w:val="11"/>
                <w:b w:val="1"/>
                <w:bCs w:val="1"/>
                <w:color w:val="auto"/>
              </w:rPr>
              <w:t>102.17%</w:t>
            </w:r>
          </w:p>
        </w:tc>
        <w:tc>
          <w:tcPr>
            <w:tcW w:w="540" w:type="dxa"/>
            <w:vAlign w:val="bottom"/>
            <w:tcBorders>
              <w:bottom w:val="single" w:sz="8" w:color="auto"/>
            </w:tcBorders>
          </w:tcPr>
          <w:p>
            <w:pPr>
              <w:jc w:val="center"/>
              <w:spacing w:after="0" w:line="116" w:lineRule="exact"/>
              <w:rPr>
                <w:sz w:val="20"/>
                <w:szCs w:val="20"/>
                <w:color w:val="auto"/>
              </w:rPr>
            </w:pPr>
            <w:r>
              <w:rPr>
                <w:rFonts w:ascii="Arial" w:cs="Arial" w:eastAsia="Arial" w:hAnsi="Arial"/>
                <w:sz w:val="11"/>
                <w:szCs w:val="11"/>
                <w:color w:val="auto"/>
                <w:w w:val="99"/>
              </w:rPr>
              <w:t>45bps</w:t>
            </w:r>
          </w:p>
        </w:tc>
        <w:tc>
          <w:tcPr>
            <w:tcW w:w="580" w:type="dxa"/>
            <w:vAlign w:val="bottom"/>
            <w:tcBorders>
              <w:bottom w:val="single" w:sz="8" w:color="auto"/>
            </w:tcBorders>
          </w:tcPr>
          <w:p>
            <w:pPr>
              <w:jc w:val="center"/>
              <w:spacing w:after="0" w:line="116" w:lineRule="exact"/>
              <w:rPr>
                <w:sz w:val="20"/>
                <w:szCs w:val="20"/>
                <w:color w:val="auto"/>
              </w:rPr>
            </w:pPr>
            <w:r>
              <w:rPr>
                <w:rFonts w:ascii="Arial" w:cs="Arial" w:eastAsia="Arial" w:hAnsi="Arial"/>
                <w:sz w:val="11"/>
                <w:szCs w:val="11"/>
                <w:color w:val="auto"/>
                <w:w w:val="95"/>
              </w:rPr>
              <w:t>-119bps</w:t>
            </w:r>
          </w:p>
        </w:tc>
        <w:tc>
          <w:tcPr>
            <w:tcW w:w="60" w:type="dxa"/>
            <w:vAlign w:val="bottom"/>
            <w:tcBorders>
              <w:bottom w:val="single" w:sz="8" w:color="auto"/>
              <w:right w:val="single" w:sz="8" w:color="auto"/>
            </w:tcBorders>
          </w:tcPr>
          <w:p>
            <w:pPr>
              <w:spacing w:after="0"/>
              <w:rPr>
                <w:sz w:val="10"/>
                <w:szCs w:val="10"/>
                <w:color w:val="auto"/>
              </w:rPr>
            </w:pPr>
          </w:p>
        </w:tc>
        <w:tc>
          <w:tcPr>
            <w:tcW w:w="1200" w:type="dxa"/>
            <w:vAlign w:val="bottom"/>
            <w:tcBorders>
              <w:bottom w:val="single" w:sz="8" w:color="auto"/>
            </w:tcBorders>
          </w:tcPr>
          <w:p>
            <w:pPr>
              <w:jc w:val="right"/>
              <w:ind w:right="186"/>
              <w:spacing w:after="0" w:line="116" w:lineRule="exact"/>
              <w:rPr>
                <w:sz w:val="20"/>
                <w:szCs w:val="20"/>
                <w:color w:val="auto"/>
              </w:rPr>
            </w:pPr>
            <w:r>
              <w:rPr>
                <w:rFonts w:ascii="Arial" w:cs="Arial" w:eastAsia="Arial" w:hAnsi="Arial"/>
                <w:sz w:val="11"/>
                <w:szCs w:val="11"/>
                <w:b w:val="1"/>
                <w:bCs w:val="1"/>
                <w:color w:val="auto"/>
              </w:rPr>
              <w:t>103.36%</w:t>
            </w:r>
          </w:p>
        </w:tc>
        <w:tc>
          <w:tcPr>
            <w:tcW w:w="780" w:type="dxa"/>
            <w:vAlign w:val="bottom"/>
            <w:tcBorders>
              <w:bottom w:val="single" w:sz="8" w:color="auto"/>
              <w:right w:val="single" w:sz="8" w:color="auto"/>
            </w:tcBorders>
          </w:tcPr>
          <w:p>
            <w:pPr>
              <w:jc w:val="right"/>
              <w:spacing w:after="0" w:line="116" w:lineRule="exact"/>
              <w:rPr>
                <w:sz w:val="20"/>
                <w:szCs w:val="20"/>
                <w:color w:val="auto"/>
              </w:rPr>
            </w:pPr>
            <w:r>
              <w:rPr>
                <w:rFonts w:ascii="Arial" w:cs="Arial" w:eastAsia="Arial" w:hAnsi="Arial"/>
                <w:sz w:val="11"/>
                <w:szCs w:val="11"/>
                <w:b w:val="1"/>
                <w:bCs w:val="1"/>
                <w:color w:val="auto"/>
              </w:rPr>
              <w:t>102.17%</w:t>
            </w:r>
          </w:p>
        </w:tc>
        <w:tc>
          <w:tcPr>
            <w:tcW w:w="980" w:type="dxa"/>
            <w:vAlign w:val="bottom"/>
            <w:tcBorders>
              <w:bottom w:val="single" w:sz="8" w:color="auto"/>
              <w:right w:val="single" w:sz="8" w:color="auto"/>
            </w:tcBorders>
          </w:tcPr>
          <w:p>
            <w:pPr>
              <w:jc w:val="center"/>
              <w:spacing w:after="0" w:line="116" w:lineRule="exact"/>
              <w:rPr>
                <w:sz w:val="20"/>
                <w:szCs w:val="20"/>
                <w:color w:val="auto"/>
              </w:rPr>
            </w:pPr>
            <w:r>
              <w:rPr>
                <w:rFonts w:ascii="Arial" w:cs="Arial" w:eastAsia="Arial" w:hAnsi="Arial"/>
                <w:sz w:val="11"/>
                <w:szCs w:val="11"/>
                <w:color w:val="auto"/>
                <w:w w:val="95"/>
              </w:rPr>
              <w:t>-119bps</w:t>
            </w:r>
          </w:p>
        </w:tc>
      </w:tr>
    </w:tbl>
    <w:p>
      <w:pPr>
        <w:spacing w:after="0" w:line="31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33020</wp:posOffset>
            </wp:positionV>
            <wp:extent cx="7143750" cy="1587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60"/>
          </w:cols>
          <w:pgMar w:left="300" w:top="337" w:right="339" w:bottom="1440" w:gutter="0" w:footer="0" w:header="0"/>
        </w:sectPr>
      </w:pPr>
    </w:p>
    <w:bookmarkStart w:id="65" w:name="page66"/>
    <w:bookmarkEnd w:id="65"/>
    <w:p>
      <w:pPr>
        <w:ind w:left="2961"/>
        <w:spacing w:after="0"/>
        <w:tabs>
          <w:tab w:leader="none" w:pos="3141" w:val="left"/>
          <w:tab w:leader="none" w:pos="7701" w:val="left"/>
        </w:tabs>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202565</wp:posOffset>
            </wp:positionH>
            <wp:positionV relativeFrom="page">
              <wp:posOffset>88900</wp:posOffset>
            </wp:positionV>
            <wp:extent cx="7143750" cy="41592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3750" cy="415925"/>
                    </a:xfrm>
                    <a:prstGeom prst="rect">
                      <a:avLst/>
                    </a:prstGeom>
                    <a:noFill/>
                  </pic:spPr>
                </pic:pic>
              </a:graphicData>
            </a:graphic>
          </wp:anchor>
        </w:drawing>
        <w:t>|</w:t>
      </w:r>
      <w:r>
        <w:rPr>
          <w:sz w:val="20"/>
          <w:szCs w:val="20"/>
          <w:color w:val="auto"/>
        </w:rPr>
        <w:tab/>
      </w:r>
      <w:r>
        <w:rPr>
          <w:rFonts w:ascii="Arial" w:cs="Arial" w:eastAsia="Arial" w:hAnsi="Arial"/>
          <w:sz w:val="16"/>
          <w:szCs w:val="16"/>
          <w:b w:val="1"/>
          <w:bCs w:val="1"/>
          <w:color w:val="FFFFFF"/>
        </w:rPr>
        <w:t>Earnings Release 3Q / 2023</w:t>
      </w:r>
      <w:r>
        <w:rPr>
          <w:sz w:val="20"/>
          <w:szCs w:val="20"/>
          <w:color w:val="auto"/>
        </w:rPr>
        <w:tab/>
      </w:r>
      <w:r>
        <w:rPr>
          <w:rFonts w:ascii="Arial" w:cs="Arial" w:eastAsia="Arial" w:hAnsi="Arial"/>
          <w:sz w:val="18"/>
          <w:szCs w:val="18"/>
          <w:b w:val="1"/>
          <w:bCs w:val="1"/>
          <w:color w:val="E93CAC"/>
        </w:rPr>
        <w:t>Analysis of 3Q23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175260</wp:posOffset>
            </wp:positionV>
            <wp:extent cx="7143750" cy="2038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3750" cy="203835"/>
                    </a:xfrm>
                    <a:prstGeom prst="rect">
                      <a:avLst/>
                    </a:prstGeom>
                    <a:noFill/>
                  </pic:spPr>
                </pic:pic>
              </a:graphicData>
            </a:graphic>
          </wp:anchor>
        </w:drawing>
      </w:r>
    </w:p>
    <w:p>
      <w:pPr>
        <w:spacing w:after="0" w:line="275" w:lineRule="exact"/>
        <w:rPr>
          <w:sz w:val="20"/>
          <w:szCs w:val="20"/>
          <w:color w:val="auto"/>
        </w:rPr>
      </w:pPr>
    </w:p>
    <w:p>
      <w:pPr>
        <w:ind w:left="41"/>
        <w:spacing w:after="0"/>
        <w:rPr>
          <w:sz w:val="20"/>
          <w:szCs w:val="20"/>
          <w:color w:val="auto"/>
        </w:rPr>
      </w:pPr>
      <w:r>
        <w:rPr>
          <w:rFonts w:ascii="Arial" w:cs="Arial" w:eastAsia="Arial" w:hAnsi="Arial"/>
          <w:sz w:val="20"/>
          <w:szCs w:val="20"/>
          <w:b w:val="1"/>
          <w:bCs w:val="1"/>
          <w:color w:val="FFFFFF"/>
        </w:rPr>
        <w:t>12. Appendix</w:t>
      </w:r>
    </w:p>
    <w:p>
      <w:pPr>
        <w:spacing w:after="0" w:line="76"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12.6.4. BCP Stand-alone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Banco de Crédito del Peru</w:t>
      </w:r>
    </w:p>
    <w:p>
      <w:pPr>
        <w:jc w:val="center"/>
        <w:spacing w:after="0" w:line="221" w:lineRule="auto"/>
        <w:rPr>
          <w:sz w:val="20"/>
          <w:szCs w:val="20"/>
          <w:color w:val="auto"/>
        </w:rPr>
      </w:pPr>
      <w:r>
        <w:rPr>
          <w:rFonts w:ascii="Arial" w:cs="Arial" w:eastAsia="Arial" w:hAnsi="Arial"/>
          <w:sz w:val="14"/>
          <w:szCs w:val="14"/>
          <w:b w:val="1"/>
          <w:bCs w:val="1"/>
          <w:color w:val="auto"/>
        </w:rPr>
        <w:t>Statement of Financial Position</w:t>
      </w:r>
    </w:p>
    <w:p>
      <w:pPr>
        <w:jc w:val="center"/>
        <w:spacing w:after="0"/>
        <w:rPr>
          <w:sz w:val="20"/>
          <w:szCs w:val="20"/>
          <w:color w:val="auto"/>
        </w:rPr>
      </w:pPr>
      <w:r>
        <w:rPr>
          <w:rFonts w:ascii="Arial" w:cs="Arial" w:eastAsia="Arial" w:hAnsi="Arial"/>
          <w:sz w:val="14"/>
          <w:szCs w:val="14"/>
          <w:b w:val="1"/>
          <w:bCs w:val="1"/>
          <w:color w:val="auto"/>
        </w:rPr>
        <w:t>(S/ thousands, IFRS)</w:t>
      </w:r>
    </w:p>
    <w:p>
      <w:pPr>
        <w:spacing w:after="0" w:line="144" w:lineRule="exact"/>
        <w:rPr>
          <w:sz w:val="20"/>
          <w:szCs w:val="20"/>
          <w:color w:val="auto"/>
        </w:rPr>
      </w:pPr>
    </w:p>
    <w:tbl>
      <w:tblPr>
        <w:tblLayout w:type="fixed"/>
        <w:tblInd w:w="11" w:type="dxa"/>
        <w:tblCellMar>
          <w:top w:w="0" w:type="dxa"/>
          <w:left w:w="0" w:type="dxa"/>
          <w:bottom w:w="0" w:type="dxa"/>
          <w:right w:w="0" w:type="dxa"/>
        </w:tblCellMar>
      </w:tblPr>
      <w:tr>
        <w:trPr>
          <w:trHeight w:val="142"/>
        </w:trPr>
        <w:tc>
          <w:tcPr>
            <w:tcW w:w="6200" w:type="dxa"/>
            <w:vAlign w:val="bottom"/>
            <w:tcBorders>
              <w:right w:val="single" w:sz="8" w:color="auto"/>
            </w:tcBorders>
          </w:tcPr>
          <w:p>
            <w:pPr>
              <w:spacing w:after="0"/>
              <w:rPr>
                <w:sz w:val="12"/>
                <w:szCs w:val="12"/>
                <w:color w:val="auto"/>
              </w:rPr>
            </w:pPr>
          </w:p>
        </w:tc>
        <w:tc>
          <w:tcPr>
            <w:tcW w:w="1420" w:type="dxa"/>
            <w:vAlign w:val="bottom"/>
            <w:tcBorders>
              <w:top w:val="single" w:sz="8" w:color="auto"/>
            </w:tcBorders>
            <w:vMerge w:val="restart"/>
            <w:shd w:val="clear" w:color="auto" w:fill="2AD2C9"/>
          </w:tcPr>
          <w:p>
            <w:pPr>
              <w:jc w:val="right"/>
              <w:ind w:right="510"/>
              <w:spacing w:after="0"/>
              <w:rPr>
                <w:sz w:val="20"/>
                <w:szCs w:val="20"/>
                <w:color w:val="auto"/>
              </w:rPr>
            </w:pPr>
            <w:r>
              <w:rPr>
                <w:rFonts w:ascii="Arial" w:cs="Arial" w:eastAsia="Arial" w:hAnsi="Arial"/>
                <w:sz w:val="14"/>
                <w:szCs w:val="14"/>
                <w:b w:val="1"/>
                <w:bCs w:val="1"/>
                <w:color w:val="FFFFFF"/>
              </w:rPr>
              <w:t>Sep 22</w:t>
            </w:r>
          </w:p>
        </w:tc>
        <w:tc>
          <w:tcPr>
            <w:tcW w:w="1300" w:type="dxa"/>
            <w:vAlign w:val="bottom"/>
            <w:tcBorders>
              <w:top w:val="single" w:sz="8" w:color="auto"/>
            </w:tcBorders>
            <w:shd w:val="clear" w:color="auto" w:fill="2AD2C9"/>
          </w:tcPr>
          <w:p>
            <w:pPr>
              <w:jc w:val="right"/>
              <w:ind w:right="590"/>
              <w:spacing w:after="0" w:line="142" w:lineRule="exact"/>
              <w:rPr>
                <w:sz w:val="20"/>
                <w:szCs w:val="20"/>
                <w:color w:val="auto"/>
              </w:rPr>
            </w:pPr>
            <w:r>
              <w:rPr>
                <w:rFonts w:ascii="Arial" w:cs="Arial" w:eastAsia="Arial" w:hAnsi="Arial"/>
                <w:sz w:val="14"/>
                <w:szCs w:val="14"/>
                <w:b w:val="1"/>
                <w:bCs w:val="1"/>
                <w:color w:val="FFFFFF"/>
              </w:rPr>
              <w:t>As of</w:t>
            </w:r>
          </w:p>
        </w:tc>
        <w:tc>
          <w:tcPr>
            <w:tcW w:w="1080" w:type="dxa"/>
            <w:vAlign w:val="bottom"/>
            <w:tcBorders>
              <w:top w:val="single" w:sz="8" w:color="auto"/>
              <w:right w:val="single" w:sz="8" w:color="auto"/>
            </w:tcBorders>
            <w:vMerge w:val="restart"/>
            <w:shd w:val="clear" w:color="auto" w:fill="2AD2C9"/>
          </w:tcPr>
          <w:p>
            <w:pPr>
              <w:jc w:val="right"/>
              <w:ind w:right="350"/>
              <w:spacing w:after="0"/>
              <w:rPr>
                <w:sz w:val="20"/>
                <w:szCs w:val="20"/>
                <w:color w:val="auto"/>
              </w:rPr>
            </w:pPr>
            <w:r>
              <w:rPr>
                <w:rFonts w:ascii="Arial" w:cs="Arial" w:eastAsia="Arial" w:hAnsi="Arial"/>
                <w:sz w:val="14"/>
                <w:szCs w:val="14"/>
                <w:b w:val="1"/>
                <w:bCs w:val="1"/>
                <w:color w:val="FFFFFF"/>
              </w:rPr>
              <w:t>Sep 23</w:t>
            </w:r>
          </w:p>
        </w:tc>
        <w:tc>
          <w:tcPr>
            <w:tcW w:w="1260" w:type="dxa"/>
            <w:vAlign w:val="bottom"/>
            <w:tcBorders>
              <w:top w:val="single" w:sz="8" w:color="auto"/>
              <w:right w:val="single" w:sz="8" w:color="auto"/>
            </w:tcBorders>
            <w:gridSpan w:val="2"/>
            <w:shd w:val="clear" w:color="auto" w:fill="2AD2C9"/>
          </w:tcPr>
          <w:p>
            <w:pPr>
              <w:ind w:left="300"/>
              <w:spacing w:after="0" w:line="142" w:lineRule="exact"/>
              <w:rPr>
                <w:sz w:val="20"/>
                <w:szCs w:val="20"/>
                <w:color w:val="auto"/>
              </w:rPr>
            </w:pPr>
            <w:r>
              <w:rPr>
                <w:rFonts w:ascii="Arial" w:cs="Arial" w:eastAsia="Arial" w:hAnsi="Arial"/>
                <w:sz w:val="14"/>
                <w:szCs w:val="14"/>
                <w:b w:val="1"/>
                <w:bCs w:val="1"/>
                <w:color w:val="FFFFFF"/>
              </w:rPr>
              <w:t>% change</w:t>
            </w:r>
          </w:p>
        </w:tc>
        <w:tc>
          <w:tcPr>
            <w:tcW w:w="0" w:type="dxa"/>
            <w:vAlign w:val="bottom"/>
          </w:tcPr>
          <w:p>
            <w:pPr>
              <w:spacing w:after="0"/>
              <w:rPr>
                <w:sz w:val="1"/>
                <w:szCs w:val="1"/>
                <w:color w:val="auto"/>
              </w:rPr>
            </w:pPr>
          </w:p>
        </w:tc>
      </w:tr>
      <w:tr>
        <w:trPr>
          <w:trHeight w:val="167"/>
        </w:trPr>
        <w:tc>
          <w:tcPr>
            <w:tcW w:w="6200" w:type="dxa"/>
            <w:vAlign w:val="bottom"/>
            <w:tcBorders>
              <w:bottom w:val="single" w:sz="8" w:color="auto"/>
              <w:right w:val="single" w:sz="8" w:color="auto"/>
            </w:tcBorders>
          </w:tcPr>
          <w:p>
            <w:pPr>
              <w:spacing w:after="0"/>
              <w:rPr>
                <w:sz w:val="14"/>
                <w:szCs w:val="14"/>
                <w:color w:val="auto"/>
              </w:rPr>
            </w:pPr>
          </w:p>
        </w:tc>
        <w:tc>
          <w:tcPr>
            <w:tcW w:w="1420" w:type="dxa"/>
            <w:vAlign w:val="bottom"/>
            <w:tcBorders>
              <w:bottom w:val="single" w:sz="8" w:color="auto"/>
            </w:tcBorders>
            <w:vMerge w:val="continue"/>
            <w:shd w:val="clear" w:color="auto" w:fill="2AD2C9"/>
          </w:tcPr>
          <w:p>
            <w:pPr>
              <w:spacing w:after="0"/>
              <w:rPr>
                <w:sz w:val="14"/>
                <w:szCs w:val="14"/>
                <w:color w:val="auto"/>
              </w:rPr>
            </w:pPr>
          </w:p>
        </w:tc>
        <w:tc>
          <w:tcPr>
            <w:tcW w:w="1300" w:type="dxa"/>
            <w:vAlign w:val="bottom"/>
            <w:tcBorders>
              <w:bottom w:val="single" w:sz="8" w:color="auto"/>
            </w:tcBorders>
            <w:shd w:val="clear" w:color="auto" w:fill="2AD2C9"/>
          </w:tcPr>
          <w:p>
            <w:pPr>
              <w:jc w:val="right"/>
              <w:ind w:right="570"/>
              <w:spacing w:after="0"/>
              <w:rPr>
                <w:sz w:val="20"/>
                <w:szCs w:val="20"/>
                <w:color w:val="auto"/>
              </w:rPr>
            </w:pPr>
            <w:r>
              <w:rPr>
                <w:rFonts w:ascii="Arial" w:cs="Arial" w:eastAsia="Arial" w:hAnsi="Arial"/>
                <w:sz w:val="14"/>
                <w:szCs w:val="14"/>
                <w:b w:val="1"/>
                <w:bCs w:val="1"/>
                <w:color w:val="FFFFFF"/>
              </w:rPr>
              <w:t>Jun 23</w:t>
            </w:r>
          </w:p>
        </w:tc>
        <w:tc>
          <w:tcPr>
            <w:tcW w:w="1080" w:type="dxa"/>
            <w:vAlign w:val="bottom"/>
            <w:tcBorders>
              <w:bottom w:val="single" w:sz="8" w:color="auto"/>
              <w:right w:val="single" w:sz="8" w:color="auto"/>
            </w:tcBorders>
            <w:vMerge w:val="continue"/>
            <w:shd w:val="clear" w:color="auto" w:fill="2AD2C9"/>
          </w:tcPr>
          <w:p>
            <w:pPr>
              <w:spacing w:after="0"/>
              <w:rPr>
                <w:sz w:val="14"/>
                <w:szCs w:val="14"/>
                <w:color w:val="auto"/>
              </w:rPr>
            </w:pPr>
          </w:p>
        </w:tc>
        <w:tc>
          <w:tcPr>
            <w:tcW w:w="640" w:type="dxa"/>
            <w:vAlign w:val="bottom"/>
            <w:tcBorders>
              <w:bottom w:val="single" w:sz="8" w:color="auto"/>
            </w:tcBorders>
            <w:shd w:val="clear" w:color="auto" w:fill="2AD2C9"/>
          </w:tcPr>
          <w:p>
            <w:pPr>
              <w:ind w:left="180"/>
              <w:spacing w:after="0"/>
              <w:rPr>
                <w:sz w:val="20"/>
                <w:szCs w:val="20"/>
                <w:color w:val="auto"/>
              </w:rPr>
            </w:pPr>
            <w:r>
              <w:rPr>
                <w:rFonts w:ascii="Arial" w:cs="Arial" w:eastAsia="Arial" w:hAnsi="Arial"/>
                <w:sz w:val="14"/>
                <w:szCs w:val="14"/>
                <w:b w:val="1"/>
                <w:bCs w:val="1"/>
                <w:color w:val="FFFFFF"/>
              </w:rPr>
              <w:t>QoQ</w:t>
            </w:r>
          </w:p>
        </w:tc>
        <w:tc>
          <w:tcPr>
            <w:tcW w:w="620" w:type="dxa"/>
            <w:vAlign w:val="bottom"/>
            <w:tcBorders>
              <w:bottom w:val="single" w:sz="8" w:color="auto"/>
              <w:right w:val="single" w:sz="8" w:color="auto"/>
            </w:tcBorders>
            <w:shd w:val="clear" w:color="auto" w:fill="2AD2C9"/>
          </w:tcPr>
          <w:p>
            <w:pPr>
              <w:ind w:left="180"/>
              <w:spacing w:after="0"/>
              <w:rPr>
                <w:sz w:val="20"/>
                <w:szCs w:val="20"/>
                <w:color w:val="auto"/>
              </w:rPr>
            </w:pPr>
            <w:r>
              <w:rPr>
                <w:rFonts w:ascii="Arial" w:cs="Arial" w:eastAsia="Arial" w:hAnsi="Arial"/>
                <w:sz w:val="14"/>
                <w:szCs w:val="14"/>
                <w:b w:val="1"/>
                <w:bCs w:val="1"/>
                <w:color w:val="FFFFFF"/>
              </w:rPr>
              <w:t>YoY</w:t>
            </w:r>
          </w:p>
        </w:tc>
        <w:tc>
          <w:tcPr>
            <w:tcW w:w="0" w:type="dxa"/>
            <w:vAlign w:val="bottom"/>
          </w:tcPr>
          <w:p>
            <w:pPr>
              <w:spacing w:after="0"/>
              <w:rPr>
                <w:sz w:val="1"/>
                <w:szCs w:val="1"/>
                <w:color w:val="auto"/>
              </w:rPr>
            </w:pPr>
          </w:p>
        </w:tc>
      </w:tr>
      <w:tr>
        <w:trPr>
          <w:trHeight w:val="122"/>
        </w:trPr>
        <w:tc>
          <w:tcPr>
            <w:tcW w:w="6200" w:type="dxa"/>
            <w:vAlign w:val="bottom"/>
            <w:tcBorders>
              <w:left w:val="single" w:sz="8" w:color="auto"/>
              <w:right w:val="single" w:sz="8" w:color="auto"/>
            </w:tcBorders>
          </w:tcPr>
          <w:p>
            <w:pPr>
              <w:ind w:left="20"/>
              <w:spacing w:after="0" w:line="122" w:lineRule="exact"/>
              <w:rPr>
                <w:sz w:val="20"/>
                <w:szCs w:val="20"/>
                <w:color w:val="auto"/>
              </w:rPr>
            </w:pPr>
            <w:r>
              <w:rPr>
                <w:rFonts w:ascii="Arial" w:cs="Arial" w:eastAsia="Arial" w:hAnsi="Arial"/>
                <w:sz w:val="14"/>
                <w:szCs w:val="14"/>
                <w:b w:val="1"/>
                <w:bCs w:val="1"/>
                <w:color w:val="auto"/>
              </w:rPr>
              <w:t>ASSETS</w:t>
            </w:r>
          </w:p>
        </w:tc>
        <w:tc>
          <w:tcPr>
            <w:tcW w:w="14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80" w:type="dxa"/>
            <w:vAlign w:val="bottom"/>
            <w:tcBorders>
              <w:right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6200" w:type="dxa"/>
            <w:vAlign w:val="bottom"/>
            <w:tcBorders>
              <w:left w:val="single" w:sz="8" w:color="auto"/>
              <w:right w:val="single" w:sz="8" w:color="auto"/>
            </w:tcBorders>
          </w:tcPr>
          <w:p>
            <w:pPr>
              <w:ind w:left="20"/>
              <w:spacing w:after="0" w:line="155" w:lineRule="exact"/>
              <w:rPr>
                <w:sz w:val="20"/>
                <w:szCs w:val="20"/>
                <w:color w:val="auto"/>
              </w:rPr>
            </w:pPr>
            <w:r>
              <w:rPr>
                <w:rFonts w:ascii="Arial" w:cs="Arial" w:eastAsia="Arial" w:hAnsi="Arial"/>
                <w:sz w:val="14"/>
                <w:szCs w:val="14"/>
                <w:b w:val="1"/>
                <w:bCs w:val="1"/>
                <w:color w:val="auto"/>
              </w:rPr>
              <w:t>Cash and due from banks</w:t>
            </w:r>
          </w:p>
        </w:tc>
        <w:tc>
          <w:tcPr>
            <w:tcW w:w="14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200" w:type="dxa"/>
            <w:vAlign w:val="bottom"/>
            <w:tcBorders>
              <w:left w:val="single" w:sz="8" w:color="auto"/>
              <w:right w:val="single" w:sz="8" w:color="auto"/>
            </w:tcBorders>
          </w:tcPr>
          <w:p>
            <w:pPr>
              <w:ind w:left="160"/>
              <w:spacing w:after="0" w:line="149" w:lineRule="exact"/>
              <w:rPr>
                <w:sz w:val="20"/>
                <w:szCs w:val="20"/>
                <w:color w:val="auto"/>
              </w:rPr>
            </w:pPr>
            <w:r>
              <w:rPr>
                <w:rFonts w:ascii="Arial" w:cs="Arial" w:eastAsia="Arial" w:hAnsi="Arial"/>
                <w:sz w:val="14"/>
                <w:szCs w:val="14"/>
                <w:color w:val="auto"/>
              </w:rPr>
              <w:t>Non-interest bearing</w:t>
            </w:r>
          </w:p>
        </w:tc>
        <w:tc>
          <w:tcPr>
            <w:tcW w:w="1420" w:type="dxa"/>
            <w:vAlign w:val="bottom"/>
          </w:tcPr>
          <w:p>
            <w:pPr>
              <w:jc w:val="right"/>
              <w:ind w:right="130"/>
              <w:spacing w:after="0" w:line="149" w:lineRule="exact"/>
              <w:rPr>
                <w:sz w:val="20"/>
                <w:szCs w:val="20"/>
                <w:color w:val="auto"/>
              </w:rPr>
            </w:pPr>
            <w:r>
              <w:rPr>
                <w:rFonts w:ascii="Arial" w:cs="Arial" w:eastAsia="Arial" w:hAnsi="Arial"/>
                <w:sz w:val="14"/>
                <w:szCs w:val="14"/>
                <w:color w:val="auto"/>
              </w:rPr>
              <w:t>4,880,450</w:t>
            </w:r>
          </w:p>
        </w:tc>
        <w:tc>
          <w:tcPr>
            <w:tcW w:w="1300" w:type="dxa"/>
            <w:vAlign w:val="bottom"/>
          </w:tcPr>
          <w:p>
            <w:pPr>
              <w:jc w:val="right"/>
              <w:ind w:right="150"/>
              <w:spacing w:after="0" w:line="149" w:lineRule="exact"/>
              <w:rPr>
                <w:sz w:val="20"/>
                <w:szCs w:val="20"/>
                <w:color w:val="auto"/>
              </w:rPr>
            </w:pPr>
            <w:r>
              <w:rPr>
                <w:rFonts w:ascii="Arial" w:cs="Arial" w:eastAsia="Arial" w:hAnsi="Arial"/>
                <w:sz w:val="14"/>
                <w:szCs w:val="14"/>
                <w:color w:val="auto"/>
              </w:rPr>
              <w:t>4,634,064</w:t>
            </w:r>
          </w:p>
        </w:tc>
        <w:tc>
          <w:tcPr>
            <w:tcW w:w="108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color w:val="auto"/>
              </w:rPr>
              <w:t>5,281,567</w:t>
            </w: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rPr>
              <w:t>14.0%</w:t>
            </w:r>
          </w:p>
        </w:tc>
        <w:tc>
          <w:tcPr>
            <w:tcW w:w="6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42"/>
        </w:trPr>
        <w:tc>
          <w:tcPr>
            <w:tcW w:w="6200" w:type="dxa"/>
            <w:vAlign w:val="bottom"/>
            <w:tcBorders>
              <w:left w:val="single" w:sz="8" w:color="auto"/>
              <w:right w:val="single" w:sz="8" w:color="auto"/>
            </w:tcBorders>
          </w:tcPr>
          <w:p>
            <w:pPr>
              <w:ind w:left="160"/>
              <w:spacing w:after="0" w:line="143" w:lineRule="exact"/>
              <w:rPr>
                <w:sz w:val="20"/>
                <w:szCs w:val="20"/>
                <w:color w:val="auto"/>
              </w:rPr>
            </w:pPr>
            <w:r>
              <w:rPr>
                <w:rFonts w:ascii="Arial" w:cs="Arial" w:eastAsia="Arial" w:hAnsi="Arial"/>
                <w:sz w:val="14"/>
                <w:szCs w:val="14"/>
                <w:color w:val="auto"/>
              </w:rPr>
              <w:t>Interest bearing</w:t>
            </w:r>
          </w:p>
        </w:tc>
        <w:tc>
          <w:tcPr>
            <w:tcW w:w="1420" w:type="dxa"/>
            <w:vAlign w:val="bottom"/>
          </w:tcPr>
          <w:p>
            <w:pPr>
              <w:jc w:val="right"/>
              <w:ind w:right="130"/>
              <w:spacing w:after="0" w:line="143" w:lineRule="exact"/>
              <w:rPr>
                <w:sz w:val="20"/>
                <w:szCs w:val="20"/>
                <w:color w:val="auto"/>
              </w:rPr>
            </w:pPr>
            <w:r>
              <w:rPr>
                <w:rFonts w:ascii="Arial" w:cs="Arial" w:eastAsia="Arial" w:hAnsi="Arial"/>
                <w:sz w:val="14"/>
                <w:szCs w:val="14"/>
                <w:color w:val="auto"/>
              </w:rPr>
              <w:t>27,042,976</w:t>
            </w:r>
          </w:p>
        </w:tc>
        <w:tc>
          <w:tcPr>
            <w:tcW w:w="1300" w:type="dxa"/>
            <w:vAlign w:val="bottom"/>
          </w:tcPr>
          <w:p>
            <w:pPr>
              <w:jc w:val="right"/>
              <w:ind w:right="150"/>
              <w:spacing w:after="0" w:line="143" w:lineRule="exact"/>
              <w:rPr>
                <w:sz w:val="20"/>
                <w:szCs w:val="20"/>
                <w:color w:val="auto"/>
              </w:rPr>
            </w:pPr>
            <w:r>
              <w:rPr>
                <w:rFonts w:ascii="Arial" w:cs="Arial" w:eastAsia="Arial" w:hAnsi="Arial"/>
                <w:sz w:val="14"/>
                <w:szCs w:val="14"/>
                <w:color w:val="auto"/>
              </w:rPr>
              <w:t>24,308,715</w:t>
            </w:r>
          </w:p>
        </w:tc>
        <w:tc>
          <w:tcPr>
            <w:tcW w:w="1080" w:type="dxa"/>
            <w:vAlign w:val="bottom"/>
            <w:tcBorders>
              <w:right w:val="single" w:sz="8" w:color="auto"/>
            </w:tcBorders>
          </w:tcPr>
          <w:p>
            <w:pPr>
              <w:jc w:val="right"/>
              <w:spacing w:after="0" w:line="143" w:lineRule="exact"/>
              <w:rPr>
                <w:sz w:val="20"/>
                <w:szCs w:val="20"/>
                <w:color w:val="auto"/>
              </w:rPr>
            </w:pPr>
            <w:r>
              <w:rPr>
                <w:rFonts w:ascii="Arial" w:cs="Arial" w:eastAsia="Arial" w:hAnsi="Arial"/>
                <w:sz w:val="14"/>
                <w:szCs w:val="14"/>
                <w:color w:val="auto"/>
              </w:rPr>
              <w:t>23,133,255</w:t>
            </w:r>
          </w:p>
        </w:tc>
        <w:tc>
          <w:tcPr>
            <w:tcW w:w="640" w:type="dxa"/>
            <w:vAlign w:val="bottom"/>
          </w:tcPr>
          <w:p>
            <w:pPr>
              <w:jc w:val="center"/>
              <w:spacing w:after="0" w:line="143" w:lineRule="exact"/>
              <w:rPr>
                <w:sz w:val="20"/>
                <w:szCs w:val="20"/>
                <w:color w:val="auto"/>
              </w:rPr>
            </w:pPr>
            <w:r>
              <w:rPr>
                <w:rFonts w:ascii="Arial" w:cs="Arial" w:eastAsia="Arial" w:hAnsi="Arial"/>
                <w:sz w:val="14"/>
                <w:szCs w:val="14"/>
                <w:color w:val="auto"/>
              </w:rPr>
              <w:t>-4.8%</w:t>
            </w:r>
          </w:p>
        </w:tc>
        <w:tc>
          <w:tcPr>
            <w:tcW w:w="62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4"/>
                <w:szCs w:val="14"/>
                <w:color w:val="auto"/>
                <w:w w:val="99"/>
              </w:rPr>
              <w:t>-14.5%</w:t>
            </w:r>
          </w:p>
        </w:tc>
        <w:tc>
          <w:tcPr>
            <w:tcW w:w="0" w:type="dxa"/>
            <w:vAlign w:val="bottom"/>
          </w:tcPr>
          <w:p>
            <w:pPr>
              <w:spacing w:after="0"/>
              <w:rPr>
                <w:sz w:val="1"/>
                <w:szCs w:val="1"/>
                <w:color w:val="auto"/>
              </w:rPr>
            </w:pPr>
          </w:p>
        </w:tc>
      </w:tr>
      <w:tr>
        <w:trPr>
          <w:trHeight w:val="195"/>
        </w:trPr>
        <w:tc>
          <w:tcPr>
            <w:tcW w:w="62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Total cash and due from banks</w:t>
            </w:r>
          </w:p>
        </w:tc>
        <w:tc>
          <w:tcPr>
            <w:tcW w:w="1420" w:type="dxa"/>
            <w:vAlign w:val="bottom"/>
          </w:tcPr>
          <w:p>
            <w:pPr>
              <w:jc w:val="right"/>
              <w:ind w:right="130"/>
              <w:spacing w:after="0"/>
              <w:rPr>
                <w:sz w:val="20"/>
                <w:szCs w:val="20"/>
                <w:color w:val="auto"/>
              </w:rPr>
            </w:pPr>
            <w:r>
              <w:rPr>
                <w:rFonts w:ascii="Arial" w:cs="Arial" w:eastAsia="Arial" w:hAnsi="Arial"/>
                <w:sz w:val="14"/>
                <w:szCs w:val="14"/>
                <w:b w:val="1"/>
                <w:bCs w:val="1"/>
                <w:color w:val="auto"/>
              </w:rPr>
              <w:t>31,923,426</w:t>
            </w:r>
          </w:p>
        </w:tc>
        <w:tc>
          <w:tcPr>
            <w:tcW w:w="1300" w:type="dxa"/>
            <w:vAlign w:val="bottom"/>
          </w:tcPr>
          <w:p>
            <w:pPr>
              <w:jc w:val="right"/>
              <w:ind w:right="150"/>
              <w:spacing w:after="0"/>
              <w:rPr>
                <w:sz w:val="20"/>
                <w:szCs w:val="20"/>
                <w:color w:val="auto"/>
              </w:rPr>
            </w:pPr>
            <w:r>
              <w:rPr>
                <w:rFonts w:ascii="Arial" w:cs="Arial" w:eastAsia="Arial" w:hAnsi="Arial"/>
                <w:sz w:val="14"/>
                <w:szCs w:val="14"/>
                <w:b w:val="1"/>
                <w:bCs w:val="1"/>
                <w:color w:val="auto"/>
              </w:rPr>
              <w:t>28,942,779</w:t>
            </w: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auto"/>
              </w:rPr>
              <w:t>28,414,822</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rPr>
              <w:t>-1.8%</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-11.0%</w:t>
            </w:r>
          </w:p>
        </w:tc>
        <w:tc>
          <w:tcPr>
            <w:tcW w:w="0" w:type="dxa"/>
            <w:vAlign w:val="bottom"/>
          </w:tcPr>
          <w:p>
            <w:pPr>
              <w:spacing w:after="0"/>
              <w:rPr>
                <w:sz w:val="1"/>
                <w:szCs w:val="1"/>
                <w:color w:val="auto"/>
              </w:rPr>
            </w:pPr>
          </w:p>
        </w:tc>
      </w:tr>
      <w:tr>
        <w:trPr>
          <w:trHeight w:val="297"/>
        </w:trPr>
        <w:tc>
          <w:tcPr>
            <w:tcW w:w="6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Cash collateral, reverse repurchase agreements and securities borrowing</w:t>
            </w:r>
          </w:p>
        </w:tc>
        <w:tc>
          <w:tcPr>
            <w:tcW w:w="1420" w:type="dxa"/>
            <w:vAlign w:val="bottom"/>
          </w:tcPr>
          <w:p>
            <w:pPr>
              <w:jc w:val="right"/>
              <w:ind w:right="130"/>
              <w:spacing w:after="0"/>
              <w:rPr>
                <w:sz w:val="20"/>
                <w:szCs w:val="20"/>
                <w:color w:val="auto"/>
              </w:rPr>
            </w:pPr>
            <w:r>
              <w:rPr>
                <w:rFonts w:ascii="Arial" w:cs="Arial" w:eastAsia="Arial" w:hAnsi="Arial"/>
                <w:sz w:val="14"/>
                <w:szCs w:val="14"/>
                <w:b w:val="1"/>
                <w:bCs w:val="1"/>
                <w:color w:val="auto"/>
              </w:rPr>
              <w:t>308,959</w:t>
            </w:r>
          </w:p>
        </w:tc>
        <w:tc>
          <w:tcPr>
            <w:tcW w:w="1300" w:type="dxa"/>
            <w:vAlign w:val="bottom"/>
          </w:tcPr>
          <w:p>
            <w:pPr>
              <w:jc w:val="right"/>
              <w:ind w:right="150"/>
              <w:spacing w:after="0"/>
              <w:rPr>
                <w:sz w:val="20"/>
                <w:szCs w:val="20"/>
                <w:color w:val="auto"/>
              </w:rPr>
            </w:pPr>
            <w:r>
              <w:rPr>
                <w:rFonts w:ascii="Arial" w:cs="Arial" w:eastAsia="Arial" w:hAnsi="Arial"/>
                <w:sz w:val="14"/>
                <w:szCs w:val="14"/>
                <w:b w:val="1"/>
                <w:bCs w:val="1"/>
                <w:color w:val="auto"/>
              </w:rPr>
              <w:t>537,814</w:t>
            </w: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auto"/>
              </w:rPr>
              <w:t>207,284</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9"/>
              </w:rPr>
              <w:t>-61.5%</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-32.9%</w:t>
            </w:r>
          </w:p>
        </w:tc>
        <w:tc>
          <w:tcPr>
            <w:tcW w:w="0" w:type="dxa"/>
            <w:vAlign w:val="bottom"/>
          </w:tcPr>
          <w:p>
            <w:pPr>
              <w:spacing w:after="0"/>
              <w:rPr>
                <w:sz w:val="1"/>
                <w:szCs w:val="1"/>
                <w:color w:val="auto"/>
              </w:rPr>
            </w:pPr>
          </w:p>
        </w:tc>
      </w:tr>
      <w:tr>
        <w:trPr>
          <w:trHeight w:val="250"/>
        </w:trPr>
        <w:tc>
          <w:tcPr>
            <w:tcW w:w="6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Fair value through profit or loss investments</w:t>
            </w:r>
          </w:p>
        </w:tc>
        <w:tc>
          <w:tcPr>
            <w:tcW w:w="1420" w:type="dxa"/>
            <w:vAlign w:val="bottom"/>
          </w:tcPr>
          <w:p>
            <w:pPr>
              <w:jc w:val="right"/>
              <w:ind w:right="130"/>
              <w:spacing w:after="0"/>
              <w:rPr>
                <w:sz w:val="20"/>
                <w:szCs w:val="20"/>
                <w:color w:val="auto"/>
              </w:rPr>
            </w:pPr>
            <w:r>
              <w:rPr>
                <w:rFonts w:ascii="Arial" w:cs="Arial" w:eastAsia="Arial" w:hAnsi="Arial"/>
                <w:sz w:val="14"/>
                <w:szCs w:val="14"/>
                <w:b w:val="1"/>
                <w:bCs w:val="1"/>
                <w:color w:val="auto"/>
              </w:rPr>
              <w:t>307,513</w:t>
            </w:r>
          </w:p>
        </w:tc>
        <w:tc>
          <w:tcPr>
            <w:tcW w:w="1300" w:type="dxa"/>
            <w:vAlign w:val="bottom"/>
          </w:tcPr>
          <w:p>
            <w:pPr>
              <w:jc w:val="right"/>
              <w:ind w:right="150"/>
              <w:spacing w:after="0"/>
              <w:rPr>
                <w:sz w:val="20"/>
                <w:szCs w:val="20"/>
                <w:color w:val="auto"/>
              </w:rPr>
            </w:pPr>
            <w:r>
              <w:rPr>
                <w:rFonts w:ascii="Arial" w:cs="Arial" w:eastAsia="Arial" w:hAnsi="Arial"/>
                <w:sz w:val="14"/>
                <w:szCs w:val="14"/>
                <w:b w:val="1"/>
                <w:bCs w:val="1"/>
                <w:color w:val="auto"/>
              </w:rPr>
              <w:t>221,253</w:t>
            </w: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auto"/>
              </w:rPr>
              <w:t>1,229,265</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6"/>
              </w:rPr>
              <w:t>455.6%</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299.7%</w:t>
            </w:r>
          </w:p>
        </w:tc>
        <w:tc>
          <w:tcPr>
            <w:tcW w:w="0" w:type="dxa"/>
            <w:vAlign w:val="bottom"/>
          </w:tcPr>
          <w:p>
            <w:pPr>
              <w:spacing w:after="0"/>
              <w:rPr>
                <w:sz w:val="1"/>
                <w:szCs w:val="1"/>
                <w:color w:val="auto"/>
              </w:rPr>
            </w:pPr>
          </w:p>
        </w:tc>
      </w:tr>
      <w:tr>
        <w:trPr>
          <w:trHeight w:val="148"/>
        </w:trPr>
        <w:tc>
          <w:tcPr>
            <w:tcW w:w="6200" w:type="dxa"/>
            <w:vAlign w:val="bottom"/>
            <w:tcBorders>
              <w:left w:val="single" w:sz="8" w:color="auto"/>
              <w:right w:val="single" w:sz="8" w:color="auto"/>
            </w:tcBorders>
          </w:tcPr>
          <w:p>
            <w:pPr>
              <w:ind w:left="20"/>
              <w:spacing w:after="0" w:line="149" w:lineRule="exact"/>
              <w:rPr>
                <w:sz w:val="20"/>
                <w:szCs w:val="20"/>
                <w:color w:val="auto"/>
              </w:rPr>
            </w:pPr>
            <w:r>
              <w:rPr>
                <w:rFonts w:ascii="Arial" w:cs="Arial" w:eastAsia="Arial" w:hAnsi="Arial"/>
                <w:sz w:val="14"/>
                <w:szCs w:val="14"/>
                <w:b w:val="1"/>
                <w:bCs w:val="1"/>
                <w:color w:val="auto"/>
              </w:rPr>
              <w:t>Fair value through other comprehensive income investments</w:t>
            </w:r>
          </w:p>
        </w:tc>
        <w:tc>
          <w:tcPr>
            <w:tcW w:w="1420" w:type="dxa"/>
            <w:vAlign w:val="bottom"/>
          </w:tcPr>
          <w:p>
            <w:pPr>
              <w:jc w:val="right"/>
              <w:ind w:right="130"/>
              <w:spacing w:after="0" w:line="149" w:lineRule="exact"/>
              <w:rPr>
                <w:sz w:val="20"/>
                <w:szCs w:val="20"/>
                <w:color w:val="auto"/>
              </w:rPr>
            </w:pPr>
            <w:r>
              <w:rPr>
                <w:rFonts w:ascii="Arial" w:cs="Arial" w:eastAsia="Arial" w:hAnsi="Arial"/>
                <w:sz w:val="14"/>
                <w:szCs w:val="14"/>
                <w:b w:val="1"/>
                <w:bCs w:val="1"/>
                <w:color w:val="auto"/>
              </w:rPr>
              <w:t>16,799,789</w:t>
            </w:r>
          </w:p>
        </w:tc>
        <w:tc>
          <w:tcPr>
            <w:tcW w:w="1300" w:type="dxa"/>
            <w:vAlign w:val="bottom"/>
          </w:tcPr>
          <w:p>
            <w:pPr>
              <w:jc w:val="right"/>
              <w:ind w:right="150"/>
              <w:spacing w:after="0" w:line="149" w:lineRule="exact"/>
              <w:rPr>
                <w:sz w:val="20"/>
                <w:szCs w:val="20"/>
                <w:color w:val="auto"/>
              </w:rPr>
            </w:pPr>
            <w:r>
              <w:rPr>
                <w:rFonts w:ascii="Arial" w:cs="Arial" w:eastAsia="Arial" w:hAnsi="Arial"/>
                <w:sz w:val="14"/>
                <w:szCs w:val="14"/>
                <w:b w:val="1"/>
                <w:bCs w:val="1"/>
                <w:color w:val="auto"/>
              </w:rPr>
              <w:t>15,738,281</w:t>
            </w:r>
          </w:p>
        </w:tc>
        <w:tc>
          <w:tcPr>
            <w:tcW w:w="108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18,068,208</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14.8%</w:t>
            </w:r>
          </w:p>
        </w:tc>
        <w:tc>
          <w:tcPr>
            <w:tcW w:w="6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7.6%</w:t>
            </w:r>
          </w:p>
        </w:tc>
        <w:tc>
          <w:tcPr>
            <w:tcW w:w="0" w:type="dxa"/>
            <w:vAlign w:val="bottom"/>
          </w:tcPr>
          <w:p>
            <w:pPr>
              <w:spacing w:after="0"/>
              <w:rPr>
                <w:sz w:val="1"/>
                <w:szCs w:val="1"/>
                <w:color w:val="auto"/>
              </w:rPr>
            </w:pPr>
          </w:p>
        </w:tc>
      </w:tr>
      <w:tr>
        <w:trPr>
          <w:trHeight w:val="179"/>
        </w:trPr>
        <w:tc>
          <w:tcPr>
            <w:tcW w:w="6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Amortized cost investments</w:t>
            </w:r>
          </w:p>
        </w:tc>
        <w:tc>
          <w:tcPr>
            <w:tcW w:w="1420" w:type="dxa"/>
            <w:vAlign w:val="bottom"/>
          </w:tcPr>
          <w:p>
            <w:pPr>
              <w:jc w:val="right"/>
              <w:ind w:right="130"/>
              <w:spacing w:after="0"/>
              <w:rPr>
                <w:sz w:val="20"/>
                <w:szCs w:val="20"/>
                <w:color w:val="auto"/>
              </w:rPr>
            </w:pPr>
            <w:r>
              <w:rPr>
                <w:rFonts w:ascii="Arial" w:cs="Arial" w:eastAsia="Arial" w:hAnsi="Arial"/>
                <w:sz w:val="14"/>
                <w:szCs w:val="14"/>
                <w:b w:val="1"/>
                <w:bCs w:val="1"/>
                <w:color w:val="auto"/>
              </w:rPr>
              <w:t>7,206,315</w:t>
            </w:r>
          </w:p>
        </w:tc>
        <w:tc>
          <w:tcPr>
            <w:tcW w:w="1300" w:type="dxa"/>
            <w:vAlign w:val="bottom"/>
          </w:tcPr>
          <w:p>
            <w:pPr>
              <w:jc w:val="right"/>
              <w:ind w:right="150"/>
              <w:spacing w:after="0"/>
              <w:rPr>
                <w:sz w:val="20"/>
                <w:szCs w:val="20"/>
                <w:color w:val="auto"/>
              </w:rPr>
            </w:pPr>
            <w:r>
              <w:rPr>
                <w:rFonts w:ascii="Arial" w:cs="Arial" w:eastAsia="Arial" w:hAnsi="Arial"/>
                <w:sz w:val="14"/>
                <w:szCs w:val="14"/>
                <w:b w:val="1"/>
                <w:bCs w:val="1"/>
                <w:color w:val="auto"/>
              </w:rPr>
              <w:t>9,467,981</w:t>
            </w: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auto"/>
              </w:rPr>
              <w:t>9,310,033</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rPr>
              <w:t>-1.7%</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29.2%</w:t>
            </w:r>
          </w:p>
        </w:tc>
        <w:tc>
          <w:tcPr>
            <w:tcW w:w="0" w:type="dxa"/>
            <w:vAlign w:val="bottom"/>
          </w:tcPr>
          <w:p>
            <w:pPr>
              <w:spacing w:after="0"/>
              <w:rPr>
                <w:sz w:val="1"/>
                <w:szCs w:val="1"/>
                <w:color w:val="auto"/>
              </w:rPr>
            </w:pPr>
          </w:p>
        </w:tc>
      </w:tr>
      <w:tr>
        <w:trPr>
          <w:trHeight w:val="142"/>
        </w:trPr>
        <w:tc>
          <w:tcPr>
            <w:tcW w:w="620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Loans</w:t>
            </w:r>
          </w:p>
        </w:tc>
        <w:tc>
          <w:tcPr>
            <w:tcW w:w="1420" w:type="dxa"/>
            <w:vAlign w:val="bottom"/>
          </w:tcPr>
          <w:p>
            <w:pPr>
              <w:jc w:val="right"/>
              <w:ind w:right="130"/>
              <w:spacing w:after="0" w:line="143" w:lineRule="exact"/>
              <w:rPr>
                <w:sz w:val="20"/>
                <w:szCs w:val="20"/>
                <w:color w:val="auto"/>
              </w:rPr>
            </w:pPr>
            <w:r>
              <w:rPr>
                <w:rFonts w:ascii="Arial" w:cs="Arial" w:eastAsia="Arial" w:hAnsi="Arial"/>
                <w:sz w:val="14"/>
                <w:szCs w:val="14"/>
                <w:color w:val="auto"/>
              </w:rPr>
              <w:t>-</w:t>
            </w:r>
          </w:p>
        </w:tc>
        <w:tc>
          <w:tcPr>
            <w:tcW w:w="1300" w:type="dxa"/>
            <w:vAlign w:val="bottom"/>
          </w:tcPr>
          <w:p>
            <w:pPr>
              <w:jc w:val="right"/>
              <w:ind w:right="150"/>
              <w:spacing w:after="0" w:line="143" w:lineRule="exact"/>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1.7%</w:t>
            </w: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-5.2%</w:t>
            </w:r>
          </w:p>
        </w:tc>
        <w:tc>
          <w:tcPr>
            <w:tcW w:w="0" w:type="dxa"/>
            <w:vAlign w:val="bottom"/>
          </w:tcPr>
          <w:p>
            <w:pPr>
              <w:spacing w:after="0"/>
              <w:rPr>
                <w:sz w:val="1"/>
                <w:szCs w:val="1"/>
                <w:color w:val="auto"/>
              </w:rPr>
            </w:pPr>
          </w:p>
        </w:tc>
      </w:tr>
      <w:tr>
        <w:trPr>
          <w:trHeight w:val="154"/>
        </w:trPr>
        <w:tc>
          <w:tcPr>
            <w:tcW w:w="6200" w:type="dxa"/>
            <w:vAlign w:val="bottom"/>
            <w:tcBorders>
              <w:left w:val="single" w:sz="8" w:color="auto"/>
              <w:right w:val="single" w:sz="8" w:color="auto"/>
            </w:tcBorders>
            <w:vMerge w:val="continue"/>
          </w:tcPr>
          <w:p>
            <w:pPr>
              <w:spacing w:after="0"/>
              <w:rPr>
                <w:sz w:val="13"/>
                <w:szCs w:val="13"/>
                <w:color w:val="auto"/>
              </w:rPr>
            </w:pPr>
          </w:p>
        </w:tc>
        <w:tc>
          <w:tcPr>
            <w:tcW w:w="1420" w:type="dxa"/>
            <w:vAlign w:val="bottom"/>
          </w:tcPr>
          <w:p>
            <w:pPr>
              <w:jc w:val="right"/>
              <w:ind w:right="130"/>
              <w:spacing w:after="0" w:line="155" w:lineRule="exact"/>
              <w:rPr>
                <w:sz w:val="20"/>
                <w:szCs w:val="20"/>
                <w:color w:val="auto"/>
              </w:rPr>
            </w:pPr>
            <w:r>
              <w:rPr>
                <w:rFonts w:ascii="Arial" w:cs="Arial" w:eastAsia="Arial" w:hAnsi="Arial"/>
                <w:sz w:val="14"/>
                <w:szCs w:val="14"/>
                <w:b w:val="1"/>
                <w:bCs w:val="1"/>
                <w:color w:val="auto"/>
              </w:rPr>
              <w:t>126,176,601</w:t>
            </w:r>
          </w:p>
        </w:tc>
        <w:tc>
          <w:tcPr>
            <w:tcW w:w="1300" w:type="dxa"/>
            <w:vAlign w:val="bottom"/>
          </w:tcPr>
          <w:p>
            <w:pPr>
              <w:jc w:val="right"/>
              <w:ind w:right="150"/>
              <w:spacing w:after="0" w:line="155" w:lineRule="exact"/>
              <w:rPr>
                <w:sz w:val="20"/>
                <w:szCs w:val="20"/>
                <w:color w:val="auto"/>
              </w:rPr>
            </w:pPr>
            <w:r>
              <w:rPr>
                <w:rFonts w:ascii="Arial" w:cs="Arial" w:eastAsia="Arial" w:hAnsi="Arial"/>
                <w:sz w:val="14"/>
                <w:szCs w:val="14"/>
                <w:b w:val="1"/>
                <w:bCs w:val="1"/>
                <w:color w:val="auto"/>
              </w:rPr>
              <w:t>117,611,694</w:t>
            </w:r>
          </w:p>
        </w:tc>
        <w:tc>
          <w:tcPr>
            <w:tcW w:w="1080" w:type="dxa"/>
            <w:vAlign w:val="bottom"/>
            <w:tcBorders>
              <w:right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119,635,051</w:t>
            </w:r>
          </w:p>
        </w:tc>
        <w:tc>
          <w:tcPr>
            <w:tcW w:w="640" w:type="dxa"/>
            <w:vAlign w:val="bottom"/>
            <w:vMerge w:val="continue"/>
          </w:tcPr>
          <w:p>
            <w:pPr>
              <w:spacing w:after="0"/>
              <w:rPr>
                <w:sz w:val="13"/>
                <w:szCs w:val="13"/>
                <w:color w:val="auto"/>
              </w:rPr>
            </w:pPr>
          </w:p>
        </w:tc>
        <w:tc>
          <w:tcPr>
            <w:tcW w:w="62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200" w:type="dxa"/>
            <w:vAlign w:val="bottom"/>
            <w:tcBorders>
              <w:left w:val="single" w:sz="8" w:color="auto"/>
              <w:right w:val="single" w:sz="8" w:color="auto"/>
            </w:tcBorders>
          </w:tcPr>
          <w:p>
            <w:pPr>
              <w:ind w:left="160"/>
              <w:spacing w:after="0" w:line="149" w:lineRule="exact"/>
              <w:rPr>
                <w:sz w:val="20"/>
                <w:szCs w:val="20"/>
                <w:color w:val="auto"/>
              </w:rPr>
            </w:pPr>
            <w:r>
              <w:rPr>
                <w:rFonts w:ascii="Arial" w:cs="Arial" w:eastAsia="Arial" w:hAnsi="Arial"/>
                <w:sz w:val="14"/>
                <w:szCs w:val="14"/>
                <w:color w:val="auto"/>
              </w:rPr>
              <w:t>Current</w:t>
            </w:r>
          </w:p>
        </w:tc>
        <w:tc>
          <w:tcPr>
            <w:tcW w:w="1420" w:type="dxa"/>
            <w:vAlign w:val="bottom"/>
          </w:tcPr>
          <w:p>
            <w:pPr>
              <w:jc w:val="right"/>
              <w:ind w:right="130"/>
              <w:spacing w:after="0" w:line="149" w:lineRule="exact"/>
              <w:rPr>
                <w:sz w:val="20"/>
                <w:szCs w:val="20"/>
                <w:color w:val="auto"/>
              </w:rPr>
            </w:pPr>
            <w:r>
              <w:rPr>
                <w:rFonts w:ascii="Arial" w:cs="Arial" w:eastAsia="Arial" w:hAnsi="Arial"/>
                <w:sz w:val="14"/>
                <w:szCs w:val="14"/>
                <w:color w:val="auto"/>
              </w:rPr>
              <w:t>121,124,754</w:t>
            </w:r>
          </w:p>
        </w:tc>
        <w:tc>
          <w:tcPr>
            <w:tcW w:w="1300" w:type="dxa"/>
            <w:vAlign w:val="bottom"/>
          </w:tcPr>
          <w:p>
            <w:pPr>
              <w:jc w:val="right"/>
              <w:ind w:right="150"/>
              <w:spacing w:after="0" w:line="149" w:lineRule="exact"/>
              <w:rPr>
                <w:sz w:val="20"/>
                <w:szCs w:val="20"/>
                <w:color w:val="auto"/>
              </w:rPr>
            </w:pPr>
            <w:r>
              <w:rPr>
                <w:rFonts w:ascii="Arial" w:cs="Arial" w:eastAsia="Arial" w:hAnsi="Arial"/>
                <w:sz w:val="14"/>
                <w:szCs w:val="14"/>
                <w:color w:val="auto"/>
              </w:rPr>
              <w:t>112,818,171</w:t>
            </w:r>
          </w:p>
        </w:tc>
        <w:tc>
          <w:tcPr>
            <w:tcW w:w="108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color w:val="auto"/>
              </w:rPr>
              <w:t>114,403,780</w:t>
            </w: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rPr>
              <w:t>1.4%</w:t>
            </w:r>
          </w:p>
        </w:tc>
        <w:tc>
          <w:tcPr>
            <w:tcW w:w="6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-5.5%</w:t>
            </w:r>
          </w:p>
        </w:tc>
        <w:tc>
          <w:tcPr>
            <w:tcW w:w="0" w:type="dxa"/>
            <w:vAlign w:val="bottom"/>
          </w:tcPr>
          <w:p>
            <w:pPr>
              <w:spacing w:after="0"/>
              <w:rPr>
                <w:sz w:val="1"/>
                <w:szCs w:val="1"/>
                <w:color w:val="auto"/>
              </w:rPr>
            </w:pPr>
          </w:p>
        </w:tc>
      </w:tr>
      <w:tr>
        <w:trPr>
          <w:trHeight w:val="148"/>
        </w:trPr>
        <w:tc>
          <w:tcPr>
            <w:tcW w:w="6200" w:type="dxa"/>
            <w:vAlign w:val="bottom"/>
            <w:tcBorders>
              <w:left w:val="single" w:sz="8" w:color="auto"/>
              <w:right w:val="single" w:sz="8" w:color="auto"/>
            </w:tcBorders>
          </w:tcPr>
          <w:p>
            <w:pPr>
              <w:ind w:left="160"/>
              <w:spacing w:after="0" w:line="149" w:lineRule="exact"/>
              <w:rPr>
                <w:sz w:val="20"/>
                <w:szCs w:val="20"/>
                <w:color w:val="auto"/>
              </w:rPr>
            </w:pPr>
            <w:r>
              <w:rPr>
                <w:rFonts w:ascii="Arial" w:cs="Arial" w:eastAsia="Arial" w:hAnsi="Arial"/>
                <w:sz w:val="14"/>
                <w:szCs w:val="14"/>
                <w:color w:val="auto"/>
              </w:rPr>
              <w:t>Internal overdue loans</w:t>
            </w:r>
          </w:p>
        </w:tc>
        <w:tc>
          <w:tcPr>
            <w:tcW w:w="1420" w:type="dxa"/>
            <w:vAlign w:val="bottom"/>
          </w:tcPr>
          <w:p>
            <w:pPr>
              <w:jc w:val="right"/>
              <w:ind w:right="130"/>
              <w:spacing w:after="0" w:line="149" w:lineRule="exact"/>
              <w:rPr>
                <w:sz w:val="20"/>
                <w:szCs w:val="20"/>
                <w:color w:val="auto"/>
              </w:rPr>
            </w:pPr>
            <w:r>
              <w:rPr>
                <w:rFonts w:ascii="Arial" w:cs="Arial" w:eastAsia="Arial" w:hAnsi="Arial"/>
                <w:sz w:val="14"/>
                <w:szCs w:val="14"/>
                <w:color w:val="auto"/>
              </w:rPr>
              <w:t>5,051,847</w:t>
            </w:r>
          </w:p>
        </w:tc>
        <w:tc>
          <w:tcPr>
            <w:tcW w:w="1300" w:type="dxa"/>
            <w:vAlign w:val="bottom"/>
          </w:tcPr>
          <w:p>
            <w:pPr>
              <w:jc w:val="right"/>
              <w:ind w:right="150"/>
              <w:spacing w:after="0" w:line="149" w:lineRule="exact"/>
              <w:rPr>
                <w:sz w:val="20"/>
                <w:szCs w:val="20"/>
                <w:color w:val="auto"/>
              </w:rPr>
            </w:pPr>
            <w:r>
              <w:rPr>
                <w:rFonts w:ascii="Arial" w:cs="Arial" w:eastAsia="Arial" w:hAnsi="Arial"/>
                <w:sz w:val="14"/>
                <w:szCs w:val="14"/>
                <w:color w:val="auto"/>
              </w:rPr>
              <w:t>4,793,523</w:t>
            </w:r>
          </w:p>
        </w:tc>
        <w:tc>
          <w:tcPr>
            <w:tcW w:w="108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color w:val="auto"/>
              </w:rPr>
              <w:t>5,231,271</w:t>
            </w: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rPr>
              <w:t>9.1%</w:t>
            </w:r>
          </w:p>
        </w:tc>
        <w:tc>
          <w:tcPr>
            <w:tcW w:w="6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42"/>
        </w:trPr>
        <w:tc>
          <w:tcPr>
            <w:tcW w:w="6200" w:type="dxa"/>
            <w:vAlign w:val="bottom"/>
            <w:tcBorders>
              <w:left w:val="single" w:sz="8" w:color="auto"/>
              <w:right w:val="single" w:sz="8" w:color="auto"/>
            </w:tcBorders>
          </w:tcPr>
          <w:p>
            <w:pPr>
              <w:ind w:left="160"/>
              <w:spacing w:after="0" w:line="143" w:lineRule="exact"/>
              <w:rPr>
                <w:sz w:val="20"/>
                <w:szCs w:val="20"/>
                <w:color w:val="auto"/>
              </w:rPr>
            </w:pPr>
            <w:r>
              <w:rPr>
                <w:rFonts w:ascii="Arial" w:cs="Arial" w:eastAsia="Arial" w:hAnsi="Arial"/>
                <w:sz w:val="14"/>
                <w:szCs w:val="14"/>
                <w:color w:val="auto"/>
              </w:rPr>
              <w:t>Less - allowance for loan losses</w:t>
            </w:r>
          </w:p>
        </w:tc>
        <w:tc>
          <w:tcPr>
            <w:tcW w:w="1420" w:type="dxa"/>
            <w:vAlign w:val="bottom"/>
          </w:tcPr>
          <w:p>
            <w:pPr>
              <w:jc w:val="right"/>
              <w:ind w:right="130"/>
              <w:spacing w:after="0" w:line="143" w:lineRule="exact"/>
              <w:rPr>
                <w:sz w:val="20"/>
                <w:szCs w:val="20"/>
                <w:color w:val="auto"/>
              </w:rPr>
            </w:pPr>
            <w:r>
              <w:rPr>
                <w:rFonts w:ascii="Arial" w:cs="Arial" w:eastAsia="Arial" w:hAnsi="Arial"/>
                <w:sz w:val="14"/>
                <w:szCs w:val="14"/>
                <w:color w:val="auto"/>
              </w:rPr>
              <w:t>(6,450,828)</w:t>
            </w:r>
          </w:p>
        </w:tc>
        <w:tc>
          <w:tcPr>
            <w:tcW w:w="1300" w:type="dxa"/>
            <w:vAlign w:val="bottom"/>
          </w:tcPr>
          <w:p>
            <w:pPr>
              <w:jc w:val="right"/>
              <w:ind w:right="150"/>
              <w:spacing w:after="0" w:line="143" w:lineRule="exact"/>
              <w:rPr>
                <w:sz w:val="20"/>
                <w:szCs w:val="20"/>
                <w:color w:val="auto"/>
              </w:rPr>
            </w:pPr>
            <w:r>
              <w:rPr>
                <w:rFonts w:ascii="Arial" w:cs="Arial" w:eastAsia="Arial" w:hAnsi="Arial"/>
                <w:sz w:val="14"/>
                <w:szCs w:val="14"/>
                <w:color w:val="auto"/>
              </w:rPr>
              <w:t>(6,410,732)</w:t>
            </w:r>
          </w:p>
        </w:tc>
        <w:tc>
          <w:tcPr>
            <w:tcW w:w="1080" w:type="dxa"/>
            <w:vAlign w:val="bottom"/>
            <w:tcBorders>
              <w:right w:val="single" w:sz="8" w:color="auto"/>
            </w:tcBorders>
          </w:tcPr>
          <w:p>
            <w:pPr>
              <w:jc w:val="right"/>
              <w:spacing w:after="0" w:line="143" w:lineRule="exact"/>
              <w:rPr>
                <w:sz w:val="20"/>
                <w:szCs w:val="20"/>
                <w:color w:val="auto"/>
              </w:rPr>
            </w:pPr>
            <w:r>
              <w:rPr>
                <w:rFonts w:ascii="Arial" w:cs="Arial" w:eastAsia="Arial" w:hAnsi="Arial"/>
                <w:sz w:val="14"/>
                <w:szCs w:val="14"/>
                <w:color w:val="auto"/>
              </w:rPr>
              <w:t>(6,534,389)</w:t>
            </w:r>
          </w:p>
        </w:tc>
        <w:tc>
          <w:tcPr>
            <w:tcW w:w="640" w:type="dxa"/>
            <w:vAlign w:val="bottom"/>
          </w:tcPr>
          <w:p>
            <w:pPr>
              <w:jc w:val="center"/>
              <w:spacing w:after="0" w:line="143" w:lineRule="exact"/>
              <w:rPr>
                <w:sz w:val="20"/>
                <w:szCs w:val="20"/>
                <w:color w:val="auto"/>
              </w:rPr>
            </w:pPr>
            <w:r>
              <w:rPr>
                <w:rFonts w:ascii="Arial" w:cs="Arial" w:eastAsia="Arial" w:hAnsi="Arial"/>
                <w:sz w:val="14"/>
                <w:szCs w:val="14"/>
                <w:color w:val="auto"/>
              </w:rPr>
              <w:t>1.9%</w:t>
            </w:r>
          </w:p>
        </w:tc>
        <w:tc>
          <w:tcPr>
            <w:tcW w:w="62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95"/>
        </w:trPr>
        <w:tc>
          <w:tcPr>
            <w:tcW w:w="6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Loans, net</w:t>
            </w:r>
          </w:p>
        </w:tc>
        <w:tc>
          <w:tcPr>
            <w:tcW w:w="1420" w:type="dxa"/>
            <w:vAlign w:val="bottom"/>
          </w:tcPr>
          <w:p>
            <w:pPr>
              <w:jc w:val="right"/>
              <w:ind w:right="130"/>
              <w:spacing w:after="0"/>
              <w:rPr>
                <w:sz w:val="20"/>
                <w:szCs w:val="20"/>
                <w:color w:val="auto"/>
              </w:rPr>
            </w:pPr>
            <w:r>
              <w:rPr>
                <w:rFonts w:ascii="Arial" w:cs="Arial" w:eastAsia="Arial" w:hAnsi="Arial"/>
                <w:sz w:val="14"/>
                <w:szCs w:val="14"/>
                <w:b w:val="1"/>
                <w:bCs w:val="1"/>
                <w:color w:val="auto"/>
              </w:rPr>
              <w:t>119,725,773</w:t>
            </w:r>
          </w:p>
        </w:tc>
        <w:tc>
          <w:tcPr>
            <w:tcW w:w="1300" w:type="dxa"/>
            <w:vAlign w:val="bottom"/>
          </w:tcPr>
          <w:p>
            <w:pPr>
              <w:jc w:val="right"/>
              <w:ind w:right="150"/>
              <w:spacing w:after="0"/>
              <w:rPr>
                <w:sz w:val="20"/>
                <w:szCs w:val="20"/>
                <w:color w:val="auto"/>
              </w:rPr>
            </w:pPr>
            <w:r>
              <w:rPr>
                <w:rFonts w:ascii="Arial" w:cs="Arial" w:eastAsia="Arial" w:hAnsi="Arial"/>
                <w:sz w:val="14"/>
                <w:szCs w:val="14"/>
                <w:b w:val="1"/>
                <w:bCs w:val="1"/>
                <w:color w:val="auto"/>
              </w:rPr>
              <w:t>111,200,962</w:t>
            </w: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auto"/>
              </w:rPr>
              <w:t>113,100,662</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rPr>
              <w:t>1.7%</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-5.5%</w:t>
            </w:r>
          </w:p>
        </w:tc>
        <w:tc>
          <w:tcPr>
            <w:tcW w:w="0" w:type="dxa"/>
            <w:vAlign w:val="bottom"/>
          </w:tcPr>
          <w:p>
            <w:pPr>
              <w:spacing w:after="0"/>
              <w:rPr>
                <w:sz w:val="1"/>
                <w:szCs w:val="1"/>
                <w:color w:val="auto"/>
              </w:rPr>
            </w:pPr>
          </w:p>
        </w:tc>
      </w:tr>
      <w:tr>
        <w:trPr>
          <w:trHeight w:val="250"/>
        </w:trPr>
        <w:tc>
          <w:tcPr>
            <w:tcW w:w="6200" w:type="dxa"/>
            <w:vAlign w:val="bottom"/>
            <w:tcBorders>
              <w:left w:val="single" w:sz="8" w:color="auto"/>
              <w:right w:val="single" w:sz="8" w:color="auto"/>
            </w:tcBorders>
          </w:tcPr>
          <w:p>
            <w:pPr>
              <w:ind w:left="20"/>
              <w:spacing w:after="0" w:line="251" w:lineRule="exact"/>
              <w:rPr>
                <w:sz w:val="20"/>
                <w:szCs w:val="20"/>
                <w:color w:val="auto"/>
              </w:rPr>
            </w:pPr>
            <w:r>
              <w:rPr>
                <w:rFonts w:ascii="Arial" w:cs="Arial" w:eastAsia="Arial" w:hAnsi="Arial"/>
                <w:sz w:val="14"/>
                <w:szCs w:val="14"/>
                <w:b w:val="1"/>
                <w:bCs w:val="1"/>
                <w:color w:val="auto"/>
              </w:rPr>
              <w:t xml:space="preserve">Property, furniture and equipment, net </w:t>
            </w:r>
            <w:r>
              <w:rPr>
                <w:rFonts w:ascii="Arial" w:cs="Arial" w:eastAsia="Arial" w:hAnsi="Arial"/>
                <w:sz w:val="23"/>
                <w:szCs w:val="23"/>
                <w:b w:val="1"/>
                <w:bCs w:val="1"/>
                <w:color w:val="auto"/>
                <w:vertAlign w:val="superscript"/>
              </w:rPr>
              <w:t>(1)</w:t>
            </w:r>
          </w:p>
        </w:tc>
        <w:tc>
          <w:tcPr>
            <w:tcW w:w="1420" w:type="dxa"/>
            <w:vAlign w:val="bottom"/>
          </w:tcPr>
          <w:p>
            <w:pPr>
              <w:jc w:val="right"/>
              <w:ind w:right="130"/>
              <w:spacing w:after="0"/>
              <w:rPr>
                <w:sz w:val="20"/>
                <w:szCs w:val="20"/>
                <w:color w:val="auto"/>
              </w:rPr>
            </w:pPr>
            <w:r>
              <w:rPr>
                <w:rFonts w:ascii="Arial" w:cs="Arial" w:eastAsia="Arial" w:hAnsi="Arial"/>
                <w:sz w:val="14"/>
                <w:szCs w:val="14"/>
                <w:b w:val="1"/>
                <w:bCs w:val="1"/>
                <w:color w:val="auto"/>
              </w:rPr>
              <w:t>1,241,975</w:t>
            </w:r>
          </w:p>
        </w:tc>
        <w:tc>
          <w:tcPr>
            <w:tcW w:w="1300" w:type="dxa"/>
            <w:vAlign w:val="bottom"/>
          </w:tcPr>
          <w:p>
            <w:pPr>
              <w:jc w:val="right"/>
              <w:ind w:right="150"/>
              <w:spacing w:after="0"/>
              <w:rPr>
                <w:sz w:val="20"/>
                <w:szCs w:val="20"/>
                <w:color w:val="auto"/>
              </w:rPr>
            </w:pPr>
            <w:r>
              <w:rPr>
                <w:rFonts w:ascii="Arial" w:cs="Arial" w:eastAsia="Arial" w:hAnsi="Arial"/>
                <w:sz w:val="14"/>
                <w:szCs w:val="14"/>
                <w:b w:val="1"/>
                <w:bCs w:val="1"/>
                <w:color w:val="auto"/>
              </w:rPr>
              <w:t>1,217,932</w:t>
            </w: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auto"/>
              </w:rPr>
              <w:t>1,213,395</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rPr>
              <w:t>-0.4%</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-2.3%</w:t>
            </w:r>
          </w:p>
        </w:tc>
        <w:tc>
          <w:tcPr>
            <w:tcW w:w="0" w:type="dxa"/>
            <w:vAlign w:val="bottom"/>
          </w:tcPr>
          <w:p>
            <w:pPr>
              <w:spacing w:after="0"/>
              <w:rPr>
                <w:sz w:val="1"/>
                <w:szCs w:val="1"/>
                <w:color w:val="auto"/>
              </w:rPr>
            </w:pPr>
          </w:p>
        </w:tc>
      </w:tr>
      <w:tr>
        <w:trPr>
          <w:trHeight w:val="148"/>
        </w:trPr>
        <w:tc>
          <w:tcPr>
            <w:tcW w:w="6200" w:type="dxa"/>
            <w:vAlign w:val="bottom"/>
            <w:tcBorders>
              <w:left w:val="single" w:sz="8" w:color="auto"/>
              <w:right w:val="single" w:sz="8" w:color="auto"/>
            </w:tcBorders>
          </w:tcPr>
          <w:p>
            <w:pPr>
              <w:ind w:left="20"/>
              <w:spacing w:after="0" w:line="149" w:lineRule="exact"/>
              <w:rPr>
                <w:sz w:val="20"/>
                <w:szCs w:val="20"/>
                <w:color w:val="auto"/>
              </w:rPr>
            </w:pPr>
            <w:r>
              <w:rPr>
                <w:rFonts w:ascii="Arial" w:cs="Arial" w:eastAsia="Arial" w:hAnsi="Arial"/>
                <w:sz w:val="14"/>
                <w:szCs w:val="14"/>
                <w:b w:val="1"/>
                <w:bCs w:val="1"/>
                <w:color w:val="auto"/>
              </w:rPr>
              <w:t>Due from customers on acceptances</w:t>
            </w:r>
          </w:p>
        </w:tc>
        <w:tc>
          <w:tcPr>
            <w:tcW w:w="1420" w:type="dxa"/>
            <w:vAlign w:val="bottom"/>
          </w:tcPr>
          <w:p>
            <w:pPr>
              <w:jc w:val="right"/>
              <w:ind w:right="130"/>
              <w:spacing w:after="0" w:line="149" w:lineRule="exact"/>
              <w:rPr>
                <w:sz w:val="20"/>
                <w:szCs w:val="20"/>
                <w:color w:val="auto"/>
              </w:rPr>
            </w:pPr>
            <w:r>
              <w:rPr>
                <w:rFonts w:ascii="Arial" w:cs="Arial" w:eastAsia="Arial" w:hAnsi="Arial"/>
                <w:sz w:val="14"/>
                <w:szCs w:val="14"/>
                <w:b w:val="1"/>
                <w:bCs w:val="1"/>
                <w:color w:val="auto"/>
              </w:rPr>
              <w:t>697,119</w:t>
            </w:r>
          </w:p>
        </w:tc>
        <w:tc>
          <w:tcPr>
            <w:tcW w:w="1300" w:type="dxa"/>
            <w:vAlign w:val="bottom"/>
          </w:tcPr>
          <w:p>
            <w:pPr>
              <w:jc w:val="right"/>
              <w:ind w:right="150"/>
              <w:spacing w:after="0" w:line="149" w:lineRule="exact"/>
              <w:rPr>
                <w:sz w:val="20"/>
                <w:szCs w:val="20"/>
                <w:color w:val="auto"/>
              </w:rPr>
            </w:pPr>
            <w:r>
              <w:rPr>
                <w:rFonts w:ascii="Arial" w:cs="Arial" w:eastAsia="Arial" w:hAnsi="Arial"/>
                <w:sz w:val="14"/>
                <w:szCs w:val="14"/>
                <w:b w:val="1"/>
                <w:bCs w:val="1"/>
                <w:color w:val="auto"/>
              </w:rPr>
              <w:t>226,161</w:t>
            </w:r>
          </w:p>
        </w:tc>
        <w:tc>
          <w:tcPr>
            <w:tcW w:w="108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325,771</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44.0%</w:t>
            </w:r>
          </w:p>
        </w:tc>
        <w:tc>
          <w:tcPr>
            <w:tcW w:w="6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-53.3%</w:t>
            </w:r>
          </w:p>
        </w:tc>
        <w:tc>
          <w:tcPr>
            <w:tcW w:w="0" w:type="dxa"/>
            <w:vAlign w:val="bottom"/>
          </w:tcPr>
          <w:p>
            <w:pPr>
              <w:spacing w:after="0"/>
              <w:rPr>
                <w:sz w:val="1"/>
                <w:szCs w:val="1"/>
                <w:color w:val="auto"/>
              </w:rPr>
            </w:pPr>
          </w:p>
        </w:tc>
      </w:tr>
      <w:tr>
        <w:trPr>
          <w:trHeight w:val="148"/>
        </w:trPr>
        <w:tc>
          <w:tcPr>
            <w:tcW w:w="6200" w:type="dxa"/>
            <w:vAlign w:val="bottom"/>
            <w:tcBorders>
              <w:left w:val="single" w:sz="8" w:color="auto"/>
              <w:right w:val="single" w:sz="8" w:color="auto"/>
            </w:tcBorders>
          </w:tcPr>
          <w:p>
            <w:pPr>
              <w:ind w:left="20"/>
              <w:spacing w:after="0" w:line="149" w:lineRule="exact"/>
              <w:rPr>
                <w:sz w:val="20"/>
                <w:szCs w:val="20"/>
                <w:color w:val="auto"/>
              </w:rPr>
            </w:pPr>
            <w:r>
              <w:rPr>
                <w:rFonts w:ascii="Arial" w:cs="Arial" w:eastAsia="Arial" w:hAnsi="Arial"/>
                <w:sz w:val="14"/>
                <w:szCs w:val="14"/>
                <w:b w:val="1"/>
                <w:bCs w:val="1"/>
                <w:color w:val="auto"/>
              </w:rPr>
              <w:t>Investments in associates</w:t>
            </w:r>
          </w:p>
        </w:tc>
        <w:tc>
          <w:tcPr>
            <w:tcW w:w="1420" w:type="dxa"/>
            <w:vAlign w:val="bottom"/>
          </w:tcPr>
          <w:p>
            <w:pPr>
              <w:jc w:val="right"/>
              <w:ind w:right="130"/>
              <w:spacing w:after="0" w:line="149" w:lineRule="exact"/>
              <w:rPr>
                <w:sz w:val="20"/>
                <w:szCs w:val="20"/>
                <w:color w:val="auto"/>
              </w:rPr>
            </w:pPr>
            <w:r>
              <w:rPr>
                <w:rFonts w:ascii="Arial" w:cs="Arial" w:eastAsia="Arial" w:hAnsi="Arial"/>
                <w:sz w:val="14"/>
                <w:szCs w:val="14"/>
                <w:b w:val="1"/>
                <w:bCs w:val="1"/>
                <w:color w:val="auto"/>
              </w:rPr>
              <w:t>2,683,038</w:t>
            </w:r>
          </w:p>
        </w:tc>
        <w:tc>
          <w:tcPr>
            <w:tcW w:w="1300" w:type="dxa"/>
            <w:vAlign w:val="bottom"/>
          </w:tcPr>
          <w:p>
            <w:pPr>
              <w:jc w:val="right"/>
              <w:ind w:right="150"/>
              <w:spacing w:after="0" w:line="149" w:lineRule="exact"/>
              <w:rPr>
                <w:sz w:val="20"/>
                <w:szCs w:val="20"/>
                <w:color w:val="auto"/>
              </w:rPr>
            </w:pPr>
            <w:r>
              <w:rPr>
                <w:rFonts w:ascii="Arial" w:cs="Arial" w:eastAsia="Arial" w:hAnsi="Arial"/>
                <w:sz w:val="14"/>
                <w:szCs w:val="14"/>
                <w:b w:val="1"/>
                <w:bCs w:val="1"/>
                <w:color w:val="auto"/>
              </w:rPr>
              <w:t>2,800,043</w:t>
            </w:r>
          </w:p>
        </w:tc>
        <w:tc>
          <w:tcPr>
            <w:tcW w:w="108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2,851,285</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1.8%</w:t>
            </w:r>
          </w:p>
        </w:tc>
        <w:tc>
          <w:tcPr>
            <w:tcW w:w="6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6.3%</w:t>
            </w:r>
          </w:p>
        </w:tc>
        <w:tc>
          <w:tcPr>
            <w:tcW w:w="0" w:type="dxa"/>
            <w:vAlign w:val="bottom"/>
          </w:tcPr>
          <w:p>
            <w:pPr>
              <w:spacing w:after="0"/>
              <w:rPr>
                <w:sz w:val="1"/>
                <w:szCs w:val="1"/>
                <w:color w:val="auto"/>
              </w:rPr>
            </w:pPr>
          </w:p>
        </w:tc>
      </w:tr>
      <w:tr>
        <w:trPr>
          <w:trHeight w:val="154"/>
        </w:trPr>
        <w:tc>
          <w:tcPr>
            <w:tcW w:w="6200" w:type="dxa"/>
            <w:vAlign w:val="bottom"/>
            <w:tcBorders>
              <w:left w:val="single" w:sz="8" w:color="auto"/>
              <w:right w:val="single" w:sz="8" w:color="auto"/>
            </w:tcBorders>
          </w:tcPr>
          <w:p>
            <w:pPr>
              <w:ind w:left="20"/>
              <w:spacing w:after="0" w:line="154" w:lineRule="exact"/>
              <w:rPr>
                <w:sz w:val="20"/>
                <w:szCs w:val="20"/>
                <w:color w:val="auto"/>
              </w:rPr>
            </w:pPr>
            <w:r>
              <w:rPr>
                <w:rFonts w:ascii="Arial" w:cs="Arial" w:eastAsia="Arial" w:hAnsi="Arial"/>
                <w:sz w:val="11"/>
                <w:szCs w:val="11"/>
                <w:b w:val="1"/>
                <w:bCs w:val="1"/>
                <w:color w:val="auto"/>
              </w:rPr>
              <w:t xml:space="preserve">Other assets </w:t>
            </w:r>
            <w:r>
              <w:rPr>
                <w:rFonts w:ascii="Arial" w:cs="Arial" w:eastAsia="Arial" w:hAnsi="Arial"/>
                <w:sz w:val="17"/>
                <w:szCs w:val="17"/>
                <w:color w:val="auto"/>
                <w:vertAlign w:val="superscript"/>
              </w:rPr>
              <w:t>(2)</w:t>
            </w:r>
          </w:p>
        </w:tc>
        <w:tc>
          <w:tcPr>
            <w:tcW w:w="1420" w:type="dxa"/>
            <w:vAlign w:val="bottom"/>
          </w:tcPr>
          <w:p>
            <w:pPr>
              <w:jc w:val="right"/>
              <w:ind w:right="130"/>
              <w:spacing w:after="0" w:line="155" w:lineRule="exact"/>
              <w:rPr>
                <w:sz w:val="20"/>
                <w:szCs w:val="20"/>
                <w:color w:val="auto"/>
              </w:rPr>
            </w:pPr>
            <w:r>
              <w:rPr>
                <w:rFonts w:ascii="Arial" w:cs="Arial" w:eastAsia="Arial" w:hAnsi="Arial"/>
                <w:sz w:val="14"/>
                <w:szCs w:val="14"/>
                <w:b w:val="1"/>
                <w:bCs w:val="1"/>
                <w:color w:val="auto"/>
              </w:rPr>
              <w:t>6,044,500</w:t>
            </w:r>
          </w:p>
        </w:tc>
        <w:tc>
          <w:tcPr>
            <w:tcW w:w="1300" w:type="dxa"/>
            <w:vAlign w:val="bottom"/>
          </w:tcPr>
          <w:p>
            <w:pPr>
              <w:jc w:val="right"/>
              <w:ind w:right="150"/>
              <w:spacing w:after="0" w:line="155" w:lineRule="exact"/>
              <w:rPr>
                <w:sz w:val="20"/>
                <w:szCs w:val="20"/>
                <w:color w:val="auto"/>
              </w:rPr>
            </w:pPr>
            <w:r>
              <w:rPr>
                <w:rFonts w:ascii="Arial" w:cs="Arial" w:eastAsia="Arial" w:hAnsi="Arial"/>
                <w:sz w:val="14"/>
                <w:szCs w:val="14"/>
                <w:b w:val="1"/>
                <w:bCs w:val="1"/>
                <w:color w:val="auto"/>
              </w:rPr>
              <w:t>7,015,286</w:t>
            </w:r>
          </w:p>
        </w:tc>
        <w:tc>
          <w:tcPr>
            <w:tcW w:w="1080" w:type="dxa"/>
            <w:vAlign w:val="bottom"/>
            <w:tcBorders>
              <w:right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7,119,911</w:t>
            </w:r>
          </w:p>
        </w:tc>
        <w:tc>
          <w:tcPr>
            <w:tcW w:w="64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rPr>
              <w:t>1.5%</w:t>
            </w:r>
          </w:p>
        </w:tc>
        <w:tc>
          <w:tcPr>
            <w:tcW w:w="620" w:type="dxa"/>
            <w:vAlign w:val="bottom"/>
            <w:tcBorders>
              <w:right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17.8%</w:t>
            </w:r>
          </w:p>
        </w:tc>
        <w:tc>
          <w:tcPr>
            <w:tcW w:w="0" w:type="dxa"/>
            <w:vAlign w:val="bottom"/>
          </w:tcPr>
          <w:p>
            <w:pPr>
              <w:spacing w:after="0"/>
              <w:rPr>
                <w:sz w:val="1"/>
                <w:szCs w:val="1"/>
                <w:color w:val="auto"/>
              </w:rPr>
            </w:pPr>
          </w:p>
        </w:tc>
      </w:tr>
      <w:tr>
        <w:trPr>
          <w:trHeight w:val="142"/>
        </w:trPr>
        <w:tc>
          <w:tcPr>
            <w:tcW w:w="6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Total Assets</w:t>
            </w:r>
          </w:p>
        </w:tc>
        <w:tc>
          <w:tcPr>
            <w:tcW w:w="1420" w:type="dxa"/>
            <w:vAlign w:val="bottom"/>
          </w:tcPr>
          <w:p>
            <w:pPr>
              <w:jc w:val="right"/>
              <w:ind w:right="130"/>
              <w:spacing w:after="0" w:line="143" w:lineRule="exact"/>
              <w:rPr>
                <w:sz w:val="20"/>
                <w:szCs w:val="20"/>
                <w:color w:val="auto"/>
              </w:rPr>
            </w:pPr>
            <w:r>
              <w:rPr>
                <w:rFonts w:ascii="Arial" w:cs="Arial" w:eastAsia="Arial" w:hAnsi="Arial"/>
                <w:sz w:val="14"/>
                <w:szCs w:val="14"/>
                <w:color w:val="auto"/>
              </w:rPr>
              <w:t>-</w:t>
            </w:r>
          </w:p>
        </w:tc>
        <w:tc>
          <w:tcPr>
            <w:tcW w:w="1300" w:type="dxa"/>
            <w:vAlign w:val="bottom"/>
          </w:tcPr>
          <w:p>
            <w:pPr>
              <w:jc w:val="right"/>
              <w:ind w:right="150"/>
              <w:spacing w:after="0" w:line="143" w:lineRule="exact"/>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2.5%</w:t>
            </w:r>
          </w:p>
        </w:tc>
        <w:tc>
          <w:tcPr>
            <w:tcW w:w="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8"/>
              </w:rPr>
              <w:t>-2.7%</w:t>
            </w:r>
          </w:p>
        </w:tc>
        <w:tc>
          <w:tcPr>
            <w:tcW w:w="0" w:type="dxa"/>
            <w:vAlign w:val="bottom"/>
          </w:tcPr>
          <w:p>
            <w:pPr>
              <w:spacing w:after="0"/>
              <w:rPr>
                <w:sz w:val="1"/>
                <w:szCs w:val="1"/>
                <w:color w:val="auto"/>
              </w:rPr>
            </w:pPr>
          </w:p>
        </w:tc>
      </w:tr>
      <w:tr>
        <w:trPr>
          <w:trHeight w:val="195"/>
        </w:trPr>
        <w:tc>
          <w:tcPr>
            <w:tcW w:w="6200" w:type="dxa"/>
            <w:vAlign w:val="bottom"/>
            <w:tcBorders>
              <w:left w:val="single" w:sz="8" w:color="auto"/>
              <w:right w:val="single" w:sz="8" w:color="auto"/>
            </w:tcBorders>
            <w:vMerge w:val="continue"/>
          </w:tcPr>
          <w:p>
            <w:pPr>
              <w:spacing w:after="0"/>
              <w:rPr>
                <w:sz w:val="16"/>
                <w:szCs w:val="16"/>
                <w:color w:val="auto"/>
              </w:rPr>
            </w:pPr>
          </w:p>
        </w:tc>
        <w:tc>
          <w:tcPr>
            <w:tcW w:w="1420" w:type="dxa"/>
            <w:vAlign w:val="bottom"/>
          </w:tcPr>
          <w:p>
            <w:pPr>
              <w:jc w:val="right"/>
              <w:ind w:right="130"/>
              <w:spacing w:after="0"/>
              <w:rPr>
                <w:sz w:val="20"/>
                <w:szCs w:val="20"/>
                <w:color w:val="auto"/>
              </w:rPr>
            </w:pPr>
            <w:r>
              <w:rPr>
                <w:rFonts w:ascii="Arial" w:cs="Arial" w:eastAsia="Arial" w:hAnsi="Arial"/>
                <w:sz w:val="14"/>
                <w:szCs w:val="14"/>
                <w:b w:val="1"/>
                <w:bCs w:val="1"/>
                <w:color w:val="auto"/>
              </w:rPr>
              <w:t>186,938,407</w:t>
            </w:r>
          </w:p>
        </w:tc>
        <w:tc>
          <w:tcPr>
            <w:tcW w:w="1300" w:type="dxa"/>
            <w:vAlign w:val="bottom"/>
          </w:tcPr>
          <w:p>
            <w:pPr>
              <w:jc w:val="right"/>
              <w:ind w:right="150"/>
              <w:spacing w:after="0"/>
              <w:rPr>
                <w:sz w:val="20"/>
                <w:szCs w:val="20"/>
                <w:color w:val="auto"/>
              </w:rPr>
            </w:pPr>
            <w:r>
              <w:rPr>
                <w:rFonts w:ascii="Arial" w:cs="Arial" w:eastAsia="Arial" w:hAnsi="Arial"/>
                <w:sz w:val="14"/>
                <w:szCs w:val="14"/>
                <w:b w:val="1"/>
                <w:bCs w:val="1"/>
                <w:color w:val="auto"/>
              </w:rPr>
              <w:t>177,368,492</w:t>
            </w: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auto"/>
              </w:rPr>
              <w:t>181,840,636</w:t>
            </w:r>
          </w:p>
        </w:tc>
        <w:tc>
          <w:tcPr>
            <w:tcW w:w="640" w:type="dxa"/>
            <w:vAlign w:val="bottom"/>
            <w:vMerge w:val="continue"/>
          </w:tcPr>
          <w:p>
            <w:pPr>
              <w:spacing w:after="0"/>
              <w:rPr>
                <w:sz w:val="16"/>
                <w:szCs w:val="16"/>
                <w:color w:val="auto"/>
              </w:rPr>
            </w:pPr>
          </w:p>
        </w:tc>
        <w:tc>
          <w:tcPr>
            <w:tcW w:w="62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24"/>
        </w:trPr>
        <w:tc>
          <w:tcPr>
            <w:tcW w:w="6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Liabilities and Equity</w:t>
            </w:r>
          </w:p>
        </w:tc>
        <w:tc>
          <w:tcPr>
            <w:tcW w:w="1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80" w:type="dxa"/>
            <w:vAlign w:val="bottom"/>
            <w:tcBorders>
              <w:right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6200" w:type="dxa"/>
            <w:vAlign w:val="bottom"/>
            <w:tcBorders>
              <w:left w:val="single" w:sz="8" w:color="auto"/>
              <w:right w:val="single" w:sz="8" w:color="auto"/>
            </w:tcBorders>
          </w:tcPr>
          <w:p>
            <w:pPr>
              <w:ind w:left="20"/>
              <w:spacing w:after="0" w:line="155" w:lineRule="exact"/>
              <w:rPr>
                <w:sz w:val="20"/>
                <w:szCs w:val="20"/>
                <w:color w:val="auto"/>
              </w:rPr>
            </w:pPr>
            <w:r>
              <w:rPr>
                <w:rFonts w:ascii="Arial" w:cs="Arial" w:eastAsia="Arial" w:hAnsi="Arial"/>
                <w:sz w:val="14"/>
                <w:szCs w:val="14"/>
                <w:b w:val="1"/>
                <w:bCs w:val="1"/>
                <w:color w:val="auto"/>
              </w:rPr>
              <w:t>Deposits and obligations</w:t>
            </w:r>
          </w:p>
        </w:tc>
        <w:tc>
          <w:tcPr>
            <w:tcW w:w="14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200" w:type="dxa"/>
            <w:vAlign w:val="bottom"/>
            <w:tcBorders>
              <w:left w:val="single" w:sz="8" w:color="auto"/>
              <w:right w:val="single" w:sz="8" w:color="auto"/>
            </w:tcBorders>
          </w:tcPr>
          <w:p>
            <w:pPr>
              <w:ind w:left="160"/>
              <w:spacing w:after="0" w:line="149" w:lineRule="exact"/>
              <w:rPr>
                <w:sz w:val="20"/>
                <w:szCs w:val="20"/>
                <w:color w:val="auto"/>
              </w:rPr>
            </w:pPr>
            <w:r>
              <w:rPr>
                <w:rFonts w:ascii="Arial" w:cs="Arial" w:eastAsia="Arial" w:hAnsi="Arial"/>
                <w:sz w:val="14"/>
                <w:szCs w:val="14"/>
                <w:color w:val="auto"/>
              </w:rPr>
              <w:t>Non-interest bearing</w:t>
            </w:r>
          </w:p>
        </w:tc>
        <w:tc>
          <w:tcPr>
            <w:tcW w:w="1420" w:type="dxa"/>
            <w:vAlign w:val="bottom"/>
          </w:tcPr>
          <w:p>
            <w:pPr>
              <w:jc w:val="right"/>
              <w:ind w:right="130"/>
              <w:spacing w:after="0" w:line="149" w:lineRule="exact"/>
              <w:rPr>
                <w:sz w:val="20"/>
                <w:szCs w:val="20"/>
                <w:color w:val="auto"/>
              </w:rPr>
            </w:pPr>
            <w:r>
              <w:rPr>
                <w:rFonts w:ascii="Arial" w:cs="Arial" w:eastAsia="Arial" w:hAnsi="Arial"/>
                <w:sz w:val="14"/>
                <w:szCs w:val="14"/>
                <w:color w:val="auto"/>
              </w:rPr>
              <w:t>42,188,122</w:t>
            </w:r>
          </w:p>
        </w:tc>
        <w:tc>
          <w:tcPr>
            <w:tcW w:w="1300" w:type="dxa"/>
            <w:vAlign w:val="bottom"/>
          </w:tcPr>
          <w:p>
            <w:pPr>
              <w:jc w:val="right"/>
              <w:ind w:right="150"/>
              <w:spacing w:after="0" w:line="149" w:lineRule="exact"/>
              <w:rPr>
                <w:sz w:val="20"/>
                <w:szCs w:val="20"/>
                <w:color w:val="auto"/>
              </w:rPr>
            </w:pPr>
            <w:r>
              <w:rPr>
                <w:rFonts w:ascii="Arial" w:cs="Arial" w:eastAsia="Arial" w:hAnsi="Arial"/>
                <w:sz w:val="14"/>
                <w:szCs w:val="14"/>
                <w:color w:val="auto"/>
              </w:rPr>
              <w:t>36,465,910</w:t>
            </w:r>
          </w:p>
        </w:tc>
        <w:tc>
          <w:tcPr>
            <w:tcW w:w="108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color w:val="auto"/>
              </w:rPr>
              <w:t>36,740,398</w:t>
            </w: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rPr>
              <w:t>0.8%</w:t>
            </w:r>
          </w:p>
        </w:tc>
        <w:tc>
          <w:tcPr>
            <w:tcW w:w="6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-12.9%</w:t>
            </w:r>
          </w:p>
        </w:tc>
        <w:tc>
          <w:tcPr>
            <w:tcW w:w="0" w:type="dxa"/>
            <w:vAlign w:val="bottom"/>
          </w:tcPr>
          <w:p>
            <w:pPr>
              <w:spacing w:after="0"/>
              <w:rPr>
                <w:sz w:val="1"/>
                <w:szCs w:val="1"/>
                <w:color w:val="auto"/>
              </w:rPr>
            </w:pPr>
          </w:p>
        </w:tc>
      </w:tr>
      <w:tr>
        <w:trPr>
          <w:trHeight w:val="142"/>
        </w:trPr>
        <w:tc>
          <w:tcPr>
            <w:tcW w:w="6200" w:type="dxa"/>
            <w:vAlign w:val="bottom"/>
            <w:tcBorders>
              <w:left w:val="single" w:sz="8" w:color="auto"/>
              <w:right w:val="single" w:sz="8" w:color="auto"/>
            </w:tcBorders>
          </w:tcPr>
          <w:p>
            <w:pPr>
              <w:ind w:left="160"/>
              <w:spacing w:after="0" w:line="143" w:lineRule="exact"/>
              <w:rPr>
                <w:sz w:val="20"/>
                <w:szCs w:val="20"/>
                <w:color w:val="auto"/>
              </w:rPr>
            </w:pPr>
            <w:r>
              <w:rPr>
                <w:rFonts w:ascii="Arial" w:cs="Arial" w:eastAsia="Arial" w:hAnsi="Arial"/>
                <w:sz w:val="14"/>
                <w:szCs w:val="14"/>
                <w:color w:val="auto"/>
              </w:rPr>
              <w:t>Interest bearing</w:t>
            </w:r>
          </w:p>
        </w:tc>
        <w:tc>
          <w:tcPr>
            <w:tcW w:w="1420" w:type="dxa"/>
            <w:vAlign w:val="bottom"/>
          </w:tcPr>
          <w:p>
            <w:pPr>
              <w:jc w:val="right"/>
              <w:ind w:right="130"/>
              <w:spacing w:after="0" w:line="143" w:lineRule="exact"/>
              <w:rPr>
                <w:sz w:val="20"/>
                <w:szCs w:val="20"/>
                <w:color w:val="auto"/>
              </w:rPr>
            </w:pPr>
            <w:r>
              <w:rPr>
                <w:rFonts w:ascii="Arial" w:cs="Arial" w:eastAsia="Arial" w:hAnsi="Arial"/>
                <w:sz w:val="14"/>
                <w:szCs w:val="14"/>
                <w:color w:val="auto"/>
              </w:rPr>
              <w:t>82,294,328</w:t>
            </w:r>
          </w:p>
        </w:tc>
        <w:tc>
          <w:tcPr>
            <w:tcW w:w="1300" w:type="dxa"/>
            <w:vAlign w:val="bottom"/>
          </w:tcPr>
          <w:p>
            <w:pPr>
              <w:jc w:val="right"/>
              <w:ind w:right="150"/>
              <w:spacing w:after="0" w:line="143" w:lineRule="exact"/>
              <w:rPr>
                <w:sz w:val="20"/>
                <w:szCs w:val="20"/>
                <w:color w:val="auto"/>
              </w:rPr>
            </w:pPr>
            <w:r>
              <w:rPr>
                <w:rFonts w:ascii="Arial" w:cs="Arial" w:eastAsia="Arial" w:hAnsi="Arial"/>
                <w:sz w:val="14"/>
                <w:szCs w:val="14"/>
                <w:color w:val="auto"/>
              </w:rPr>
              <w:t>81,295,129</w:t>
            </w:r>
          </w:p>
        </w:tc>
        <w:tc>
          <w:tcPr>
            <w:tcW w:w="1080" w:type="dxa"/>
            <w:vAlign w:val="bottom"/>
            <w:tcBorders>
              <w:right w:val="single" w:sz="8" w:color="auto"/>
            </w:tcBorders>
          </w:tcPr>
          <w:p>
            <w:pPr>
              <w:jc w:val="right"/>
              <w:spacing w:after="0" w:line="143" w:lineRule="exact"/>
              <w:rPr>
                <w:sz w:val="20"/>
                <w:szCs w:val="20"/>
                <w:color w:val="auto"/>
              </w:rPr>
            </w:pPr>
            <w:r>
              <w:rPr>
                <w:rFonts w:ascii="Arial" w:cs="Arial" w:eastAsia="Arial" w:hAnsi="Arial"/>
                <w:sz w:val="14"/>
                <w:szCs w:val="14"/>
                <w:color w:val="auto"/>
              </w:rPr>
              <w:t>85,638,878</w:t>
            </w:r>
          </w:p>
        </w:tc>
        <w:tc>
          <w:tcPr>
            <w:tcW w:w="640" w:type="dxa"/>
            <w:vAlign w:val="bottom"/>
          </w:tcPr>
          <w:p>
            <w:pPr>
              <w:jc w:val="center"/>
              <w:spacing w:after="0" w:line="143" w:lineRule="exact"/>
              <w:rPr>
                <w:sz w:val="20"/>
                <w:szCs w:val="20"/>
                <w:color w:val="auto"/>
              </w:rPr>
            </w:pPr>
            <w:r>
              <w:rPr>
                <w:rFonts w:ascii="Arial" w:cs="Arial" w:eastAsia="Arial" w:hAnsi="Arial"/>
                <w:sz w:val="14"/>
                <w:szCs w:val="14"/>
                <w:color w:val="auto"/>
              </w:rPr>
              <w:t>5.3%</w:t>
            </w:r>
          </w:p>
        </w:tc>
        <w:tc>
          <w:tcPr>
            <w:tcW w:w="62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95"/>
        </w:trPr>
        <w:tc>
          <w:tcPr>
            <w:tcW w:w="62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Total deposits and obligations</w:t>
            </w:r>
          </w:p>
        </w:tc>
        <w:tc>
          <w:tcPr>
            <w:tcW w:w="1420" w:type="dxa"/>
            <w:vAlign w:val="bottom"/>
          </w:tcPr>
          <w:p>
            <w:pPr>
              <w:jc w:val="right"/>
              <w:ind w:right="130"/>
              <w:spacing w:after="0"/>
              <w:rPr>
                <w:sz w:val="20"/>
                <w:szCs w:val="20"/>
                <w:color w:val="auto"/>
              </w:rPr>
            </w:pPr>
            <w:r>
              <w:rPr>
                <w:rFonts w:ascii="Arial" w:cs="Arial" w:eastAsia="Arial" w:hAnsi="Arial"/>
                <w:sz w:val="14"/>
                <w:szCs w:val="14"/>
                <w:b w:val="1"/>
                <w:bCs w:val="1"/>
                <w:color w:val="auto"/>
              </w:rPr>
              <w:t>124,482,450</w:t>
            </w:r>
          </w:p>
        </w:tc>
        <w:tc>
          <w:tcPr>
            <w:tcW w:w="1300" w:type="dxa"/>
            <w:vAlign w:val="bottom"/>
          </w:tcPr>
          <w:p>
            <w:pPr>
              <w:jc w:val="right"/>
              <w:ind w:right="150"/>
              <w:spacing w:after="0"/>
              <w:rPr>
                <w:sz w:val="20"/>
                <w:szCs w:val="20"/>
                <w:color w:val="auto"/>
              </w:rPr>
            </w:pPr>
            <w:r>
              <w:rPr>
                <w:rFonts w:ascii="Arial" w:cs="Arial" w:eastAsia="Arial" w:hAnsi="Arial"/>
                <w:sz w:val="14"/>
                <w:szCs w:val="14"/>
                <w:b w:val="1"/>
                <w:bCs w:val="1"/>
                <w:color w:val="auto"/>
              </w:rPr>
              <w:t>117,761,039</w:t>
            </w: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auto"/>
              </w:rPr>
              <w:t>122,379,276</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rPr>
              <w:t>3.9%</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-1.7%</w:t>
            </w:r>
          </w:p>
        </w:tc>
        <w:tc>
          <w:tcPr>
            <w:tcW w:w="0" w:type="dxa"/>
            <w:vAlign w:val="bottom"/>
          </w:tcPr>
          <w:p>
            <w:pPr>
              <w:spacing w:after="0"/>
              <w:rPr>
                <w:sz w:val="1"/>
                <w:szCs w:val="1"/>
                <w:color w:val="auto"/>
              </w:rPr>
            </w:pPr>
          </w:p>
        </w:tc>
      </w:tr>
      <w:tr>
        <w:trPr>
          <w:trHeight w:val="256"/>
        </w:trPr>
        <w:tc>
          <w:tcPr>
            <w:tcW w:w="6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Payables from repurchase agreements and securities lending</w:t>
            </w:r>
          </w:p>
        </w:tc>
        <w:tc>
          <w:tcPr>
            <w:tcW w:w="1420" w:type="dxa"/>
            <w:vAlign w:val="bottom"/>
          </w:tcPr>
          <w:p>
            <w:pPr>
              <w:jc w:val="right"/>
              <w:ind w:right="130"/>
              <w:spacing w:after="0"/>
              <w:rPr>
                <w:sz w:val="20"/>
                <w:szCs w:val="20"/>
                <w:color w:val="auto"/>
              </w:rPr>
            </w:pPr>
            <w:r>
              <w:rPr>
                <w:rFonts w:ascii="Arial" w:cs="Arial" w:eastAsia="Arial" w:hAnsi="Arial"/>
                <w:sz w:val="14"/>
                <w:szCs w:val="14"/>
                <w:b w:val="1"/>
                <w:bCs w:val="1"/>
                <w:color w:val="auto"/>
              </w:rPr>
              <w:t>13,608,037</w:t>
            </w:r>
          </w:p>
        </w:tc>
        <w:tc>
          <w:tcPr>
            <w:tcW w:w="1300" w:type="dxa"/>
            <w:vAlign w:val="bottom"/>
          </w:tcPr>
          <w:p>
            <w:pPr>
              <w:jc w:val="right"/>
              <w:ind w:right="150"/>
              <w:spacing w:after="0"/>
              <w:rPr>
                <w:sz w:val="20"/>
                <w:szCs w:val="20"/>
                <w:color w:val="auto"/>
              </w:rPr>
            </w:pPr>
            <w:r>
              <w:rPr>
                <w:rFonts w:ascii="Arial" w:cs="Arial" w:eastAsia="Arial" w:hAnsi="Arial"/>
                <w:sz w:val="14"/>
                <w:szCs w:val="14"/>
                <w:b w:val="1"/>
                <w:bCs w:val="1"/>
                <w:color w:val="auto"/>
              </w:rPr>
              <w:t>11,759,891</w:t>
            </w: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auto"/>
              </w:rPr>
              <w:t>9,926,108</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9"/>
              </w:rPr>
              <w:t>-15.6%</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-27.1%</w:t>
            </w:r>
          </w:p>
        </w:tc>
        <w:tc>
          <w:tcPr>
            <w:tcW w:w="0" w:type="dxa"/>
            <w:vAlign w:val="bottom"/>
          </w:tcPr>
          <w:p>
            <w:pPr>
              <w:spacing w:after="0"/>
              <w:rPr>
                <w:sz w:val="1"/>
                <w:szCs w:val="1"/>
                <w:color w:val="auto"/>
              </w:rPr>
            </w:pPr>
          </w:p>
        </w:tc>
      </w:tr>
      <w:tr>
        <w:trPr>
          <w:trHeight w:val="148"/>
        </w:trPr>
        <w:tc>
          <w:tcPr>
            <w:tcW w:w="6200" w:type="dxa"/>
            <w:vAlign w:val="bottom"/>
            <w:tcBorders>
              <w:left w:val="single" w:sz="8" w:color="auto"/>
              <w:right w:val="single" w:sz="8" w:color="auto"/>
            </w:tcBorders>
          </w:tcPr>
          <w:p>
            <w:pPr>
              <w:ind w:left="160"/>
              <w:spacing w:after="0" w:line="149" w:lineRule="exact"/>
              <w:rPr>
                <w:sz w:val="20"/>
                <w:szCs w:val="20"/>
                <w:color w:val="auto"/>
              </w:rPr>
            </w:pPr>
            <w:r>
              <w:rPr>
                <w:rFonts w:ascii="Arial" w:cs="Arial" w:eastAsia="Arial" w:hAnsi="Arial"/>
                <w:sz w:val="14"/>
                <w:szCs w:val="14"/>
                <w:color w:val="auto"/>
              </w:rPr>
              <w:t>BCRP instruments</w:t>
            </w:r>
          </w:p>
        </w:tc>
        <w:tc>
          <w:tcPr>
            <w:tcW w:w="1420" w:type="dxa"/>
            <w:vAlign w:val="bottom"/>
          </w:tcPr>
          <w:p>
            <w:pPr>
              <w:jc w:val="right"/>
              <w:ind w:right="130"/>
              <w:spacing w:after="0" w:line="149" w:lineRule="exact"/>
              <w:rPr>
                <w:sz w:val="20"/>
                <w:szCs w:val="20"/>
                <w:color w:val="auto"/>
              </w:rPr>
            </w:pPr>
            <w:r>
              <w:rPr>
                <w:rFonts w:ascii="Arial" w:cs="Arial" w:eastAsia="Arial" w:hAnsi="Arial"/>
                <w:sz w:val="14"/>
                <w:szCs w:val="14"/>
                <w:color w:val="auto"/>
              </w:rPr>
              <w:t>13,056,240</w:t>
            </w:r>
          </w:p>
        </w:tc>
        <w:tc>
          <w:tcPr>
            <w:tcW w:w="1300" w:type="dxa"/>
            <w:vAlign w:val="bottom"/>
          </w:tcPr>
          <w:p>
            <w:pPr>
              <w:jc w:val="right"/>
              <w:ind w:right="150"/>
              <w:spacing w:after="0" w:line="149" w:lineRule="exact"/>
              <w:rPr>
                <w:sz w:val="20"/>
                <w:szCs w:val="20"/>
                <w:color w:val="auto"/>
              </w:rPr>
            </w:pPr>
            <w:r>
              <w:rPr>
                <w:rFonts w:ascii="Arial" w:cs="Arial" w:eastAsia="Arial" w:hAnsi="Arial"/>
                <w:sz w:val="14"/>
                <w:szCs w:val="14"/>
                <w:color w:val="auto"/>
              </w:rPr>
              <w:t>11,222,266</w:t>
            </w:r>
          </w:p>
        </w:tc>
        <w:tc>
          <w:tcPr>
            <w:tcW w:w="108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color w:val="auto"/>
              </w:rPr>
              <w:t>9,386,448</w:t>
            </w: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99"/>
              </w:rPr>
              <w:t>-16.4%</w:t>
            </w:r>
          </w:p>
        </w:tc>
        <w:tc>
          <w:tcPr>
            <w:tcW w:w="6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-28.1%</w:t>
            </w:r>
          </w:p>
        </w:tc>
        <w:tc>
          <w:tcPr>
            <w:tcW w:w="0" w:type="dxa"/>
            <w:vAlign w:val="bottom"/>
          </w:tcPr>
          <w:p>
            <w:pPr>
              <w:spacing w:after="0"/>
              <w:rPr>
                <w:sz w:val="1"/>
                <w:szCs w:val="1"/>
                <w:color w:val="auto"/>
              </w:rPr>
            </w:pPr>
          </w:p>
        </w:tc>
      </w:tr>
      <w:tr>
        <w:trPr>
          <w:trHeight w:val="142"/>
        </w:trPr>
        <w:tc>
          <w:tcPr>
            <w:tcW w:w="6200" w:type="dxa"/>
            <w:vAlign w:val="bottom"/>
            <w:tcBorders>
              <w:left w:val="single" w:sz="8" w:color="auto"/>
              <w:right w:val="single" w:sz="8" w:color="auto"/>
            </w:tcBorders>
          </w:tcPr>
          <w:p>
            <w:pPr>
              <w:ind w:left="160"/>
              <w:spacing w:after="0" w:line="143" w:lineRule="exact"/>
              <w:rPr>
                <w:sz w:val="20"/>
                <w:szCs w:val="20"/>
                <w:color w:val="auto"/>
              </w:rPr>
            </w:pPr>
            <w:r>
              <w:rPr>
                <w:rFonts w:ascii="Arial" w:cs="Arial" w:eastAsia="Arial" w:hAnsi="Arial"/>
                <w:sz w:val="14"/>
                <w:szCs w:val="14"/>
                <w:color w:val="auto"/>
              </w:rPr>
              <w:t>Repurchase agreements with third parties</w:t>
            </w:r>
          </w:p>
        </w:tc>
        <w:tc>
          <w:tcPr>
            <w:tcW w:w="1420" w:type="dxa"/>
            <w:vAlign w:val="bottom"/>
          </w:tcPr>
          <w:p>
            <w:pPr>
              <w:jc w:val="right"/>
              <w:ind w:right="130"/>
              <w:spacing w:after="0" w:line="143" w:lineRule="exact"/>
              <w:rPr>
                <w:sz w:val="20"/>
                <w:szCs w:val="20"/>
                <w:color w:val="auto"/>
              </w:rPr>
            </w:pPr>
            <w:r>
              <w:rPr>
                <w:rFonts w:ascii="Arial" w:cs="Arial" w:eastAsia="Arial" w:hAnsi="Arial"/>
                <w:sz w:val="14"/>
                <w:szCs w:val="14"/>
                <w:color w:val="auto"/>
              </w:rPr>
              <w:t>551,797</w:t>
            </w:r>
          </w:p>
        </w:tc>
        <w:tc>
          <w:tcPr>
            <w:tcW w:w="1300" w:type="dxa"/>
            <w:vAlign w:val="bottom"/>
          </w:tcPr>
          <w:p>
            <w:pPr>
              <w:jc w:val="right"/>
              <w:ind w:right="150"/>
              <w:spacing w:after="0" w:line="143" w:lineRule="exact"/>
              <w:rPr>
                <w:sz w:val="20"/>
                <w:szCs w:val="20"/>
                <w:color w:val="auto"/>
              </w:rPr>
            </w:pPr>
            <w:r>
              <w:rPr>
                <w:rFonts w:ascii="Arial" w:cs="Arial" w:eastAsia="Arial" w:hAnsi="Arial"/>
                <w:sz w:val="14"/>
                <w:szCs w:val="14"/>
                <w:color w:val="auto"/>
              </w:rPr>
              <w:t>537,625</w:t>
            </w:r>
          </w:p>
        </w:tc>
        <w:tc>
          <w:tcPr>
            <w:tcW w:w="1080" w:type="dxa"/>
            <w:vAlign w:val="bottom"/>
            <w:tcBorders>
              <w:right w:val="single" w:sz="8" w:color="auto"/>
            </w:tcBorders>
          </w:tcPr>
          <w:p>
            <w:pPr>
              <w:jc w:val="right"/>
              <w:spacing w:after="0" w:line="143" w:lineRule="exact"/>
              <w:rPr>
                <w:sz w:val="20"/>
                <w:szCs w:val="20"/>
                <w:color w:val="auto"/>
              </w:rPr>
            </w:pPr>
            <w:r>
              <w:rPr>
                <w:rFonts w:ascii="Arial" w:cs="Arial" w:eastAsia="Arial" w:hAnsi="Arial"/>
                <w:sz w:val="14"/>
                <w:szCs w:val="14"/>
                <w:color w:val="auto"/>
              </w:rPr>
              <w:t>539,660</w:t>
            </w:r>
          </w:p>
        </w:tc>
        <w:tc>
          <w:tcPr>
            <w:tcW w:w="640" w:type="dxa"/>
            <w:vAlign w:val="bottom"/>
          </w:tcPr>
          <w:p>
            <w:pPr>
              <w:jc w:val="center"/>
              <w:spacing w:after="0" w:line="143" w:lineRule="exact"/>
              <w:rPr>
                <w:sz w:val="20"/>
                <w:szCs w:val="20"/>
                <w:color w:val="auto"/>
              </w:rPr>
            </w:pPr>
            <w:r>
              <w:rPr>
                <w:rFonts w:ascii="Arial" w:cs="Arial" w:eastAsia="Arial" w:hAnsi="Arial"/>
                <w:sz w:val="14"/>
                <w:szCs w:val="14"/>
                <w:color w:val="auto"/>
              </w:rPr>
              <w:t>0.4%</w:t>
            </w:r>
          </w:p>
        </w:tc>
        <w:tc>
          <w:tcPr>
            <w:tcW w:w="62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4"/>
                <w:szCs w:val="14"/>
                <w:color w:val="auto"/>
                <w:w w:val="98"/>
              </w:rPr>
              <w:t>-2.2%</w:t>
            </w:r>
          </w:p>
        </w:tc>
        <w:tc>
          <w:tcPr>
            <w:tcW w:w="0" w:type="dxa"/>
            <w:vAlign w:val="bottom"/>
          </w:tcPr>
          <w:p>
            <w:pPr>
              <w:spacing w:after="0"/>
              <w:rPr>
                <w:sz w:val="1"/>
                <w:szCs w:val="1"/>
                <w:color w:val="auto"/>
              </w:rPr>
            </w:pPr>
          </w:p>
        </w:tc>
      </w:tr>
      <w:tr>
        <w:trPr>
          <w:trHeight w:val="148"/>
        </w:trPr>
        <w:tc>
          <w:tcPr>
            <w:tcW w:w="6200" w:type="dxa"/>
            <w:vAlign w:val="bottom"/>
            <w:tcBorders>
              <w:left w:val="single" w:sz="8" w:color="auto"/>
              <w:right w:val="single" w:sz="8" w:color="auto"/>
            </w:tcBorders>
          </w:tcPr>
          <w:p>
            <w:pPr>
              <w:ind w:left="20"/>
              <w:spacing w:after="0" w:line="149" w:lineRule="exact"/>
              <w:rPr>
                <w:sz w:val="20"/>
                <w:szCs w:val="20"/>
                <w:color w:val="auto"/>
              </w:rPr>
            </w:pPr>
            <w:r>
              <w:rPr>
                <w:rFonts w:ascii="Arial" w:cs="Arial" w:eastAsia="Arial" w:hAnsi="Arial"/>
                <w:sz w:val="14"/>
                <w:szCs w:val="14"/>
                <w:b w:val="1"/>
                <w:bCs w:val="1"/>
                <w:color w:val="auto"/>
              </w:rPr>
              <w:t>Due to banks and correspondents</w:t>
            </w:r>
          </w:p>
        </w:tc>
        <w:tc>
          <w:tcPr>
            <w:tcW w:w="1420" w:type="dxa"/>
            <w:vAlign w:val="bottom"/>
          </w:tcPr>
          <w:p>
            <w:pPr>
              <w:jc w:val="right"/>
              <w:ind w:right="130"/>
              <w:spacing w:after="0" w:line="149" w:lineRule="exact"/>
              <w:rPr>
                <w:sz w:val="20"/>
                <w:szCs w:val="20"/>
                <w:color w:val="auto"/>
              </w:rPr>
            </w:pPr>
            <w:r>
              <w:rPr>
                <w:rFonts w:ascii="Arial" w:cs="Arial" w:eastAsia="Arial" w:hAnsi="Arial"/>
                <w:sz w:val="14"/>
                <w:szCs w:val="14"/>
                <w:b w:val="1"/>
                <w:bCs w:val="1"/>
                <w:color w:val="auto"/>
              </w:rPr>
              <w:t>7,270,985</w:t>
            </w:r>
          </w:p>
        </w:tc>
        <w:tc>
          <w:tcPr>
            <w:tcW w:w="1300" w:type="dxa"/>
            <w:vAlign w:val="bottom"/>
          </w:tcPr>
          <w:p>
            <w:pPr>
              <w:jc w:val="right"/>
              <w:ind w:right="150"/>
              <w:spacing w:after="0" w:line="149" w:lineRule="exact"/>
              <w:rPr>
                <w:sz w:val="20"/>
                <w:szCs w:val="20"/>
                <w:color w:val="auto"/>
              </w:rPr>
            </w:pPr>
            <w:r>
              <w:rPr>
                <w:rFonts w:ascii="Arial" w:cs="Arial" w:eastAsia="Arial" w:hAnsi="Arial"/>
                <w:sz w:val="14"/>
                <w:szCs w:val="14"/>
                <w:b w:val="1"/>
                <w:bCs w:val="1"/>
                <w:color w:val="auto"/>
              </w:rPr>
              <w:t>8,670,982</w:t>
            </w:r>
          </w:p>
        </w:tc>
        <w:tc>
          <w:tcPr>
            <w:tcW w:w="108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9,030,671</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4.1%</w:t>
            </w:r>
          </w:p>
        </w:tc>
        <w:tc>
          <w:tcPr>
            <w:tcW w:w="6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24.2%</w:t>
            </w:r>
          </w:p>
        </w:tc>
        <w:tc>
          <w:tcPr>
            <w:tcW w:w="0" w:type="dxa"/>
            <w:vAlign w:val="bottom"/>
          </w:tcPr>
          <w:p>
            <w:pPr>
              <w:spacing w:after="0"/>
              <w:rPr>
                <w:sz w:val="1"/>
                <w:szCs w:val="1"/>
                <w:color w:val="auto"/>
              </w:rPr>
            </w:pPr>
          </w:p>
        </w:tc>
      </w:tr>
      <w:tr>
        <w:trPr>
          <w:trHeight w:val="148"/>
        </w:trPr>
        <w:tc>
          <w:tcPr>
            <w:tcW w:w="6200" w:type="dxa"/>
            <w:vAlign w:val="bottom"/>
            <w:tcBorders>
              <w:left w:val="single" w:sz="8" w:color="auto"/>
              <w:right w:val="single" w:sz="8" w:color="auto"/>
            </w:tcBorders>
          </w:tcPr>
          <w:p>
            <w:pPr>
              <w:ind w:left="20"/>
              <w:spacing w:after="0" w:line="149" w:lineRule="exact"/>
              <w:rPr>
                <w:sz w:val="20"/>
                <w:szCs w:val="20"/>
                <w:color w:val="auto"/>
              </w:rPr>
            </w:pPr>
            <w:r>
              <w:rPr>
                <w:rFonts w:ascii="Arial" w:cs="Arial" w:eastAsia="Arial" w:hAnsi="Arial"/>
                <w:sz w:val="14"/>
                <w:szCs w:val="14"/>
                <w:b w:val="1"/>
                <w:bCs w:val="1"/>
                <w:color w:val="auto"/>
              </w:rPr>
              <w:t>Bonds and notes issued</w:t>
            </w:r>
          </w:p>
        </w:tc>
        <w:tc>
          <w:tcPr>
            <w:tcW w:w="1420" w:type="dxa"/>
            <w:vAlign w:val="bottom"/>
          </w:tcPr>
          <w:p>
            <w:pPr>
              <w:jc w:val="right"/>
              <w:ind w:right="130"/>
              <w:spacing w:after="0" w:line="149" w:lineRule="exact"/>
              <w:rPr>
                <w:sz w:val="20"/>
                <w:szCs w:val="20"/>
                <w:color w:val="auto"/>
              </w:rPr>
            </w:pPr>
            <w:r>
              <w:rPr>
                <w:rFonts w:ascii="Arial" w:cs="Arial" w:eastAsia="Arial" w:hAnsi="Arial"/>
                <w:sz w:val="14"/>
                <w:szCs w:val="14"/>
                <w:b w:val="1"/>
                <w:bCs w:val="1"/>
                <w:color w:val="auto"/>
              </w:rPr>
              <w:t>14,066,770</w:t>
            </w:r>
          </w:p>
        </w:tc>
        <w:tc>
          <w:tcPr>
            <w:tcW w:w="1300" w:type="dxa"/>
            <w:vAlign w:val="bottom"/>
          </w:tcPr>
          <w:p>
            <w:pPr>
              <w:jc w:val="right"/>
              <w:ind w:right="150"/>
              <w:spacing w:after="0" w:line="149" w:lineRule="exact"/>
              <w:rPr>
                <w:sz w:val="20"/>
                <w:szCs w:val="20"/>
                <w:color w:val="auto"/>
              </w:rPr>
            </w:pPr>
            <w:r>
              <w:rPr>
                <w:rFonts w:ascii="Arial" w:cs="Arial" w:eastAsia="Arial" w:hAnsi="Arial"/>
                <w:sz w:val="14"/>
                <w:szCs w:val="14"/>
                <w:b w:val="1"/>
                <w:bCs w:val="1"/>
                <w:color w:val="auto"/>
              </w:rPr>
              <w:t>10,152,890</w:t>
            </w:r>
          </w:p>
        </w:tc>
        <w:tc>
          <w:tcPr>
            <w:tcW w:w="108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10,549,221</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3.9%</w:t>
            </w:r>
          </w:p>
        </w:tc>
        <w:tc>
          <w:tcPr>
            <w:tcW w:w="6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-25.0%</w:t>
            </w:r>
          </w:p>
        </w:tc>
        <w:tc>
          <w:tcPr>
            <w:tcW w:w="0" w:type="dxa"/>
            <w:vAlign w:val="bottom"/>
          </w:tcPr>
          <w:p>
            <w:pPr>
              <w:spacing w:after="0"/>
              <w:rPr>
                <w:sz w:val="1"/>
                <w:szCs w:val="1"/>
                <w:color w:val="auto"/>
              </w:rPr>
            </w:pPr>
          </w:p>
        </w:tc>
      </w:tr>
      <w:tr>
        <w:trPr>
          <w:trHeight w:val="148"/>
        </w:trPr>
        <w:tc>
          <w:tcPr>
            <w:tcW w:w="6200" w:type="dxa"/>
            <w:vAlign w:val="bottom"/>
            <w:tcBorders>
              <w:left w:val="single" w:sz="8" w:color="auto"/>
              <w:right w:val="single" w:sz="8" w:color="auto"/>
            </w:tcBorders>
          </w:tcPr>
          <w:p>
            <w:pPr>
              <w:ind w:left="20"/>
              <w:spacing w:after="0" w:line="149" w:lineRule="exact"/>
              <w:rPr>
                <w:sz w:val="20"/>
                <w:szCs w:val="20"/>
                <w:color w:val="auto"/>
              </w:rPr>
            </w:pPr>
            <w:r>
              <w:rPr>
                <w:rFonts w:ascii="Arial" w:cs="Arial" w:eastAsia="Arial" w:hAnsi="Arial"/>
                <w:sz w:val="14"/>
                <w:szCs w:val="14"/>
                <w:b w:val="1"/>
                <w:bCs w:val="1"/>
                <w:color w:val="auto"/>
              </w:rPr>
              <w:t>Banker’s acceptances outstanding</w:t>
            </w:r>
          </w:p>
        </w:tc>
        <w:tc>
          <w:tcPr>
            <w:tcW w:w="1420" w:type="dxa"/>
            <w:vAlign w:val="bottom"/>
          </w:tcPr>
          <w:p>
            <w:pPr>
              <w:jc w:val="right"/>
              <w:ind w:right="130"/>
              <w:spacing w:after="0" w:line="149" w:lineRule="exact"/>
              <w:rPr>
                <w:sz w:val="20"/>
                <w:szCs w:val="20"/>
                <w:color w:val="auto"/>
              </w:rPr>
            </w:pPr>
            <w:r>
              <w:rPr>
                <w:rFonts w:ascii="Arial" w:cs="Arial" w:eastAsia="Arial" w:hAnsi="Arial"/>
                <w:sz w:val="14"/>
                <w:szCs w:val="14"/>
                <w:b w:val="1"/>
                <w:bCs w:val="1"/>
                <w:color w:val="auto"/>
              </w:rPr>
              <w:t>697,119</w:t>
            </w:r>
          </w:p>
        </w:tc>
        <w:tc>
          <w:tcPr>
            <w:tcW w:w="1300" w:type="dxa"/>
            <w:vAlign w:val="bottom"/>
          </w:tcPr>
          <w:p>
            <w:pPr>
              <w:jc w:val="right"/>
              <w:ind w:right="150"/>
              <w:spacing w:after="0" w:line="149" w:lineRule="exact"/>
              <w:rPr>
                <w:sz w:val="20"/>
                <w:szCs w:val="20"/>
                <w:color w:val="auto"/>
              </w:rPr>
            </w:pPr>
            <w:r>
              <w:rPr>
                <w:rFonts w:ascii="Arial" w:cs="Arial" w:eastAsia="Arial" w:hAnsi="Arial"/>
                <w:sz w:val="14"/>
                <w:szCs w:val="14"/>
                <w:b w:val="1"/>
                <w:bCs w:val="1"/>
                <w:color w:val="auto"/>
              </w:rPr>
              <w:t>226,161</w:t>
            </w:r>
          </w:p>
        </w:tc>
        <w:tc>
          <w:tcPr>
            <w:tcW w:w="108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325,771</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44.0%</w:t>
            </w:r>
          </w:p>
        </w:tc>
        <w:tc>
          <w:tcPr>
            <w:tcW w:w="6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-53.3%</w:t>
            </w:r>
          </w:p>
        </w:tc>
        <w:tc>
          <w:tcPr>
            <w:tcW w:w="0" w:type="dxa"/>
            <w:vAlign w:val="bottom"/>
          </w:tcPr>
          <w:p>
            <w:pPr>
              <w:spacing w:after="0"/>
              <w:rPr>
                <w:sz w:val="1"/>
                <w:szCs w:val="1"/>
                <w:color w:val="auto"/>
              </w:rPr>
            </w:pPr>
          </w:p>
        </w:tc>
      </w:tr>
      <w:tr>
        <w:trPr>
          <w:trHeight w:val="148"/>
        </w:trPr>
        <w:tc>
          <w:tcPr>
            <w:tcW w:w="6200" w:type="dxa"/>
            <w:vAlign w:val="bottom"/>
            <w:tcBorders>
              <w:left w:val="single" w:sz="8" w:color="auto"/>
              <w:right w:val="single" w:sz="8" w:color="auto"/>
            </w:tcBorders>
          </w:tcPr>
          <w:p>
            <w:pPr>
              <w:ind w:left="20"/>
              <w:spacing w:after="0" w:line="149" w:lineRule="exact"/>
              <w:rPr>
                <w:sz w:val="20"/>
                <w:szCs w:val="20"/>
                <w:color w:val="auto"/>
              </w:rPr>
            </w:pPr>
            <w:r>
              <w:rPr>
                <w:rFonts w:ascii="Arial" w:cs="Arial" w:eastAsia="Arial" w:hAnsi="Arial"/>
                <w:sz w:val="14"/>
                <w:szCs w:val="14"/>
                <w:b w:val="1"/>
                <w:bCs w:val="1"/>
                <w:color w:val="auto"/>
              </w:rPr>
              <w:t>Financial liabilities at fair value through profit or loss</w:t>
            </w:r>
          </w:p>
        </w:tc>
        <w:tc>
          <w:tcPr>
            <w:tcW w:w="1420" w:type="dxa"/>
            <w:vAlign w:val="bottom"/>
          </w:tcPr>
          <w:p>
            <w:pPr>
              <w:jc w:val="right"/>
              <w:ind w:right="130"/>
              <w:spacing w:after="0" w:line="149" w:lineRule="exact"/>
              <w:rPr>
                <w:sz w:val="20"/>
                <w:szCs w:val="20"/>
                <w:color w:val="auto"/>
              </w:rPr>
            </w:pPr>
            <w:r>
              <w:rPr>
                <w:rFonts w:ascii="Arial" w:cs="Arial" w:eastAsia="Arial" w:hAnsi="Arial"/>
                <w:sz w:val="14"/>
                <w:szCs w:val="14"/>
                <w:b w:val="1"/>
                <w:bCs w:val="1"/>
                <w:color w:val="auto"/>
              </w:rPr>
              <w:t>140,146</w:t>
            </w:r>
          </w:p>
        </w:tc>
        <w:tc>
          <w:tcPr>
            <w:tcW w:w="1300" w:type="dxa"/>
            <w:vAlign w:val="bottom"/>
          </w:tcPr>
          <w:p>
            <w:pPr>
              <w:jc w:val="right"/>
              <w:ind w:right="150"/>
              <w:spacing w:after="0" w:line="149" w:lineRule="exact"/>
              <w:rPr>
                <w:sz w:val="20"/>
                <w:szCs w:val="20"/>
                <w:color w:val="auto"/>
              </w:rPr>
            </w:pPr>
            <w:r>
              <w:rPr>
                <w:rFonts w:ascii="Arial" w:cs="Arial" w:eastAsia="Arial" w:hAnsi="Arial"/>
                <w:sz w:val="14"/>
                <w:szCs w:val="14"/>
                <w:b w:val="1"/>
                <w:bCs w:val="1"/>
                <w:color w:val="auto"/>
              </w:rPr>
              <w:t>138,339</w:t>
            </w:r>
          </w:p>
        </w:tc>
        <w:tc>
          <w:tcPr>
            <w:tcW w:w="108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42,768</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-69.1%</w:t>
            </w:r>
          </w:p>
        </w:tc>
        <w:tc>
          <w:tcPr>
            <w:tcW w:w="6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-69.5%</w:t>
            </w:r>
          </w:p>
        </w:tc>
        <w:tc>
          <w:tcPr>
            <w:tcW w:w="0" w:type="dxa"/>
            <w:vAlign w:val="bottom"/>
          </w:tcPr>
          <w:p>
            <w:pPr>
              <w:spacing w:after="0"/>
              <w:rPr>
                <w:sz w:val="1"/>
                <w:szCs w:val="1"/>
                <w:color w:val="auto"/>
              </w:rPr>
            </w:pPr>
          </w:p>
        </w:tc>
      </w:tr>
      <w:tr>
        <w:trPr>
          <w:trHeight w:val="148"/>
        </w:trPr>
        <w:tc>
          <w:tcPr>
            <w:tcW w:w="6200" w:type="dxa"/>
            <w:vAlign w:val="bottom"/>
            <w:tcBorders>
              <w:left w:val="single" w:sz="8" w:color="auto"/>
              <w:right w:val="single" w:sz="8" w:color="auto"/>
            </w:tcBorders>
          </w:tcPr>
          <w:p>
            <w:pPr>
              <w:ind w:left="20"/>
              <w:spacing w:after="0" w:line="149" w:lineRule="exact"/>
              <w:rPr>
                <w:sz w:val="20"/>
                <w:szCs w:val="20"/>
                <w:color w:val="auto"/>
              </w:rPr>
            </w:pPr>
            <w:r>
              <w:rPr>
                <w:rFonts w:ascii="Arial" w:cs="Arial" w:eastAsia="Arial" w:hAnsi="Arial"/>
                <w:sz w:val="11"/>
                <w:szCs w:val="11"/>
                <w:b w:val="1"/>
                <w:bCs w:val="1"/>
                <w:color w:val="auto"/>
              </w:rPr>
              <w:t xml:space="preserve">Other liabilities </w:t>
            </w:r>
            <w:r>
              <w:rPr>
                <w:rFonts w:ascii="Arial" w:cs="Arial" w:eastAsia="Arial" w:hAnsi="Arial"/>
                <w:sz w:val="17"/>
                <w:szCs w:val="17"/>
                <w:color w:val="auto"/>
                <w:vertAlign w:val="superscript"/>
              </w:rPr>
              <w:t>(3)</w:t>
            </w:r>
          </w:p>
        </w:tc>
        <w:tc>
          <w:tcPr>
            <w:tcW w:w="1420" w:type="dxa"/>
            <w:vAlign w:val="bottom"/>
          </w:tcPr>
          <w:p>
            <w:pPr>
              <w:jc w:val="right"/>
              <w:ind w:right="130"/>
              <w:spacing w:after="0" w:line="149" w:lineRule="exact"/>
              <w:rPr>
                <w:sz w:val="20"/>
                <w:szCs w:val="20"/>
                <w:color w:val="auto"/>
              </w:rPr>
            </w:pPr>
            <w:r>
              <w:rPr>
                <w:rFonts w:ascii="Arial" w:cs="Arial" w:eastAsia="Arial" w:hAnsi="Arial"/>
                <w:sz w:val="14"/>
                <w:szCs w:val="14"/>
                <w:b w:val="1"/>
                <w:bCs w:val="1"/>
                <w:color w:val="auto"/>
              </w:rPr>
              <w:t>4,579,331</w:t>
            </w:r>
          </w:p>
        </w:tc>
        <w:tc>
          <w:tcPr>
            <w:tcW w:w="1300" w:type="dxa"/>
            <w:vAlign w:val="bottom"/>
          </w:tcPr>
          <w:p>
            <w:pPr>
              <w:jc w:val="right"/>
              <w:ind w:right="150"/>
              <w:spacing w:after="0" w:line="149" w:lineRule="exact"/>
              <w:rPr>
                <w:sz w:val="20"/>
                <w:szCs w:val="20"/>
                <w:color w:val="auto"/>
              </w:rPr>
            </w:pPr>
            <w:r>
              <w:rPr>
                <w:rFonts w:ascii="Arial" w:cs="Arial" w:eastAsia="Arial" w:hAnsi="Arial"/>
                <w:sz w:val="14"/>
                <w:szCs w:val="14"/>
                <w:b w:val="1"/>
                <w:bCs w:val="1"/>
                <w:color w:val="auto"/>
              </w:rPr>
              <w:t>5,432,431</w:t>
            </w:r>
          </w:p>
        </w:tc>
        <w:tc>
          <w:tcPr>
            <w:tcW w:w="108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5,356,302</w:t>
            </w: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-1.4%</w:t>
            </w:r>
          </w:p>
        </w:tc>
        <w:tc>
          <w:tcPr>
            <w:tcW w:w="6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rPr>
              <w:t>17.0%</w:t>
            </w:r>
          </w:p>
        </w:tc>
        <w:tc>
          <w:tcPr>
            <w:tcW w:w="0" w:type="dxa"/>
            <w:vAlign w:val="bottom"/>
          </w:tcPr>
          <w:p>
            <w:pPr>
              <w:spacing w:after="0"/>
              <w:rPr>
                <w:sz w:val="1"/>
                <w:szCs w:val="1"/>
                <w:color w:val="auto"/>
              </w:rPr>
            </w:pPr>
          </w:p>
        </w:tc>
      </w:tr>
      <w:tr>
        <w:trPr>
          <w:trHeight w:val="195"/>
        </w:trPr>
        <w:tc>
          <w:tcPr>
            <w:tcW w:w="6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Total Liabilities</w:t>
            </w:r>
          </w:p>
        </w:tc>
        <w:tc>
          <w:tcPr>
            <w:tcW w:w="1420" w:type="dxa"/>
            <w:vAlign w:val="bottom"/>
          </w:tcPr>
          <w:p>
            <w:pPr>
              <w:jc w:val="right"/>
              <w:ind w:right="130"/>
              <w:spacing w:after="0"/>
              <w:rPr>
                <w:sz w:val="20"/>
                <w:szCs w:val="20"/>
                <w:color w:val="auto"/>
              </w:rPr>
            </w:pPr>
            <w:r>
              <w:rPr>
                <w:rFonts w:ascii="Arial" w:cs="Arial" w:eastAsia="Arial" w:hAnsi="Arial"/>
                <w:sz w:val="14"/>
                <w:szCs w:val="14"/>
                <w:b w:val="1"/>
                <w:bCs w:val="1"/>
                <w:color w:val="auto"/>
              </w:rPr>
              <w:t>164,844,838</w:t>
            </w:r>
          </w:p>
        </w:tc>
        <w:tc>
          <w:tcPr>
            <w:tcW w:w="1300" w:type="dxa"/>
            <w:vAlign w:val="bottom"/>
          </w:tcPr>
          <w:p>
            <w:pPr>
              <w:jc w:val="right"/>
              <w:ind w:right="150"/>
              <w:spacing w:after="0"/>
              <w:rPr>
                <w:sz w:val="20"/>
                <w:szCs w:val="20"/>
                <w:color w:val="auto"/>
              </w:rPr>
            </w:pPr>
            <w:r>
              <w:rPr>
                <w:rFonts w:ascii="Arial" w:cs="Arial" w:eastAsia="Arial" w:hAnsi="Arial"/>
                <w:sz w:val="14"/>
                <w:szCs w:val="14"/>
                <w:b w:val="1"/>
                <w:bCs w:val="1"/>
                <w:color w:val="auto"/>
              </w:rPr>
              <w:t>154,141,733</w:t>
            </w: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auto"/>
              </w:rPr>
              <w:t>157,610,117</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rPr>
              <w:t>2.3%</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-4.4%</w:t>
            </w:r>
          </w:p>
        </w:tc>
        <w:tc>
          <w:tcPr>
            <w:tcW w:w="0" w:type="dxa"/>
            <w:vAlign w:val="bottom"/>
          </w:tcPr>
          <w:p>
            <w:pPr>
              <w:spacing w:after="0"/>
              <w:rPr>
                <w:sz w:val="1"/>
                <w:szCs w:val="1"/>
                <w:color w:val="auto"/>
              </w:rPr>
            </w:pPr>
          </w:p>
        </w:tc>
      </w:tr>
      <w:tr>
        <w:trPr>
          <w:trHeight w:val="256"/>
        </w:trPr>
        <w:tc>
          <w:tcPr>
            <w:tcW w:w="6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Net equity</w:t>
            </w:r>
          </w:p>
        </w:tc>
        <w:tc>
          <w:tcPr>
            <w:tcW w:w="1420" w:type="dxa"/>
            <w:vAlign w:val="bottom"/>
          </w:tcPr>
          <w:p>
            <w:pPr>
              <w:jc w:val="right"/>
              <w:ind w:right="130"/>
              <w:spacing w:after="0"/>
              <w:rPr>
                <w:sz w:val="20"/>
                <w:szCs w:val="20"/>
                <w:color w:val="auto"/>
              </w:rPr>
            </w:pPr>
            <w:r>
              <w:rPr>
                <w:rFonts w:ascii="Arial" w:cs="Arial" w:eastAsia="Arial" w:hAnsi="Arial"/>
                <w:sz w:val="14"/>
                <w:szCs w:val="14"/>
                <w:b w:val="1"/>
                <w:bCs w:val="1"/>
                <w:color w:val="auto"/>
              </w:rPr>
              <w:t>22,093,569</w:t>
            </w:r>
          </w:p>
        </w:tc>
        <w:tc>
          <w:tcPr>
            <w:tcW w:w="1300" w:type="dxa"/>
            <w:vAlign w:val="bottom"/>
          </w:tcPr>
          <w:p>
            <w:pPr>
              <w:jc w:val="right"/>
              <w:ind w:right="150"/>
              <w:spacing w:after="0"/>
              <w:rPr>
                <w:sz w:val="20"/>
                <w:szCs w:val="20"/>
                <w:color w:val="auto"/>
              </w:rPr>
            </w:pPr>
            <w:r>
              <w:rPr>
                <w:rFonts w:ascii="Arial" w:cs="Arial" w:eastAsia="Arial" w:hAnsi="Arial"/>
                <w:sz w:val="14"/>
                <w:szCs w:val="14"/>
                <w:b w:val="1"/>
                <w:bCs w:val="1"/>
                <w:color w:val="auto"/>
              </w:rPr>
              <w:t>23,226,759</w:t>
            </w: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auto"/>
              </w:rPr>
              <w:t>24,230,519</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rPr>
              <w:t>4.3%</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9.7%</w:t>
            </w:r>
          </w:p>
        </w:tc>
        <w:tc>
          <w:tcPr>
            <w:tcW w:w="0" w:type="dxa"/>
            <w:vAlign w:val="bottom"/>
          </w:tcPr>
          <w:p>
            <w:pPr>
              <w:spacing w:after="0"/>
              <w:rPr>
                <w:sz w:val="1"/>
                <w:szCs w:val="1"/>
                <w:color w:val="auto"/>
              </w:rPr>
            </w:pPr>
          </w:p>
        </w:tc>
      </w:tr>
      <w:tr>
        <w:trPr>
          <w:trHeight w:val="148"/>
        </w:trPr>
        <w:tc>
          <w:tcPr>
            <w:tcW w:w="6200" w:type="dxa"/>
            <w:vAlign w:val="bottom"/>
            <w:tcBorders>
              <w:left w:val="single" w:sz="8" w:color="auto"/>
              <w:right w:val="single" w:sz="8" w:color="auto"/>
            </w:tcBorders>
          </w:tcPr>
          <w:p>
            <w:pPr>
              <w:ind w:left="160"/>
              <w:spacing w:after="0" w:line="149" w:lineRule="exact"/>
              <w:rPr>
                <w:sz w:val="20"/>
                <w:szCs w:val="20"/>
                <w:color w:val="auto"/>
              </w:rPr>
            </w:pPr>
            <w:r>
              <w:rPr>
                <w:rFonts w:ascii="Arial" w:cs="Arial" w:eastAsia="Arial" w:hAnsi="Arial"/>
                <w:sz w:val="14"/>
                <w:szCs w:val="14"/>
                <w:color w:val="auto"/>
              </w:rPr>
              <w:t>Capital stock</w:t>
            </w:r>
          </w:p>
        </w:tc>
        <w:tc>
          <w:tcPr>
            <w:tcW w:w="1420" w:type="dxa"/>
            <w:vAlign w:val="bottom"/>
          </w:tcPr>
          <w:p>
            <w:pPr>
              <w:jc w:val="right"/>
              <w:ind w:right="130"/>
              <w:spacing w:after="0" w:line="149" w:lineRule="exact"/>
              <w:rPr>
                <w:sz w:val="20"/>
                <w:szCs w:val="20"/>
                <w:color w:val="auto"/>
              </w:rPr>
            </w:pPr>
            <w:r>
              <w:rPr>
                <w:rFonts w:ascii="Arial" w:cs="Arial" w:eastAsia="Arial" w:hAnsi="Arial"/>
                <w:sz w:val="14"/>
                <w:szCs w:val="14"/>
                <w:color w:val="auto"/>
              </w:rPr>
              <w:t>11,882,984</w:t>
            </w:r>
          </w:p>
        </w:tc>
        <w:tc>
          <w:tcPr>
            <w:tcW w:w="1300" w:type="dxa"/>
            <w:vAlign w:val="bottom"/>
          </w:tcPr>
          <w:p>
            <w:pPr>
              <w:jc w:val="right"/>
              <w:ind w:right="150"/>
              <w:spacing w:after="0" w:line="149" w:lineRule="exact"/>
              <w:rPr>
                <w:sz w:val="20"/>
                <w:szCs w:val="20"/>
                <w:color w:val="auto"/>
              </w:rPr>
            </w:pPr>
            <w:r>
              <w:rPr>
                <w:rFonts w:ascii="Arial" w:cs="Arial" w:eastAsia="Arial" w:hAnsi="Arial"/>
                <w:sz w:val="14"/>
                <w:szCs w:val="14"/>
                <w:color w:val="auto"/>
              </w:rPr>
              <w:t>12,679,794</w:t>
            </w:r>
          </w:p>
        </w:tc>
        <w:tc>
          <w:tcPr>
            <w:tcW w:w="108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color w:val="auto"/>
              </w:rPr>
              <w:t>12,679,794</w:t>
            </w: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rPr>
              <w:t>0.0%</w:t>
            </w:r>
          </w:p>
        </w:tc>
        <w:tc>
          <w:tcPr>
            <w:tcW w:w="6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48"/>
        </w:trPr>
        <w:tc>
          <w:tcPr>
            <w:tcW w:w="6200" w:type="dxa"/>
            <w:vAlign w:val="bottom"/>
            <w:tcBorders>
              <w:left w:val="single" w:sz="8" w:color="auto"/>
              <w:right w:val="single" w:sz="8" w:color="auto"/>
            </w:tcBorders>
          </w:tcPr>
          <w:p>
            <w:pPr>
              <w:ind w:left="160"/>
              <w:spacing w:after="0" w:line="149" w:lineRule="exact"/>
              <w:rPr>
                <w:sz w:val="20"/>
                <w:szCs w:val="20"/>
                <w:color w:val="auto"/>
              </w:rPr>
            </w:pPr>
            <w:r>
              <w:rPr>
                <w:rFonts w:ascii="Arial" w:cs="Arial" w:eastAsia="Arial" w:hAnsi="Arial"/>
                <w:sz w:val="14"/>
                <w:szCs w:val="14"/>
                <w:color w:val="auto"/>
              </w:rPr>
              <w:t>Reserves</w:t>
            </w:r>
          </w:p>
        </w:tc>
        <w:tc>
          <w:tcPr>
            <w:tcW w:w="1420" w:type="dxa"/>
            <w:vAlign w:val="bottom"/>
          </w:tcPr>
          <w:p>
            <w:pPr>
              <w:jc w:val="right"/>
              <w:ind w:right="130"/>
              <w:spacing w:after="0" w:line="149" w:lineRule="exact"/>
              <w:rPr>
                <w:sz w:val="20"/>
                <w:szCs w:val="20"/>
                <w:color w:val="auto"/>
              </w:rPr>
            </w:pPr>
            <w:r>
              <w:rPr>
                <w:rFonts w:ascii="Arial" w:cs="Arial" w:eastAsia="Arial" w:hAnsi="Arial"/>
                <w:sz w:val="14"/>
                <w:szCs w:val="14"/>
                <w:color w:val="auto"/>
              </w:rPr>
              <w:t>7,298,035</w:t>
            </w:r>
          </w:p>
        </w:tc>
        <w:tc>
          <w:tcPr>
            <w:tcW w:w="1300" w:type="dxa"/>
            <w:vAlign w:val="bottom"/>
          </w:tcPr>
          <w:p>
            <w:pPr>
              <w:jc w:val="right"/>
              <w:ind w:right="150"/>
              <w:spacing w:after="0" w:line="149" w:lineRule="exact"/>
              <w:rPr>
                <w:sz w:val="20"/>
                <w:szCs w:val="20"/>
                <w:color w:val="auto"/>
              </w:rPr>
            </w:pPr>
            <w:r>
              <w:rPr>
                <w:rFonts w:ascii="Arial" w:cs="Arial" w:eastAsia="Arial" w:hAnsi="Arial"/>
                <w:sz w:val="14"/>
                <w:szCs w:val="14"/>
                <w:color w:val="auto"/>
              </w:rPr>
              <w:t>6,820,497</w:t>
            </w:r>
          </w:p>
        </w:tc>
        <w:tc>
          <w:tcPr>
            <w:tcW w:w="108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color w:val="auto"/>
              </w:rPr>
              <w:t>6,820,930</w:t>
            </w: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rPr>
              <w:t>0.0%</w:t>
            </w:r>
          </w:p>
        </w:tc>
        <w:tc>
          <w:tcPr>
            <w:tcW w:w="6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-6.5%</w:t>
            </w:r>
          </w:p>
        </w:tc>
        <w:tc>
          <w:tcPr>
            <w:tcW w:w="0" w:type="dxa"/>
            <w:vAlign w:val="bottom"/>
          </w:tcPr>
          <w:p>
            <w:pPr>
              <w:spacing w:after="0"/>
              <w:rPr>
                <w:sz w:val="1"/>
                <w:szCs w:val="1"/>
                <w:color w:val="auto"/>
              </w:rPr>
            </w:pPr>
          </w:p>
        </w:tc>
      </w:tr>
      <w:tr>
        <w:trPr>
          <w:trHeight w:val="148"/>
        </w:trPr>
        <w:tc>
          <w:tcPr>
            <w:tcW w:w="6200" w:type="dxa"/>
            <w:vAlign w:val="bottom"/>
            <w:tcBorders>
              <w:left w:val="single" w:sz="8" w:color="auto"/>
              <w:right w:val="single" w:sz="8" w:color="auto"/>
            </w:tcBorders>
          </w:tcPr>
          <w:p>
            <w:pPr>
              <w:ind w:left="160"/>
              <w:spacing w:after="0" w:line="149" w:lineRule="exact"/>
              <w:rPr>
                <w:sz w:val="20"/>
                <w:szCs w:val="20"/>
                <w:color w:val="auto"/>
              </w:rPr>
            </w:pPr>
            <w:r>
              <w:rPr>
                <w:rFonts w:ascii="Arial" w:cs="Arial" w:eastAsia="Arial" w:hAnsi="Arial"/>
                <w:sz w:val="14"/>
                <w:szCs w:val="14"/>
                <w:color w:val="auto"/>
              </w:rPr>
              <w:t>Unrealized gains and losses</w:t>
            </w:r>
          </w:p>
        </w:tc>
        <w:tc>
          <w:tcPr>
            <w:tcW w:w="1420" w:type="dxa"/>
            <w:vAlign w:val="bottom"/>
          </w:tcPr>
          <w:p>
            <w:pPr>
              <w:jc w:val="right"/>
              <w:ind w:right="130"/>
              <w:spacing w:after="0" w:line="149" w:lineRule="exact"/>
              <w:rPr>
                <w:sz w:val="20"/>
                <w:szCs w:val="20"/>
                <w:color w:val="auto"/>
              </w:rPr>
            </w:pPr>
            <w:r>
              <w:rPr>
                <w:rFonts w:ascii="Arial" w:cs="Arial" w:eastAsia="Arial" w:hAnsi="Arial"/>
                <w:sz w:val="14"/>
                <w:szCs w:val="14"/>
                <w:color w:val="auto"/>
              </w:rPr>
              <w:t>(1,274,918)</w:t>
            </w:r>
          </w:p>
        </w:tc>
        <w:tc>
          <w:tcPr>
            <w:tcW w:w="1300" w:type="dxa"/>
            <w:vAlign w:val="bottom"/>
          </w:tcPr>
          <w:p>
            <w:pPr>
              <w:jc w:val="right"/>
              <w:ind w:right="150"/>
              <w:spacing w:after="0" w:line="149" w:lineRule="exact"/>
              <w:rPr>
                <w:sz w:val="20"/>
                <w:szCs w:val="20"/>
                <w:color w:val="auto"/>
              </w:rPr>
            </w:pPr>
            <w:r>
              <w:rPr>
                <w:rFonts w:ascii="Arial" w:cs="Arial" w:eastAsia="Arial" w:hAnsi="Arial"/>
                <w:sz w:val="14"/>
                <w:szCs w:val="14"/>
                <w:color w:val="auto"/>
              </w:rPr>
              <w:t>(274,021)</w:t>
            </w:r>
          </w:p>
        </w:tc>
        <w:tc>
          <w:tcPr>
            <w:tcW w:w="108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color w:val="auto"/>
              </w:rPr>
              <w:t>(375,086)</w:t>
            </w: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rPr>
              <w:t>36.9%</w:t>
            </w:r>
          </w:p>
        </w:tc>
        <w:tc>
          <w:tcPr>
            <w:tcW w:w="6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-70.6%</w:t>
            </w:r>
          </w:p>
        </w:tc>
        <w:tc>
          <w:tcPr>
            <w:tcW w:w="0" w:type="dxa"/>
            <w:vAlign w:val="bottom"/>
          </w:tcPr>
          <w:p>
            <w:pPr>
              <w:spacing w:after="0"/>
              <w:rPr>
                <w:sz w:val="1"/>
                <w:szCs w:val="1"/>
                <w:color w:val="auto"/>
              </w:rPr>
            </w:pPr>
          </w:p>
        </w:tc>
      </w:tr>
      <w:tr>
        <w:trPr>
          <w:trHeight w:val="179"/>
        </w:trPr>
        <w:tc>
          <w:tcPr>
            <w:tcW w:w="620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Retained earnings</w:t>
            </w:r>
          </w:p>
        </w:tc>
        <w:tc>
          <w:tcPr>
            <w:tcW w:w="1420" w:type="dxa"/>
            <w:vAlign w:val="bottom"/>
          </w:tcPr>
          <w:p>
            <w:pPr>
              <w:jc w:val="right"/>
              <w:ind w:right="130"/>
              <w:spacing w:after="0"/>
              <w:rPr>
                <w:sz w:val="20"/>
                <w:szCs w:val="20"/>
                <w:color w:val="auto"/>
              </w:rPr>
            </w:pPr>
            <w:r>
              <w:rPr>
                <w:rFonts w:ascii="Arial" w:cs="Arial" w:eastAsia="Arial" w:hAnsi="Arial"/>
                <w:sz w:val="14"/>
                <w:szCs w:val="14"/>
                <w:color w:val="auto"/>
              </w:rPr>
              <w:t>4,187,468</w:t>
            </w:r>
          </w:p>
        </w:tc>
        <w:tc>
          <w:tcPr>
            <w:tcW w:w="1300" w:type="dxa"/>
            <w:vAlign w:val="bottom"/>
          </w:tcPr>
          <w:p>
            <w:pPr>
              <w:jc w:val="right"/>
              <w:ind w:right="150"/>
              <w:spacing w:after="0"/>
              <w:rPr>
                <w:sz w:val="20"/>
                <w:szCs w:val="20"/>
                <w:color w:val="auto"/>
              </w:rPr>
            </w:pPr>
            <w:r>
              <w:rPr>
                <w:rFonts w:ascii="Arial" w:cs="Arial" w:eastAsia="Arial" w:hAnsi="Arial"/>
                <w:sz w:val="14"/>
                <w:szCs w:val="14"/>
                <w:color w:val="auto"/>
              </w:rPr>
              <w:t>4,000,489</w:t>
            </w: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5,104,881</w:t>
            </w:r>
          </w:p>
        </w:tc>
        <w:tc>
          <w:tcPr>
            <w:tcW w:w="640" w:type="dxa"/>
            <w:vAlign w:val="bottom"/>
          </w:tcPr>
          <w:p>
            <w:pPr>
              <w:jc w:val="center"/>
              <w:spacing w:after="0"/>
              <w:rPr>
                <w:sz w:val="20"/>
                <w:szCs w:val="20"/>
                <w:color w:val="auto"/>
              </w:rPr>
            </w:pPr>
            <w:r>
              <w:rPr>
                <w:rFonts w:ascii="Arial" w:cs="Arial" w:eastAsia="Arial" w:hAnsi="Arial"/>
                <w:sz w:val="14"/>
                <w:szCs w:val="14"/>
                <w:color w:val="auto"/>
              </w:rPr>
              <w:t>27.6%</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21.9%</w:t>
            </w:r>
          </w:p>
        </w:tc>
        <w:tc>
          <w:tcPr>
            <w:tcW w:w="0" w:type="dxa"/>
            <w:vAlign w:val="bottom"/>
          </w:tcPr>
          <w:p>
            <w:pPr>
              <w:spacing w:after="0"/>
              <w:rPr>
                <w:sz w:val="1"/>
                <w:szCs w:val="1"/>
                <w:color w:val="auto"/>
              </w:rPr>
            </w:pPr>
          </w:p>
        </w:tc>
      </w:tr>
      <w:tr>
        <w:trPr>
          <w:trHeight w:val="307"/>
        </w:trPr>
        <w:tc>
          <w:tcPr>
            <w:tcW w:w="62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Total Net Equity</w:t>
            </w:r>
          </w:p>
        </w:tc>
        <w:tc>
          <w:tcPr>
            <w:tcW w:w="1420" w:type="dxa"/>
            <w:vAlign w:val="bottom"/>
          </w:tcPr>
          <w:p>
            <w:pPr>
              <w:jc w:val="right"/>
              <w:ind w:right="130"/>
              <w:spacing w:after="0"/>
              <w:rPr>
                <w:sz w:val="20"/>
                <w:szCs w:val="20"/>
                <w:color w:val="auto"/>
              </w:rPr>
            </w:pPr>
            <w:r>
              <w:rPr>
                <w:rFonts w:ascii="Arial" w:cs="Arial" w:eastAsia="Arial" w:hAnsi="Arial"/>
                <w:sz w:val="14"/>
                <w:szCs w:val="14"/>
                <w:b w:val="1"/>
                <w:bCs w:val="1"/>
                <w:color w:val="auto"/>
              </w:rPr>
              <w:t>22,093,569</w:t>
            </w:r>
          </w:p>
        </w:tc>
        <w:tc>
          <w:tcPr>
            <w:tcW w:w="1300" w:type="dxa"/>
            <w:vAlign w:val="bottom"/>
          </w:tcPr>
          <w:p>
            <w:pPr>
              <w:jc w:val="right"/>
              <w:ind w:right="150"/>
              <w:spacing w:after="0"/>
              <w:rPr>
                <w:sz w:val="20"/>
                <w:szCs w:val="20"/>
                <w:color w:val="auto"/>
              </w:rPr>
            </w:pPr>
            <w:r>
              <w:rPr>
                <w:rFonts w:ascii="Arial" w:cs="Arial" w:eastAsia="Arial" w:hAnsi="Arial"/>
                <w:sz w:val="14"/>
                <w:szCs w:val="14"/>
                <w:b w:val="1"/>
                <w:bCs w:val="1"/>
                <w:color w:val="auto"/>
              </w:rPr>
              <w:t>23,226,759</w:t>
            </w: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auto"/>
              </w:rPr>
              <w:t>24,230,519</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rPr>
              <w:t>4.3%</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9.7%</w:t>
            </w:r>
          </w:p>
        </w:tc>
        <w:tc>
          <w:tcPr>
            <w:tcW w:w="0" w:type="dxa"/>
            <w:vAlign w:val="bottom"/>
          </w:tcPr>
          <w:p>
            <w:pPr>
              <w:spacing w:after="0"/>
              <w:rPr>
                <w:sz w:val="1"/>
                <w:szCs w:val="1"/>
                <w:color w:val="auto"/>
              </w:rPr>
            </w:pPr>
          </w:p>
        </w:tc>
      </w:tr>
      <w:tr>
        <w:trPr>
          <w:trHeight w:val="297"/>
        </w:trPr>
        <w:tc>
          <w:tcPr>
            <w:tcW w:w="6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Total liabilities and equity</w:t>
            </w:r>
          </w:p>
        </w:tc>
        <w:tc>
          <w:tcPr>
            <w:tcW w:w="1420" w:type="dxa"/>
            <w:vAlign w:val="bottom"/>
          </w:tcPr>
          <w:p>
            <w:pPr>
              <w:jc w:val="right"/>
              <w:ind w:right="130"/>
              <w:spacing w:after="0"/>
              <w:rPr>
                <w:sz w:val="20"/>
                <w:szCs w:val="20"/>
                <w:color w:val="auto"/>
              </w:rPr>
            </w:pPr>
            <w:r>
              <w:rPr>
                <w:rFonts w:ascii="Arial" w:cs="Arial" w:eastAsia="Arial" w:hAnsi="Arial"/>
                <w:sz w:val="14"/>
                <w:szCs w:val="14"/>
                <w:b w:val="1"/>
                <w:bCs w:val="1"/>
                <w:color w:val="auto"/>
              </w:rPr>
              <w:t>186,938,407</w:t>
            </w:r>
          </w:p>
        </w:tc>
        <w:tc>
          <w:tcPr>
            <w:tcW w:w="1300" w:type="dxa"/>
            <w:vAlign w:val="bottom"/>
          </w:tcPr>
          <w:p>
            <w:pPr>
              <w:jc w:val="right"/>
              <w:ind w:right="150"/>
              <w:spacing w:after="0"/>
              <w:rPr>
                <w:sz w:val="20"/>
                <w:szCs w:val="20"/>
                <w:color w:val="auto"/>
              </w:rPr>
            </w:pPr>
            <w:r>
              <w:rPr>
                <w:rFonts w:ascii="Arial" w:cs="Arial" w:eastAsia="Arial" w:hAnsi="Arial"/>
                <w:sz w:val="14"/>
                <w:szCs w:val="14"/>
                <w:b w:val="1"/>
                <w:bCs w:val="1"/>
                <w:color w:val="auto"/>
              </w:rPr>
              <w:t>177,368,492</w:t>
            </w: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auto"/>
              </w:rPr>
              <w:t>181,840,636</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rPr>
              <w:t>2.5%</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-2.7%</w:t>
            </w:r>
          </w:p>
        </w:tc>
        <w:tc>
          <w:tcPr>
            <w:tcW w:w="0" w:type="dxa"/>
            <w:vAlign w:val="bottom"/>
          </w:tcPr>
          <w:p>
            <w:pPr>
              <w:spacing w:after="0"/>
              <w:rPr>
                <w:sz w:val="1"/>
                <w:szCs w:val="1"/>
                <w:color w:val="auto"/>
              </w:rPr>
            </w:pPr>
          </w:p>
        </w:tc>
      </w:tr>
      <w:tr>
        <w:trPr>
          <w:trHeight w:val="256"/>
        </w:trPr>
        <w:tc>
          <w:tcPr>
            <w:tcW w:w="6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4"/>
                <w:szCs w:val="14"/>
                <w:b w:val="1"/>
                <w:bCs w:val="1"/>
                <w:color w:val="auto"/>
              </w:rPr>
              <w:t>Off-balance sheet</w:t>
            </w:r>
          </w:p>
        </w:tc>
        <w:tc>
          <w:tcPr>
            <w:tcW w:w="1420" w:type="dxa"/>
            <w:vAlign w:val="bottom"/>
          </w:tcPr>
          <w:p>
            <w:pPr>
              <w:jc w:val="right"/>
              <w:ind w:right="130"/>
              <w:spacing w:after="0"/>
              <w:rPr>
                <w:sz w:val="20"/>
                <w:szCs w:val="20"/>
                <w:color w:val="auto"/>
              </w:rPr>
            </w:pPr>
            <w:r>
              <w:rPr>
                <w:rFonts w:ascii="Arial" w:cs="Arial" w:eastAsia="Arial" w:hAnsi="Arial"/>
                <w:sz w:val="14"/>
                <w:szCs w:val="14"/>
                <w:b w:val="1"/>
                <w:bCs w:val="1"/>
                <w:color w:val="auto"/>
              </w:rPr>
              <w:t>135,853,514</w:t>
            </w:r>
          </w:p>
        </w:tc>
        <w:tc>
          <w:tcPr>
            <w:tcW w:w="1300" w:type="dxa"/>
            <w:vAlign w:val="bottom"/>
          </w:tcPr>
          <w:p>
            <w:pPr>
              <w:jc w:val="right"/>
              <w:ind w:right="150"/>
              <w:spacing w:after="0"/>
              <w:rPr>
                <w:sz w:val="20"/>
                <w:szCs w:val="20"/>
                <w:color w:val="auto"/>
              </w:rPr>
            </w:pPr>
            <w:r>
              <w:rPr>
                <w:rFonts w:ascii="Arial" w:cs="Arial" w:eastAsia="Arial" w:hAnsi="Arial"/>
                <w:sz w:val="14"/>
                <w:szCs w:val="14"/>
                <w:b w:val="1"/>
                <w:bCs w:val="1"/>
                <w:color w:val="auto"/>
              </w:rPr>
              <w:t>129,969,150</w:t>
            </w:r>
          </w:p>
        </w:tc>
        <w:tc>
          <w:tcPr>
            <w:tcW w:w="1080" w:type="dxa"/>
            <w:vAlign w:val="bottom"/>
            <w:tcBorders>
              <w:right w:val="single" w:sz="8" w:color="auto"/>
            </w:tcBorders>
          </w:tcPr>
          <w:p>
            <w:pPr>
              <w:jc w:val="right"/>
              <w:spacing w:after="0"/>
              <w:rPr>
                <w:sz w:val="20"/>
                <w:szCs w:val="20"/>
                <w:color w:val="auto"/>
              </w:rPr>
            </w:pPr>
            <w:r>
              <w:rPr>
                <w:rFonts w:ascii="Arial" w:cs="Arial" w:eastAsia="Arial" w:hAnsi="Arial"/>
                <w:sz w:val="14"/>
                <w:szCs w:val="14"/>
                <w:b w:val="1"/>
                <w:bCs w:val="1"/>
                <w:color w:val="auto"/>
              </w:rPr>
              <w:t>138,269,632</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rPr>
              <w:t>6.4%</w:t>
            </w:r>
          </w:p>
        </w:tc>
        <w:tc>
          <w:tcPr>
            <w:tcW w:w="6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1.8%</w:t>
            </w:r>
          </w:p>
        </w:tc>
        <w:tc>
          <w:tcPr>
            <w:tcW w:w="0" w:type="dxa"/>
            <w:vAlign w:val="bottom"/>
          </w:tcPr>
          <w:p>
            <w:pPr>
              <w:spacing w:after="0"/>
              <w:rPr>
                <w:sz w:val="1"/>
                <w:szCs w:val="1"/>
                <w:color w:val="auto"/>
              </w:rPr>
            </w:pPr>
          </w:p>
        </w:tc>
      </w:tr>
      <w:tr>
        <w:trPr>
          <w:trHeight w:val="148"/>
        </w:trPr>
        <w:tc>
          <w:tcPr>
            <w:tcW w:w="6200" w:type="dxa"/>
            <w:vAlign w:val="bottom"/>
            <w:tcBorders>
              <w:left w:val="single" w:sz="8" w:color="auto"/>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Total performance bonds, stand-by and L/Cs.</w:t>
            </w:r>
          </w:p>
        </w:tc>
        <w:tc>
          <w:tcPr>
            <w:tcW w:w="1420" w:type="dxa"/>
            <w:vAlign w:val="bottom"/>
          </w:tcPr>
          <w:p>
            <w:pPr>
              <w:jc w:val="right"/>
              <w:ind w:right="130"/>
              <w:spacing w:after="0" w:line="149" w:lineRule="exact"/>
              <w:rPr>
                <w:sz w:val="20"/>
                <w:szCs w:val="20"/>
                <w:color w:val="auto"/>
              </w:rPr>
            </w:pPr>
            <w:r>
              <w:rPr>
                <w:rFonts w:ascii="Arial" w:cs="Arial" w:eastAsia="Arial" w:hAnsi="Arial"/>
                <w:sz w:val="14"/>
                <w:szCs w:val="14"/>
                <w:color w:val="auto"/>
              </w:rPr>
              <w:t>20,443,858</w:t>
            </w:r>
          </w:p>
        </w:tc>
        <w:tc>
          <w:tcPr>
            <w:tcW w:w="1300" w:type="dxa"/>
            <w:vAlign w:val="bottom"/>
          </w:tcPr>
          <w:p>
            <w:pPr>
              <w:jc w:val="right"/>
              <w:ind w:right="150"/>
              <w:spacing w:after="0" w:line="149" w:lineRule="exact"/>
              <w:rPr>
                <w:sz w:val="20"/>
                <w:szCs w:val="20"/>
                <w:color w:val="auto"/>
              </w:rPr>
            </w:pPr>
            <w:r>
              <w:rPr>
                <w:rFonts w:ascii="Arial" w:cs="Arial" w:eastAsia="Arial" w:hAnsi="Arial"/>
                <w:sz w:val="14"/>
                <w:szCs w:val="14"/>
                <w:color w:val="auto"/>
              </w:rPr>
              <w:t>17,955,670</w:t>
            </w:r>
          </w:p>
        </w:tc>
        <w:tc>
          <w:tcPr>
            <w:tcW w:w="108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color w:val="auto"/>
              </w:rPr>
              <w:t>18,226,992</w:t>
            </w: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rPr>
              <w:t>1.5%</w:t>
            </w:r>
          </w:p>
        </w:tc>
        <w:tc>
          <w:tcPr>
            <w:tcW w:w="6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-10.8%</w:t>
            </w:r>
          </w:p>
        </w:tc>
        <w:tc>
          <w:tcPr>
            <w:tcW w:w="0" w:type="dxa"/>
            <w:vAlign w:val="bottom"/>
          </w:tcPr>
          <w:p>
            <w:pPr>
              <w:spacing w:after="0"/>
              <w:rPr>
                <w:sz w:val="1"/>
                <w:szCs w:val="1"/>
                <w:color w:val="auto"/>
              </w:rPr>
            </w:pPr>
          </w:p>
        </w:tc>
      </w:tr>
      <w:tr>
        <w:trPr>
          <w:trHeight w:val="148"/>
        </w:trPr>
        <w:tc>
          <w:tcPr>
            <w:tcW w:w="6200" w:type="dxa"/>
            <w:vAlign w:val="bottom"/>
            <w:tcBorders>
              <w:left w:val="single" w:sz="8" w:color="auto"/>
              <w:right w:val="single" w:sz="8" w:color="auto"/>
            </w:tcBorders>
          </w:tcPr>
          <w:p>
            <w:pPr>
              <w:ind w:left="20"/>
              <w:spacing w:after="0" w:line="149" w:lineRule="exact"/>
              <w:rPr>
                <w:sz w:val="20"/>
                <w:szCs w:val="20"/>
                <w:color w:val="auto"/>
              </w:rPr>
            </w:pPr>
            <w:r>
              <w:rPr>
                <w:rFonts w:ascii="Arial" w:cs="Arial" w:eastAsia="Arial" w:hAnsi="Arial"/>
                <w:sz w:val="14"/>
                <w:szCs w:val="14"/>
                <w:color w:val="auto"/>
              </w:rPr>
              <w:t>Undrawn credit lines, advised but not committed</w:t>
            </w:r>
          </w:p>
        </w:tc>
        <w:tc>
          <w:tcPr>
            <w:tcW w:w="1420" w:type="dxa"/>
            <w:vAlign w:val="bottom"/>
          </w:tcPr>
          <w:p>
            <w:pPr>
              <w:jc w:val="right"/>
              <w:ind w:right="130"/>
              <w:spacing w:after="0" w:line="149" w:lineRule="exact"/>
              <w:rPr>
                <w:sz w:val="20"/>
                <w:szCs w:val="20"/>
                <w:color w:val="auto"/>
              </w:rPr>
            </w:pPr>
            <w:r>
              <w:rPr>
                <w:rFonts w:ascii="Arial" w:cs="Arial" w:eastAsia="Arial" w:hAnsi="Arial"/>
                <w:sz w:val="14"/>
                <w:szCs w:val="14"/>
                <w:color w:val="auto"/>
              </w:rPr>
              <w:t>73,712,295</w:t>
            </w:r>
          </w:p>
        </w:tc>
        <w:tc>
          <w:tcPr>
            <w:tcW w:w="1300" w:type="dxa"/>
            <w:vAlign w:val="bottom"/>
          </w:tcPr>
          <w:p>
            <w:pPr>
              <w:jc w:val="right"/>
              <w:ind w:right="150"/>
              <w:spacing w:after="0" w:line="149" w:lineRule="exact"/>
              <w:rPr>
                <w:sz w:val="20"/>
                <w:szCs w:val="20"/>
                <w:color w:val="auto"/>
              </w:rPr>
            </w:pPr>
            <w:r>
              <w:rPr>
                <w:rFonts w:ascii="Arial" w:cs="Arial" w:eastAsia="Arial" w:hAnsi="Arial"/>
                <w:sz w:val="14"/>
                <w:szCs w:val="14"/>
                <w:color w:val="auto"/>
              </w:rPr>
              <w:t>73,510,275</w:t>
            </w:r>
          </w:p>
        </w:tc>
        <w:tc>
          <w:tcPr>
            <w:tcW w:w="108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4"/>
                <w:szCs w:val="14"/>
                <w:color w:val="auto"/>
              </w:rPr>
              <w:t>76,290,046</w:t>
            </w: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rPr>
              <w:t>3.8%</w:t>
            </w:r>
          </w:p>
        </w:tc>
        <w:tc>
          <w:tcPr>
            <w:tcW w:w="6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61"/>
        </w:trPr>
        <w:tc>
          <w:tcPr>
            <w:tcW w:w="62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Total derivatives (notional) and others</w:t>
            </w:r>
          </w:p>
        </w:tc>
        <w:tc>
          <w:tcPr>
            <w:tcW w:w="142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color w:val="auto"/>
              </w:rPr>
              <w:t>41,697,361</w:t>
            </w:r>
          </w:p>
        </w:tc>
        <w:tc>
          <w:tcPr>
            <w:tcW w:w="1300" w:type="dxa"/>
            <w:vAlign w:val="bottom"/>
            <w:tcBorders>
              <w:bottom w:val="single" w:sz="8" w:color="auto"/>
            </w:tcBorders>
          </w:tcPr>
          <w:p>
            <w:pPr>
              <w:jc w:val="right"/>
              <w:ind w:right="150"/>
              <w:spacing w:after="0"/>
              <w:rPr>
                <w:sz w:val="20"/>
                <w:szCs w:val="20"/>
                <w:color w:val="auto"/>
              </w:rPr>
            </w:pPr>
            <w:r>
              <w:rPr>
                <w:rFonts w:ascii="Arial" w:cs="Arial" w:eastAsia="Arial" w:hAnsi="Arial"/>
                <w:sz w:val="14"/>
                <w:szCs w:val="14"/>
                <w:color w:val="auto"/>
              </w:rPr>
              <w:t>38,503,205</w:t>
            </w:r>
          </w:p>
        </w:tc>
        <w:tc>
          <w:tcPr>
            <w:tcW w:w="10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color w:val="auto"/>
              </w:rPr>
              <w:t>43,752,594</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13.6%</w:t>
            </w: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bl>
    <w:p>
      <w:pPr>
        <w:spacing w:after="0" w:line="17" w:lineRule="exact"/>
        <w:rPr>
          <w:sz w:val="20"/>
          <w:szCs w:val="20"/>
          <w:color w:val="auto"/>
        </w:rPr>
      </w:pPr>
    </w:p>
    <w:p>
      <w:pPr>
        <w:ind w:left="241" w:hanging="241"/>
        <w:spacing w:after="0"/>
        <w:tabs>
          <w:tab w:leader="none" w:pos="241" w:val="left"/>
        </w:tabs>
        <w:numPr>
          <w:ilvl w:val="0"/>
          <w:numId w:val="65"/>
        </w:numPr>
        <w:rPr>
          <w:rFonts w:ascii="Arial" w:cs="Arial" w:eastAsia="Arial" w:hAnsi="Arial"/>
          <w:sz w:val="12"/>
          <w:szCs w:val="12"/>
          <w:color w:val="auto"/>
        </w:rPr>
      </w:pPr>
      <w:r>
        <w:rPr>
          <w:rFonts w:ascii="Arial" w:cs="Arial" w:eastAsia="Arial" w:hAnsi="Arial"/>
          <w:sz w:val="12"/>
          <w:szCs w:val="12"/>
          <w:color w:val="auto"/>
        </w:rPr>
        <w:t>Right of use asset of lease contracts is included by application of IFRS 16.</w:t>
      </w:r>
    </w:p>
    <w:p>
      <w:pPr>
        <w:ind w:left="241" w:hanging="241"/>
        <w:spacing w:after="0" w:line="236" w:lineRule="auto"/>
        <w:tabs>
          <w:tab w:leader="none" w:pos="241" w:val="left"/>
        </w:tabs>
        <w:numPr>
          <w:ilvl w:val="0"/>
          <w:numId w:val="65"/>
        </w:numPr>
        <w:rPr>
          <w:rFonts w:ascii="Arial" w:cs="Arial" w:eastAsia="Arial" w:hAnsi="Arial"/>
          <w:sz w:val="12"/>
          <w:szCs w:val="12"/>
          <w:color w:val="auto"/>
        </w:rPr>
      </w:pPr>
      <w:r>
        <w:rPr>
          <w:rFonts w:ascii="Arial" w:cs="Arial" w:eastAsia="Arial" w:hAnsi="Arial"/>
          <w:sz w:val="12"/>
          <w:szCs w:val="12"/>
          <w:color w:val="auto"/>
        </w:rPr>
        <w:t>Mainly includes intangible assets, other receivable accounts, trading derivatives receivable accounts and tax credit</w:t>
      </w:r>
    </w:p>
    <w:p>
      <w:pPr>
        <w:ind w:left="241" w:hanging="241"/>
        <w:spacing w:after="0"/>
        <w:tabs>
          <w:tab w:leader="none" w:pos="241" w:val="left"/>
        </w:tabs>
        <w:numPr>
          <w:ilvl w:val="0"/>
          <w:numId w:val="65"/>
        </w:numPr>
        <w:rPr>
          <w:rFonts w:ascii="Arial" w:cs="Arial" w:eastAsia="Arial" w:hAnsi="Arial"/>
          <w:sz w:val="12"/>
          <w:szCs w:val="12"/>
          <w:color w:val="auto"/>
        </w:rPr>
      </w:pPr>
      <w:r>
        <w:rPr>
          <w:rFonts w:ascii="Arial" w:cs="Arial" w:eastAsia="Arial" w:hAnsi="Arial"/>
          <w:sz w:val="12"/>
          <w:szCs w:val="12"/>
          <w:color w:val="auto"/>
        </w:rPr>
        <w:t>Mainly includes other payable accounts, trading derivatives payable accounts and taxes for payable.</w:t>
      </w:r>
    </w:p>
    <w:p>
      <w:pPr>
        <w:spacing w:after="0" w:line="30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43750" cy="1587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337" w:right="339" w:bottom="1440" w:gutter="0" w:footer="0" w:header="0"/>
        </w:sectPr>
      </w:pPr>
    </w:p>
    <w:bookmarkStart w:id="66" w:name="page67"/>
    <w:bookmarkEnd w:id="66"/>
    <w:p>
      <w:pPr>
        <w:ind w:left="2961"/>
        <w:spacing w:after="0"/>
        <w:tabs>
          <w:tab w:leader="none" w:pos="3141" w:val="left"/>
          <w:tab w:leader="none" w:pos="7701" w:val="left"/>
        </w:tabs>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202565</wp:posOffset>
            </wp:positionH>
            <wp:positionV relativeFrom="page">
              <wp:posOffset>88900</wp:posOffset>
            </wp:positionV>
            <wp:extent cx="7143750" cy="41592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3750" cy="415925"/>
                    </a:xfrm>
                    <a:prstGeom prst="rect">
                      <a:avLst/>
                    </a:prstGeom>
                    <a:noFill/>
                  </pic:spPr>
                </pic:pic>
              </a:graphicData>
            </a:graphic>
          </wp:anchor>
        </w:drawing>
        <w:t>|</w:t>
      </w:r>
      <w:r>
        <w:rPr>
          <w:sz w:val="20"/>
          <w:szCs w:val="20"/>
          <w:color w:val="auto"/>
        </w:rPr>
        <w:tab/>
      </w:r>
      <w:r>
        <w:rPr>
          <w:rFonts w:ascii="Arial" w:cs="Arial" w:eastAsia="Arial" w:hAnsi="Arial"/>
          <w:sz w:val="16"/>
          <w:szCs w:val="16"/>
          <w:b w:val="1"/>
          <w:bCs w:val="1"/>
          <w:color w:val="FFFFFF"/>
        </w:rPr>
        <w:t>Earnings Release 3Q / 2023</w:t>
      </w:r>
      <w:r>
        <w:rPr>
          <w:sz w:val="20"/>
          <w:szCs w:val="20"/>
          <w:color w:val="auto"/>
        </w:rPr>
        <w:tab/>
      </w:r>
      <w:r>
        <w:rPr>
          <w:rFonts w:ascii="Arial" w:cs="Arial" w:eastAsia="Arial" w:hAnsi="Arial"/>
          <w:sz w:val="18"/>
          <w:szCs w:val="18"/>
          <w:b w:val="1"/>
          <w:bCs w:val="1"/>
          <w:color w:val="E93CAC"/>
        </w:rPr>
        <w:t>Analysis of 3Q23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175260</wp:posOffset>
            </wp:positionV>
            <wp:extent cx="7143750" cy="2038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3750" cy="203835"/>
                    </a:xfrm>
                    <a:prstGeom prst="rect">
                      <a:avLst/>
                    </a:prstGeom>
                    <a:noFill/>
                  </pic:spPr>
                </pic:pic>
              </a:graphicData>
            </a:graphic>
          </wp:anchor>
        </w:drawing>
      </w:r>
    </w:p>
    <w:p>
      <w:pPr>
        <w:spacing w:after="0" w:line="275" w:lineRule="exact"/>
        <w:rPr>
          <w:sz w:val="20"/>
          <w:szCs w:val="20"/>
          <w:color w:val="auto"/>
        </w:rPr>
      </w:pPr>
    </w:p>
    <w:p>
      <w:pPr>
        <w:ind w:left="41"/>
        <w:spacing w:after="0"/>
        <w:rPr>
          <w:sz w:val="20"/>
          <w:szCs w:val="20"/>
          <w:color w:val="auto"/>
        </w:rPr>
      </w:pPr>
      <w:r>
        <w:rPr>
          <w:rFonts w:ascii="Arial" w:cs="Arial" w:eastAsia="Arial" w:hAnsi="Arial"/>
          <w:sz w:val="20"/>
          <w:szCs w:val="20"/>
          <w:b w:val="1"/>
          <w:bCs w:val="1"/>
          <w:color w:val="FFFFFF"/>
        </w:rPr>
        <w:t>12. Appendix</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Banco de Crédito del Perú</w:t>
      </w:r>
    </w:p>
    <w:p>
      <w:pPr>
        <w:ind w:left="5061"/>
        <w:spacing w:after="0" w:line="215" w:lineRule="auto"/>
        <w:rPr>
          <w:sz w:val="20"/>
          <w:szCs w:val="20"/>
          <w:color w:val="auto"/>
        </w:rPr>
      </w:pPr>
      <w:r>
        <w:rPr>
          <w:rFonts w:ascii="Arial" w:cs="Arial" w:eastAsia="Arial" w:hAnsi="Arial"/>
          <w:sz w:val="12"/>
          <w:szCs w:val="12"/>
          <w:b w:val="1"/>
          <w:bCs w:val="1"/>
          <w:color w:val="auto"/>
        </w:rPr>
        <w:t>Statement of Income</w:t>
      </w:r>
    </w:p>
    <w:p>
      <w:pPr>
        <w:ind w:left="5081"/>
        <w:spacing w:after="0"/>
        <w:rPr>
          <w:sz w:val="20"/>
          <w:szCs w:val="20"/>
          <w:color w:val="auto"/>
        </w:rPr>
      </w:pPr>
      <w:r>
        <w:rPr>
          <w:rFonts w:ascii="Arial" w:cs="Arial" w:eastAsia="Arial" w:hAnsi="Arial"/>
          <w:sz w:val="12"/>
          <w:szCs w:val="12"/>
          <w:b w:val="1"/>
          <w:bCs w:val="1"/>
          <w:color w:val="auto"/>
        </w:rPr>
        <w:t>(S/ thousands, IFRS)</w:t>
      </w:r>
    </w:p>
    <w:p>
      <w:pPr>
        <w:spacing w:after="0" w:line="144" w:lineRule="exact"/>
        <w:rPr>
          <w:sz w:val="20"/>
          <w:szCs w:val="20"/>
          <w:color w:val="auto"/>
        </w:rPr>
      </w:pPr>
    </w:p>
    <w:tbl>
      <w:tblPr>
        <w:tblLayout w:type="fixed"/>
        <w:tblInd w:w="11" w:type="dxa"/>
        <w:tblCellMar>
          <w:top w:w="0" w:type="dxa"/>
          <w:left w:w="0" w:type="dxa"/>
          <w:bottom w:w="0" w:type="dxa"/>
          <w:right w:w="0" w:type="dxa"/>
        </w:tblCellMar>
      </w:tblPr>
      <w:tr>
        <w:trPr>
          <w:trHeight w:val="129"/>
        </w:trPr>
        <w:tc>
          <w:tcPr>
            <w:tcW w:w="4560" w:type="dxa"/>
            <w:vAlign w:val="bottom"/>
            <w:tcBorders>
              <w:right w:val="single" w:sz="8" w:color="auto"/>
            </w:tcBorders>
          </w:tcPr>
          <w:p>
            <w:pPr>
              <w:spacing w:after="0"/>
              <w:rPr>
                <w:sz w:val="11"/>
                <w:szCs w:val="11"/>
                <w:color w:val="auto"/>
              </w:rPr>
            </w:pPr>
          </w:p>
        </w:tc>
        <w:tc>
          <w:tcPr>
            <w:tcW w:w="1020" w:type="dxa"/>
            <w:vAlign w:val="bottom"/>
            <w:tcBorders>
              <w:top w:val="single" w:sz="8" w:color="auto"/>
            </w:tcBorders>
            <w:shd w:val="clear" w:color="auto" w:fill="33CCCC"/>
          </w:tcPr>
          <w:p>
            <w:pPr>
              <w:spacing w:after="0"/>
              <w:rPr>
                <w:sz w:val="11"/>
                <w:szCs w:val="11"/>
                <w:color w:val="auto"/>
              </w:rPr>
            </w:pPr>
          </w:p>
        </w:tc>
        <w:tc>
          <w:tcPr>
            <w:tcW w:w="920" w:type="dxa"/>
            <w:vAlign w:val="bottom"/>
            <w:tcBorders>
              <w:top w:val="single" w:sz="8" w:color="auto"/>
            </w:tcBorders>
            <w:shd w:val="clear" w:color="auto" w:fill="33CCCC"/>
          </w:tcPr>
          <w:p>
            <w:pPr>
              <w:jc w:val="right"/>
              <w:ind w:right="322"/>
              <w:spacing w:after="0" w:line="129" w:lineRule="exact"/>
              <w:rPr>
                <w:sz w:val="20"/>
                <w:szCs w:val="20"/>
                <w:color w:val="auto"/>
              </w:rPr>
            </w:pPr>
            <w:r>
              <w:rPr>
                <w:rFonts w:ascii="Arial" w:cs="Arial" w:eastAsia="Arial" w:hAnsi="Arial"/>
                <w:sz w:val="12"/>
                <w:szCs w:val="12"/>
                <w:b w:val="1"/>
                <w:bCs w:val="1"/>
                <w:color w:val="FFFFFF"/>
              </w:rPr>
              <w:t>Quarter</w:t>
            </w:r>
          </w:p>
        </w:tc>
        <w:tc>
          <w:tcPr>
            <w:tcW w:w="780" w:type="dxa"/>
            <w:vAlign w:val="bottom"/>
            <w:tcBorders>
              <w:top w:val="single" w:sz="8" w:color="auto"/>
              <w:right w:val="single" w:sz="8" w:color="auto"/>
            </w:tcBorders>
            <w:shd w:val="clear" w:color="auto" w:fill="33CCCC"/>
          </w:tcPr>
          <w:p>
            <w:pPr>
              <w:spacing w:after="0"/>
              <w:rPr>
                <w:sz w:val="11"/>
                <w:szCs w:val="11"/>
                <w:color w:val="auto"/>
              </w:rPr>
            </w:pPr>
          </w:p>
        </w:tc>
        <w:tc>
          <w:tcPr>
            <w:tcW w:w="1380" w:type="dxa"/>
            <w:vAlign w:val="bottom"/>
            <w:tcBorders>
              <w:top w:val="single" w:sz="8" w:color="auto"/>
              <w:right w:val="single" w:sz="8" w:color="auto"/>
            </w:tcBorders>
            <w:gridSpan w:val="2"/>
            <w:shd w:val="clear" w:color="auto" w:fill="33CCCC"/>
          </w:tcPr>
          <w:p>
            <w:pPr>
              <w:ind w:left="400"/>
              <w:spacing w:after="0" w:line="129" w:lineRule="exact"/>
              <w:rPr>
                <w:sz w:val="20"/>
                <w:szCs w:val="20"/>
                <w:color w:val="auto"/>
              </w:rPr>
            </w:pPr>
            <w:r>
              <w:rPr>
                <w:rFonts w:ascii="Arial" w:cs="Arial" w:eastAsia="Arial" w:hAnsi="Arial"/>
                <w:sz w:val="12"/>
                <w:szCs w:val="12"/>
                <w:b w:val="1"/>
                <w:bCs w:val="1"/>
                <w:color w:val="FFFFFF"/>
              </w:rPr>
              <w:t>% change</w:t>
            </w:r>
          </w:p>
        </w:tc>
        <w:tc>
          <w:tcPr>
            <w:tcW w:w="1080" w:type="dxa"/>
            <w:vAlign w:val="bottom"/>
            <w:tcBorders>
              <w:top w:val="single" w:sz="8" w:color="auto"/>
            </w:tcBorders>
            <w:shd w:val="clear" w:color="auto" w:fill="33CCCC"/>
          </w:tcPr>
          <w:p>
            <w:pPr>
              <w:jc w:val="right"/>
              <w:ind w:right="2"/>
              <w:spacing w:after="0" w:line="129" w:lineRule="exact"/>
              <w:rPr>
                <w:sz w:val="20"/>
                <w:szCs w:val="20"/>
                <w:color w:val="auto"/>
              </w:rPr>
            </w:pPr>
            <w:r>
              <w:rPr>
                <w:rFonts w:ascii="Arial" w:cs="Arial" w:eastAsia="Arial" w:hAnsi="Arial"/>
                <w:sz w:val="12"/>
                <w:szCs w:val="12"/>
                <w:b w:val="1"/>
                <w:bCs w:val="1"/>
                <w:color w:val="FFFFFF"/>
              </w:rPr>
              <w:t>Up to</w:t>
            </w:r>
          </w:p>
        </w:tc>
        <w:tc>
          <w:tcPr>
            <w:tcW w:w="700" w:type="dxa"/>
            <w:vAlign w:val="bottom"/>
            <w:tcBorders>
              <w:top w:val="single" w:sz="8" w:color="auto"/>
              <w:right w:val="single" w:sz="8" w:color="auto"/>
            </w:tcBorders>
            <w:shd w:val="clear" w:color="auto" w:fill="33CCCC"/>
          </w:tcPr>
          <w:p>
            <w:pPr>
              <w:spacing w:after="0"/>
              <w:rPr>
                <w:sz w:val="11"/>
                <w:szCs w:val="11"/>
                <w:color w:val="auto"/>
              </w:rPr>
            </w:pPr>
          </w:p>
        </w:tc>
        <w:tc>
          <w:tcPr>
            <w:tcW w:w="820" w:type="dxa"/>
            <w:vAlign w:val="bottom"/>
            <w:tcBorders>
              <w:top w:val="single" w:sz="8" w:color="auto"/>
              <w:right w:val="single" w:sz="8" w:color="auto"/>
            </w:tcBorders>
            <w:shd w:val="clear" w:color="auto" w:fill="33CCCC"/>
          </w:tcPr>
          <w:p>
            <w:pPr>
              <w:jc w:val="center"/>
              <w:spacing w:after="0" w:line="129" w:lineRule="exact"/>
              <w:rPr>
                <w:sz w:val="20"/>
                <w:szCs w:val="20"/>
                <w:color w:val="auto"/>
              </w:rPr>
            </w:pPr>
            <w:r>
              <w:rPr>
                <w:rFonts w:ascii="Arial" w:cs="Arial" w:eastAsia="Arial" w:hAnsi="Arial"/>
                <w:sz w:val="12"/>
                <w:szCs w:val="12"/>
                <w:b w:val="1"/>
                <w:bCs w:val="1"/>
                <w:color w:val="FFFFFF"/>
                <w:w w:val="96"/>
              </w:rPr>
              <w:t>% change</w:t>
            </w:r>
          </w:p>
        </w:tc>
      </w:tr>
      <w:tr>
        <w:trPr>
          <w:trHeight w:val="124"/>
        </w:trPr>
        <w:tc>
          <w:tcPr>
            <w:tcW w:w="4560" w:type="dxa"/>
            <w:vAlign w:val="bottom"/>
            <w:tcBorders>
              <w:right w:val="single" w:sz="8" w:color="auto"/>
            </w:tcBorders>
          </w:tcPr>
          <w:p>
            <w:pPr>
              <w:spacing w:after="0"/>
              <w:rPr>
                <w:sz w:val="10"/>
                <w:szCs w:val="10"/>
                <w:color w:val="auto"/>
              </w:rPr>
            </w:pPr>
          </w:p>
        </w:tc>
        <w:tc>
          <w:tcPr>
            <w:tcW w:w="1020" w:type="dxa"/>
            <w:vAlign w:val="bottom"/>
            <w:shd w:val="clear" w:color="auto" w:fill="33CCCC"/>
          </w:tcPr>
          <w:p>
            <w:pPr>
              <w:jc w:val="right"/>
              <w:ind w:right="382"/>
              <w:spacing w:after="0" w:line="124" w:lineRule="exact"/>
              <w:rPr>
                <w:sz w:val="20"/>
                <w:szCs w:val="20"/>
                <w:color w:val="auto"/>
              </w:rPr>
            </w:pPr>
            <w:r>
              <w:rPr>
                <w:rFonts w:ascii="Arial" w:cs="Arial" w:eastAsia="Arial" w:hAnsi="Arial"/>
                <w:sz w:val="12"/>
                <w:szCs w:val="12"/>
                <w:b w:val="1"/>
                <w:bCs w:val="1"/>
                <w:color w:val="FFFFFF"/>
              </w:rPr>
              <w:t>3Q22</w:t>
            </w:r>
          </w:p>
        </w:tc>
        <w:tc>
          <w:tcPr>
            <w:tcW w:w="920" w:type="dxa"/>
            <w:vAlign w:val="bottom"/>
            <w:shd w:val="clear" w:color="auto" w:fill="33CCCC"/>
          </w:tcPr>
          <w:p>
            <w:pPr>
              <w:jc w:val="right"/>
              <w:ind w:right="402"/>
              <w:spacing w:after="0" w:line="124" w:lineRule="exact"/>
              <w:rPr>
                <w:sz w:val="20"/>
                <w:szCs w:val="20"/>
                <w:color w:val="auto"/>
              </w:rPr>
            </w:pPr>
            <w:r>
              <w:rPr>
                <w:rFonts w:ascii="Arial" w:cs="Arial" w:eastAsia="Arial" w:hAnsi="Arial"/>
                <w:sz w:val="12"/>
                <w:szCs w:val="12"/>
                <w:b w:val="1"/>
                <w:bCs w:val="1"/>
                <w:color w:val="FFFFFF"/>
              </w:rPr>
              <w:t>2Q23</w:t>
            </w:r>
          </w:p>
        </w:tc>
        <w:tc>
          <w:tcPr>
            <w:tcW w:w="780" w:type="dxa"/>
            <w:vAlign w:val="bottom"/>
            <w:tcBorders>
              <w:right w:val="single" w:sz="8" w:color="auto"/>
            </w:tcBorders>
            <w:shd w:val="clear" w:color="auto" w:fill="33CCCC"/>
          </w:tcPr>
          <w:p>
            <w:pPr>
              <w:jc w:val="right"/>
              <w:ind w:right="282"/>
              <w:spacing w:after="0" w:line="124" w:lineRule="exact"/>
              <w:rPr>
                <w:sz w:val="20"/>
                <w:szCs w:val="20"/>
                <w:color w:val="auto"/>
              </w:rPr>
            </w:pPr>
            <w:r>
              <w:rPr>
                <w:rFonts w:ascii="Arial" w:cs="Arial" w:eastAsia="Arial" w:hAnsi="Arial"/>
                <w:sz w:val="12"/>
                <w:szCs w:val="12"/>
                <w:b w:val="1"/>
                <w:bCs w:val="1"/>
                <w:color w:val="FFFFFF"/>
              </w:rPr>
              <w:t>3Q23</w:t>
            </w:r>
          </w:p>
        </w:tc>
        <w:tc>
          <w:tcPr>
            <w:tcW w:w="660" w:type="dxa"/>
            <w:vAlign w:val="bottom"/>
            <w:shd w:val="clear" w:color="auto" w:fill="33CCCC"/>
          </w:tcPr>
          <w:p>
            <w:pPr>
              <w:jc w:val="center"/>
              <w:spacing w:after="0" w:line="124" w:lineRule="exact"/>
              <w:rPr>
                <w:sz w:val="20"/>
                <w:szCs w:val="20"/>
                <w:color w:val="auto"/>
              </w:rPr>
            </w:pPr>
            <w:r>
              <w:rPr>
                <w:rFonts w:ascii="Arial" w:cs="Arial" w:eastAsia="Arial" w:hAnsi="Arial"/>
                <w:sz w:val="12"/>
                <w:szCs w:val="12"/>
                <w:b w:val="1"/>
                <w:bCs w:val="1"/>
                <w:color w:val="FFFFFF"/>
                <w:w w:val="92"/>
              </w:rPr>
              <w:t>QoQ</w:t>
            </w:r>
          </w:p>
        </w:tc>
        <w:tc>
          <w:tcPr>
            <w:tcW w:w="720" w:type="dxa"/>
            <w:vAlign w:val="bottom"/>
            <w:tcBorders>
              <w:right w:val="single" w:sz="8" w:color="auto"/>
            </w:tcBorders>
            <w:shd w:val="clear" w:color="auto" w:fill="33CCCC"/>
          </w:tcPr>
          <w:p>
            <w:pPr>
              <w:ind w:left="240"/>
              <w:spacing w:after="0" w:line="124" w:lineRule="exact"/>
              <w:rPr>
                <w:sz w:val="20"/>
                <w:szCs w:val="20"/>
                <w:color w:val="auto"/>
              </w:rPr>
            </w:pPr>
            <w:r>
              <w:rPr>
                <w:rFonts w:ascii="Arial" w:cs="Arial" w:eastAsia="Arial" w:hAnsi="Arial"/>
                <w:sz w:val="12"/>
                <w:szCs w:val="12"/>
                <w:b w:val="1"/>
                <w:bCs w:val="1"/>
                <w:color w:val="FFFFFF"/>
              </w:rPr>
              <w:t>YoY</w:t>
            </w:r>
          </w:p>
        </w:tc>
        <w:tc>
          <w:tcPr>
            <w:tcW w:w="1080" w:type="dxa"/>
            <w:vAlign w:val="bottom"/>
            <w:shd w:val="clear" w:color="auto" w:fill="33CCCC"/>
          </w:tcPr>
          <w:p>
            <w:pPr>
              <w:jc w:val="right"/>
              <w:ind w:right="402"/>
              <w:spacing w:after="0" w:line="124" w:lineRule="exact"/>
              <w:rPr>
                <w:sz w:val="20"/>
                <w:szCs w:val="20"/>
                <w:color w:val="auto"/>
              </w:rPr>
            </w:pPr>
            <w:r>
              <w:rPr>
                <w:rFonts w:ascii="Arial" w:cs="Arial" w:eastAsia="Arial" w:hAnsi="Arial"/>
                <w:sz w:val="12"/>
                <w:szCs w:val="12"/>
                <w:b w:val="1"/>
                <w:bCs w:val="1"/>
                <w:color w:val="FFFFFF"/>
              </w:rPr>
              <w:t>Sep 22</w:t>
            </w:r>
          </w:p>
        </w:tc>
        <w:tc>
          <w:tcPr>
            <w:tcW w:w="700" w:type="dxa"/>
            <w:vAlign w:val="bottom"/>
            <w:tcBorders>
              <w:right w:val="single" w:sz="8" w:color="auto"/>
            </w:tcBorders>
            <w:shd w:val="clear" w:color="auto" w:fill="33CCCC"/>
          </w:tcPr>
          <w:p>
            <w:pPr>
              <w:jc w:val="right"/>
              <w:ind w:right="222"/>
              <w:spacing w:after="0" w:line="124" w:lineRule="exact"/>
              <w:rPr>
                <w:sz w:val="20"/>
                <w:szCs w:val="20"/>
                <w:color w:val="auto"/>
              </w:rPr>
            </w:pPr>
            <w:r>
              <w:rPr>
                <w:rFonts w:ascii="Arial" w:cs="Arial" w:eastAsia="Arial" w:hAnsi="Arial"/>
                <w:sz w:val="12"/>
                <w:szCs w:val="12"/>
                <w:b w:val="1"/>
                <w:bCs w:val="1"/>
                <w:color w:val="FFFFFF"/>
              </w:rPr>
              <w:t>Sep 23</w:t>
            </w:r>
          </w:p>
        </w:tc>
        <w:tc>
          <w:tcPr>
            <w:tcW w:w="820" w:type="dxa"/>
            <w:vAlign w:val="bottom"/>
            <w:tcBorders>
              <w:right w:val="single" w:sz="8" w:color="auto"/>
            </w:tcBorders>
            <w:shd w:val="clear" w:color="auto" w:fill="33CCCC"/>
          </w:tcPr>
          <w:p>
            <w:pPr>
              <w:jc w:val="center"/>
              <w:spacing w:after="0" w:line="124" w:lineRule="exact"/>
              <w:rPr>
                <w:sz w:val="20"/>
                <w:szCs w:val="20"/>
                <w:color w:val="auto"/>
              </w:rPr>
            </w:pPr>
            <w:r>
              <w:rPr>
                <w:rFonts w:ascii="Arial" w:cs="Arial" w:eastAsia="Arial" w:hAnsi="Arial"/>
                <w:sz w:val="12"/>
                <w:szCs w:val="12"/>
                <w:b w:val="1"/>
                <w:bCs w:val="1"/>
                <w:color w:val="FFFFFF"/>
                <w:w w:val="96"/>
              </w:rPr>
              <w:t>Sep 23 / Sep</w:t>
            </w:r>
          </w:p>
        </w:tc>
      </w:tr>
      <w:tr>
        <w:trPr>
          <w:trHeight w:val="143"/>
        </w:trPr>
        <w:tc>
          <w:tcPr>
            <w:tcW w:w="456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tcBorders>
            <w:shd w:val="clear" w:color="auto" w:fill="33CCCC"/>
          </w:tcPr>
          <w:p>
            <w:pPr>
              <w:spacing w:after="0"/>
              <w:rPr>
                <w:sz w:val="12"/>
                <w:szCs w:val="12"/>
                <w:color w:val="auto"/>
              </w:rPr>
            </w:pPr>
          </w:p>
        </w:tc>
        <w:tc>
          <w:tcPr>
            <w:tcW w:w="920" w:type="dxa"/>
            <w:vAlign w:val="bottom"/>
            <w:tcBorders>
              <w:bottom w:val="single" w:sz="8" w:color="auto"/>
            </w:tcBorders>
            <w:shd w:val="clear" w:color="auto" w:fill="33CCCC"/>
          </w:tcPr>
          <w:p>
            <w:pPr>
              <w:spacing w:after="0"/>
              <w:rPr>
                <w:sz w:val="12"/>
                <w:szCs w:val="12"/>
                <w:color w:val="auto"/>
              </w:rPr>
            </w:pPr>
          </w:p>
        </w:tc>
        <w:tc>
          <w:tcPr>
            <w:tcW w:w="780" w:type="dxa"/>
            <w:vAlign w:val="bottom"/>
            <w:tcBorders>
              <w:bottom w:val="single" w:sz="8" w:color="auto"/>
              <w:right w:val="single" w:sz="8" w:color="auto"/>
            </w:tcBorders>
            <w:shd w:val="clear" w:color="auto" w:fill="33CCCC"/>
          </w:tcPr>
          <w:p>
            <w:pPr>
              <w:spacing w:after="0"/>
              <w:rPr>
                <w:sz w:val="12"/>
                <w:szCs w:val="12"/>
                <w:color w:val="auto"/>
              </w:rPr>
            </w:pPr>
          </w:p>
        </w:tc>
        <w:tc>
          <w:tcPr>
            <w:tcW w:w="660" w:type="dxa"/>
            <w:vAlign w:val="bottom"/>
            <w:tcBorders>
              <w:bottom w:val="single" w:sz="8" w:color="auto"/>
            </w:tcBorders>
            <w:shd w:val="clear" w:color="auto" w:fill="33CCCC"/>
          </w:tcPr>
          <w:p>
            <w:pPr>
              <w:spacing w:after="0"/>
              <w:rPr>
                <w:sz w:val="12"/>
                <w:szCs w:val="12"/>
                <w:color w:val="auto"/>
              </w:rPr>
            </w:pPr>
          </w:p>
        </w:tc>
        <w:tc>
          <w:tcPr>
            <w:tcW w:w="720" w:type="dxa"/>
            <w:vAlign w:val="bottom"/>
            <w:tcBorders>
              <w:bottom w:val="single" w:sz="8" w:color="auto"/>
              <w:right w:val="single" w:sz="8" w:color="auto"/>
            </w:tcBorders>
            <w:shd w:val="clear" w:color="auto" w:fill="33CCCC"/>
          </w:tcPr>
          <w:p>
            <w:pPr>
              <w:spacing w:after="0"/>
              <w:rPr>
                <w:sz w:val="12"/>
                <w:szCs w:val="12"/>
                <w:color w:val="auto"/>
              </w:rPr>
            </w:pPr>
          </w:p>
        </w:tc>
        <w:tc>
          <w:tcPr>
            <w:tcW w:w="1080" w:type="dxa"/>
            <w:vAlign w:val="bottom"/>
            <w:tcBorders>
              <w:bottom w:val="single" w:sz="8" w:color="auto"/>
            </w:tcBorders>
            <w:shd w:val="clear" w:color="auto" w:fill="33CCCC"/>
          </w:tcPr>
          <w:p>
            <w:pPr>
              <w:spacing w:after="0"/>
              <w:rPr>
                <w:sz w:val="12"/>
                <w:szCs w:val="12"/>
                <w:color w:val="auto"/>
              </w:rPr>
            </w:pPr>
          </w:p>
        </w:tc>
        <w:tc>
          <w:tcPr>
            <w:tcW w:w="700" w:type="dxa"/>
            <w:vAlign w:val="bottom"/>
            <w:tcBorders>
              <w:bottom w:val="single" w:sz="8" w:color="auto"/>
              <w:right w:val="single" w:sz="8" w:color="auto"/>
            </w:tcBorders>
            <w:shd w:val="clear" w:color="auto" w:fill="33CCCC"/>
          </w:tcPr>
          <w:p>
            <w:pPr>
              <w:spacing w:after="0"/>
              <w:rPr>
                <w:sz w:val="12"/>
                <w:szCs w:val="12"/>
                <w:color w:val="auto"/>
              </w:rPr>
            </w:pPr>
          </w:p>
        </w:tc>
        <w:tc>
          <w:tcPr>
            <w:tcW w:w="82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2"/>
                <w:szCs w:val="12"/>
                <w:b w:val="1"/>
                <w:bCs w:val="1"/>
                <w:color w:val="FFFFFF"/>
                <w:w w:val="89"/>
              </w:rPr>
              <w:t>22</w:t>
            </w:r>
          </w:p>
        </w:tc>
      </w:tr>
      <w:tr>
        <w:trPr>
          <w:trHeight w:val="103"/>
        </w:trPr>
        <w:tc>
          <w:tcPr>
            <w:tcW w:w="4560" w:type="dxa"/>
            <w:vAlign w:val="bottom"/>
            <w:tcBorders>
              <w:left w:val="single" w:sz="8" w:color="auto"/>
              <w:right w:val="single" w:sz="8" w:color="auto"/>
            </w:tcBorders>
          </w:tcPr>
          <w:p>
            <w:pPr>
              <w:ind w:left="20"/>
              <w:spacing w:after="0" w:line="103" w:lineRule="exact"/>
              <w:rPr>
                <w:sz w:val="20"/>
                <w:szCs w:val="20"/>
                <w:color w:val="auto"/>
              </w:rPr>
            </w:pPr>
            <w:r>
              <w:rPr>
                <w:rFonts w:ascii="Arial" w:cs="Arial" w:eastAsia="Arial" w:hAnsi="Arial"/>
                <w:sz w:val="10"/>
                <w:szCs w:val="10"/>
                <w:b w:val="1"/>
                <w:bCs w:val="1"/>
                <w:color w:val="auto"/>
              </w:rPr>
              <w:t>Interest income and expense</w:t>
            </w:r>
          </w:p>
        </w:tc>
        <w:tc>
          <w:tcPr>
            <w:tcW w:w="102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Borders>
              <w:right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tcBorders>
              <w:right w:val="single" w:sz="8" w:color="auto"/>
            </w:tcBorders>
          </w:tcPr>
          <w:p>
            <w:pPr>
              <w:spacing w:after="0"/>
              <w:rPr>
                <w:sz w:val="8"/>
                <w:szCs w:val="8"/>
                <w:color w:val="auto"/>
              </w:rPr>
            </w:pPr>
          </w:p>
        </w:tc>
        <w:tc>
          <w:tcPr>
            <w:tcW w:w="1080" w:type="dxa"/>
            <w:vAlign w:val="bottom"/>
          </w:tcPr>
          <w:p>
            <w:pPr>
              <w:spacing w:after="0"/>
              <w:rPr>
                <w:sz w:val="8"/>
                <w:szCs w:val="8"/>
                <w:color w:val="auto"/>
              </w:rPr>
            </w:pPr>
          </w:p>
        </w:tc>
        <w:tc>
          <w:tcPr>
            <w:tcW w:w="700" w:type="dxa"/>
            <w:vAlign w:val="bottom"/>
            <w:tcBorders>
              <w:right w:val="single" w:sz="8" w:color="auto"/>
            </w:tcBorders>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r>
      <w:tr>
        <w:trPr>
          <w:trHeight w:val="124"/>
        </w:trPr>
        <w:tc>
          <w:tcPr>
            <w:tcW w:w="4560" w:type="dxa"/>
            <w:vAlign w:val="bottom"/>
            <w:tcBorders>
              <w:left w:val="single" w:sz="8" w:color="auto"/>
              <w:right w:val="single" w:sz="8" w:color="auto"/>
            </w:tcBorders>
          </w:tcPr>
          <w:p>
            <w:pPr>
              <w:ind w:left="160"/>
              <w:spacing w:after="0" w:line="124" w:lineRule="exact"/>
              <w:rPr>
                <w:sz w:val="20"/>
                <w:szCs w:val="20"/>
                <w:color w:val="auto"/>
              </w:rPr>
            </w:pPr>
            <w:r>
              <w:rPr>
                <w:rFonts w:ascii="Arial" w:cs="Arial" w:eastAsia="Arial" w:hAnsi="Arial"/>
                <w:sz w:val="12"/>
                <w:szCs w:val="12"/>
                <w:color w:val="auto"/>
              </w:rPr>
              <w:t>Interest and dividend income</w:t>
            </w:r>
          </w:p>
        </w:tc>
        <w:tc>
          <w:tcPr>
            <w:tcW w:w="1020" w:type="dxa"/>
            <w:vAlign w:val="bottom"/>
          </w:tcPr>
          <w:p>
            <w:pPr>
              <w:jc w:val="right"/>
              <w:ind w:right="62"/>
              <w:spacing w:after="0" w:line="124" w:lineRule="exact"/>
              <w:rPr>
                <w:sz w:val="20"/>
                <w:szCs w:val="20"/>
                <w:color w:val="auto"/>
              </w:rPr>
            </w:pPr>
            <w:r>
              <w:rPr>
                <w:rFonts w:ascii="Arial" w:cs="Arial" w:eastAsia="Arial" w:hAnsi="Arial"/>
                <w:sz w:val="12"/>
                <w:szCs w:val="12"/>
                <w:color w:val="auto"/>
              </w:rPr>
              <w:t>2,772,379</w:t>
            </w:r>
          </w:p>
        </w:tc>
        <w:tc>
          <w:tcPr>
            <w:tcW w:w="920" w:type="dxa"/>
            <w:vAlign w:val="bottom"/>
          </w:tcPr>
          <w:p>
            <w:pPr>
              <w:jc w:val="right"/>
              <w:ind w:right="82"/>
              <w:spacing w:after="0" w:line="124" w:lineRule="exact"/>
              <w:rPr>
                <w:sz w:val="20"/>
                <w:szCs w:val="20"/>
                <w:color w:val="auto"/>
              </w:rPr>
            </w:pPr>
            <w:r>
              <w:rPr>
                <w:rFonts w:ascii="Arial" w:cs="Arial" w:eastAsia="Arial" w:hAnsi="Arial"/>
                <w:sz w:val="12"/>
                <w:szCs w:val="12"/>
                <w:color w:val="auto"/>
              </w:rPr>
              <w:t>3,323,237</w:t>
            </w:r>
          </w:p>
        </w:tc>
        <w:tc>
          <w:tcPr>
            <w:tcW w:w="78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2"/>
                <w:szCs w:val="12"/>
                <w:color w:val="auto"/>
              </w:rPr>
              <w:t>3,450,119</w:t>
            </w:r>
          </w:p>
        </w:tc>
        <w:tc>
          <w:tcPr>
            <w:tcW w:w="660" w:type="dxa"/>
            <w:vAlign w:val="bottom"/>
          </w:tcPr>
          <w:p>
            <w:pPr>
              <w:jc w:val="center"/>
              <w:spacing w:after="0" w:line="124" w:lineRule="exact"/>
              <w:rPr>
                <w:sz w:val="20"/>
                <w:szCs w:val="20"/>
                <w:color w:val="auto"/>
              </w:rPr>
            </w:pPr>
            <w:r>
              <w:rPr>
                <w:rFonts w:ascii="Arial" w:cs="Arial" w:eastAsia="Arial" w:hAnsi="Arial"/>
                <w:sz w:val="12"/>
                <w:szCs w:val="12"/>
                <w:color w:val="auto"/>
                <w:w w:val="94"/>
              </w:rPr>
              <w:t>3.8%</w:t>
            </w:r>
          </w:p>
        </w:tc>
        <w:tc>
          <w:tcPr>
            <w:tcW w:w="72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2"/>
                <w:szCs w:val="12"/>
                <w:color w:val="auto"/>
                <w:w w:val="99"/>
              </w:rPr>
              <w:t>24.4%</w:t>
            </w:r>
          </w:p>
        </w:tc>
        <w:tc>
          <w:tcPr>
            <w:tcW w:w="1080" w:type="dxa"/>
            <w:vAlign w:val="bottom"/>
          </w:tcPr>
          <w:p>
            <w:pPr>
              <w:jc w:val="right"/>
              <w:ind w:right="142"/>
              <w:spacing w:after="0" w:line="124" w:lineRule="exact"/>
              <w:rPr>
                <w:sz w:val="20"/>
                <w:szCs w:val="20"/>
                <w:color w:val="auto"/>
              </w:rPr>
            </w:pPr>
            <w:r>
              <w:rPr>
                <w:rFonts w:ascii="Arial" w:cs="Arial" w:eastAsia="Arial" w:hAnsi="Arial"/>
                <w:sz w:val="12"/>
                <w:szCs w:val="12"/>
                <w:color w:val="auto"/>
              </w:rPr>
              <w:t>7,233,399</w:t>
            </w:r>
          </w:p>
        </w:tc>
        <w:tc>
          <w:tcPr>
            <w:tcW w:w="70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2"/>
                <w:szCs w:val="12"/>
                <w:color w:val="auto"/>
              </w:rPr>
              <w:t>9,978,865</w:t>
            </w:r>
          </w:p>
        </w:tc>
        <w:tc>
          <w:tcPr>
            <w:tcW w:w="82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2"/>
                <w:szCs w:val="12"/>
                <w:color w:val="auto"/>
                <w:w w:val="93"/>
              </w:rPr>
              <w:t>38.0%</w:t>
            </w:r>
          </w:p>
        </w:tc>
      </w:tr>
      <w:tr>
        <w:trPr>
          <w:trHeight w:val="118"/>
        </w:trPr>
        <w:tc>
          <w:tcPr>
            <w:tcW w:w="4560" w:type="dxa"/>
            <w:vAlign w:val="bottom"/>
            <w:tcBorders>
              <w:left w:val="single" w:sz="8" w:color="auto"/>
              <w:right w:val="single" w:sz="8" w:color="auto"/>
            </w:tcBorders>
          </w:tcPr>
          <w:p>
            <w:pPr>
              <w:ind w:left="160"/>
              <w:spacing w:after="0" w:line="118" w:lineRule="exact"/>
              <w:rPr>
                <w:sz w:val="20"/>
                <w:szCs w:val="20"/>
                <w:color w:val="auto"/>
              </w:rPr>
            </w:pPr>
            <w:r>
              <w:rPr>
                <w:rFonts w:ascii="Arial" w:cs="Arial" w:eastAsia="Arial" w:hAnsi="Arial"/>
                <w:sz w:val="12"/>
                <w:szCs w:val="12"/>
                <w:color w:val="auto"/>
              </w:rPr>
              <w:t>Interest expense</w:t>
            </w:r>
          </w:p>
        </w:tc>
        <w:tc>
          <w:tcPr>
            <w:tcW w:w="1020" w:type="dxa"/>
            <w:vAlign w:val="bottom"/>
          </w:tcPr>
          <w:p>
            <w:pPr>
              <w:jc w:val="right"/>
              <w:ind w:right="62"/>
              <w:spacing w:after="0" w:line="118" w:lineRule="exact"/>
              <w:rPr>
                <w:sz w:val="20"/>
                <w:szCs w:val="20"/>
                <w:color w:val="auto"/>
              </w:rPr>
            </w:pPr>
            <w:r>
              <w:rPr>
                <w:rFonts w:ascii="Arial" w:cs="Arial" w:eastAsia="Arial" w:hAnsi="Arial"/>
                <w:sz w:val="12"/>
                <w:szCs w:val="12"/>
                <w:color w:val="auto"/>
              </w:rPr>
              <w:t>(661,526)</w:t>
            </w:r>
          </w:p>
        </w:tc>
        <w:tc>
          <w:tcPr>
            <w:tcW w:w="920" w:type="dxa"/>
            <w:vAlign w:val="bottom"/>
          </w:tcPr>
          <w:p>
            <w:pPr>
              <w:jc w:val="right"/>
              <w:ind w:right="82"/>
              <w:spacing w:after="0" w:line="118" w:lineRule="exact"/>
              <w:rPr>
                <w:sz w:val="20"/>
                <w:szCs w:val="20"/>
                <w:color w:val="auto"/>
              </w:rPr>
            </w:pPr>
            <w:r>
              <w:rPr>
                <w:rFonts w:ascii="Arial" w:cs="Arial" w:eastAsia="Arial" w:hAnsi="Arial"/>
                <w:sz w:val="12"/>
                <w:szCs w:val="12"/>
                <w:color w:val="auto"/>
              </w:rPr>
              <w:t>(912,744)</w:t>
            </w:r>
          </w:p>
        </w:tc>
        <w:tc>
          <w:tcPr>
            <w:tcW w:w="780" w:type="dxa"/>
            <w:vAlign w:val="bottom"/>
            <w:tcBorders>
              <w:right w:val="single" w:sz="8" w:color="auto"/>
            </w:tcBorders>
          </w:tcPr>
          <w:p>
            <w:pPr>
              <w:jc w:val="right"/>
              <w:spacing w:after="0" w:line="118" w:lineRule="exact"/>
              <w:rPr>
                <w:sz w:val="20"/>
                <w:szCs w:val="20"/>
                <w:color w:val="auto"/>
              </w:rPr>
            </w:pPr>
            <w:r>
              <w:rPr>
                <w:rFonts w:ascii="Arial" w:cs="Arial" w:eastAsia="Arial" w:hAnsi="Arial"/>
                <w:sz w:val="12"/>
                <w:szCs w:val="12"/>
                <w:color w:val="auto"/>
              </w:rPr>
              <w:t>(1,002,366)</w:t>
            </w:r>
          </w:p>
        </w:tc>
        <w:tc>
          <w:tcPr>
            <w:tcW w:w="660" w:type="dxa"/>
            <w:vAlign w:val="bottom"/>
          </w:tcPr>
          <w:p>
            <w:pPr>
              <w:jc w:val="center"/>
              <w:spacing w:after="0" w:line="118" w:lineRule="exact"/>
              <w:rPr>
                <w:sz w:val="20"/>
                <w:szCs w:val="20"/>
                <w:color w:val="auto"/>
              </w:rPr>
            </w:pPr>
            <w:r>
              <w:rPr>
                <w:rFonts w:ascii="Arial" w:cs="Arial" w:eastAsia="Arial" w:hAnsi="Arial"/>
                <w:sz w:val="12"/>
                <w:szCs w:val="12"/>
                <w:color w:val="auto"/>
                <w:w w:val="94"/>
              </w:rPr>
              <w:t>9.8%</w:t>
            </w:r>
          </w:p>
        </w:tc>
        <w:tc>
          <w:tcPr>
            <w:tcW w:w="720" w:type="dxa"/>
            <w:vAlign w:val="bottom"/>
            <w:tcBorders>
              <w:right w:val="single" w:sz="8" w:color="auto"/>
            </w:tcBorders>
          </w:tcPr>
          <w:p>
            <w:pPr>
              <w:jc w:val="center"/>
              <w:spacing w:after="0" w:line="118" w:lineRule="exact"/>
              <w:rPr>
                <w:sz w:val="20"/>
                <w:szCs w:val="20"/>
                <w:color w:val="auto"/>
              </w:rPr>
            </w:pPr>
            <w:r>
              <w:rPr>
                <w:rFonts w:ascii="Arial" w:cs="Arial" w:eastAsia="Arial" w:hAnsi="Arial"/>
                <w:sz w:val="12"/>
                <w:szCs w:val="12"/>
                <w:color w:val="auto"/>
                <w:w w:val="99"/>
              </w:rPr>
              <w:t>51.5%</w:t>
            </w:r>
          </w:p>
        </w:tc>
        <w:tc>
          <w:tcPr>
            <w:tcW w:w="1080" w:type="dxa"/>
            <w:vAlign w:val="bottom"/>
          </w:tcPr>
          <w:p>
            <w:pPr>
              <w:jc w:val="right"/>
              <w:ind w:right="142"/>
              <w:spacing w:after="0" w:line="118" w:lineRule="exact"/>
              <w:rPr>
                <w:sz w:val="20"/>
                <w:szCs w:val="20"/>
                <w:color w:val="auto"/>
              </w:rPr>
            </w:pPr>
            <w:r>
              <w:rPr>
                <w:rFonts w:ascii="Arial" w:cs="Arial" w:eastAsia="Arial" w:hAnsi="Arial"/>
                <w:sz w:val="12"/>
                <w:szCs w:val="12"/>
                <w:color w:val="auto"/>
              </w:rPr>
              <w:t>(1,557,528)</w:t>
            </w:r>
          </w:p>
        </w:tc>
        <w:tc>
          <w:tcPr>
            <w:tcW w:w="700" w:type="dxa"/>
            <w:vAlign w:val="bottom"/>
            <w:tcBorders>
              <w:right w:val="single" w:sz="8" w:color="auto"/>
            </w:tcBorders>
          </w:tcPr>
          <w:p>
            <w:pPr>
              <w:jc w:val="right"/>
              <w:spacing w:after="0" w:line="118" w:lineRule="exact"/>
              <w:rPr>
                <w:sz w:val="20"/>
                <w:szCs w:val="20"/>
                <w:color w:val="auto"/>
              </w:rPr>
            </w:pPr>
            <w:r>
              <w:rPr>
                <w:rFonts w:ascii="Arial" w:cs="Arial" w:eastAsia="Arial" w:hAnsi="Arial"/>
                <w:sz w:val="12"/>
                <w:szCs w:val="12"/>
                <w:color w:val="auto"/>
              </w:rPr>
              <w:t>(2,732,166)</w:t>
            </w:r>
          </w:p>
        </w:tc>
        <w:tc>
          <w:tcPr>
            <w:tcW w:w="820" w:type="dxa"/>
            <w:vAlign w:val="bottom"/>
            <w:tcBorders>
              <w:right w:val="single" w:sz="8" w:color="auto"/>
            </w:tcBorders>
          </w:tcPr>
          <w:p>
            <w:pPr>
              <w:jc w:val="center"/>
              <w:spacing w:after="0" w:line="118" w:lineRule="exact"/>
              <w:rPr>
                <w:sz w:val="20"/>
                <w:szCs w:val="20"/>
                <w:color w:val="auto"/>
              </w:rPr>
            </w:pPr>
            <w:r>
              <w:rPr>
                <w:rFonts w:ascii="Arial" w:cs="Arial" w:eastAsia="Arial" w:hAnsi="Arial"/>
                <w:sz w:val="12"/>
                <w:szCs w:val="12"/>
                <w:color w:val="auto"/>
                <w:w w:val="93"/>
              </w:rPr>
              <w:t>75.4%</w:t>
            </w:r>
          </w:p>
        </w:tc>
      </w:tr>
      <w:tr>
        <w:trPr>
          <w:trHeight w:val="160"/>
        </w:trPr>
        <w:tc>
          <w:tcPr>
            <w:tcW w:w="45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b w:val="1"/>
                <w:bCs w:val="1"/>
                <w:color w:val="auto"/>
              </w:rPr>
              <w:t>Net interest income</w:t>
            </w:r>
          </w:p>
        </w:tc>
        <w:tc>
          <w:tcPr>
            <w:tcW w:w="1020" w:type="dxa"/>
            <w:vAlign w:val="bottom"/>
          </w:tcPr>
          <w:p>
            <w:pPr>
              <w:jc w:val="right"/>
              <w:ind w:right="62"/>
              <w:spacing w:after="0"/>
              <w:rPr>
                <w:sz w:val="20"/>
                <w:szCs w:val="20"/>
                <w:color w:val="auto"/>
              </w:rPr>
            </w:pPr>
            <w:r>
              <w:rPr>
                <w:rFonts w:ascii="Arial" w:cs="Arial" w:eastAsia="Arial" w:hAnsi="Arial"/>
                <w:sz w:val="12"/>
                <w:szCs w:val="12"/>
                <w:b w:val="1"/>
                <w:bCs w:val="1"/>
                <w:color w:val="auto"/>
              </w:rPr>
              <w:t>2,110,853</w:t>
            </w:r>
          </w:p>
        </w:tc>
        <w:tc>
          <w:tcPr>
            <w:tcW w:w="920" w:type="dxa"/>
            <w:vAlign w:val="bottom"/>
          </w:tcPr>
          <w:p>
            <w:pPr>
              <w:jc w:val="right"/>
              <w:ind w:right="82"/>
              <w:spacing w:after="0"/>
              <w:rPr>
                <w:sz w:val="20"/>
                <w:szCs w:val="20"/>
                <w:color w:val="auto"/>
              </w:rPr>
            </w:pPr>
            <w:r>
              <w:rPr>
                <w:rFonts w:ascii="Arial" w:cs="Arial" w:eastAsia="Arial" w:hAnsi="Arial"/>
                <w:sz w:val="12"/>
                <w:szCs w:val="12"/>
                <w:b w:val="1"/>
                <w:bCs w:val="1"/>
                <w:color w:val="auto"/>
              </w:rPr>
              <w:t>2,410,493</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2"/>
                <w:szCs w:val="12"/>
                <w:b w:val="1"/>
                <w:bCs w:val="1"/>
                <w:color w:val="auto"/>
              </w:rPr>
              <w:t>2,447,753</w:t>
            </w:r>
          </w:p>
        </w:tc>
        <w:tc>
          <w:tcPr>
            <w:tcW w:w="660" w:type="dxa"/>
            <w:vAlign w:val="bottom"/>
          </w:tcPr>
          <w:p>
            <w:pPr>
              <w:jc w:val="center"/>
              <w:spacing w:after="0"/>
              <w:rPr>
                <w:sz w:val="20"/>
                <w:szCs w:val="20"/>
                <w:color w:val="auto"/>
              </w:rPr>
            </w:pPr>
            <w:r>
              <w:rPr>
                <w:rFonts w:ascii="Arial" w:cs="Arial" w:eastAsia="Arial" w:hAnsi="Arial"/>
                <w:sz w:val="12"/>
                <w:szCs w:val="12"/>
                <w:b w:val="1"/>
                <w:bCs w:val="1"/>
                <w:color w:val="auto"/>
                <w:w w:val="94"/>
              </w:rPr>
              <w:t>1.5%</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16.0%</w:t>
            </w:r>
          </w:p>
        </w:tc>
        <w:tc>
          <w:tcPr>
            <w:tcW w:w="1080" w:type="dxa"/>
            <w:vAlign w:val="bottom"/>
          </w:tcPr>
          <w:p>
            <w:pPr>
              <w:jc w:val="right"/>
              <w:ind w:right="142"/>
              <w:spacing w:after="0"/>
              <w:rPr>
                <w:sz w:val="20"/>
                <w:szCs w:val="20"/>
                <w:color w:val="auto"/>
              </w:rPr>
            </w:pPr>
            <w:r>
              <w:rPr>
                <w:rFonts w:ascii="Arial" w:cs="Arial" w:eastAsia="Arial" w:hAnsi="Arial"/>
                <w:sz w:val="12"/>
                <w:szCs w:val="12"/>
                <w:b w:val="1"/>
                <w:bCs w:val="1"/>
                <w:color w:val="auto"/>
              </w:rPr>
              <w:t>5,675,871</w:t>
            </w: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2"/>
                <w:szCs w:val="12"/>
                <w:b w:val="1"/>
                <w:bCs w:val="1"/>
                <w:color w:val="auto"/>
              </w:rPr>
              <w:t>7,246,699</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27.7%</w:t>
            </w:r>
          </w:p>
        </w:tc>
      </w:tr>
      <w:tr>
        <w:trPr>
          <w:trHeight w:val="216"/>
        </w:trPr>
        <w:tc>
          <w:tcPr>
            <w:tcW w:w="45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Provision for credit losses on loan portfolio</w:t>
            </w: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(412,876)</w:t>
            </w:r>
          </w:p>
        </w:tc>
        <w:tc>
          <w:tcPr>
            <w:tcW w:w="920" w:type="dxa"/>
            <w:vAlign w:val="bottom"/>
          </w:tcPr>
          <w:p>
            <w:pPr>
              <w:jc w:val="right"/>
              <w:ind w:right="82"/>
              <w:spacing w:after="0"/>
              <w:rPr>
                <w:sz w:val="20"/>
                <w:szCs w:val="20"/>
                <w:color w:val="auto"/>
              </w:rPr>
            </w:pPr>
            <w:r>
              <w:rPr>
                <w:rFonts w:ascii="Arial" w:cs="Arial" w:eastAsia="Arial" w:hAnsi="Arial"/>
                <w:sz w:val="12"/>
                <w:szCs w:val="12"/>
                <w:color w:val="auto"/>
              </w:rPr>
              <w:t>(657,546)</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(733,594)</w:t>
            </w:r>
          </w:p>
        </w:tc>
        <w:tc>
          <w:tcPr>
            <w:tcW w:w="660" w:type="dxa"/>
            <w:vAlign w:val="bottom"/>
          </w:tcPr>
          <w:p>
            <w:pPr>
              <w:jc w:val="center"/>
              <w:spacing w:after="0"/>
              <w:rPr>
                <w:sz w:val="20"/>
                <w:szCs w:val="20"/>
                <w:color w:val="auto"/>
              </w:rPr>
            </w:pPr>
            <w:r>
              <w:rPr>
                <w:rFonts w:ascii="Arial" w:cs="Arial" w:eastAsia="Arial" w:hAnsi="Arial"/>
                <w:sz w:val="12"/>
                <w:szCs w:val="12"/>
                <w:color w:val="auto"/>
                <w:w w:val="93"/>
              </w:rPr>
              <w:t>11.6%</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9"/>
              </w:rPr>
              <w:t>77.7%</w:t>
            </w:r>
          </w:p>
        </w:tc>
        <w:tc>
          <w:tcPr>
            <w:tcW w:w="1080" w:type="dxa"/>
            <w:vAlign w:val="bottom"/>
          </w:tcPr>
          <w:p>
            <w:pPr>
              <w:jc w:val="right"/>
              <w:ind w:right="142"/>
              <w:spacing w:after="0"/>
              <w:rPr>
                <w:sz w:val="20"/>
                <w:szCs w:val="20"/>
                <w:color w:val="auto"/>
              </w:rPr>
            </w:pPr>
            <w:r>
              <w:rPr>
                <w:rFonts w:ascii="Arial" w:cs="Arial" w:eastAsia="Arial" w:hAnsi="Arial"/>
                <w:sz w:val="12"/>
                <w:szCs w:val="12"/>
                <w:color w:val="auto"/>
              </w:rPr>
              <w:t>(884,083)</w:t>
            </w: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(1,923,332)</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3"/>
              </w:rPr>
              <w:t>117.6%</w:t>
            </w:r>
          </w:p>
        </w:tc>
      </w:tr>
      <w:tr>
        <w:trPr>
          <w:trHeight w:val="118"/>
        </w:trPr>
        <w:tc>
          <w:tcPr>
            <w:tcW w:w="4560" w:type="dxa"/>
            <w:vAlign w:val="bottom"/>
            <w:tcBorders>
              <w:left w:val="single" w:sz="8" w:color="auto"/>
              <w:right w:val="single" w:sz="8" w:color="auto"/>
            </w:tcBorders>
          </w:tcPr>
          <w:p>
            <w:pPr>
              <w:ind w:left="20"/>
              <w:spacing w:after="0" w:line="118" w:lineRule="exact"/>
              <w:rPr>
                <w:sz w:val="20"/>
                <w:szCs w:val="20"/>
                <w:color w:val="auto"/>
              </w:rPr>
            </w:pPr>
            <w:r>
              <w:rPr>
                <w:rFonts w:ascii="Arial" w:cs="Arial" w:eastAsia="Arial" w:hAnsi="Arial"/>
                <w:sz w:val="12"/>
                <w:szCs w:val="12"/>
                <w:color w:val="auto"/>
              </w:rPr>
              <w:t>Recoveries of written-off loans</w:t>
            </w:r>
          </w:p>
        </w:tc>
        <w:tc>
          <w:tcPr>
            <w:tcW w:w="1020" w:type="dxa"/>
            <w:vAlign w:val="bottom"/>
          </w:tcPr>
          <w:p>
            <w:pPr>
              <w:jc w:val="right"/>
              <w:ind w:right="62"/>
              <w:spacing w:after="0" w:line="118" w:lineRule="exact"/>
              <w:rPr>
                <w:sz w:val="20"/>
                <w:szCs w:val="20"/>
                <w:color w:val="auto"/>
              </w:rPr>
            </w:pPr>
            <w:r>
              <w:rPr>
                <w:rFonts w:ascii="Arial" w:cs="Arial" w:eastAsia="Arial" w:hAnsi="Arial"/>
                <w:sz w:val="12"/>
                <w:szCs w:val="12"/>
                <w:color w:val="auto"/>
              </w:rPr>
              <w:t>53,547</w:t>
            </w:r>
          </w:p>
        </w:tc>
        <w:tc>
          <w:tcPr>
            <w:tcW w:w="920" w:type="dxa"/>
            <w:vAlign w:val="bottom"/>
          </w:tcPr>
          <w:p>
            <w:pPr>
              <w:jc w:val="right"/>
              <w:ind w:right="82"/>
              <w:spacing w:after="0" w:line="118" w:lineRule="exact"/>
              <w:rPr>
                <w:sz w:val="20"/>
                <w:szCs w:val="20"/>
                <w:color w:val="auto"/>
              </w:rPr>
            </w:pPr>
            <w:r>
              <w:rPr>
                <w:rFonts w:ascii="Arial" w:cs="Arial" w:eastAsia="Arial" w:hAnsi="Arial"/>
                <w:sz w:val="12"/>
                <w:szCs w:val="12"/>
                <w:color w:val="auto"/>
              </w:rPr>
              <w:t>53,892</w:t>
            </w:r>
          </w:p>
        </w:tc>
        <w:tc>
          <w:tcPr>
            <w:tcW w:w="780" w:type="dxa"/>
            <w:vAlign w:val="bottom"/>
            <w:tcBorders>
              <w:right w:val="single" w:sz="8" w:color="auto"/>
            </w:tcBorders>
          </w:tcPr>
          <w:p>
            <w:pPr>
              <w:jc w:val="right"/>
              <w:spacing w:after="0" w:line="118" w:lineRule="exact"/>
              <w:rPr>
                <w:sz w:val="20"/>
                <w:szCs w:val="20"/>
                <w:color w:val="auto"/>
              </w:rPr>
            </w:pPr>
            <w:r>
              <w:rPr>
                <w:rFonts w:ascii="Arial" w:cs="Arial" w:eastAsia="Arial" w:hAnsi="Arial"/>
                <w:sz w:val="12"/>
                <w:szCs w:val="12"/>
                <w:color w:val="auto"/>
              </w:rPr>
              <w:t>59,331</w:t>
            </w:r>
          </w:p>
        </w:tc>
        <w:tc>
          <w:tcPr>
            <w:tcW w:w="660" w:type="dxa"/>
            <w:vAlign w:val="bottom"/>
          </w:tcPr>
          <w:p>
            <w:pPr>
              <w:jc w:val="center"/>
              <w:spacing w:after="0" w:line="118" w:lineRule="exact"/>
              <w:rPr>
                <w:sz w:val="20"/>
                <w:szCs w:val="20"/>
                <w:color w:val="auto"/>
              </w:rPr>
            </w:pPr>
            <w:r>
              <w:rPr>
                <w:rFonts w:ascii="Arial" w:cs="Arial" w:eastAsia="Arial" w:hAnsi="Arial"/>
                <w:sz w:val="12"/>
                <w:szCs w:val="12"/>
                <w:color w:val="auto"/>
                <w:w w:val="93"/>
              </w:rPr>
              <w:t>10.1%</w:t>
            </w:r>
          </w:p>
        </w:tc>
        <w:tc>
          <w:tcPr>
            <w:tcW w:w="720" w:type="dxa"/>
            <w:vAlign w:val="bottom"/>
            <w:tcBorders>
              <w:right w:val="single" w:sz="8" w:color="auto"/>
            </w:tcBorders>
          </w:tcPr>
          <w:p>
            <w:pPr>
              <w:jc w:val="center"/>
              <w:spacing w:after="0" w:line="118" w:lineRule="exact"/>
              <w:rPr>
                <w:sz w:val="20"/>
                <w:szCs w:val="20"/>
                <w:color w:val="auto"/>
              </w:rPr>
            </w:pPr>
            <w:r>
              <w:rPr>
                <w:rFonts w:ascii="Arial" w:cs="Arial" w:eastAsia="Arial" w:hAnsi="Arial"/>
                <w:sz w:val="12"/>
                <w:szCs w:val="12"/>
                <w:color w:val="auto"/>
                <w:w w:val="99"/>
              </w:rPr>
              <w:t>10.8%</w:t>
            </w:r>
          </w:p>
        </w:tc>
        <w:tc>
          <w:tcPr>
            <w:tcW w:w="1080" w:type="dxa"/>
            <w:vAlign w:val="bottom"/>
          </w:tcPr>
          <w:p>
            <w:pPr>
              <w:jc w:val="right"/>
              <w:ind w:right="142"/>
              <w:spacing w:after="0" w:line="118" w:lineRule="exact"/>
              <w:rPr>
                <w:sz w:val="20"/>
                <w:szCs w:val="20"/>
                <w:color w:val="auto"/>
              </w:rPr>
            </w:pPr>
            <w:r>
              <w:rPr>
                <w:rFonts w:ascii="Arial" w:cs="Arial" w:eastAsia="Arial" w:hAnsi="Arial"/>
                <w:sz w:val="12"/>
                <w:szCs w:val="12"/>
                <w:color w:val="auto"/>
              </w:rPr>
              <w:t>160,827</w:t>
            </w:r>
          </w:p>
        </w:tc>
        <w:tc>
          <w:tcPr>
            <w:tcW w:w="700" w:type="dxa"/>
            <w:vAlign w:val="bottom"/>
            <w:tcBorders>
              <w:right w:val="single" w:sz="8" w:color="auto"/>
            </w:tcBorders>
          </w:tcPr>
          <w:p>
            <w:pPr>
              <w:jc w:val="right"/>
              <w:spacing w:after="0" w:line="118" w:lineRule="exact"/>
              <w:rPr>
                <w:sz w:val="20"/>
                <w:szCs w:val="20"/>
                <w:color w:val="auto"/>
              </w:rPr>
            </w:pPr>
            <w:r>
              <w:rPr>
                <w:rFonts w:ascii="Arial" w:cs="Arial" w:eastAsia="Arial" w:hAnsi="Arial"/>
                <w:sz w:val="12"/>
                <w:szCs w:val="12"/>
                <w:color w:val="auto"/>
              </w:rPr>
              <w:t>160,640</w:t>
            </w:r>
          </w:p>
        </w:tc>
        <w:tc>
          <w:tcPr>
            <w:tcW w:w="820" w:type="dxa"/>
            <w:vAlign w:val="bottom"/>
            <w:tcBorders>
              <w:right w:val="single" w:sz="8" w:color="auto"/>
            </w:tcBorders>
          </w:tcPr>
          <w:p>
            <w:pPr>
              <w:jc w:val="center"/>
              <w:spacing w:after="0" w:line="118" w:lineRule="exact"/>
              <w:rPr>
                <w:sz w:val="20"/>
                <w:szCs w:val="20"/>
                <w:color w:val="auto"/>
              </w:rPr>
            </w:pPr>
            <w:r>
              <w:rPr>
                <w:rFonts w:ascii="Arial" w:cs="Arial" w:eastAsia="Arial" w:hAnsi="Arial"/>
                <w:sz w:val="12"/>
                <w:szCs w:val="12"/>
                <w:color w:val="auto"/>
                <w:w w:val="95"/>
              </w:rPr>
              <w:t>-0.1%</w:t>
            </w:r>
          </w:p>
        </w:tc>
      </w:tr>
      <w:tr>
        <w:trPr>
          <w:trHeight w:val="160"/>
        </w:trPr>
        <w:tc>
          <w:tcPr>
            <w:tcW w:w="45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color w:val="auto"/>
              </w:rPr>
              <w:t>Provision for credit losses on loan portfolio, net of recoveries</w:t>
            </w:r>
          </w:p>
        </w:tc>
        <w:tc>
          <w:tcPr>
            <w:tcW w:w="1020" w:type="dxa"/>
            <w:vAlign w:val="bottom"/>
          </w:tcPr>
          <w:p>
            <w:pPr>
              <w:jc w:val="right"/>
              <w:ind w:right="62"/>
              <w:spacing w:after="0"/>
              <w:rPr>
                <w:sz w:val="20"/>
                <w:szCs w:val="20"/>
                <w:color w:val="auto"/>
              </w:rPr>
            </w:pPr>
            <w:r>
              <w:rPr>
                <w:rFonts w:ascii="Arial" w:cs="Arial" w:eastAsia="Arial" w:hAnsi="Arial"/>
                <w:sz w:val="12"/>
                <w:szCs w:val="12"/>
                <w:b w:val="1"/>
                <w:bCs w:val="1"/>
                <w:color w:val="auto"/>
              </w:rPr>
              <w:t>(359,329)</w:t>
            </w:r>
          </w:p>
        </w:tc>
        <w:tc>
          <w:tcPr>
            <w:tcW w:w="920" w:type="dxa"/>
            <w:vAlign w:val="bottom"/>
          </w:tcPr>
          <w:p>
            <w:pPr>
              <w:jc w:val="right"/>
              <w:ind w:right="82"/>
              <w:spacing w:after="0"/>
              <w:rPr>
                <w:sz w:val="20"/>
                <w:szCs w:val="20"/>
                <w:color w:val="auto"/>
              </w:rPr>
            </w:pPr>
            <w:r>
              <w:rPr>
                <w:rFonts w:ascii="Arial" w:cs="Arial" w:eastAsia="Arial" w:hAnsi="Arial"/>
                <w:sz w:val="12"/>
                <w:szCs w:val="12"/>
                <w:b w:val="1"/>
                <w:bCs w:val="1"/>
                <w:color w:val="auto"/>
              </w:rPr>
              <w:t>(603,654)</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2"/>
                <w:szCs w:val="12"/>
                <w:b w:val="1"/>
                <w:bCs w:val="1"/>
                <w:color w:val="auto"/>
              </w:rPr>
              <w:t>(674,263)</w:t>
            </w:r>
          </w:p>
        </w:tc>
        <w:tc>
          <w:tcPr>
            <w:tcW w:w="660" w:type="dxa"/>
            <w:vAlign w:val="bottom"/>
          </w:tcPr>
          <w:p>
            <w:pPr>
              <w:jc w:val="center"/>
              <w:spacing w:after="0"/>
              <w:rPr>
                <w:sz w:val="20"/>
                <w:szCs w:val="20"/>
                <w:color w:val="auto"/>
              </w:rPr>
            </w:pPr>
            <w:r>
              <w:rPr>
                <w:rFonts w:ascii="Arial" w:cs="Arial" w:eastAsia="Arial" w:hAnsi="Arial"/>
                <w:sz w:val="12"/>
                <w:szCs w:val="12"/>
                <w:b w:val="1"/>
                <w:bCs w:val="1"/>
                <w:color w:val="auto"/>
                <w:w w:val="93"/>
              </w:rPr>
              <w:t>11.7%</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87.6%</w:t>
            </w:r>
          </w:p>
        </w:tc>
        <w:tc>
          <w:tcPr>
            <w:tcW w:w="1080" w:type="dxa"/>
            <w:vAlign w:val="bottom"/>
          </w:tcPr>
          <w:p>
            <w:pPr>
              <w:jc w:val="right"/>
              <w:ind w:right="142"/>
              <w:spacing w:after="0"/>
              <w:rPr>
                <w:sz w:val="20"/>
                <w:szCs w:val="20"/>
                <w:color w:val="auto"/>
              </w:rPr>
            </w:pPr>
            <w:r>
              <w:rPr>
                <w:rFonts w:ascii="Arial" w:cs="Arial" w:eastAsia="Arial" w:hAnsi="Arial"/>
                <w:sz w:val="12"/>
                <w:szCs w:val="12"/>
                <w:b w:val="1"/>
                <w:bCs w:val="1"/>
                <w:color w:val="auto"/>
              </w:rPr>
              <w:t>(723,256)</w:t>
            </w: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2"/>
                <w:szCs w:val="12"/>
                <w:b w:val="1"/>
                <w:bCs w:val="1"/>
                <w:color w:val="auto"/>
              </w:rPr>
              <w:t>(1,762,692)</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143.7%</w:t>
            </w:r>
          </w:p>
        </w:tc>
      </w:tr>
      <w:tr>
        <w:trPr>
          <w:trHeight w:val="247"/>
        </w:trPr>
        <w:tc>
          <w:tcPr>
            <w:tcW w:w="45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color w:val="auto"/>
              </w:rPr>
              <w:t>Risk-adjusted net interest income</w:t>
            </w:r>
          </w:p>
        </w:tc>
        <w:tc>
          <w:tcPr>
            <w:tcW w:w="1020" w:type="dxa"/>
            <w:vAlign w:val="bottom"/>
          </w:tcPr>
          <w:p>
            <w:pPr>
              <w:jc w:val="right"/>
              <w:ind w:right="62"/>
              <w:spacing w:after="0"/>
              <w:rPr>
                <w:sz w:val="20"/>
                <w:szCs w:val="20"/>
                <w:color w:val="auto"/>
              </w:rPr>
            </w:pPr>
            <w:r>
              <w:rPr>
                <w:rFonts w:ascii="Arial" w:cs="Arial" w:eastAsia="Arial" w:hAnsi="Arial"/>
                <w:sz w:val="12"/>
                <w:szCs w:val="12"/>
                <w:b w:val="1"/>
                <w:bCs w:val="1"/>
                <w:color w:val="auto"/>
              </w:rPr>
              <w:t>1,751,524</w:t>
            </w:r>
          </w:p>
        </w:tc>
        <w:tc>
          <w:tcPr>
            <w:tcW w:w="920" w:type="dxa"/>
            <w:vAlign w:val="bottom"/>
          </w:tcPr>
          <w:p>
            <w:pPr>
              <w:jc w:val="right"/>
              <w:ind w:right="82"/>
              <w:spacing w:after="0"/>
              <w:rPr>
                <w:sz w:val="20"/>
                <w:szCs w:val="20"/>
                <w:color w:val="auto"/>
              </w:rPr>
            </w:pPr>
            <w:r>
              <w:rPr>
                <w:rFonts w:ascii="Arial" w:cs="Arial" w:eastAsia="Arial" w:hAnsi="Arial"/>
                <w:sz w:val="12"/>
                <w:szCs w:val="12"/>
                <w:b w:val="1"/>
                <w:bCs w:val="1"/>
                <w:color w:val="auto"/>
              </w:rPr>
              <w:t>1,806,839</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2"/>
                <w:szCs w:val="12"/>
                <w:b w:val="1"/>
                <w:bCs w:val="1"/>
                <w:color w:val="auto"/>
              </w:rPr>
              <w:t>1,773,490</w:t>
            </w:r>
          </w:p>
        </w:tc>
        <w:tc>
          <w:tcPr>
            <w:tcW w:w="660" w:type="dxa"/>
            <w:vAlign w:val="bottom"/>
          </w:tcPr>
          <w:p>
            <w:pPr>
              <w:jc w:val="center"/>
              <w:spacing w:after="0"/>
              <w:rPr>
                <w:sz w:val="20"/>
                <w:szCs w:val="20"/>
                <w:color w:val="auto"/>
              </w:rPr>
            </w:pPr>
            <w:r>
              <w:rPr>
                <w:rFonts w:ascii="Arial" w:cs="Arial" w:eastAsia="Arial" w:hAnsi="Arial"/>
                <w:sz w:val="12"/>
                <w:szCs w:val="12"/>
                <w:b w:val="1"/>
                <w:bCs w:val="1"/>
                <w:color w:val="auto"/>
                <w:w w:val="95"/>
              </w:rPr>
              <w:t>-1.8%</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1.3%</w:t>
            </w:r>
          </w:p>
        </w:tc>
        <w:tc>
          <w:tcPr>
            <w:tcW w:w="1080" w:type="dxa"/>
            <w:vAlign w:val="bottom"/>
          </w:tcPr>
          <w:p>
            <w:pPr>
              <w:jc w:val="right"/>
              <w:ind w:right="142"/>
              <w:spacing w:after="0"/>
              <w:rPr>
                <w:sz w:val="20"/>
                <w:szCs w:val="20"/>
                <w:color w:val="auto"/>
              </w:rPr>
            </w:pPr>
            <w:r>
              <w:rPr>
                <w:rFonts w:ascii="Arial" w:cs="Arial" w:eastAsia="Arial" w:hAnsi="Arial"/>
                <w:sz w:val="12"/>
                <w:szCs w:val="12"/>
                <w:b w:val="1"/>
                <w:bCs w:val="1"/>
                <w:color w:val="auto"/>
              </w:rPr>
              <w:t>4,952,615</w:t>
            </w: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2"/>
                <w:szCs w:val="12"/>
                <w:b w:val="1"/>
                <w:bCs w:val="1"/>
                <w:color w:val="auto"/>
              </w:rPr>
              <w:t>5,484,007</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10.7%</w:t>
            </w:r>
          </w:p>
        </w:tc>
      </w:tr>
      <w:tr>
        <w:trPr>
          <w:trHeight w:val="216"/>
        </w:trPr>
        <w:tc>
          <w:tcPr>
            <w:tcW w:w="45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color w:val="auto"/>
              </w:rPr>
              <w:t>Other income</w:t>
            </w:r>
          </w:p>
        </w:tc>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r>
      <w:tr>
        <w:trPr>
          <w:trHeight w:val="124"/>
        </w:trPr>
        <w:tc>
          <w:tcPr>
            <w:tcW w:w="4560" w:type="dxa"/>
            <w:vAlign w:val="bottom"/>
            <w:tcBorders>
              <w:left w:val="single" w:sz="8" w:color="auto"/>
              <w:right w:val="single" w:sz="8" w:color="auto"/>
            </w:tcBorders>
          </w:tcPr>
          <w:p>
            <w:pPr>
              <w:ind w:left="160"/>
              <w:spacing w:after="0" w:line="124" w:lineRule="exact"/>
              <w:rPr>
                <w:sz w:val="20"/>
                <w:szCs w:val="20"/>
                <w:color w:val="auto"/>
              </w:rPr>
            </w:pPr>
            <w:r>
              <w:rPr>
                <w:rFonts w:ascii="Arial" w:cs="Arial" w:eastAsia="Arial" w:hAnsi="Arial"/>
                <w:sz w:val="12"/>
                <w:szCs w:val="12"/>
                <w:color w:val="auto"/>
              </w:rPr>
              <w:t>Fee income</w:t>
            </w:r>
          </w:p>
        </w:tc>
        <w:tc>
          <w:tcPr>
            <w:tcW w:w="1020" w:type="dxa"/>
            <w:vAlign w:val="bottom"/>
          </w:tcPr>
          <w:p>
            <w:pPr>
              <w:jc w:val="right"/>
              <w:ind w:right="62"/>
              <w:spacing w:after="0" w:line="124" w:lineRule="exact"/>
              <w:rPr>
                <w:sz w:val="20"/>
                <w:szCs w:val="20"/>
                <w:color w:val="auto"/>
              </w:rPr>
            </w:pPr>
            <w:r>
              <w:rPr>
                <w:rFonts w:ascii="Arial" w:cs="Arial" w:eastAsia="Arial" w:hAnsi="Arial"/>
                <w:sz w:val="12"/>
                <w:szCs w:val="12"/>
                <w:color w:val="auto"/>
              </w:rPr>
              <w:t>761,968</w:t>
            </w:r>
          </w:p>
        </w:tc>
        <w:tc>
          <w:tcPr>
            <w:tcW w:w="920" w:type="dxa"/>
            <w:vAlign w:val="bottom"/>
          </w:tcPr>
          <w:p>
            <w:pPr>
              <w:jc w:val="right"/>
              <w:ind w:right="82"/>
              <w:spacing w:after="0" w:line="124" w:lineRule="exact"/>
              <w:rPr>
                <w:sz w:val="20"/>
                <w:szCs w:val="20"/>
                <w:color w:val="auto"/>
              </w:rPr>
            </w:pPr>
            <w:r>
              <w:rPr>
                <w:rFonts w:ascii="Arial" w:cs="Arial" w:eastAsia="Arial" w:hAnsi="Arial"/>
                <w:sz w:val="12"/>
                <w:szCs w:val="12"/>
                <w:color w:val="auto"/>
              </w:rPr>
              <w:t>723,231</w:t>
            </w:r>
          </w:p>
        </w:tc>
        <w:tc>
          <w:tcPr>
            <w:tcW w:w="78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2"/>
                <w:szCs w:val="12"/>
                <w:color w:val="auto"/>
              </w:rPr>
              <w:t>757,688</w:t>
            </w:r>
          </w:p>
        </w:tc>
        <w:tc>
          <w:tcPr>
            <w:tcW w:w="660" w:type="dxa"/>
            <w:vAlign w:val="bottom"/>
          </w:tcPr>
          <w:p>
            <w:pPr>
              <w:jc w:val="center"/>
              <w:spacing w:after="0" w:line="124" w:lineRule="exact"/>
              <w:rPr>
                <w:sz w:val="20"/>
                <w:szCs w:val="20"/>
                <w:color w:val="auto"/>
              </w:rPr>
            </w:pPr>
            <w:r>
              <w:rPr>
                <w:rFonts w:ascii="Arial" w:cs="Arial" w:eastAsia="Arial" w:hAnsi="Arial"/>
                <w:sz w:val="12"/>
                <w:szCs w:val="12"/>
                <w:color w:val="auto"/>
                <w:w w:val="94"/>
              </w:rPr>
              <w:t>4.8%</w:t>
            </w:r>
          </w:p>
        </w:tc>
        <w:tc>
          <w:tcPr>
            <w:tcW w:w="72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2"/>
                <w:szCs w:val="12"/>
                <w:color w:val="auto"/>
                <w:w w:val="95"/>
              </w:rPr>
              <w:t>-0.6%</w:t>
            </w:r>
          </w:p>
        </w:tc>
        <w:tc>
          <w:tcPr>
            <w:tcW w:w="1080" w:type="dxa"/>
            <w:vAlign w:val="bottom"/>
          </w:tcPr>
          <w:p>
            <w:pPr>
              <w:jc w:val="right"/>
              <w:ind w:right="142"/>
              <w:spacing w:after="0" w:line="124" w:lineRule="exact"/>
              <w:rPr>
                <w:sz w:val="20"/>
                <w:szCs w:val="20"/>
                <w:color w:val="auto"/>
              </w:rPr>
            </w:pPr>
            <w:r>
              <w:rPr>
                <w:rFonts w:ascii="Arial" w:cs="Arial" w:eastAsia="Arial" w:hAnsi="Arial"/>
                <w:sz w:val="12"/>
                <w:szCs w:val="12"/>
                <w:color w:val="auto"/>
              </w:rPr>
              <w:t>2,196,473</w:t>
            </w:r>
          </w:p>
        </w:tc>
        <w:tc>
          <w:tcPr>
            <w:tcW w:w="70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2"/>
                <w:szCs w:val="12"/>
                <w:color w:val="auto"/>
              </w:rPr>
              <w:t>2,179,126</w:t>
            </w:r>
          </w:p>
        </w:tc>
        <w:tc>
          <w:tcPr>
            <w:tcW w:w="82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2"/>
                <w:szCs w:val="12"/>
                <w:color w:val="auto"/>
                <w:w w:val="95"/>
              </w:rPr>
              <w:t>-0.8%</w:t>
            </w:r>
          </w:p>
        </w:tc>
      </w:tr>
      <w:tr>
        <w:trPr>
          <w:trHeight w:val="124"/>
        </w:trPr>
        <w:tc>
          <w:tcPr>
            <w:tcW w:w="4560" w:type="dxa"/>
            <w:vAlign w:val="bottom"/>
            <w:tcBorders>
              <w:left w:val="single" w:sz="8" w:color="auto"/>
              <w:right w:val="single" w:sz="8" w:color="auto"/>
            </w:tcBorders>
          </w:tcPr>
          <w:p>
            <w:pPr>
              <w:ind w:left="160"/>
              <w:spacing w:after="0" w:line="124" w:lineRule="exact"/>
              <w:rPr>
                <w:sz w:val="20"/>
                <w:szCs w:val="20"/>
                <w:color w:val="auto"/>
              </w:rPr>
            </w:pPr>
            <w:r>
              <w:rPr>
                <w:rFonts w:ascii="Arial" w:cs="Arial" w:eastAsia="Arial" w:hAnsi="Arial"/>
                <w:sz w:val="12"/>
                <w:szCs w:val="12"/>
                <w:color w:val="auto"/>
              </w:rPr>
              <w:t>Net gain on foreign exchange transactions</w:t>
            </w:r>
          </w:p>
        </w:tc>
        <w:tc>
          <w:tcPr>
            <w:tcW w:w="1020" w:type="dxa"/>
            <w:vAlign w:val="bottom"/>
          </w:tcPr>
          <w:p>
            <w:pPr>
              <w:jc w:val="right"/>
              <w:ind w:right="62"/>
              <w:spacing w:after="0" w:line="124" w:lineRule="exact"/>
              <w:rPr>
                <w:sz w:val="20"/>
                <w:szCs w:val="20"/>
                <w:color w:val="auto"/>
              </w:rPr>
            </w:pPr>
            <w:r>
              <w:rPr>
                <w:rFonts w:ascii="Arial" w:cs="Arial" w:eastAsia="Arial" w:hAnsi="Arial"/>
                <w:sz w:val="12"/>
                <w:szCs w:val="12"/>
                <w:color w:val="auto"/>
              </w:rPr>
              <w:t>242,395</w:t>
            </w:r>
          </w:p>
        </w:tc>
        <w:tc>
          <w:tcPr>
            <w:tcW w:w="920" w:type="dxa"/>
            <w:vAlign w:val="bottom"/>
          </w:tcPr>
          <w:p>
            <w:pPr>
              <w:jc w:val="right"/>
              <w:ind w:right="82"/>
              <w:spacing w:after="0" w:line="124" w:lineRule="exact"/>
              <w:rPr>
                <w:sz w:val="20"/>
                <w:szCs w:val="20"/>
                <w:color w:val="auto"/>
              </w:rPr>
            </w:pPr>
            <w:r>
              <w:rPr>
                <w:rFonts w:ascii="Arial" w:cs="Arial" w:eastAsia="Arial" w:hAnsi="Arial"/>
                <w:sz w:val="12"/>
                <w:szCs w:val="12"/>
                <w:color w:val="auto"/>
              </w:rPr>
              <w:t>244,314</w:t>
            </w:r>
          </w:p>
        </w:tc>
        <w:tc>
          <w:tcPr>
            <w:tcW w:w="78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2"/>
                <w:szCs w:val="12"/>
                <w:color w:val="auto"/>
              </w:rPr>
              <w:t>238,376</w:t>
            </w:r>
          </w:p>
        </w:tc>
        <w:tc>
          <w:tcPr>
            <w:tcW w:w="660" w:type="dxa"/>
            <w:vAlign w:val="bottom"/>
          </w:tcPr>
          <w:p>
            <w:pPr>
              <w:jc w:val="center"/>
              <w:spacing w:after="0" w:line="124" w:lineRule="exact"/>
              <w:rPr>
                <w:sz w:val="20"/>
                <w:szCs w:val="20"/>
                <w:color w:val="auto"/>
              </w:rPr>
            </w:pPr>
            <w:r>
              <w:rPr>
                <w:rFonts w:ascii="Arial" w:cs="Arial" w:eastAsia="Arial" w:hAnsi="Arial"/>
                <w:sz w:val="12"/>
                <w:szCs w:val="12"/>
                <w:color w:val="auto"/>
                <w:w w:val="95"/>
              </w:rPr>
              <w:t>-2.4%</w:t>
            </w:r>
          </w:p>
        </w:tc>
        <w:tc>
          <w:tcPr>
            <w:tcW w:w="72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2"/>
                <w:szCs w:val="12"/>
                <w:color w:val="auto"/>
                <w:w w:val="95"/>
              </w:rPr>
              <w:t>-1.7%</w:t>
            </w:r>
          </w:p>
        </w:tc>
        <w:tc>
          <w:tcPr>
            <w:tcW w:w="1080" w:type="dxa"/>
            <w:vAlign w:val="bottom"/>
          </w:tcPr>
          <w:p>
            <w:pPr>
              <w:jc w:val="right"/>
              <w:ind w:right="142"/>
              <w:spacing w:after="0" w:line="124" w:lineRule="exact"/>
              <w:rPr>
                <w:sz w:val="20"/>
                <w:szCs w:val="20"/>
                <w:color w:val="auto"/>
              </w:rPr>
            </w:pPr>
            <w:r>
              <w:rPr>
                <w:rFonts w:ascii="Arial" w:cs="Arial" w:eastAsia="Arial" w:hAnsi="Arial"/>
                <w:sz w:val="12"/>
                <w:szCs w:val="12"/>
                <w:color w:val="auto"/>
              </w:rPr>
              <w:t>721,520</w:t>
            </w:r>
          </w:p>
        </w:tc>
        <w:tc>
          <w:tcPr>
            <w:tcW w:w="70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2"/>
                <w:szCs w:val="12"/>
                <w:color w:val="auto"/>
              </w:rPr>
              <w:t>722,237</w:t>
            </w:r>
          </w:p>
        </w:tc>
        <w:tc>
          <w:tcPr>
            <w:tcW w:w="82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2"/>
                <w:szCs w:val="12"/>
                <w:color w:val="auto"/>
                <w:w w:val="94"/>
              </w:rPr>
              <w:t>0.1%</w:t>
            </w:r>
          </w:p>
        </w:tc>
      </w:tr>
      <w:tr>
        <w:trPr>
          <w:trHeight w:val="124"/>
        </w:trPr>
        <w:tc>
          <w:tcPr>
            <w:tcW w:w="4560" w:type="dxa"/>
            <w:vAlign w:val="bottom"/>
            <w:tcBorders>
              <w:left w:val="single" w:sz="8" w:color="auto"/>
              <w:right w:val="single" w:sz="8" w:color="auto"/>
            </w:tcBorders>
          </w:tcPr>
          <w:p>
            <w:pPr>
              <w:ind w:left="160"/>
              <w:spacing w:after="0" w:line="124" w:lineRule="exact"/>
              <w:rPr>
                <w:sz w:val="20"/>
                <w:szCs w:val="20"/>
                <w:color w:val="auto"/>
              </w:rPr>
            </w:pPr>
            <w:r>
              <w:rPr>
                <w:rFonts w:ascii="Arial" w:cs="Arial" w:eastAsia="Arial" w:hAnsi="Arial"/>
                <w:sz w:val="12"/>
                <w:szCs w:val="12"/>
                <w:color w:val="auto"/>
              </w:rPr>
              <w:t>Net gain (losses) on securities</w:t>
            </w:r>
          </w:p>
        </w:tc>
        <w:tc>
          <w:tcPr>
            <w:tcW w:w="1020" w:type="dxa"/>
            <w:vAlign w:val="bottom"/>
          </w:tcPr>
          <w:p>
            <w:pPr>
              <w:jc w:val="right"/>
              <w:ind w:right="62"/>
              <w:spacing w:after="0" w:line="124" w:lineRule="exact"/>
              <w:rPr>
                <w:sz w:val="20"/>
                <w:szCs w:val="20"/>
                <w:color w:val="auto"/>
              </w:rPr>
            </w:pPr>
            <w:r>
              <w:rPr>
                <w:rFonts w:ascii="Arial" w:cs="Arial" w:eastAsia="Arial" w:hAnsi="Arial"/>
                <w:sz w:val="12"/>
                <w:szCs w:val="12"/>
                <w:color w:val="auto"/>
              </w:rPr>
              <w:t>132,170</w:t>
            </w:r>
          </w:p>
        </w:tc>
        <w:tc>
          <w:tcPr>
            <w:tcW w:w="920" w:type="dxa"/>
            <w:vAlign w:val="bottom"/>
          </w:tcPr>
          <w:p>
            <w:pPr>
              <w:jc w:val="right"/>
              <w:ind w:right="82"/>
              <w:spacing w:after="0" w:line="124" w:lineRule="exact"/>
              <w:rPr>
                <w:sz w:val="20"/>
                <w:szCs w:val="20"/>
                <w:color w:val="auto"/>
              </w:rPr>
            </w:pPr>
            <w:r>
              <w:rPr>
                <w:rFonts w:ascii="Arial" w:cs="Arial" w:eastAsia="Arial" w:hAnsi="Arial"/>
                <w:sz w:val="12"/>
                <w:szCs w:val="12"/>
                <w:color w:val="auto"/>
              </w:rPr>
              <w:t>36,377</w:t>
            </w:r>
          </w:p>
        </w:tc>
        <w:tc>
          <w:tcPr>
            <w:tcW w:w="78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2"/>
                <w:szCs w:val="12"/>
                <w:color w:val="auto"/>
              </w:rPr>
              <w:t>54,382</w:t>
            </w:r>
          </w:p>
        </w:tc>
        <w:tc>
          <w:tcPr>
            <w:tcW w:w="660" w:type="dxa"/>
            <w:vAlign w:val="bottom"/>
          </w:tcPr>
          <w:p>
            <w:pPr>
              <w:jc w:val="center"/>
              <w:spacing w:after="0" w:line="124" w:lineRule="exact"/>
              <w:rPr>
                <w:sz w:val="20"/>
                <w:szCs w:val="20"/>
                <w:color w:val="auto"/>
              </w:rPr>
            </w:pPr>
            <w:r>
              <w:rPr>
                <w:rFonts w:ascii="Arial" w:cs="Arial" w:eastAsia="Arial" w:hAnsi="Arial"/>
                <w:sz w:val="12"/>
                <w:szCs w:val="12"/>
                <w:color w:val="auto"/>
                <w:w w:val="93"/>
              </w:rPr>
              <w:t>49.5%</w:t>
            </w:r>
          </w:p>
        </w:tc>
        <w:tc>
          <w:tcPr>
            <w:tcW w:w="72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2"/>
                <w:szCs w:val="12"/>
                <w:color w:val="auto"/>
                <w:w w:val="99"/>
              </w:rPr>
              <w:t>-58.9%</w:t>
            </w:r>
          </w:p>
        </w:tc>
        <w:tc>
          <w:tcPr>
            <w:tcW w:w="1080" w:type="dxa"/>
            <w:vAlign w:val="bottom"/>
          </w:tcPr>
          <w:p>
            <w:pPr>
              <w:jc w:val="right"/>
              <w:ind w:right="142"/>
              <w:spacing w:after="0" w:line="124" w:lineRule="exact"/>
              <w:rPr>
                <w:sz w:val="20"/>
                <w:szCs w:val="20"/>
                <w:color w:val="auto"/>
              </w:rPr>
            </w:pPr>
            <w:r>
              <w:rPr>
                <w:rFonts w:ascii="Arial" w:cs="Arial" w:eastAsia="Arial" w:hAnsi="Arial"/>
                <w:sz w:val="12"/>
                <w:szCs w:val="12"/>
                <w:color w:val="auto"/>
              </w:rPr>
              <w:t>335,394</w:t>
            </w:r>
          </w:p>
        </w:tc>
        <w:tc>
          <w:tcPr>
            <w:tcW w:w="70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2"/>
                <w:szCs w:val="12"/>
                <w:color w:val="auto"/>
              </w:rPr>
              <w:t>117,757</w:t>
            </w:r>
          </w:p>
        </w:tc>
        <w:tc>
          <w:tcPr>
            <w:tcW w:w="82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2"/>
                <w:szCs w:val="12"/>
                <w:color w:val="auto"/>
                <w:w w:val="94"/>
              </w:rPr>
              <w:t>-64.9%</w:t>
            </w:r>
          </w:p>
        </w:tc>
      </w:tr>
      <w:tr>
        <w:trPr>
          <w:trHeight w:val="124"/>
        </w:trPr>
        <w:tc>
          <w:tcPr>
            <w:tcW w:w="4560" w:type="dxa"/>
            <w:vAlign w:val="bottom"/>
            <w:tcBorders>
              <w:left w:val="single" w:sz="8" w:color="auto"/>
              <w:right w:val="single" w:sz="8" w:color="auto"/>
            </w:tcBorders>
          </w:tcPr>
          <w:p>
            <w:pPr>
              <w:ind w:left="160"/>
              <w:spacing w:after="0" w:line="124" w:lineRule="exact"/>
              <w:rPr>
                <w:sz w:val="20"/>
                <w:szCs w:val="20"/>
                <w:color w:val="auto"/>
              </w:rPr>
            </w:pPr>
            <w:r>
              <w:rPr>
                <w:rFonts w:ascii="Arial" w:cs="Arial" w:eastAsia="Arial" w:hAnsi="Arial"/>
                <w:sz w:val="12"/>
                <w:szCs w:val="12"/>
                <w:color w:val="auto"/>
              </w:rPr>
              <w:t>Net gain from associates</w:t>
            </w:r>
          </w:p>
        </w:tc>
        <w:tc>
          <w:tcPr>
            <w:tcW w:w="1020" w:type="dxa"/>
            <w:vAlign w:val="bottom"/>
          </w:tcPr>
          <w:p>
            <w:pPr>
              <w:jc w:val="right"/>
              <w:ind w:right="62"/>
              <w:spacing w:after="0" w:line="124" w:lineRule="exact"/>
              <w:rPr>
                <w:sz w:val="20"/>
                <w:szCs w:val="20"/>
                <w:color w:val="auto"/>
              </w:rPr>
            </w:pPr>
            <w:r>
              <w:rPr>
                <w:rFonts w:ascii="Arial" w:cs="Arial" w:eastAsia="Arial" w:hAnsi="Arial"/>
                <w:sz w:val="12"/>
                <w:szCs w:val="12"/>
                <w:color w:val="auto"/>
              </w:rPr>
              <w:t>2,958</w:t>
            </w:r>
          </w:p>
        </w:tc>
        <w:tc>
          <w:tcPr>
            <w:tcW w:w="920" w:type="dxa"/>
            <w:vAlign w:val="bottom"/>
          </w:tcPr>
          <w:p>
            <w:pPr>
              <w:jc w:val="right"/>
              <w:ind w:right="82"/>
              <w:spacing w:after="0" w:line="124" w:lineRule="exact"/>
              <w:rPr>
                <w:sz w:val="20"/>
                <w:szCs w:val="20"/>
                <w:color w:val="auto"/>
              </w:rPr>
            </w:pPr>
            <w:r>
              <w:rPr>
                <w:rFonts w:ascii="Arial" w:cs="Arial" w:eastAsia="Arial" w:hAnsi="Arial"/>
                <w:sz w:val="12"/>
                <w:szCs w:val="12"/>
                <w:color w:val="auto"/>
              </w:rPr>
              <w:t>(1,355)</w:t>
            </w:r>
          </w:p>
        </w:tc>
        <w:tc>
          <w:tcPr>
            <w:tcW w:w="78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2"/>
                <w:szCs w:val="12"/>
                <w:color w:val="auto"/>
              </w:rPr>
              <w:t>817</w:t>
            </w:r>
          </w:p>
        </w:tc>
        <w:tc>
          <w:tcPr>
            <w:tcW w:w="660" w:type="dxa"/>
            <w:vAlign w:val="bottom"/>
          </w:tcPr>
          <w:p>
            <w:pPr>
              <w:jc w:val="center"/>
              <w:spacing w:after="0" w:line="124" w:lineRule="exact"/>
              <w:rPr>
                <w:sz w:val="20"/>
                <w:szCs w:val="20"/>
                <w:color w:val="auto"/>
              </w:rPr>
            </w:pPr>
            <w:r>
              <w:rPr>
                <w:rFonts w:ascii="Arial" w:cs="Arial" w:eastAsia="Arial" w:hAnsi="Arial"/>
                <w:sz w:val="12"/>
                <w:szCs w:val="12"/>
                <w:color w:val="auto"/>
                <w:w w:val="95"/>
              </w:rPr>
              <w:t>n.a</w:t>
            </w:r>
          </w:p>
        </w:tc>
        <w:tc>
          <w:tcPr>
            <w:tcW w:w="72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2"/>
                <w:szCs w:val="12"/>
                <w:color w:val="auto"/>
                <w:w w:val="99"/>
              </w:rPr>
              <w:t>-72.4%</w:t>
            </w:r>
          </w:p>
        </w:tc>
        <w:tc>
          <w:tcPr>
            <w:tcW w:w="1080" w:type="dxa"/>
            <w:vAlign w:val="bottom"/>
          </w:tcPr>
          <w:p>
            <w:pPr>
              <w:jc w:val="right"/>
              <w:ind w:right="142"/>
              <w:spacing w:after="0" w:line="124" w:lineRule="exact"/>
              <w:rPr>
                <w:sz w:val="20"/>
                <w:szCs w:val="20"/>
                <w:color w:val="auto"/>
              </w:rPr>
            </w:pPr>
            <w:r>
              <w:rPr>
                <w:rFonts w:ascii="Arial" w:cs="Arial" w:eastAsia="Arial" w:hAnsi="Arial"/>
                <w:sz w:val="12"/>
                <w:szCs w:val="12"/>
                <w:color w:val="auto"/>
              </w:rPr>
              <w:t>16,080</w:t>
            </w:r>
          </w:p>
        </w:tc>
        <w:tc>
          <w:tcPr>
            <w:tcW w:w="70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2"/>
                <w:szCs w:val="12"/>
                <w:color w:val="auto"/>
              </w:rPr>
              <w:t>(7,807)</w:t>
            </w:r>
          </w:p>
        </w:tc>
        <w:tc>
          <w:tcPr>
            <w:tcW w:w="82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2"/>
                <w:szCs w:val="12"/>
                <w:color w:val="auto"/>
                <w:w w:val="93"/>
              </w:rPr>
              <w:t>-148.6%</w:t>
            </w:r>
          </w:p>
        </w:tc>
      </w:tr>
      <w:tr>
        <w:trPr>
          <w:trHeight w:val="124"/>
        </w:trPr>
        <w:tc>
          <w:tcPr>
            <w:tcW w:w="4560" w:type="dxa"/>
            <w:vAlign w:val="bottom"/>
            <w:tcBorders>
              <w:left w:val="single" w:sz="8" w:color="auto"/>
              <w:right w:val="single" w:sz="8" w:color="auto"/>
            </w:tcBorders>
          </w:tcPr>
          <w:p>
            <w:pPr>
              <w:ind w:left="160"/>
              <w:spacing w:after="0" w:line="124" w:lineRule="exact"/>
              <w:rPr>
                <w:sz w:val="20"/>
                <w:szCs w:val="20"/>
                <w:color w:val="auto"/>
              </w:rPr>
            </w:pPr>
            <w:r>
              <w:rPr>
                <w:rFonts w:ascii="Arial" w:cs="Arial" w:eastAsia="Arial" w:hAnsi="Arial"/>
                <w:sz w:val="12"/>
                <w:szCs w:val="12"/>
                <w:color w:val="auto"/>
              </w:rPr>
              <w:t>Net gain (losses) on derivatives held for trading</w:t>
            </w:r>
          </w:p>
        </w:tc>
        <w:tc>
          <w:tcPr>
            <w:tcW w:w="1020" w:type="dxa"/>
            <w:vAlign w:val="bottom"/>
          </w:tcPr>
          <w:p>
            <w:pPr>
              <w:jc w:val="right"/>
              <w:ind w:right="62"/>
              <w:spacing w:after="0" w:line="124" w:lineRule="exact"/>
              <w:rPr>
                <w:sz w:val="20"/>
                <w:szCs w:val="20"/>
                <w:color w:val="auto"/>
              </w:rPr>
            </w:pPr>
            <w:r>
              <w:rPr>
                <w:rFonts w:ascii="Arial" w:cs="Arial" w:eastAsia="Arial" w:hAnsi="Arial"/>
                <w:sz w:val="12"/>
                <w:szCs w:val="12"/>
                <w:color w:val="auto"/>
              </w:rPr>
              <w:t>15,290</w:t>
            </w:r>
          </w:p>
        </w:tc>
        <w:tc>
          <w:tcPr>
            <w:tcW w:w="920" w:type="dxa"/>
            <w:vAlign w:val="bottom"/>
          </w:tcPr>
          <w:p>
            <w:pPr>
              <w:jc w:val="right"/>
              <w:ind w:right="82"/>
              <w:spacing w:after="0" w:line="124" w:lineRule="exact"/>
              <w:rPr>
                <w:sz w:val="20"/>
                <w:szCs w:val="20"/>
                <w:color w:val="auto"/>
              </w:rPr>
            </w:pPr>
            <w:r>
              <w:rPr>
                <w:rFonts w:ascii="Arial" w:cs="Arial" w:eastAsia="Arial" w:hAnsi="Arial"/>
                <w:sz w:val="12"/>
                <w:szCs w:val="12"/>
                <w:color w:val="auto"/>
              </w:rPr>
              <w:t>36,271</w:t>
            </w:r>
          </w:p>
        </w:tc>
        <w:tc>
          <w:tcPr>
            <w:tcW w:w="78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2"/>
                <w:szCs w:val="12"/>
                <w:color w:val="auto"/>
              </w:rPr>
              <w:t>3,288</w:t>
            </w:r>
          </w:p>
        </w:tc>
        <w:tc>
          <w:tcPr>
            <w:tcW w:w="660" w:type="dxa"/>
            <w:vAlign w:val="bottom"/>
          </w:tcPr>
          <w:p>
            <w:pPr>
              <w:jc w:val="center"/>
              <w:spacing w:after="0" w:line="124" w:lineRule="exact"/>
              <w:rPr>
                <w:sz w:val="20"/>
                <w:szCs w:val="20"/>
                <w:color w:val="auto"/>
              </w:rPr>
            </w:pPr>
            <w:r>
              <w:rPr>
                <w:rFonts w:ascii="Arial" w:cs="Arial" w:eastAsia="Arial" w:hAnsi="Arial"/>
                <w:sz w:val="12"/>
                <w:szCs w:val="12"/>
                <w:color w:val="auto"/>
                <w:w w:val="94"/>
              </w:rPr>
              <w:t>-90.9%</w:t>
            </w:r>
          </w:p>
        </w:tc>
        <w:tc>
          <w:tcPr>
            <w:tcW w:w="72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2"/>
                <w:szCs w:val="12"/>
                <w:color w:val="auto"/>
                <w:w w:val="99"/>
              </w:rPr>
              <w:t>-78.5%</w:t>
            </w:r>
          </w:p>
        </w:tc>
        <w:tc>
          <w:tcPr>
            <w:tcW w:w="1080" w:type="dxa"/>
            <w:vAlign w:val="bottom"/>
          </w:tcPr>
          <w:p>
            <w:pPr>
              <w:jc w:val="right"/>
              <w:ind w:right="142"/>
              <w:spacing w:after="0" w:line="124" w:lineRule="exact"/>
              <w:rPr>
                <w:sz w:val="20"/>
                <w:szCs w:val="20"/>
                <w:color w:val="auto"/>
              </w:rPr>
            </w:pPr>
            <w:r>
              <w:rPr>
                <w:rFonts w:ascii="Arial" w:cs="Arial" w:eastAsia="Arial" w:hAnsi="Arial"/>
                <w:sz w:val="12"/>
                <w:szCs w:val="12"/>
                <w:color w:val="auto"/>
              </w:rPr>
              <w:t>(11,254)</w:t>
            </w:r>
          </w:p>
        </w:tc>
        <w:tc>
          <w:tcPr>
            <w:tcW w:w="70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2"/>
                <w:szCs w:val="12"/>
                <w:color w:val="auto"/>
              </w:rPr>
              <w:t>60,112</w:t>
            </w:r>
          </w:p>
        </w:tc>
        <w:tc>
          <w:tcPr>
            <w:tcW w:w="82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2"/>
                <w:szCs w:val="12"/>
                <w:color w:val="auto"/>
                <w:w w:val="95"/>
              </w:rPr>
              <w:t>n.a</w:t>
            </w:r>
          </w:p>
        </w:tc>
      </w:tr>
      <w:tr>
        <w:trPr>
          <w:trHeight w:val="124"/>
        </w:trPr>
        <w:tc>
          <w:tcPr>
            <w:tcW w:w="4560" w:type="dxa"/>
            <w:vAlign w:val="bottom"/>
            <w:tcBorders>
              <w:left w:val="single" w:sz="8" w:color="auto"/>
              <w:right w:val="single" w:sz="8" w:color="auto"/>
            </w:tcBorders>
          </w:tcPr>
          <w:p>
            <w:pPr>
              <w:ind w:left="160"/>
              <w:spacing w:after="0" w:line="124" w:lineRule="exact"/>
              <w:rPr>
                <w:sz w:val="20"/>
                <w:szCs w:val="20"/>
                <w:color w:val="auto"/>
              </w:rPr>
            </w:pPr>
            <w:r>
              <w:rPr>
                <w:rFonts w:ascii="Arial" w:cs="Arial" w:eastAsia="Arial" w:hAnsi="Arial"/>
                <w:sz w:val="12"/>
                <w:szCs w:val="12"/>
                <w:color w:val="auto"/>
              </w:rPr>
              <w:t>Net gain (losses) from exchange differences</w:t>
            </w:r>
          </w:p>
        </w:tc>
        <w:tc>
          <w:tcPr>
            <w:tcW w:w="1020" w:type="dxa"/>
            <w:vAlign w:val="bottom"/>
          </w:tcPr>
          <w:p>
            <w:pPr>
              <w:jc w:val="right"/>
              <w:ind w:right="62"/>
              <w:spacing w:after="0" w:line="124" w:lineRule="exact"/>
              <w:rPr>
                <w:sz w:val="20"/>
                <w:szCs w:val="20"/>
                <w:color w:val="auto"/>
              </w:rPr>
            </w:pPr>
            <w:r>
              <w:rPr>
                <w:rFonts w:ascii="Arial" w:cs="Arial" w:eastAsia="Arial" w:hAnsi="Arial"/>
                <w:sz w:val="12"/>
                <w:szCs w:val="12"/>
                <w:color w:val="auto"/>
              </w:rPr>
              <w:t>10,109</w:t>
            </w:r>
          </w:p>
        </w:tc>
        <w:tc>
          <w:tcPr>
            <w:tcW w:w="920" w:type="dxa"/>
            <w:vAlign w:val="bottom"/>
          </w:tcPr>
          <w:p>
            <w:pPr>
              <w:jc w:val="right"/>
              <w:ind w:right="82"/>
              <w:spacing w:after="0" w:line="124" w:lineRule="exact"/>
              <w:rPr>
                <w:sz w:val="20"/>
                <w:szCs w:val="20"/>
                <w:color w:val="auto"/>
              </w:rPr>
            </w:pPr>
            <w:r>
              <w:rPr>
                <w:rFonts w:ascii="Arial" w:cs="Arial" w:eastAsia="Arial" w:hAnsi="Arial"/>
                <w:sz w:val="12"/>
                <w:szCs w:val="12"/>
                <w:color w:val="auto"/>
              </w:rPr>
              <w:t>7,961</w:t>
            </w:r>
          </w:p>
        </w:tc>
        <w:tc>
          <w:tcPr>
            <w:tcW w:w="78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2"/>
                <w:szCs w:val="12"/>
                <w:color w:val="auto"/>
              </w:rPr>
              <w:t>5,587</w:t>
            </w:r>
          </w:p>
        </w:tc>
        <w:tc>
          <w:tcPr>
            <w:tcW w:w="660" w:type="dxa"/>
            <w:vAlign w:val="bottom"/>
          </w:tcPr>
          <w:p>
            <w:pPr>
              <w:jc w:val="center"/>
              <w:spacing w:after="0" w:line="124" w:lineRule="exact"/>
              <w:rPr>
                <w:sz w:val="20"/>
                <w:szCs w:val="20"/>
                <w:color w:val="auto"/>
              </w:rPr>
            </w:pPr>
            <w:r>
              <w:rPr>
                <w:rFonts w:ascii="Arial" w:cs="Arial" w:eastAsia="Arial" w:hAnsi="Arial"/>
                <w:sz w:val="12"/>
                <w:szCs w:val="12"/>
                <w:color w:val="auto"/>
                <w:w w:val="94"/>
              </w:rPr>
              <w:t>-29.8%</w:t>
            </w:r>
          </w:p>
        </w:tc>
        <w:tc>
          <w:tcPr>
            <w:tcW w:w="72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2"/>
                <w:szCs w:val="12"/>
                <w:color w:val="auto"/>
                <w:w w:val="99"/>
              </w:rPr>
              <w:t>-44.7%</w:t>
            </w:r>
          </w:p>
        </w:tc>
        <w:tc>
          <w:tcPr>
            <w:tcW w:w="1080" w:type="dxa"/>
            <w:vAlign w:val="bottom"/>
          </w:tcPr>
          <w:p>
            <w:pPr>
              <w:jc w:val="right"/>
              <w:ind w:right="142"/>
              <w:spacing w:after="0" w:line="124" w:lineRule="exact"/>
              <w:rPr>
                <w:sz w:val="20"/>
                <w:szCs w:val="20"/>
                <w:color w:val="auto"/>
              </w:rPr>
            </w:pPr>
            <w:r>
              <w:rPr>
                <w:rFonts w:ascii="Arial" w:cs="Arial" w:eastAsia="Arial" w:hAnsi="Arial"/>
                <w:sz w:val="12"/>
                <w:szCs w:val="12"/>
                <w:color w:val="auto"/>
              </w:rPr>
              <w:t>7,341</w:t>
            </w:r>
          </w:p>
        </w:tc>
        <w:tc>
          <w:tcPr>
            <w:tcW w:w="70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2"/>
                <w:szCs w:val="12"/>
                <w:color w:val="auto"/>
              </w:rPr>
              <w:t>18,239</w:t>
            </w:r>
          </w:p>
        </w:tc>
        <w:tc>
          <w:tcPr>
            <w:tcW w:w="82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2"/>
                <w:szCs w:val="12"/>
                <w:color w:val="auto"/>
                <w:w w:val="98"/>
              </w:rPr>
              <w:t>148.5%</w:t>
            </w:r>
          </w:p>
        </w:tc>
      </w:tr>
      <w:tr>
        <w:trPr>
          <w:trHeight w:val="118"/>
        </w:trPr>
        <w:tc>
          <w:tcPr>
            <w:tcW w:w="4560" w:type="dxa"/>
            <w:vAlign w:val="bottom"/>
            <w:tcBorders>
              <w:left w:val="single" w:sz="8" w:color="auto"/>
              <w:right w:val="single" w:sz="8" w:color="auto"/>
            </w:tcBorders>
          </w:tcPr>
          <w:p>
            <w:pPr>
              <w:ind w:left="160"/>
              <w:spacing w:after="0" w:line="118" w:lineRule="exact"/>
              <w:rPr>
                <w:sz w:val="20"/>
                <w:szCs w:val="20"/>
                <w:color w:val="auto"/>
              </w:rPr>
            </w:pPr>
            <w:r>
              <w:rPr>
                <w:rFonts w:ascii="Arial" w:cs="Arial" w:eastAsia="Arial" w:hAnsi="Arial"/>
                <w:sz w:val="12"/>
                <w:szCs w:val="12"/>
                <w:color w:val="auto"/>
              </w:rPr>
              <w:t>Others</w:t>
            </w:r>
          </w:p>
        </w:tc>
        <w:tc>
          <w:tcPr>
            <w:tcW w:w="1020" w:type="dxa"/>
            <w:vAlign w:val="bottom"/>
          </w:tcPr>
          <w:p>
            <w:pPr>
              <w:jc w:val="right"/>
              <w:ind w:right="62"/>
              <w:spacing w:after="0" w:line="118" w:lineRule="exact"/>
              <w:rPr>
                <w:sz w:val="20"/>
                <w:szCs w:val="20"/>
                <w:color w:val="auto"/>
              </w:rPr>
            </w:pPr>
            <w:r>
              <w:rPr>
                <w:rFonts w:ascii="Arial" w:cs="Arial" w:eastAsia="Arial" w:hAnsi="Arial"/>
                <w:sz w:val="12"/>
                <w:szCs w:val="12"/>
                <w:color w:val="auto"/>
              </w:rPr>
              <w:t>36,792</w:t>
            </w:r>
          </w:p>
        </w:tc>
        <w:tc>
          <w:tcPr>
            <w:tcW w:w="920" w:type="dxa"/>
            <w:vAlign w:val="bottom"/>
          </w:tcPr>
          <w:p>
            <w:pPr>
              <w:jc w:val="right"/>
              <w:ind w:right="82"/>
              <w:spacing w:after="0" w:line="118" w:lineRule="exact"/>
              <w:rPr>
                <w:sz w:val="20"/>
                <w:szCs w:val="20"/>
                <w:color w:val="auto"/>
              </w:rPr>
            </w:pPr>
            <w:r>
              <w:rPr>
                <w:rFonts w:ascii="Arial" w:cs="Arial" w:eastAsia="Arial" w:hAnsi="Arial"/>
                <w:sz w:val="12"/>
                <w:szCs w:val="12"/>
                <w:color w:val="auto"/>
              </w:rPr>
              <w:t>113,963</w:t>
            </w:r>
          </w:p>
        </w:tc>
        <w:tc>
          <w:tcPr>
            <w:tcW w:w="780" w:type="dxa"/>
            <w:vAlign w:val="bottom"/>
            <w:tcBorders>
              <w:right w:val="single" w:sz="8" w:color="auto"/>
            </w:tcBorders>
          </w:tcPr>
          <w:p>
            <w:pPr>
              <w:jc w:val="right"/>
              <w:spacing w:after="0" w:line="118" w:lineRule="exact"/>
              <w:rPr>
                <w:sz w:val="20"/>
                <w:szCs w:val="20"/>
                <w:color w:val="auto"/>
              </w:rPr>
            </w:pPr>
            <w:r>
              <w:rPr>
                <w:rFonts w:ascii="Arial" w:cs="Arial" w:eastAsia="Arial" w:hAnsi="Arial"/>
                <w:sz w:val="12"/>
                <w:szCs w:val="12"/>
                <w:color w:val="auto"/>
              </w:rPr>
              <w:t>55,726</w:t>
            </w:r>
          </w:p>
        </w:tc>
        <w:tc>
          <w:tcPr>
            <w:tcW w:w="660" w:type="dxa"/>
            <w:vAlign w:val="bottom"/>
          </w:tcPr>
          <w:p>
            <w:pPr>
              <w:jc w:val="center"/>
              <w:spacing w:after="0" w:line="118" w:lineRule="exact"/>
              <w:rPr>
                <w:sz w:val="20"/>
                <w:szCs w:val="20"/>
                <w:color w:val="auto"/>
              </w:rPr>
            </w:pPr>
            <w:r>
              <w:rPr>
                <w:rFonts w:ascii="Arial" w:cs="Arial" w:eastAsia="Arial" w:hAnsi="Arial"/>
                <w:sz w:val="12"/>
                <w:szCs w:val="12"/>
                <w:color w:val="auto"/>
                <w:w w:val="94"/>
              </w:rPr>
              <w:t>-51.1%</w:t>
            </w:r>
          </w:p>
        </w:tc>
        <w:tc>
          <w:tcPr>
            <w:tcW w:w="720" w:type="dxa"/>
            <w:vAlign w:val="bottom"/>
            <w:tcBorders>
              <w:right w:val="single" w:sz="8" w:color="auto"/>
            </w:tcBorders>
          </w:tcPr>
          <w:p>
            <w:pPr>
              <w:jc w:val="center"/>
              <w:spacing w:after="0" w:line="118" w:lineRule="exact"/>
              <w:rPr>
                <w:sz w:val="20"/>
                <w:szCs w:val="20"/>
                <w:color w:val="auto"/>
              </w:rPr>
            </w:pPr>
            <w:r>
              <w:rPr>
                <w:rFonts w:ascii="Arial" w:cs="Arial" w:eastAsia="Arial" w:hAnsi="Arial"/>
                <w:sz w:val="12"/>
                <w:szCs w:val="12"/>
                <w:color w:val="auto"/>
                <w:w w:val="99"/>
              </w:rPr>
              <w:t>51.5%</w:t>
            </w:r>
          </w:p>
        </w:tc>
        <w:tc>
          <w:tcPr>
            <w:tcW w:w="1080" w:type="dxa"/>
            <w:vAlign w:val="bottom"/>
          </w:tcPr>
          <w:p>
            <w:pPr>
              <w:jc w:val="right"/>
              <w:ind w:right="142"/>
              <w:spacing w:after="0" w:line="118" w:lineRule="exact"/>
              <w:rPr>
                <w:sz w:val="20"/>
                <w:szCs w:val="20"/>
                <w:color w:val="auto"/>
              </w:rPr>
            </w:pPr>
            <w:r>
              <w:rPr>
                <w:rFonts w:ascii="Arial" w:cs="Arial" w:eastAsia="Arial" w:hAnsi="Arial"/>
                <w:sz w:val="12"/>
                <w:szCs w:val="12"/>
                <w:color w:val="auto"/>
              </w:rPr>
              <w:t>192,818</w:t>
            </w:r>
          </w:p>
        </w:tc>
        <w:tc>
          <w:tcPr>
            <w:tcW w:w="700" w:type="dxa"/>
            <w:vAlign w:val="bottom"/>
            <w:tcBorders>
              <w:right w:val="single" w:sz="8" w:color="auto"/>
            </w:tcBorders>
          </w:tcPr>
          <w:p>
            <w:pPr>
              <w:jc w:val="right"/>
              <w:spacing w:after="0" w:line="118" w:lineRule="exact"/>
              <w:rPr>
                <w:sz w:val="20"/>
                <w:szCs w:val="20"/>
                <w:color w:val="auto"/>
              </w:rPr>
            </w:pPr>
            <w:r>
              <w:rPr>
                <w:rFonts w:ascii="Arial" w:cs="Arial" w:eastAsia="Arial" w:hAnsi="Arial"/>
                <w:sz w:val="12"/>
                <w:szCs w:val="12"/>
                <w:color w:val="auto"/>
              </w:rPr>
              <w:t>237,943</w:t>
            </w:r>
          </w:p>
        </w:tc>
        <w:tc>
          <w:tcPr>
            <w:tcW w:w="820" w:type="dxa"/>
            <w:vAlign w:val="bottom"/>
            <w:tcBorders>
              <w:right w:val="single" w:sz="8" w:color="auto"/>
            </w:tcBorders>
          </w:tcPr>
          <w:p>
            <w:pPr>
              <w:jc w:val="center"/>
              <w:spacing w:after="0" w:line="118" w:lineRule="exact"/>
              <w:rPr>
                <w:sz w:val="20"/>
                <w:szCs w:val="20"/>
                <w:color w:val="auto"/>
              </w:rPr>
            </w:pPr>
            <w:r>
              <w:rPr>
                <w:rFonts w:ascii="Arial" w:cs="Arial" w:eastAsia="Arial" w:hAnsi="Arial"/>
                <w:sz w:val="12"/>
                <w:szCs w:val="12"/>
                <w:color w:val="auto"/>
                <w:w w:val="93"/>
              </w:rPr>
              <w:t>23.4%</w:t>
            </w:r>
          </w:p>
        </w:tc>
      </w:tr>
      <w:tr>
        <w:trPr>
          <w:trHeight w:val="160"/>
        </w:trPr>
        <w:tc>
          <w:tcPr>
            <w:tcW w:w="45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b w:val="1"/>
                <w:bCs w:val="1"/>
                <w:color w:val="auto"/>
              </w:rPr>
              <w:t>Total other income</w:t>
            </w:r>
          </w:p>
        </w:tc>
        <w:tc>
          <w:tcPr>
            <w:tcW w:w="1020" w:type="dxa"/>
            <w:vAlign w:val="bottom"/>
          </w:tcPr>
          <w:p>
            <w:pPr>
              <w:jc w:val="right"/>
              <w:ind w:right="62"/>
              <w:spacing w:after="0"/>
              <w:rPr>
                <w:sz w:val="20"/>
                <w:szCs w:val="20"/>
                <w:color w:val="auto"/>
              </w:rPr>
            </w:pPr>
            <w:r>
              <w:rPr>
                <w:rFonts w:ascii="Arial" w:cs="Arial" w:eastAsia="Arial" w:hAnsi="Arial"/>
                <w:sz w:val="12"/>
                <w:szCs w:val="12"/>
                <w:b w:val="1"/>
                <w:bCs w:val="1"/>
                <w:color w:val="auto"/>
              </w:rPr>
              <w:t>1,201,682</w:t>
            </w:r>
          </w:p>
        </w:tc>
        <w:tc>
          <w:tcPr>
            <w:tcW w:w="920" w:type="dxa"/>
            <w:vAlign w:val="bottom"/>
          </w:tcPr>
          <w:p>
            <w:pPr>
              <w:jc w:val="right"/>
              <w:ind w:right="82"/>
              <w:spacing w:after="0"/>
              <w:rPr>
                <w:sz w:val="20"/>
                <w:szCs w:val="20"/>
                <w:color w:val="auto"/>
              </w:rPr>
            </w:pPr>
            <w:r>
              <w:rPr>
                <w:rFonts w:ascii="Arial" w:cs="Arial" w:eastAsia="Arial" w:hAnsi="Arial"/>
                <w:sz w:val="12"/>
                <w:szCs w:val="12"/>
                <w:b w:val="1"/>
                <w:bCs w:val="1"/>
                <w:color w:val="auto"/>
              </w:rPr>
              <w:t>1,160,762</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2"/>
                <w:szCs w:val="12"/>
                <w:b w:val="1"/>
                <w:bCs w:val="1"/>
                <w:color w:val="auto"/>
              </w:rPr>
              <w:t>1,115,864</w:t>
            </w:r>
          </w:p>
        </w:tc>
        <w:tc>
          <w:tcPr>
            <w:tcW w:w="660" w:type="dxa"/>
            <w:vAlign w:val="bottom"/>
          </w:tcPr>
          <w:p>
            <w:pPr>
              <w:jc w:val="center"/>
              <w:spacing w:after="0"/>
              <w:rPr>
                <w:sz w:val="20"/>
                <w:szCs w:val="20"/>
                <w:color w:val="auto"/>
              </w:rPr>
            </w:pPr>
            <w:r>
              <w:rPr>
                <w:rFonts w:ascii="Arial" w:cs="Arial" w:eastAsia="Arial" w:hAnsi="Arial"/>
                <w:sz w:val="12"/>
                <w:szCs w:val="12"/>
                <w:b w:val="1"/>
                <w:bCs w:val="1"/>
                <w:color w:val="auto"/>
                <w:w w:val="95"/>
              </w:rPr>
              <w:t>-3.9%</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-7.1%</w:t>
            </w:r>
          </w:p>
        </w:tc>
        <w:tc>
          <w:tcPr>
            <w:tcW w:w="1080" w:type="dxa"/>
            <w:vAlign w:val="bottom"/>
          </w:tcPr>
          <w:p>
            <w:pPr>
              <w:jc w:val="right"/>
              <w:ind w:right="142"/>
              <w:spacing w:after="0"/>
              <w:rPr>
                <w:sz w:val="20"/>
                <w:szCs w:val="20"/>
                <w:color w:val="auto"/>
              </w:rPr>
            </w:pPr>
            <w:r>
              <w:rPr>
                <w:rFonts w:ascii="Arial" w:cs="Arial" w:eastAsia="Arial" w:hAnsi="Arial"/>
                <w:sz w:val="12"/>
                <w:szCs w:val="12"/>
                <w:b w:val="1"/>
                <w:bCs w:val="1"/>
                <w:color w:val="auto"/>
              </w:rPr>
              <w:t>3,458,372</w:t>
            </w: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2"/>
                <w:szCs w:val="12"/>
                <w:b w:val="1"/>
                <w:bCs w:val="1"/>
                <w:color w:val="auto"/>
              </w:rPr>
              <w:t>3,327,607</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-3.8%</w:t>
            </w:r>
          </w:p>
        </w:tc>
      </w:tr>
      <w:tr>
        <w:trPr>
          <w:trHeight w:val="216"/>
        </w:trPr>
        <w:tc>
          <w:tcPr>
            <w:tcW w:w="45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color w:val="auto"/>
              </w:rPr>
              <w:t>Total expenses</w:t>
            </w:r>
          </w:p>
        </w:tc>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820" w:type="dxa"/>
            <w:vAlign w:val="bottom"/>
            <w:tcBorders>
              <w:right w:val="single" w:sz="8" w:color="auto"/>
            </w:tcBorders>
          </w:tcPr>
          <w:p>
            <w:pPr>
              <w:spacing w:after="0"/>
              <w:rPr>
                <w:sz w:val="18"/>
                <w:szCs w:val="18"/>
                <w:color w:val="auto"/>
              </w:rPr>
            </w:pPr>
          </w:p>
        </w:tc>
      </w:tr>
      <w:tr>
        <w:trPr>
          <w:trHeight w:val="124"/>
        </w:trPr>
        <w:tc>
          <w:tcPr>
            <w:tcW w:w="4560" w:type="dxa"/>
            <w:vAlign w:val="bottom"/>
            <w:tcBorders>
              <w:left w:val="single" w:sz="8" w:color="auto"/>
              <w:right w:val="single" w:sz="8" w:color="auto"/>
            </w:tcBorders>
          </w:tcPr>
          <w:p>
            <w:pPr>
              <w:ind w:left="160"/>
              <w:spacing w:after="0" w:line="124" w:lineRule="exact"/>
              <w:rPr>
                <w:sz w:val="20"/>
                <w:szCs w:val="20"/>
                <w:color w:val="auto"/>
              </w:rPr>
            </w:pPr>
            <w:r>
              <w:rPr>
                <w:rFonts w:ascii="Arial" w:cs="Arial" w:eastAsia="Arial" w:hAnsi="Arial"/>
                <w:sz w:val="12"/>
                <w:szCs w:val="12"/>
                <w:color w:val="auto"/>
              </w:rPr>
              <w:t>Salaries and employee benefits</w:t>
            </w:r>
          </w:p>
        </w:tc>
        <w:tc>
          <w:tcPr>
            <w:tcW w:w="1020" w:type="dxa"/>
            <w:vAlign w:val="bottom"/>
          </w:tcPr>
          <w:p>
            <w:pPr>
              <w:jc w:val="right"/>
              <w:ind w:right="62"/>
              <w:spacing w:after="0" w:line="124" w:lineRule="exact"/>
              <w:rPr>
                <w:sz w:val="20"/>
                <w:szCs w:val="20"/>
                <w:color w:val="auto"/>
              </w:rPr>
            </w:pPr>
            <w:r>
              <w:rPr>
                <w:rFonts w:ascii="Arial" w:cs="Arial" w:eastAsia="Arial" w:hAnsi="Arial"/>
                <w:sz w:val="12"/>
                <w:szCs w:val="12"/>
                <w:color w:val="auto"/>
              </w:rPr>
              <w:t>(536,526)</w:t>
            </w:r>
          </w:p>
        </w:tc>
        <w:tc>
          <w:tcPr>
            <w:tcW w:w="920" w:type="dxa"/>
            <w:vAlign w:val="bottom"/>
          </w:tcPr>
          <w:p>
            <w:pPr>
              <w:jc w:val="right"/>
              <w:ind w:right="82"/>
              <w:spacing w:after="0" w:line="124" w:lineRule="exact"/>
              <w:rPr>
                <w:sz w:val="20"/>
                <w:szCs w:val="20"/>
                <w:color w:val="auto"/>
              </w:rPr>
            </w:pPr>
            <w:r>
              <w:rPr>
                <w:rFonts w:ascii="Arial" w:cs="Arial" w:eastAsia="Arial" w:hAnsi="Arial"/>
                <w:sz w:val="12"/>
                <w:szCs w:val="12"/>
                <w:color w:val="auto"/>
              </w:rPr>
              <w:t>(563,407)</w:t>
            </w:r>
          </w:p>
        </w:tc>
        <w:tc>
          <w:tcPr>
            <w:tcW w:w="78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2"/>
                <w:szCs w:val="12"/>
                <w:color w:val="auto"/>
              </w:rPr>
              <w:t>(552,835)</w:t>
            </w:r>
          </w:p>
        </w:tc>
        <w:tc>
          <w:tcPr>
            <w:tcW w:w="660" w:type="dxa"/>
            <w:vAlign w:val="bottom"/>
          </w:tcPr>
          <w:p>
            <w:pPr>
              <w:jc w:val="center"/>
              <w:spacing w:after="0" w:line="124" w:lineRule="exact"/>
              <w:rPr>
                <w:sz w:val="20"/>
                <w:szCs w:val="20"/>
                <w:color w:val="auto"/>
              </w:rPr>
            </w:pPr>
            <w:r>
              <w:rPr>
                <w:rFonts w:ascii="Arial" w:cs="Arial" w:eastAsia="Arial" w:hAnsi="Arial"/>
                <w:sz w:val="12"/>
                <w:szCs w:val="12"/>
                <w:color w:val="auto"/>
                <w:w w:val="95"/>
              </w:rPr>
              <w:t>-1.9%</w:t>
            </w:r>
          </w:p>
        </w:tc>
        <w:tc>
          <w:tcPr>
            <w:tcW w:w="72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2"/>
                <w:szCs w:val="12"/>
                <w:color w:val="auto"/>
                <w:w w:val="94"/>
              </w:rPr>
              <w:t>3.0%</w:t>
            </w:r>
          </w:p>
        </w:tc>
        <w:tc>
          <w:tcPr>
            <w:tcW w:w="1080" w:type="dxa"/>
            <w:vAlign w:val="bottom"/>
          </w:tcPr>
          <w:p>
            <w:pPr>
              <w:jc w:val="right"/>
              <w:ind w:right="142"/>
              <w:spacing w:after="0" w:line="124" w:lineRule="exact"/>
              <w:rPr>
                <w:sz w:val="20"/>
                <w:szCs w:val="20"/>
                <w:color w:val="auto"/>
              </w:rPr>
            </w:pPr>
            <w:r>
              <w:rPr>
                <w:rFonts w:ascii="Arial" w:cs="Arial" w:eastAsia="Arial" w:hAnsi="Arial"/>
                <w:sz w:val="12"/>
                <w:szCs w:val="12"/>
                <w:color w:val="auto"/>
              </w:rPr>
              <w:t>(1,525,437)</w:t>
            </w:r>
          </w:p>
        </w:tc>
        <w:tc>
          <w:tcPr>
            <w:tcW w:w="70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2"/>
                <w:szCs w:val="12"/>
                <w:color w:val="auto"/>
              </w:rPr>
              <w:t>(1,662,290)</w:t>
            </w:r>
          </w:p>
        </w:tc>
        <w:tc>
          <w:tcPr>
            <w:tcW w:w="82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2"/>
                <w:szCs w:val="12"/>
                <w:color w:val="auto"/>
                <w:w w:val="94"/>
              </w:rPr>
              <w:t>9.0%</w:t>
            </w:r>
          </w:p>
        </w:tc>
      </w:tr>
      <w:tr>
        <w:trPr>
          <w:trHeight w:val="124"/>
        </w:trPr>
        <w:tc>
          <w:tcPr>
            <w:tcW w:w="4560" w:type="dxa"/>
            <w:vAlign w:val="bottom"/>
            <w:tcBorders>
              <w:left w:val="single" w:sz="8" w:color="auto"/>
              <w:right w:val="single" w:sz="8" w:color="auto"/>
            </w:tcBorders>
          </w:tcPr>
          <w:p>
            <w:pPr>
              <w:ind w:left="160"/>
              <w:spacing w:after="0" w:line="124" w:lineRule="exact"/>
              <w:rPr>
                <w:sz w:val="20"/>
                <w:szCs w:val="20"/>
                <w:color w:val="auto"/>
              </w:rPr>
            </w:pPr>
            <w:r>
              <w:rPr>
                <w:rFonts w:ascii="Arial" w:cs="Arial" w:eastAsia="Arial" w:hAnsi="Arial"/>
                <w:sz w:val="12"/>
                <w:szCs w:val="12"/>
                <w:color w:val="auto"/>
              </w:rPr>
              <w:t>Administrative expenses</w:t>
            </w:r>
          </w:p>
        </w:tc>
        <w:tc>
          <w:tcPr>
            <w:tcW w:w="1020" w:type="dxa"/>
            <w:vAlign w:val="bottom"/>
          </w:tcPr>
          <w:p>
            <w:pPr>
              <w:jc w:val="right"/>
              <w:ind w:right="62"/>
              <w:spacing w:after="0" w:line="124" w:lineRule="exact"/>
              <w:rPr>
                <w:sz w:val="20"/>
                <w:szCs w:val="20"/>
                <w:color w:val="auto"/>
              </w:rPr>
            </w:pPr>
            <w:r>
              <w:rPr>
                <w:rFonts w:ascii="Arial" w:cs="Arial" w:eastAsia="Arial" w:hAnsi="Arial"/>
                <w:sz w:val="12"/>
                <w:szCs w:val="12"/>
                <w:color w:val="auto"/>
              </w:rPr>
              <w:t>(571,621)</w:t>
            </w:r>
          </w:p>
        </w:tc>
        <w:tc>
          <w:tcPr>
            <w:tcW w:w="920" w:type="dxa"/>
            <w:vAlign w:val="bottom"/>
          </w:tcPr>
          <w:p>
            <w:pPr>
              <w:jc w:val="right"/>
              <w:ind w:right="82"/>
              <w:spacing w:after="0" w:line="124" w:lineRule="exact"/>
              <w:rPr>
                <w:sz w:val="20"/>
                <w:szCs w:val="20"/>
                <w:color w:val="auto"/>
              </w:rPr>
            </w:pPr>
            <w:r>
              <w:rPr>
                <w:rFonts w:ascii="Arial" w:cs="Arial" w:eastAsia="Arial" w:hAnsi="Arial"/>
                <w:sz w:val="12"/>
                <w:szCs w:val="12"/>
                <w:color w:val="auto"/>
              </w:rPr>
              <w:t>(599,803)</w:t>
            </w:r>
          </w:p>
        </w:tc>
        <w:tc>
          <w:tcPr>
            <w:tcW w:w="78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2"/>
                <w:szCs w:val="12"/>
                <w:color w:val="auto"/>
              </w:rPr>
              <w:t>(690,092)</w:t>
            </w:r>
          </w:p>
        </w:tc>
        <w:tc>
          <w:tcPr>
            <w:tcW w:w="660" w:type="dxa"/>
            <w:vAlign w:val="bottom"/>
          </w:tcPr>
          <w:p>
            <w:pPr>
              <w:jc w:val="center"/>
              <w:spacing w:after="0" w:line="124" w:lineRule="exact"/>
              <w:rPr>
                <w:sz w:val="20"/>
                <w:szCs w:val="20"/>
                <w:color w:val="auto"/>
              </w:rPr>
            </w:pPr>
            <w:r>
              <w:rPr>
                <w:rFonts w:ascii="Arial" w:cs="Arial" w:eastAsia="Arial" w:hAnsi="Arial"/>
                <w:sz w:val="12"/>
                <w:szCs w:val="12"/>
                <w:color w:val="auto"/>
                <w:w w:val="93"/>
              </w:rPr>
              <w:t>15.1%</w:t>
            </w:r>
          </w:p>
        </w:tc>
        <w:tc>
          <w:tcPr>
            <w:tcW w:w="72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2"/>
                <w:szCs w:val="12"/>
                <w:color w:val="auto"/>
                <w:w w:val="99"/>
              </w:rPr>
              <w:t>20.7%</w:t>
            </w:r>
          </w:p>
        </w:tc>
        <w:tc>
          <w:tcPr>
            <w:tcW w:w="1080" w:type="dxa"/>
            <w:vAlign w:val="bottom"/>
          </w:tcPr>
          <w:p>
            <w:pPr>
              <w:jc w:val="right"/>
              <w:ind w:right="142"/>
              <w:spacing w:after="0" w:line="124" w:lineRule="exact"/>
              <w:rPr>
                <w:sz w:val="20"/>
                <w:szCs w:val="20"/>
                <w:color w:val="auto"/>
              </w:rPr>
            </w:pPr>
            <w:r>
              <w:rPr>
                <w:rFonts w:ascii="Arial" w:cs="Arial" w:eastAsia="Arial" w:hAnsi="Arial"/>
                <w:sz w:val="12"/>
                <w:szCs w:val="12"/>
                <w:color w:val="auto"/>
              </w:rPr>
              <w:t>(1,610,619)</w:t>
            </w:r>
          </w:p>
        </w:tc>
        <w:tc>
          <w:tcPr>
            <w:tcW w:w="70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2"/>
                <w:szCs w:val="12"/>
                <w:color w:val="auto"/>
              </w:rPr>
              <w:t>(1,861,675)</w:t>
            </w:r>
          </w:p>
        </w:tc>
        <w:tc>
          <w:tcPr>
            <w:tcW w:w="82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2"/>
                <w:szCs w:val="12"/>
                <w:color w:val="auto"/>
                <w:w w:val="93"/>
              </w:rPr>
              <w:t>15.6%</w:t>
            </w:r>
          </w:p>
        </w:tc>
      </w:tr>
      <w:tr>
        <w:trPr>
          <w:trHeight w:val="124"/>
        </w:trPr>
        <w:tc>
          <w:tcPr>
            <w:tcW w:w="4560" w:type="dxa"/>
            <w:vAlign w:val="bottom"/>
            <w:tcBorders>
              <w:left w:val="single" w:sz="8" w:color="auto"/>
              <w:right w:val="single" w:sz="8" w:color="auto"/>
            </w:tcBorders>
          </w:tcPr>
          <w:p>
            <w:pPr>
              <w:ind w:left="160"/>
              <w:spacing w:after="0" w:line="124" w:lineRule="exact"/>
              <w:rPr>
                <w:sz w:val="20"/>
                <w:szCs w:val="20"/>
                <w:color w:val="auto"/>
              </w:rPr>
            </w:pPr>
            <w:r>
              <w:rPr>
                <w:rFonts w:ascii="Arial" w:cs="Arial" w:eastAsia="Arial" w:hAnsi="Arial"/>
                <w:sz w:val="12"/>
                <w:szCs w:val="12"/>
                <w:color w:val="auto"/>
              </w:rPr>
              <w:t>Depreciation and amortization</w:t>
            </w:r>
          </w:p>
        </w:tc>
        <w:tc>
          <w:tcPr>
            <w:tcW w:w="1020" w:type="dxa"/>
            <w:vAlign w:val="bottom"/>
          </w:tcPr>
          <w:p>
            <w:pPr>
              <w:jc w:val="right"/>
              <w:ind w:right="62"/>
              <w:spacing w:after="0" w:line="124" w:lineRule="exact"/>
              <w:rPr>
                <w:sz w:val="20"/>
                <w:szCs w:val="20"/>
                <w:color w:val="auto"/>
              </w:rPr>
            </w:pPr>
            <w:r>
              <w:rPr>
                <w:rFonts w:ascii="Arial" w:cs="Arial" w:eastAsia="Arial" w:hAnsi="Arial"/>
                <w:sz w:val="12"/>
                <w:szCs w:val="12"/>
                <w:color w:val="auto"/>
              </w:rPr>
              <w:t>(113,129)</w:t>
            </w:r>
          </w:p>
        </w:tc>
        <w:tc>
          <w:tcPr>
            <w:tcW w:w="920" w:type="dxa"/>
            <w:vAlign w:val="bottom"/>
          </w:tcPr>
          <w:p>
            <w:pPr>
              <w:jc w:val="right"/>
              <w:ind w:right="82"/>
              <w:spacing w:after="0" w:line="124" w:lineRule="exact"/>
              <w:rPr>
                <w:sz w:val="20"/>
                <w:szCs w:val="20"/>
                <w:color w:val="auto"/>
              </w:rPr>
            </w:pPr>
            <w:r>
              <w:rPr>
                <w:rFonts w:ascii="Arial" w:cs="Arial" w:eastAsia="Arial" w:hAnsi="Arial"/>
                <w:sz w:val="12"/>
                <w:szCs w:val="12"/>
                <w:color w:val="auto"/>
              </w:rPr>
              <w:t>(112,661)</w:t>
            </w:r>
          </w:p>
        </w:tc>
        <w:tc>
          <w:tcPr>
            <w:tcW w:w="78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2"/>
                <w:szCs w:val="12"/>
                <w:color w:val="auto"/>
              </w:rPr>
              <w:t>(111,147)</w:t>
            </w:r>
          </w:p>
        </w:tc>
        <w:tc>
          <w:tcPr>
            <w:tcW w:w="660" w:type="dxa"/>
            <w:vAlign w:val="bottom"/>
          </w:tcPr>
          <w:p>
            <w:pPr>
              <w:jc w:val="center"/>
              <w:spacing w:after="0" w:line="124" w:lineRule="exact"/>
              <w:rPr>
                <w:sz w:val="20"/>
                <w:szCs w:val="20"/>
                <w:color w:val="auto"/>
              </w:rPr>
            </w:pPr>
            <w:r>
              <w:rPr>
                <w:rFonts w:ascii="Arial" w:cs="Arial" w:eastAsia="Arial" w:hAnsi="Arial"/>
                <w:sz w:val="12"/>
                <w:szCs w:val="12"/>
                <w:color w:val="auto"/>
                <w:w w:val="95"/>
              </w:rPr>
              <w:t>-1.3%</w:t>
            </w:r>
          </w:p>
        </w:tc>
        <w:tc>
          <w:tcPr>
            <w:tcW w:w="72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2"/>
                <w:szCs w:val="12"/>
                <w:color w:val="auto"/>
                <w:w w:val="95"/>
              </w:rPr>
              <w:t>-1.8%</w:t>
            </w:r>
          </w:p>
        </w:tc>
        <w:tc>
          <w:tcPr>
            <w:tcW w:w="1080" w:type="dxa"/>
            <w:vAlign w:val="bottom"/>
          </w:tcPr>
          <w:p>
            <w:pPr>
              <w:jc w:val="right"/>
              <w:ind w:right="142"/>
              <w:spacing w:after="0" w:line="124" w:lineRule="exact"/>
              <w:rPr>
                <w:sz w:val="20"/>
                <w:szCs w:val="20"/>
                <w:color w:val="auto"/>
              </w:rPr>
            </w:pPr>
            <w:r>
              <w:rPr>
                <w:rFonts w:ascii="Arial" w:cs="Arial" w:eastAsia="Arial" w:hAnsi="Arial"/>
                <w:sz w:val="12"/>
                <w:szCs w:val="12"/>
                <w:color w:val="auto"/>
              </w:rPr>
              <w:t>(328,812)</w:t>
            </w:r>
          </w:p>
        </w:tc>
        <w:tc>
          <w:tcPr>
            <w:tcW w:w="70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2"/>
                <w:szCs w:val="12"/>
                <w:color w:val="auto"/>
              </w:rPr>
              <w:t>(336,680)</w:t>
            </w:r>
          </w:p>
        </w:tc>
        <w:tc>
          <w:tcPr>
            <w:tcW w:w="82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2"/>
                <w:szCs w:val="12"/>
                <w:color w:val="auto"/>
                <w:w w:val="94"/>
              </w:rPr>
              <w:t>2.4%</w:t>
            </w:r>
          </w:p>
        </w:tc>
      </w:tr>
      <w:tr>
        <w:trPr>
          <w:trHeight w:val="118"/>
        </w:trPr>
        <w:tc>
          <w:tcPr>
            <w:tcW w:w="4560" w:type="dxa"/>
            <w:vAlign w:val="bottom"/>
            <w:tcBorders>
              <w:left w:val="single" w:sz="8" w:color="auto"/>
              <w:right w:val="single" w:sz="8" w:color="auto"/>
            </w:tcBorders>
          </w:tcPr>
          <w:p>
            <w:pPr>
              <w:ind w:left="160"/>
              <w:spacing w:after="0" w:line="118" w:lineRule="exact"/>
              <w:rPr>
                <w:sz w:val="20"/>
                <w:szCs w:val="20"/>
                <w:color w:val="auto"/>
              </w:rPr>
            </w:pPr>
            <w:r>
              <w:rPr>
                <w:rFonts w:ascii="Arial" w:cs="Arial" w:eastAsia="Arial" w:hAnsi="Arial"/>
                <w:sz w:val="12"/>
                <w:szCs w:val="12"/>
                <w:color w:val="auto"/>
              </w:rPr>
              <w:t>Other expenses</w:t>
            </w:r>
          </w:p>
        </w:tc>
        <w:tc>
          <w:tcPr>
            <w:tcW w:w="1020" w:type="dxa"/>
            <w:vAlign w:val="bottom"/>
          </w:tcPr>
          <w:p>
            <w:pPr>
              <w:jc w:val="right"/>
              <w:ind w:right="62"/>
              <w:spacing w:after="0" w:line="118" w:lineRule="exact"/>
              <w:rPr>
                <w:sz w:val="20"/>
                <w:szCs w:val="20"/>
                <w:color w:val="auto"/>
              </w:rPr>
            </w:pPr>
            <w:r>
              <w:rPr>
                <w:rFonts w:ascii="Arial" w:cs="Arial" w:eastAsia="Arial" w:hAnsi="Arial"/>
                <w:sz w:val="12"/>
                <w:szCs w:val="12"/>
                <w:color w:val="auto"/>
              </w:rPr>
              <w:t>(43,590)</w:t>
            </w:r>
          </w:p>
        </w:tc>
        <w:tc>
          <w:tcPr>
            <w:tcW w:w="920" w:type="dxa"/>
            <w:vAlign w:val="bottom"/>
          </w:tcPr>
          <w:p>
            <w:pPr>
              <w:jc w:val="right"/>
              <w:ind w:right="82"/>
              <w:spacing w:after="0" w:line="118" w:lineRule="exact"/>
              <w:rPr>
                <w:sz w:val="20"/>
                <w:szCs w:val="20"/>
                <w:color w:val="auto"/>
              </w:rPr>
            </w:pPr>
            <w:r>
              <w:rPr>
                <w:rFonts w:ascii="Arial" w:cs="Arial" w:eastAsia="Arial" w:hAnsi="Arial"/>
                <w:sz w:val="12"/>
                <w:szCs w:val="12"/>
                <w:color w:val="auto"/>
              </w:rPr>
              <w:t>(44,011)</w:t>
            </w:r>
          </w:p>
        </w:tc>
        <w:tc>
          <w:tcPr>
            <w:tcW w:w="780" w:type="dxa"/>
            <w:vAlign w:val="bottom"/>
            <w:tcBorders>
              <w:right w:val="single" w:sz="8" w:color="auto"/>
            </w:tcBorders>
          </w:tcPr>
          <w:p>
            <w:pPr>
              <w:jc w:val="right"/>
              <w:spacing w:after="0" w:line="118" w:lineRule="exact"/>
              <w:rPr>
                <w:sz w:val="20"/>
                <w:szCs w:val="20"/>
                <w:color w:val="auto"/>
              </w:rPr>
            </w:pPr>
            <w:r>
              <w:rPr>
                <w:rFonts w:ascii="Arial" w:cs="Arial" w:eastAsia="Arial" w:hAnsi="Arial"/>
                <w:sz w:val="12"/>
                <w:szCs w:val="12"/>
                <w:color w:val="auto"/>
              </w:rPr>
              <w:t>(68,474)</w:t>
            </w:r>
          </w:p>
        </w:tc>
        <w:tc>
          <w:tcPr>
            <w:tcW w:w="660" w:type="dxa"/>
            <w:vAlign w:val="bottom"/>
          </w:tcPr>
          <w:p>
            <w:pPr>
              <w:jc w:val="center"/>
              <w:spacing w:after="0" w:line="118" w:lineRule="exact"/>
              <w:rPr>
                <w:sz w:val="20"/>
                <w:szCs w:val="20"/>
                <w:color w:val="auto"/>
              </w:rPr>
            </w:pPr>
            <w:r>
              <w:rPr>
                <w:rFonts w:ascii="Arial" w:cs="Arial" w:eastAsia="Arial" w:hAnsi="Arial"/>
                <w:sz w:val="12"/>
                <w:szCs w:val="12"/>
                <w:color w:val="auto"/>
                <w:w w:val="93"/>
              </w:rPr>
              <w:t>55.6%</w:t>
            </w:r>
          </w:p>
        </w:tc>
        <w:tc>
          <w:tcPr>
            <w:tcW w:w="720" w:type="dxa"/>
            <w:vAlign w:val="bottom"/>
            <w:tcBorders>
              <w:right w:val="single" w:sz="8" w:color="auto"/>
            </w:tcBorders>
          </w:tcPr>
          <w:p>
            <w:pPr>
              <w:jc w:val="center"/>
              <w:spacing w:after="0" w:line="118" w:lineRule="exact"/>
              <w:rPr>
                <w:sz w:val="20"/>
                <w:szCs w:val="20"/>
                <w:color w:val="auto"/>
              </w:rPr>
            </w:pPr>
            <w:r>
              <w:rPr>
                <w:rFonts w:ascii="Arial" w:cs="Arial" w:eastAsia="Arial" w:hAnsi="Arial"/>
                <w:sz w:val="12"/>
                <w:szCs w:val="12"/>
                <w:color w:val="auto"/>
                <w:w w:val="99"/>
              </w:rPr>
              <w:t>57.1%</w:t>
            </w:r>
          </w:p>
        </w:tc>
        <w:tc>
          <w:tcPr>
            <w:tcW w:w="1080" w:type="dxa"/>
            <w:vAlign w:val="bottom"/>
          </w:tcPr>
          <w:p>
            <w:pPr>
              <w:jc w:val="right"/>
              <w:ind w:right="142"/>
              <w:spacing w:after="0" w:line="118" w:lineRule="exact"/>
              <w:rPr>
                <w:sz w:val="20"/>
                <w:szCs w:val="20"/>
                <w:color w:val="auto"/>
              </w:rPr>
            </w:pPr>
            <w:r>
              <w:rPr>
                <w:rFonts w:ascii="Arial" w:cs="Arial" w:eastAsia="Arial" w:hAnsi="Arial"/>
                <w:sz w:val="12"/>
                <w:szCs w:val="12"/>
                <w:color w:val="auto"/>
              </w:rPr>
              <w:t>(133,657)</w:t>
            </w:r>
          </w:p>
        </w:tc>
        <w:tc>
          <w:tcPr>
            <w:tcW w:w="700" w:type="dxa"/>
            <w:vAlign w:val="bottom"/>
            <w:tcBorders>
              <w:right w:val="single" w:sz="8" w:color="auto"/>
            </w:tcBorders>
          </w:tcPr>
          <w:p>
            <w:pPr>
              <w:jc w:val="right"/>
              <w:spacing w:after="0" w:line="118" w:lineRule="exact"/>
              <w:rPr>
                <w:sz w:val="20"/>
                <w:szCs w:val="20"/>
                <w:color w:val="auto"/>
              </w:rPr>
            </w:pPr>
            <w:r>
              <w:rPr>
                <w:rFonts w:ascii="Arial" w:cs="Arial" w:eastAsia="Arial" w:hAnsi="Arial"/>
                <w:sz w:val="12"/>
                <w:szCs w:val="12"/>
                <w:color w:val="auto"/>
              </w:rPr>
              <w:t>(152,048)</w:t>
            </w:r>
          </w:p>
        </w:tc>
        <w:tc>
          <w:tcPr>
            <w:tcW w:w="820" w:type="dxa"/>
            <w:vAlign w:val="bottom"/>
            <w:tcBorders>
              <w:right w:val="single" w:sz="8" w:color="auto"/>
            </w:tcBorders>
          </w:tcPr>
          <w:p>
            <w:pPr>
              <w:jc w:val="center"/>
              <w:spacing w:after="0" w:line="118" w:lineRule="exact"/>
              <w:rPr>
                <w:sz w:val="20"/>
                <w:szCs w:val="20"/>
                <w:color w:val="auto"/>
              </w:rPr>
            </w:pPr>
            <w:r>
              <w:rPr>
                <w:rFonts w:ascii="Arial" w:cs="Arial" w:eastAsia="Arial" w:hAnsi="Arial"/>
                <w:sz w:val="12"/>
                <w:szCs w:val="12"/>
                <w:color w:val="auto"/>
                <w:w w:val="93"/>
              </w:rPr>
              <w:t>13.8%</w:t>
            </w:r>
          </w:p>
        </w:tc>
      </w:tr>
      <w:tr>
        <w:trPr>
          <w:trHeight w:val="160"/>
        </w:trPr>
        <w:tc>
          <w:tcPr>
            <w:tcW w:w="45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b w:val="1"/>
                <w:bCs w:val="1"/>
                <w:color w:val="auto"/>
              </w:rPr>
              <w:t>Total expenses</w:t>
            </w:r>
          </w:p>
        </w:tc>
        <w:tc>
          <w:tcPr>
            <w:tcW w:w="1020" w:type="dxa"/>
            <w:vAlign w:val="bottom"/>
          </w:tcPr>
          <w:p>
            <w:pPr>
              <w:jc w:val="right"/>
              <w:ind w:right="62"/>
              <w:spacing w:after="0"/>
              <w:rPr>
                <w:sz w:val="20"/>
                <w:szCs w:val="20"/>
                <w:color w:val="auto"/>
              </w:rPr>
            </w:pPr>
            <w:r>
              <w:rPr>
                <w:rFonts w:ascii="Arial" w:cs="Arial" w:eastAsia="Arial" w:hAnsi="Arial"/>
                <w:sz w:val="12"/>
                <w:szCs w:val="12"/>
                <w:b w:val="1"/>
                <w:bCs w:val="1"/>
                <w:color w:val="auto"/>
              </w:rPr>
              <w:t>(1,264,866)</w:t>
            </w:r>
          </w:p>
        </w:tc>
        <w:tc>
          <w:tcPr>
            <w:tcW w:w="920" w:type="dxa"/>
            <w:vAlign w:val="bottom"/>
          </w:tcPr>
          <w:p>
            <w:pPr>
              <w:jc w:val="right"/>
              <w:ind w:right="82"/>
              <w:spacing w:after="0"/>
              <w:rPr>
                <w:sz w:val="20"/>
                <w:szCs w:val="20"/>
                <w:color w:val="auto"/>
              </w:rPr>
            </w:pPr>
            <w:r>
              <w:rPr>
                <w:rFonts w:ascii="Arial" w:cs="Arial" w:eastAsia="Arial" w:hAnsi="Arial"/>
                <w:sz w:val="12"/>
                <w:szCs w:val="12"/>
                <w:b w:val="1"/>
                <w:bCs w:val="1"/>
                <w:color w:val="auto"/>
              </w:rPr>
              <w:t>(1,319,882)</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2"/>
                <w:szCs w:val="12"/>
                <w:b w:val="1"/>
                <w:bCs w:val="1"/>
                <w:color w:val="auto"/>
              </w:rPr>
              <w:t>(1,422,548)</w:t>
            </w:r>
          </w:p>
        </w:tc>
        <w:tc>
          <w:tcPr>
            <w:tcW w:w="660" w:type="dxa"/>
            <w:vAlign w:val="bottom"/>
          </w:tcPr>
          <w:p>
            <w:pPr>
              <w:jc w:val="center"/>
              <w:spacing w:after="0"/>
              <w:rPr>
                <w:sz w:val="20"/>
                <w:szCs w:val="20"/>
                <w:color w:val="auto"/>
              </w:rPr>
            </w:pPr>
            <w:r>
              <w:rPr>
                <w:rFonts w:ascii="Arial" w:cs="Arial" w:eastAsia="Arial" w:hAnsi="Arial"/>
                <w:sz w:val="12"/>
                <w:szCs w:val="12"/>
                <w:b w:val="1"/>
                <w:bCs w:val="1"/>
                <w:color w:val="auto"/>
                <w:w w:val="94"/>
              </w:rPr>
              <w:t>7.8%</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12.5%</w:t>
            </w:r>
          </w:p>
        </w:tc>
        <w:tc>
          <w:tcPr>
            <w:tcW w:w="1080" w:type="dxa"/>
            <w:vAlign w:val="bottom"/>
          </w:tcPr>
          <w:p>
            <w:pPr>
              <w:jc w:val="right"/>
              <w:ind w:right="142"/>
              <w:spacing w:after="0"/>
              <w:rPr>
                <w:sz w:val="20"/>
                <w:szCs w:val="20"/>
                <w:color w:val="auto"/>
              </w:rPr>
            </w:pPr>
            <w:r>
              <w:rPr>
                <w:rFonts w:ascii="Arial" w:cs="Arial" w:eastAsia="Arial" w:hAnsi="Arial"/>
                <w:sz w:val="12"/>
                <w:szCs w:val="12"/>
                <w:b w:val="1"/>
                <w:bCs w:val="1"/>
                <w:color w:val="auto"/>
              </w:rPr>
              <w:t>(3,598,525)</w:t>
            </w: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2"/>
                <w:szCs w:val="12"/>
                <w:b w:val="1"/>
                <w:bCs w:val="1"/>
                <w:color w:val="auto"/>
              </w:rPr>
              <w:t>(4,012,693)</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11.5%</w:t>
            </w:r>
          </w:p>
        </w:tc>
      </w:tr>
      <w:tr>
        <w:trPr>
          <w:trHeight w:val="247"/>
        </w:trPr>
        <w:tc>
          <w:tcPr>
            <w:tcW w:w="45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color w:val="auto"/>
              </w:rPr>
              <w:t>Profit before income tax</w:t>
            </w:r>
          </w:p>
        </w:tc>
        <w:tc>
          <w:tcPr>
            <w:tcW w:w="1020" w:type="dxa"/>
            <w:vAlign w:val="bottom"/>
          </w:tcPr>
          <w:p>
            <w:pPr>
              <w:jc w:val="right"/>
              <w:ind w:right="62"/>
              <w:spacing w:after="0"/>
              <w:rPr>
                <w:sz w:val="20"/>
                <w:szCs w:val="20"/>
                <w:color w:val="auto"/>
              </w:rPr>
            </w:pPr>
            <w:r>
              <w:rPr>
                <w:rFonts w:ascii="Arial" w:cs="Arial" w:eastAsia="Arial" w:hAnsi="Arial"/>
                <w:sz w:val="12"/>
                <w:szCs w:val="12"/>
                <w:b w:val="1"/>
                <w:bCs w:val="1"/>
                <w:color w:val="auto"/>
              </w:rPr>
              <w:t>1,688,340</w:t>
            </w:r>
          </w:p>
        </w:tc>
        <w:tc>
          <w:tcPr>
            <w:tcW w:w="920" w:type="dxa"/>
            <w:vAlign w:val="bottom"/>
          </w:tcPr>
          <w:p>
            <w:pPr>
              <w:jc w:val="right"/>
              <w:ind w:right="82"/>
              <w:spacing w:after="0"/>
              <w:rPr>
                <w:sz w:val="20"/>
                <w:szCs w:val="20"/>
                <w:color w:val="auto"/>
              </w:rPr>
            </w:pPr>
            <w:r>
              <w:rPr>
                <w:rFonts w:ascii="Arial" w:cs="Arial" w:eastAsia="Arial" w:hAnsi="Arial"/>
                <w:sz w:val="12"/>
                <w:szCs w:val="12"/>
                <w:b w:val="1"/>
                <w:bCs w:val="1"/>
                <w:color w:val="auto"/>
              </w:rPr>
              <w:t>1,647,719</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2"/>
                <w:szCs w:val="12"/>
                <w:b w:val="1"/>
                <w:bCs w:val="1"/>
                <w:color w:val="auto"/>
              </w:rPr>
              <w:t>1,466,806</w:t>
            </w:r>
          </w:p>
        </w:tc>
        <w:tc>
          <w:tcPr>
            <w:tcW w:w="660" w:type="dxa"/>
            <w:vAlign w:val="bottom"/>
          </w:tcPr>
          <w:p>
            <w:pPr>
              <w:jc w:val="center"/>
              <w:spacing w:after="0"/>
              <w:rPr>
                <w:sz w:val="20"/>
                <w:szCs w:val="20"/>
                <w:color w:val="auto"/>
              </w:rPr>
            </w:pPr>
            <w:r>
              <w:rPr>
                <w:rFonts w:ascii="Arial" w:cs="Arial" w:eastAsia="Arial" w:hAnsi="Arial"/>
                <w:sz w:val="12"/>
                <w:szCs w:val="12"/>
                <w:b w:val="1"/>
                <w:bCs w:val="1"/>
                <w:color w:val="auto"/>
                <w:w w:val="94"/>
              </w:rPr>
              <w:t>-11.0%</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-13.1%</w:t>
            </w:r>
          </w:p>
        </w:tc>
        <w:tc>
          <w:tcPr>
            <w:tcW w:w="1080" w:type="dxa"/>
            <w:vAlign w:val="bottom"/>
          </w:tcPr>
          <w:p>
            <w:pPr>
              <w:jc w:val="right"/>
              <w:ind w:right="142"/>
              <w:spacing w:after="0"/>
              <w:rPr>
                <w:sz w:val="20"/>
                <w:szCs w:val="20"/>
                <w:color w:val="auto"/>
              </w:rPr>
            </w:pPr>
            <w:r>
              <w:rPr>
                <w:rFonts w:ascii="Arial" w:cs="Arial" w:eastAsia="Arial" w:hAnsi="Arial"/>
                <w:sz w:val="12"/>
                <w:szCs w:val="12"/>
                <w:b w:val="1"/>
                <w:bCs w:val="1"/>
                <w:color w:val="auto"/>
              </w:rPr>
              <w:t>4,812,462</w:t>
            </w: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2"/>
                <w:szCs w:val="12"/>
                <w:b w:val="1"/>
                <w:bCs w:val="1"/>
                <w:color w:val="auto"/>
              </w:rPr>
              <w:t>4,798,921</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-0.3%</w:t>
            </w:r>
          </w:p>
        </w:tc>
      </w:tr>
      <w:tr>
        <w:trPr>
          <w:trHeight w:val="239"/>
        </w:trPr>
        <w:tc>
          <w:tcPr>
            <w:tcW w:w="45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2"/>
                <w:szCs w:val="12"/>
                <w:color w:val="auto"/>
              </w:rPr>
              <w:t>Income tax</w:t>
            </w:r>
          </w:p>
        </w:tc>
        <w:tc>
          <w:tcPr>
            <w:tcW w:w="1020" w:type="dxa"/>
            <w:vAlign w:val="bottom"/>
          </w:tcPr>
          <w:p>
            <w:pPr>
              <w:jc w:val="right"/>
              <w:ind w:right="62"/>
              <w:spacing w:after="0"/>
              <w:rPr>
                <w:sz w:val="20"/>
                <w:szCs w:val="20"/>
                <w:color w:val="auto"/>
              </w:rPr>
            </w:pPr>
            <w:r>
              <w:rPr>
                <w:rFonts w:ascii="Arial" w:cs="Arial" w:eastAsia="Arial" w:hAnsi="Arial"/>
                <w:sz w:val="12"/>
                <w:szCs w:val="12"/>
                <w:color w:val="auto"/>
              </w:rPr>
              <w:t>(398,244)</w:t>
            </w:r>
          </w:p>
        </w:tc>
        <w:tc>
          <w:tcPr>
            <w:tcW w:w="920" w:type="dxa"/>
            <w:vAlign w:val="bottom"/>
          </w:tcPr>
          <w:p>
            <w:pPr>
              <w:jc w:val="right"/>
              <w:ind w:right="82"/>
              <w:spacing w:after="0"/>
              <w:rPr>
                <w:sz w:val="20"/>
                <w:szCs w:val="20"/>
                <w:color w:val="auto"/>
              </w:rPr>
            </w:pPr>
            <w:r>
              <w:rPr>
                <w:rFonts w:ascii="Arial" w:cs="Arial" w:eastAsia="Arial" w:hAnsi="Arial"/>
                <w:sz w:val="12"/>
                <w:szCs w:val="12"/>
                <w:color w:val="auto"/>
              </w:rPr>
              <w:t>(393,752)</w:t>
            </w:r>
          </w:p>
        </w:tc>
        <w:tc>
          <w:tcPr>
            <w:tcW w:w="78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(362,413)</w:t>
            </w:r>
          </w:p>
        </w:tc>
        <w:tc>
          <w:tcPr>
            <w:tcW w:w="660" w:type="dxa"/>
            <w:vAlign w:val="bottom"/>
          </w:tcPr>
          <w:p>
            <w:pPr>
              <w:jc w:val="center"/>
              <w:spacing w:after="0"/>
              <w:rPr>
                <w:sz w:val="20"/>
                <w:szCs w:val="20"/>
                <w:color w:val="auto"/>
              </w:rPr>
            </w:pPr>
            <w:r>
              <w:rPr>
                <w:rFonts w:ascii="Arial" w:cs="Arial" w:eastAsia="Arial" w:hAnsi="Arial"/>
                <w:sz w:val="12"/>
                <w:szCs w:val="12"/>
                <w:color w:val="auto"/>
                <w:w w:val="95"/>
              </w:rPr>
              <w:t>-8.0%</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5"/>
              </w:rPr>
              <w:t>-9.0%</w:t>
            </w:r>
          </w:p>
        </w:tc>
        <w:tc>
          <w:tcPr>
            <w:tcW w:w="1080" w:type="dxa"/>
            <w:vAlign w:val="bottom"/>
          </w:tcPr>
          <w:p>
            <w:pPr>
              <w:jc w:val="right"/>
              <w:ind w:right="142"/>
              <w:spacing w:after="0"/>
              <w:rPr>
                <w:sz w:val="20"/>
                <w:szCs w:val="20"/>
                <w:color w:val="auto"/>
              </w:rPr>
            </w:pPr>
            <w:r>
              <w:rPr>
                <w:rFonts w:ascii="Arial" w:cs="Arial" w:eastAsia="Arial" w:hAnsi="Arial"/>
                <w:sz w:val="12"/>
                <w:szCs w:val="12"/>
                <w:color w:val="auto"/>
              </w:rPr>
              <w:t>(1,209,863)</w:t>
            </w: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(1,176,960)</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2"/>
                <w:szCs w:val="12"/>
                <w:color w:val="auto"/>
                <w:w w:val="95"/>
              </w:rPr>
              <w:t>-2.7%</w:t>
            </w:r>
          </w:p>
        </w:tc>
      </w:tr>
      <w:tr>
        <w:trPr>
          <w:trHeight w:val="238"/>
        </w:trPr>
        <w:tc>
          <w:tcPr>
            <w:tcW w:w="45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color w:val="auto"/>
              </w:rPr>
              <w:t>Net profit attributable to BCP Stand-alone</w:t>
            </w:r>
          </w:p>
        </w:tc>
        <w:tc>
          <w:tcPr>
            <w:tcW w:w="10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b w:val="1"/>
                <w:bCs w:val="1"/>
                <w:color w:val="auto"/>
              </w:rPr>
              <w:t>1,290,096</w:t>
            </w:r>
          </w:p>
        </w:tc>
        <w:tc>
          <w:tcPr>
            <w:tcW w:w="92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b w:val="1"/>
                <w:bCs w:val="1"/>
                <w:color w:val="auto"/>
              </w:rPr>
              <w:t>1,253,967</w:t>
            </w:r>
          </w:p>
        </w:tc>
        <w:tc>
          <w:tcPr>
            <w:tcW w:w="7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2"/>
                <w:szCs w:val="12"/>
                <w:b w:val="1"/>
                <w:bCs w:val="1"/>
                <w:color w:val="auto"/>
              </w:rPr>
              <w:t>1,104,393</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-11.9%</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-14.4%</w:t>
            </w:r>
          </w:p>
        </w:tc>
        <w:tc>
          <w:tcPr>
            <w:tcW w:w="1080" w:type="dxa"/>
            <w:vAlign w:val="bottom"/>
            <w:tcBorders>
              <w:bottom w:val="single" w:sz="8" w:color="auto"/>
            </w:tcBorders>
          </w:tcPr>
          <w:p>
            <w:pPr>
              <w:jc w:val="right"/>
              <w:ind w:right="142"/>
              <w:spacing w:after="0"/>
              <w:rPr>
                <w:sz w:val="20"/>
                <w:szCs w:val="20"/>
                <w:color w:val="auto"/>
              </w:rPr>
            </w:pPr>
            <w:r>
              <w:rPr>
                <w:rFonts w:ascii="Arial" w:cs="Arial" w:eastAsia="Arial" w:hAnsi="Arial"/>
                <w:sz w:val="12"/>
                <w:szCs w:val="12"/>
                <w:b w:val="1"/>
                <w:bCs w:val="1"/>
                <w:color w:val="auto"/>
              </w:rPr>
              <w:t>3,602,599</w:t>
            </w:r>
          </w:p>
        </w:tc>
        <w:tc>
          <w:tcPr>
            <w:tcW w:w="7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2"/>
                <w:szCs w:val="12"/>
                <w:b w:val="1"/>
                <w:bCs w:val="1"/>
                <w:color w:val="auto"/>
              </w:rPr>
              <w:t>3,621,961</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0.5%</w:t>
            </w: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Banco de Crédito del Perú</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Selected Financial Indicators</w:t>
      </w:r>
    </w:p>
    <w:p>
      <w:pPr>
        <w:spacing w:after="0" w:line="148" w:lineRule="exact"/>
        <w:rPr>
          <w:sz w:val="20"/>
          <w:szCs w:val="20"/>
          <w:color w:val="auto"/>
        </w:rPr>
      </w:pPr>
    </w:p>
    <w:tbl>
      <w:tblPr>
        <w:tblLayout w:type="fixed"/>
        <w:tblInd w:w="11" w:type="dxa"/>
        <w:tblCellMar>
          <w:top w:w="0" w:type="dxa"/>
          <w:left w:w="0" w:type="dxa"/>
          <w:bottom w:w="0" w:type="dxa"/>
          <w:right w:w="0" w:type="dxa"/>
        </w:tblCellMar>
      </w:tblPr>
      <w:tr>
        <w:trPr>
          <w:trHeight w:val="149"/>
        </w:trPr>
        <w:tc>
          <w:tcPr>
            <w:tcW w:w="5640" w:type="dxa"/>
            <w:vAlign w:val="bottom"/>
            <w:tcBorders>
              <w:right w:val="single" w:sz="8" w:color="auto"/>
            </w:tcBorders>
          </w:tcPr>
          <w:p>
            <w:pPr>
              <w:spacing w:after="0"/>
              <w:rPr>
                <w:sz w:val="12"/>
                <w:szCs w:val="12"/>
                <w:color w:val="auto"/>
              </w:rPr>
            </w:pPr>
          </w:p>
        </w:tc>
        <w:tc>
          <w:tcPr>
            <w:tcW w:w="1160" w:type="dxa"/>
            <w:vAlign w:val="bottom"/>
            <w:tcBorders>
              <w:top w:val="single" w:sz="8" w:color="auto"/>
            </w:tcBorders>
            <w:shd w:val="clear" w:color="auto" w:fill="33CCCC"/>
          </w:tcPr>
          <w:p>
            <w:pPr>
              <w:spacing w:after="0"/>
              <w:rPr>
                <w:sz w:val="12"/>
                <w:szCs w:val="12"/>
                <w:color w:val="auto"/>
              </w:rPr>
            </w:pPr>
          </w:p>
        </w:tc>
        <w:tc>
          <w:tcPr>
            <w:tcW w:w="1160" w:type="dxa"/>
            <w:vAlign w:val="bottom"/>
            <w:tcBorders>
              <w:top w:val="single" w:sz="8" w:color="auto"/>
            </w:tcBorders>
            <w:shd w:val="clear" w:color="auto" w:fill="33CCCC"/>
          </w:tcPr>
          <w:p>
            <w:pPr>
              <w:ind w:left="340"/>
              <w:spacing w:after="0"/>
              <w:rPr>
                <w:sz w:val="20"/>
                <w:szCs w:val="20"/>
                <w:color w:val="auto"/>
              </w:rPr>
            </w:pPr>
            <w:r>
              <w:rPr>
                <w:rFonts w:ascii="Arial" w:cs="Arial" w:eastAsia="Arial" w:hAnsi="Arial"/>
                <w:sz w:val="13"/>
                <w:szCs w:val="13"/>
                <w:b w:val="1"/>
                <w:bCs w:val="1"/>
                <w:color w:val="FFFFFF"/>
              </w:rPr>
              <w:t>Quarter</w:t>
            </w:r>
          </w:p>
        </w:tc>
        <w:tc>
          <w:tcPr>
            <w:tcW w:w="1180" w:type="dxa"/>
            <w:vAlign w:val="bottom"/>
            <w:tcBorders>
              <w:top w:val="single" w:sz="8" w:color="auto"/>
              <w:right w:val="single" w:sz="8" w:color="auto"/>
            </w:tcBorders>
            <w:shd w:val="clear" w:color="auto" w:fill="33CCCC"/>
          </w:tcPr>
          <w:p>
            <w:pPr>
              <w:spacing w:after="0"/>
              <w:rPr>
                <w:sz w:val="12"/>
                <w:szCs w:val="12"/>
                <w:color w:val="auto"/>
              </w:rPr>
            </w:pPr>
          </w:p>
        </w:tc>
        <w:tc>
          <w:tcPr>
            <w:tcW w:w="840" w:type="dxa"/>
            <w:vAlign w:val="bottom"/>
            <w:tcBorders>
              <w:top w:val="single" w:sz="8" w:color="auto"/>
            </w:tcBorders>
            <w:shd w:val="clear" w:color="auto" w:fill="33CCCC"/>
          </w:tcPr>
          <w:p>
            <w:pPr>
              <w:spacing w:after="0"/>
              <w:rPr>
                <w:sz w:val="12"/>
                <w:szCs w:val="12"/>
                <w:color w:val="auto"/>
              </w:rPr>
            </w:pPr>
          </w:p>
        </w:tc>
        <w:tc>
          <w:tcPr>
            <w:tcW w:w="1280" w:type="dxa"/>
            <w:vAlign w:val="bottom"/>
            <w:tcBorders>
              <w:top w:val="single" w:sz="8" w:color="auto"/>
              <w:right w:val="single" w:sz="8" w:color="auto"/>
            </w:tcBorders>
            <w:shd w:val="clear" w:color="auto" w:fill="33CCCC"/>
          </w:tcPr>
          <w:p>
            <w:pPr>
              <w:ind w:left="40"/>
              <w:spacing w:after="0"/>
              <w:rPr>
                <w:sz w:val="20"/>
                <w:szCs w:val="20"/>
                <w:color w:val="auto"/>
              </w:rPr>
            </w:pPr>
            <w:r>
              <w:rPr>
                <w:rFonts w:ascii="Arial" w:cs="Arial" w:eastAsia="Arial" w:hAnsi="Arial"/>
                <w:sz w:val="13"/>
                <w:szCs w:val="13"/>
                <w:b w:val="1"/>
                <w:bCs w:val="1"/>
                <w:color w:val="FFFFFF"/>
              </w:rPr>
              <w:t>Up to</w:t>
            </w:r>
          </w:p>
        </w:tc>
      </w:tr>
      <w:tr>
        <w:trPr>
          <w:trHeight w:val="160"/>
        </w:trPr>
        <w:tc>
          <w:tcPr>
            <w:tcW w:w="5640" w:type="dxa"/>
            <w:vAlign w:val="bottom"/>
            <w:tcBorders>
              <w:bottom w:val="single" w:sz="8" w:color="auto"/>
              <w:right w:val="single" w:sz="8" w:color="auto"/>
            </w:tcBorders>
          </w:tcPr>
          <w:p>
            <w:pPr>
              <w:spacing w:after="0"/>
              <w:rPr>
                <w:sz w:val="13"/>
                <w:szCs w:val="13"/>
                <w:color w:val="auto"/>
              </w:rPr>
            </w:pPr>
          </w:p>
        </w:tc>
        <w:tc>
          <w:tcPr>
            <w:tcW w:w="116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rPr>
              <w:t>2Q22</w:t>
            </w:r>
          </w:p>
        </w:tc>
        <w:tc>
          <w:tcPr>
            <w:tcW w:w="1160" w:type="dxa"/>
            <w:vAlign w:val="bottom"/>
            <w:tcBorders>
              <w:bottom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rPr>
              <w:t>2Q23</w:t>
            </w:r>
          </w:p>
        </w:tc>
        <w:tc>
          <w:tcPr>
            <w:tcW w:w="118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rPr>
              <w:t>3Q23</w:t>
            </w:r>
          </w:p>
        </w:tc>
        <w:tc>
          <w:tcPr>
            <w:tcW w:w="840" w:type="dxa"/>
            <w:vAlign w:val="bottom"/>
            <w:tcBorders>
              <w:bottom w:val="single" w:sz="8" w:color="auto"/>
            </w:tcBorders>
            <w:shd w:val="clear" w:color="auto" w:fill="33CCCC"/>
          </w:tcPr>
          <w:p>
            <w:pPr>
              <w:ind w:left="360"/>
              <w:spacing w:after="0"/>
              <w:rPr>
                <w:sz w:val="20"/>
                <w:szCs w:val="20"/>
                <w:color w:val="auto"/>
              </w:rPr>
            </w:pPr>
            <w:r>
              <w:rPr>
                <w:rFonts w:ascii="Arial" w:cs="Arial" w:eastAsia="Arial" w:hAnsi="Arial"/>
                <w:sz w:val="13"/>
                <w:szCs w:val="13"/>
                <w:b w:val="1"/>
                <w:bCs w:val="1"/>
                <w:color w:val="FFFFFF"/>
              </w:rPr>
              <w:t>Sep 22</w:t>
            </w:r>
          </w:p>
        </w:tc>
        <w:tc>
          <w:tcPr>
            <w:tcW w:w="1280" w:type="dxa"/>
            <w:vAlign w:val="bottom"/>
            <w:tcBorders>
              <w:bottom w:val="single" w:sz="8" w:color="auto"/>
              <w:right w:val="single" w:sz="8" w:color="auto"/>
            </w:tcBorders>
            <w:shd w:val="clear" w:color="auto" w:fill="33CCCC"/>
          </w:tcPr>
          <w:p>
            <w:pPr>
              <w:ind w:left="560"/>
              <w:spacing w:after="0"/>
              <w:rPr>
                <w:sz w:val="20"/>
                <w:szCs w:val="20"/>
                <w:color w:val="auto"/>
              </w:rPr>
            </w:pPr>
            <w:r>
              <w:rPr>
                <w:rFonts w:ascii="Arial" w:cs="Arial" w:eastAsia="Arial" w:hAnsi="Arial"/>
                <w:sz w:val="13"/>
                <w:szCs w:val="13"/>
                <w:b w:val="1"/>
                <w:bCs w:val="1"/>
                <w:color w:val="FFFFFF"/>
              </w:rPr>
              <w:t>Sep 23</w:t>
            </w:r>
          </w:p>
        </w:tc>
      </w:tr>
      <w:tr>
        <w:trPr>
          <w:trHeight w:val="120"/>
        </w:trPr>
        <w:tc>
          <w:tcPr>
            <w:tcW w:w="5640" w:type="dxa"/>
            <w:vAlign w:val="bottom"/>
            <w:tcBorders>
              <w:left w:val="single" w:sz="8" w:color="auto"/>
              <w:right w:val="single" w:sz="8" w:color="auto"/>
            </w:tcBorders>
          </w:tcPr>
          <w:p>
            <w:pPr>
              <w:ind w:left="20"/>
              <w:spacing w:after="0" w:line="120" w:lineRule="exact"/>
              <w:rPr>
                <w:sz w:val="20"/>
                <w:szCs w:val="20"/>
                <w:color w:val="auto"/>
              </w:rPr>
            </w:pPr>
            <w:r>
              <w:rPr>
                <w:rFonts w:ascii="Arial" w:cs="Arial" w:eastAsia="Arial" w:hAnsi="Arial"/>
                <w:sz w:val="13"/>
                <w:szCs w:val="13"/>
                <w:b w:val="1"/>
                <w:bCs w:val="1"/>
                <w:color w:val="auto"/>
              </w:rPr>
              <w:t>Profitability</w:t>
            </w:r>
          </w:p>
        </w:tc>
        <w:tc>
          <w:tcPr>
            <w:tcW w:w="11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180" w:type="dxa"/>
            <w:vAlign w:val="bottom"/>
            <w:tcBorders>
              <w:right w:val="single" w:sz="8" w:color="auto"/>
            </w:tcBorders>
          </w:tcPr>
          <w:p>
            <w:pPr>
              <w:spacing w:after="0"/>
              <w:rPr>
                <w:sz w:val="10"/>
                <w:szCs w:val="10"/>
                <w:color w:val="auto"/>
              </w:rPr>
            </w:pPr>
          </w:p>
        </w:tc>
        <w:tc>
          <w:tcPr>
            <w:tcW w:w="840" w:type="dxa"/>
            <w:vAlign w:val="bottom"/>
          </w:tcPr>
          <w:p>
            <w:pPr>
              <w:spacing w:after="0"/>
              <w:rPr>
                <w:sz w:val="10"/>
                <w:szCs w:val="10"/>
                <w:color w:val="auto"/>
              </w:rPr>
            </w:pPr>
          </w:p>
        </w:tc>
        <w:tc>
          <w:tcPr>
            <w:tcW w:w="1280" w:type="dxa"/>
            <w:vAlign w:val="bottom"/>
            <w:tcBorders>
              <w:right w:val="single" w:sz="8" w:color="auto"/>
            </w:tcBorders>
          </w:tcPr>
          <w:p>
            <w:pPr>
              <w:spacing w:after="0"/>
              <w:rPr>
                <w:sz w:val="10"/>
                <w:szCs w:val="10"/>
                <w:color w:val="auto"/>
              </w:rPr>
            </w:pPr>
          </w:p>
        </w:tc>
      </w:tr>
      <w:tr>
        <w:trPr>
          <w:trHeight w:val="148"/>
        </w:trPr>
        <w:tc>
          <w:tcPr>
            <w:tcW w:w="5640" w:type="dxa"/>
            <w:vAlign w:val="bottom"/>
            <w:tcBorders>
              <w:left w:val="single" w:sz="8" w:color="auto"/>
              <w:right w:val="single" w:sz="8" w:color="auto"/>
            </w:tcBorders>
          </w:tcPr>
          <w:p>
            <w:pPr>
              <w:ind w:left="20"/>
              <w:spacing w:after="0" w:line="149" w:lineRule="exact"/>
              <w:rPr>
                <w:sz w:val="20"/>
                <w:szCs w:val="20"/>
                <w:color w:val="auto"/>
              </w:rPr>
            </w:pPr>
            <w:r>
              <w:rPr>
                <w:rFonts w:ascii="Arial" w:cs="Arial" w:eastAsia="Arial" w:hAnsi="Arial"/>
                <w:sz w:val="17"/>
                <w:szCs w:val="17"/>
                <w:color w:val="auto"/>
                <w:vertAlign w:val="subscript"/>
              </w:rPr>
              <w:t>ROAA</w:t>
            </w:r>
            <w:r>
              <w:rPr>
                <w:rFonts w:ascii="Arial" w:cs="Arial" w:eastAsia="Arial" w:hAnsi="Arial"/>
                <w:sz w:val="9"/>
                <w:szCs w:val="9"/>
                <w:color w:val="auto"/>
              </w:rPr>
              <w:t xml:space="preserve"> (1)(2)</w:t>
            </w:r>
          </w:p>
        </w:tc>
        <w:tc>
          <w:tcPr>
            <w:tcW w:w="1160" w:type="dxa"/>
            <w:vAlign w:val="bottom"/>
          </w:tcPr>
          <w:p>
            <w:pPr>
              <w:jc w:val="center"/>
              <w:spacing w:after="0" w:line="149" w:lineRule="exact"/>
              <w:rPr>
                <w:sz w:val="20"/>
                <w:szCs w:val="20"/>
                <w:color w:val="auto"/>
              </w:rPr>
            </w:pPr>
            <w:r>
              <w:rPr>
                <w:rFonts w:ascii="Arial" w:cs="Arial" w:eastAsia="Arial" w:hAnsi="Arial"/>
                <w:sz w:val="13"/>
                <w:szCs w:val="13"/>
                <w:color w:val="auto"/>
              </w:rPr>
              <w:t>2.8%</w:t>
            </w:r>
          </w:p>
        </w:tc>
        <w:tc>
          <w:tcPr>
            <w:tcW w:w="1160" w:type="dxa"/>
            <w:vAlign w:val="bottom"/>
          </w:tcPr>
          <w:p>
            <w:pPr>
              <w:jc w:val="center"/>
              <w:spacing w:after="0" w:line="149" w:lineRule="exact"/>
              <w:rPr>
                <w:sz w:val="20"/>
                <w:szCs w:val="20"/>
                <w:color w:val="auto"/>
              </w:rPr>
            </w:pPr>
            <w:r>
              <w:rPr>
                <w:rFonts w:ascii="Arial" w:cs="Arial" w:eastAsia="Arial" w:hAnsi="Arial"/>
                <w:sz w:val="13"/>
                <w:szCs w:val="13"/>
                <w:color w:val="auto"/>
              </w:rPr>
              <w:t>2.8%</w:t>
            </w:r>
          </w:p>
        </w:tc>
        <w:tc>
          <w:tcPr>
            <w:tcW w:w="11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3"/>
                <w:szCs w:val="13"/>
                <w:color w:val="auto"/>
              </w:rPr>
              <w:t>2.5%</w:t>
            </w:r>
          </w:p>
        </w:tc>
        <w:tc>
          <w:tcPr>
            <w:tcW w:w="840" w:type="dxa"/>
            <w:vAlign w:val="bottom"/>
          </w:tcPr>
          <w:p>
            <w:pPr>
              <w:jc w:val="center"/>
              <w:ind w:left="234"/>
              <w:spacing w:after="0" w:line="149" w:lineRule="exact"/>
              <w:rPr>
                <w:sz w:val="20"/>
                <w:szCs w:val="20"/>
                <w:color w:val="auto"/>
              </w:rPr>
            </w:pPr>
            <w:r>
              <w:rPr>
                <w:rFonts w:ascii="Arial" w:cs="Arial" w:eastAsia="Arial" w:hAnsi="Arial"/>
                <w:sz w:val="13"/>
                <w:szCs w:val="13"/>
                <w:color w:val="auto"/>
              </w:rPr>
              <w:t>2.6%</w:t>
            </w:r>
          </w:p>
        </w:tc>
        <w:tc>
          <w:tcPr>
            <w:tcW w:w="1280" w:type="dxa"/>
            <w:vAlign w:val="bottom"/>
            <w:tcBorders>
              <w:right w:val="single" w:sz="8" w:color="auto"/>
            </w:tcBorders>
          </w:tcPr>
          <w:p>
            <w:pPr>
              <w:jc w:val="center"/>
              <w:ind w:left="234"/>
              <w:spacing w:after="0" w:line="149" w:lineRule="exact"/>
              <w:rPr>
                <w:sz w:val="20"/>
                <w:szCs w:val="20"/>
                <w:color w:val="auto"/>
              </w:rPr>
            </w:pPr>
            <w:r>
              <w:rPr>
                <w:rFonts w:ascii="Arial" w:cs="Arial" w:eastAsia="Arial" w:hAnsi="Arial"/>
                <w:sz w:val="13"/>
                <w:szCs w:val="13"/>
                <w:color w:val="auto"/>
              </w:rPr>
              <w:t>2.7%</w:t>
            </w:r>
          </w:p>
        </w:tc>
      </w:tr>
      <w:tr>
        <w:trPr>
          <w:trHeight w:val="148"/>
        </w:trPr>
        <w:tc>
          <w:tcPr>
            <w:tcW w:w="5640" w:type="dxa"/>
            <w:vAlign w:val="bottom"/>
            <w:tcBorders>
              <w:left w:val="single" w:sz="8" w:color="auto"/>
              <w:right w:val="single" w:sz="8" w:color="auto"/>
            </w:tcBorders>
          </w:tcPr>
          <w:p>
            <w:pPr>
              <w:ind w:left="20"/>
              <w:spacing w:after="0" w:line="149" w:lineRule="exact"/>
              <w:rPr>
                <w:sz w:val="20"/>
                <w:szCs w:val="20"/>
                <w:color w:val="auto"/>
              </w:rPr>
            </w:pPr>
            <w:r>
              <w:rPr>
                <w:rFonts w:ascii="Arial" w:cs="Arial" w:eastAsia="Arial" w:hAnsi="Arial"/>
                <w:sz w:val="17"/>
                <w:szCs w:val="17"/>
                <w:color w:val="auto"/>
                <w:vertAlign w:val="subscript"/>
              </w:rPr>
              <w:t>ROAE</w:t>
            </w:r>
            <w:r>
              <w:rPr>
                <w:rFonts w:ascii="Arial" w:cs="Arial" w:eastAsia="Arial" w:hAnsi="Arial"/>
                <w:sz w:val="9"/>
                <w:szCs w:val="9"/>
                <w:color w:val="auto"/>
              </w:rPr>
              <w:t xml:space="preserve"> (1)(2)</w:t>
            </w:r>
          </w:p>
        </w:tc>
        <w:tc>
          <w:tcPr>
            <w:tcW w:w="1160" w:type="dxa"/>
            <w:vAlign w:val="bottom"/>
          </w:tcPr>
          <w:p>
            <w:pPr>
              <w:jc w:val="center"/>
              <w:spacing w:after="0" w:line="149" w:lineRule="exact"/>
              <w:rPr>
                <w:sz w:val="20"/>
                <w:szCs w:val="20"/>
                <w:color w:val="auto"/>
              </w:rPr>
            </w:pPr>
            <w:r>
              <w:rPr>
                <w:rFonts w:ascii="Arial" w:cs="Arial" w:eastAsia="Arial" w:hAnsi="Arial"/>
                <w:sz w:val="13"/>
                <w:szCs w:val="13"/>
                <w:color w:val="auto"/>
                <w:w w:val="97"/>
              </w:rPr>
              <w:t>24.0%</w:t>
            </w:r>
          </w:p>
        </w:tc>
        <w:tc>
          <w:tcPr>
            <w:tcW w:w="1160" w:type="dxa"/>
            <w:vAlign w:val="bottom"/>
          </w:tcPr>
          <w:p>
            <w:pPr>
              <w:jc w:val="center"/>
              <w:spacing w:after="0" w:line="149" w:lineRule="exact"/>
              <w:rPr>
                <w:sz w:val="20"/>
                <w:szCs w:val="20"/>
                <w:color w:val="auto"/>
              </w:rPr>
            </w:pPr>
            <w:r>
              <w:rPr>
                <w:rFonts w:ascii="Arial" w:cs="Arial" w:eastAsia="Arial" w:hAnsi="Arial"/>
                <w:sz w:val="13"/>
                <w:szCs w:val="13"/>
                <w:color w:val="auto"/>
                <w:w w:val="97"/>
              </w:rPr>
              <w:t>22.3%</w:t>
            </w:r>
          </w:p>
        </w:tc>
        <w:tc>
          <w:tcPr>
            <w:tcW w:w="11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3"/>
                <w:szCs w:val="13"/>
                <w:color w:val="auto"/>
                <w:w w:val="97"/>
              </w:rPr>
              <w:t>18.6%</w:t>
            </w:r>
          </w:p>
        </w:tc>
        <w:tc>
          <w:tcPr>
            <w:tcW w:w="840" w:type="dxa"/>
            <w:vAlign w:val="bottom"/>
          </w:tcPr>
          <w:p>
            <w:pPr>
              <w:jc w:val="center"/>
              <w:ind w:left="234"/>
              <w:spacing w:after="0" w:line="149" w:lineRule="exact"/>
              <w:rPr>
                <w:sz w:val="20"/>
                <w:szCs w:val="20"/>
                <w:color w:val="auto"/>
              </w:rPr>
            </w:pPr>
            <w:r>
              <w:rPr>
                <w:rFonts w:ascii="Arial" w:cs="Arial" w:eastAsia="Arial" w:hAnsi="Arial"/>
                <w:sz w:val="13"/>
                <w:szCs w:val="13"/>
                <w:color w:val="auto"/>
              </w:rPr>
              <w:t>22.3%</w:t>
            </w:r>
          </w:p>
        </w:tc>
        <w:tc>
          <w:tcPr>
            <w:tcW w:w="1280" w:type="dxa"/>
            <w:vAlign w:val="bottom"/>
            <w:tcBorders>
              <w:right w:val="single" w:sz="8" w:color="auto"/>
            </w:tcBorders>
          </w:tcPr>
          <w:p>
            <w:pPr>
              <w:jc w:val="center"/>
              <w:ind w:left="214"/>
              <w:spacing w:after="0" w:line="149" w:lineRule="exact"/>
              <w:rPr>
                <w:sz w:val="20"/>
                <w:szCs w:val="20"/>
                <w:color w:val="auto"/>
              </w:rPr>
            </w:pPr>
            <w:r>
              <w:rPr>
                <w:rFonts w:ascii="Arial" w:cs="Arial" w:eastAsia="Arial" w:hAnsi="Arial"/>
                <w:sz w:val="13"/>
                <w:szCs w:val="13"/>
                <w:color w:val="auto"/>
                <w:w w:val="97"/>
              </w:rPr>
              <w:t>20.4%</w:t>
            </w:r>
          </w:p>
        </w:tc>
      </w:tr>
      <w:tr>
        <w:trPr>
          <w:trHeight w:val="148"/>
        </w:trPr>
        <w:tc>
          <w:tcPr>
            <w:tcW w:w="5640" w:type="dxa"/>
            <w:vAlign w:val="bottom"/>
            <w:tcBorders>
              <w:left w:val="single" w:sz="8" w:color="auto"/>
              <w:right w:val="single" w:sz="8" w:color="auto"/>
            </w:tcBorders>
          </w:tcPr>
          <w:p>
            <w:pPr>
              <w:ind w:left="20"/>
              <w:spacing w:after="0" w:line="149" w:lineRule="exact"/>
              <w:rPr>
                <w:sz w:val="20"/>
                <w:szCs w:val="20"/>
                <w:color w:val="auto"/>
              </w:rPr>
            </w:pPr>
            <w:r>
              <w:rPr>
                <w:rFonts w:ascii="Arial" w:cs="Arial" w:eastAsia="Arial" w:hAnsi="Arial"/>
                <w:sz w:val="11"/>
                <w:szCs w:val="11"/>
                <w:color w:val="auto"/>
              </w:rPr>
              <w:t xml:space="preserve">Net interest margin </w:t>
            </w:r>
            <w:r>
              <w:rPr>
                <w:rFonts w:ascii="Arial" w:cs="Arial" w:eastAsia="Arial" w:hAnsi="Arial"/>
                <w:sz w:val="17"/>
                <w:szCs w:val="17"/>
                <w:color w:val="auto"/>
                <w:vertAlign w:val="superscript"/>
              </w:rPr>
              <w:t>(1)(2)</w:t>
            </w:r>
          </w:p>
        </w:tc>
        <w:tc>
          <w:tcPr>
            <w:tcW w:w="1160" w:type="dxa"/>
            <w:vAlign w:val="bottom"/>
          </w:tcPr>
          <w:p>
            <w:pPr>
              <w:jc w:val="center"/>
              <w:spacing w:after="0" w:line="149" w:lineRule="exact"/>
              <w:rPr>
                <w:sz w:val="20"/>
                <w:szCs w:val="20"/>
                <w:color w:val="auto"/>
              </w:rPr>
            </w:pPr>
            <w:r>
              <w:rPr>
                <w:rFonts w:ascii="Arial" w:cs="Arial" w:eastAsia="Arial" w:hAnsi="Arial"/>
                <w:sz w:val="13"/>
                <w:szCs w:val="13"/>
                <w:color w:val="auto"/>
              </w:rPr>
              <w:t>4.8%</w:t>
            </w:r>
          </w:p>
        </w:tc>
        <w:tc>
          <w:tcPr>
            <w:tcW w:w="1160" w:type="dxa"/>
            <w:vAlign w:val="bottom"/>
          </w:tcPr>
          <w:p>
            <w:pPr>
              <w:jc w:val="center"/>
              <w:spacing w:after="0" w:line="149" w:lineRule="exact"/>
              <w:rPr>
                <w:sz w:val="20"/>
                <w:szCs w:val="20"/>
                <w:color w:val="auto"/>
              </w:rPr>
            </w:pPr>
            <w:r>
              <w:rPr>
                <w:rFonts w:ascii="Arial" w:cs="Arial" w:eastAsia="Arial" w:hAnsi="Arial"/>
                <w:sz w:val="13"/>
                <w:szCs w:val="13"/>
                <w:color w:val="auto"/>
              </w:rPr>
              <w:t>5.7%</w:t>
            </w:r>
          </w:p>
        </w:tc>
        <w:tc>
          <w:tcPr>
            <w:tcW w:w="11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3"/>
                <w:szCs w:val="13"/>
                <w:color w:val="auto"/>
              </w:rPr>
              <w:t>5.8%</w:t>
            </w:r>
          </w:p>
        </w:tc>
        <w:tc>
          <w:tcPr>
            <w:tcW w:w="840" w:type="dxa"/>
            <w:vAlign w:val="bottom"/>
          </w:tcPr>
          <w:p>
            <w:pPr>
              <w:jc w:val="center"/>
              <w:ind w:left="234"/>
              <w:spacing w:after="0" w:line="149" w:lineRule="exact"/>
              <w:rPr>
                <w:sz w:val="20"/>
                <w:szCs w:val="20"/>
                <w:color w:val="auto"/>
              </w:rPr>
            </w:pPr>
            <w:r>
              <w:rPr>
                <w:rFonts w:ascii="Arial" w:cs="Arial" w:eastAsia="Arial" w:hAnsi="Arial"/>
                <w:sz w:val="13"/>
                <w:szCs w:val="13"/>
                <w:color w:val="auto"/>
              </w:rPr>
              <w:t>4.3%</w:t>
            </w:r>
          </w:p>
        </w:tc>
        <w:tc>
          <w:tcPr>
            <w:tcW w:w="1280" w:type="dxa"/>
            <w:vAlign w:val="bottom"/>
            <w:tcBorders>
              <w:right w:val="single" w:sz="8" w:color="auto"/>
            </w:tcBorders>
          </w:tcPr>
          <w:p>
            <w:pPr>
              <w:jc w:val="center"/>
              <w:ind w:left="234"/>
              <w:spacing w:after="0" w:line="149" w:lineRule="exact"/>
              <w:rPr>
                <w:sz w:val="20"/>
                <w:szCs w:val="20"/>
                <w:color w:val="auto"/>
              </w:rPr>
            </w:pPr>
            <w:r>
              <w:rPr>
                <w:rFonts w:ascii="Arial" w:cs="Arial" w:eastAsia="Arial" w:hAnsi="Arial"/>
                <w:sz w:val="13"/>
                <w:szCs w:val="13"/>
                <w:color w:val="auto"/>
              </w:rPr>
              <w:t>5.7%</w:t>
            </w:r>
          </w:p>
        </w:tc>
      </w:tr>
      <w:tr>
        <w:trPr>
          <w:trHeight w:val="148"/>
        </w:trPr>
        <w:tc>
          <w:tcPr>
            <w:tcW w:w="5640" w:type="dxa"/>
            <w:vAlign w:val="bottom"/>
            <w:tcBorders>
              <w:left w:val="single" w:sz="8" w:color="auto"/>
              <w:right w:val="single" w:sz="8" w:color="auto"/>
            </w:tcBorders>
          </w:tcPr>
          <w:p>
            <w:pPr>
              <w:ind w:left="20"/>
              <w:spacing w:after="0" w:line="149" w:lineRule="exact"/>
              <w:rPr>
                <w:sz w:val="20"/>
                <w:szCs w:val="20"/>
                <w:color w:val="auto"/>
              </w:rPr>
            </w:pPr>
            <w:r>
              <w:rPr>
                <w:rFonts w:ascii="Arial" w:cs="Arial" w:eastAsia="Arial" w:hAnsi="Arial"/>
                <w:sz w:val="11"/>
                <w:szCs w:val="11"/>
                <w:color w:val="auto"/>
              </w:rPr>
              <w:t xml:space="preserve">Risk adjusted NIM </w:t>
            </w:r>
            <w:r>
              <w:rPr>
                <w:rFonts w:ascii="Arial" w:cs="Arial" w:eastAsia="Arial" w:hAnsi="Arial"/>
                <w:sz w:val="17"/>
                <w:szCs w:val="17"/>
                <w:color w:val="auto"/>
                <w:vertAlign w:val="superscript"/>
              </w:rPr>
              <w:t>(1)(2)</w:t>
            </w:r>
          </w:p>
        </w:tc>
        <w:tc>
          <w:tcPr>
            <w:tcW w:w="1160" w:type="dxa"/>
            <w:vAlign w:val="bottom"/>
          </w:tcPr>
          <w:p>
            <w:pPr>
              <w:jc w:val="center"/>
              <w:spacing w:after="0" w:line="149" w:lineRule="exact"/>
              <w:rPr>
                <w:sz w:val="20"/>
                <w:szCs w:val="20"/>
                <w:color w:val="auto"/>
              </w:rPr>
            </w:pPr>
            <w:r>
              <w:rPr>
                <w:rFonts w:ascii="Arial" w:cs="Arial" w:eastAsia="Arial" w:hAnsi="Arial"/>
                <w:sz w:val="13"/>
                <w:szCs w:val="13"/>
                <w:color w:val="auto"/>
              </w:rPr>
              <w:t>4.0%</w:t>
            </w:r>
          </w:p>
        </w:tc>
        <w:tc>
          <w:tcPr>
            <w:tcW w:w="1160" w:type="dxa"/>
            <w:vAlign w:val="bottom"/>
          </w:tcPr>
          <w:p>
            <w:pPr>
              <w:jc w:val="center"/>
              <w:spacing w:after="0" w:line="149" w:lineRule="exact"/>
              <w:rPr>
                <w:sz w:val="20"/>
                <w:szCs w:val="20"/>
                <w:color w:val="auto"/>
              </w:rPr>
            </w:pPr>
            <w:r>
              <w:rPr>
                <w:rFonts w:ascii="Arial" w:cs="Arial" w:eastAsia="Arial" w:hAnsi="Arial"/>
                <w:sz w:val="13"/>
                <w:szCs w:val="13"/>
                <w:color w:val="auto"/>
              </w:rPr>
              <w:t>4.3%</w:t>
            </w:r>
          </w:p>
        </w:tc>
        <w:tc>
          <w:tcPr>
            <w:tcW w:w="11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3"/>
                <w:szCs w:val="13"/>
                <w:color w:val="auto"/>
              </w:rPr>
              <w:t>4.2%</w:t>
            </w:r>
          </w:p>
        </w:tc>
        <w:tc>
          <w:tcPr>
            <w:tcW w:w="840" w:type="dxa"/>
            <w:vAlign w:val="bottom"/>
          </w:tcPr>
          <w:p>
            <w:pPr>
              <w:jc w:val="center"/>
              <w:ind w:left="234"/>
              <w:spacing w:after="0" w:line="149" w:lineRule="exact"/>
              <w:rPr>
                <w:sz w:val="20"/>
                <w:szCs w:val="20"/>
                <w:color w:val="auto"/>
              </w:rPr>
            </w:pPr>
            <w:r>
              <w:rPr>
                <w:rFonts w:ascii="Arial" w:cs="Arial" w:eastAsia="Arial" w:hAnsi="Arial"/>
                <w:sz w:val="13"/>
                <w:szCs w:val="13"/>
                <w:color w:val="auto"/>
              </w:rPr>
              <w:t>3.8%</w:t>
            </w:r>
          </w:p>
        </w:tc>
        <w:tc>
          <w:tcPr>
            <w:tcW w:w="1280" w:type="dxa"/>
            <w:vAlign w:val="bottom"/>
            <w:tcBorders>
              <w:right w:val="single" w:sz="8" w:color="auto"/>
            </w:tcBorders>
          </w:tcPr>
          <w:p>
            <w:pPr>
              <w:jc w:val="center"/>
              <w:ind w:left="234"/>
              <w:spacing w:after="0" w:line="149" w:lineRule="exact"/>
              <w:rPr>
                <w:sz w:val="20"/>
                <w:szCs w:val="20"/>
                <w:color w:val="auto"/>
              </w:rPr>
            </w:pPr>
            <w:r>
              <w:rPr>
                <w:rFonts w:ascii="Arial" w:cs="Arial" w:eastAsia="Arial" w:hAnsi="Arial"/>
                <w:sz w:val="13"/>
                <w:szCs w:val="13"/>
                <w:color w:val="auto"/>
              </w:rPr>
              <w:t>4.3%</w:t>
            </w:r>
          </w:p>
        </w:tc>
      </w:tr>
      <w:tr>
        <w:trPr>
          <w:trHeight w:val="288"/>
        </w:trPr>
        <w:tc>
          <w:tcPr>
            <w:tcW w:w="56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 xml:space="preserve">Funding Cost </w:t>
            </w:r>
            <w:r>
              <w:rPr>
                <w:rFonts w:ascii="Arial" w:cs="Arial" w:eastAsia="Arial" w:hAnsi="Arial"/>
                <w:sz w:val="21"/>
                <w:szCs w:val="21"/>
                <w:color w:val="auto"/>
                <w:vertAlign w:val="superscript"/>
              </w:rPr>
              <w:t>(1)(2)(3)</w:t>
            </w:r>
          </w:p>
        </w:tc>
        <w:tc>
          <w:tcPr>
            <w:tcW w:w="1160" w:type="dxa"/>
            <w:vAlign w:val="bottom"/>
          </w:tcPr>
          <w:p>
            <w:pPr>
              <w:jc w:val="center"/>
              <w:spacing w:after="0"/>
              <w:rPr>
                <w:sz w:val="20"/>
                <w:szCs w:val="20"/>
                <w:color w:val="auto"/>
              </w:rPr>
            </w:pPr>
            <w:r>
              <w:rPr>
                <w:rFonts w:ascii="Arial" w:cs="Arial" w:eastAsia="Arial" w:hAnsi="Arial"/>
                <w:sz w:val="13"/>
                <w:szCs w:val="13"/>
                <w:color w:val="auto"/>
              </w:rPr>
              <w:t>1.7%</w:t>
            </w:r>
          </w:p>
        </w:tc>
        <w:tc>
          <w:tcPr>
            <w:tcW w:w="1160" w:type="dxa"/>
            <w:vAlign w:val="bottom"/>
          </w:tcPr>
          <w:p>
            <w:pPr>
              <w:jc w:val="center"/>
              <w:spacing w:after="0"/>
              <w:rPr>
                <w:sz w:val="20"/>
                <w:szCs w:val="20"/>
                <w:color w:val="auto"/>
              </w:rPr>
            </w:pPr>
            <w:r>
              <w:rPr>
                <w:rFonts w:ascii="Arial" w:cs="Arial" w:eastAsia="Arial" w:hAnsi="Arial"/>
                <w:sz w:val="13"/>
                <w:szCs w:val="13"/>
                <w:color w:val="auto"/>
              </w:rPr>
              <w:t>2.4%</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2.7%</w:t>
            </w:r>
          </w:p>
        </w:tc>
        <w:tc>
          <w:tcPr>
            <w:tcW w:w="840" w:type="dxa"/>
            <w:vAlign w:val="bottom"/>
          </w:tcPr>
          <w:p>
            <w:pPr>
              <w:jc w:val="center"/>
              <w:ind w:left="234"/>
              <w:spacing w:after="0"/>
              <w:rPr>
                <w:sz w:val="20"/>
                <w:szCs w:val="20"/>
                <w:color w:val="auto"/>
              </w:rPr>
            </w:pPr>
            <w:r>
              <w:rPr>
                <w:rFonts w:ascii="Arial" w:cs="Arial" w:eastAsia="Arial" w:hAnsi="Arial"/>
                <w:sz w:val="13"/>
                <w:szCs w:val="13"/>
                <w:color w:val="auto"/>
              </w:rPr>
              <w:t>1.3%</w:t>
            </w:r>
          </w:p>
        </w:tc>
        <w:tc>
          <w:tcPr>
            <w:tcW w:w="1280" w:type="dxa"/>
            <w:vAlign w:val="bottom"/>
            <w:tcBorders>
              <w:right w:val="single" w:sz="8" w:color="auto"/>
            </w:tcBorders>
          </w:tcPr>
          <w:p>
            <w:pPr>
              <w:jc w:val="center"/>
              <w:ind w:left="234"/>
              <w:spacing w:after="0"/>
              <w:rPr>
                <w:sz w:val="20"/>
                <w:szCs w:val="20"/>
                <w:color w:val="auto"/>
              </w:rPr>
            </w:pPr>
            <w:r>
              <w:rPr>
                <w:rFonts w:ascii="Arial" w:cs="Arial" w:eastAsia="Arial" w:hAnsi="Arial"/>
                <w:sz w:val="13"/>
                <w:szCs w:val="13"/>
                <w:color w:val="auto"/>
              </w:rPr>
              <w:t>2.4%</w:t>
            </w:r>
          </w:p>
        </w:tc>
      </w:tr>
      <w:tr>
        <w:trPr>
          <w:trHeight w:val="174"/>
        </w:trPr>
        <w:tc>
          <w:tcPr>
            <w:tcW w:w="56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Quality of loan portfolio</w:t>
            </w:r>
          </w:p>
        </w:tc>
        <w:tc>
          <w:tcPr>
            <w:tcW w:w="1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80" w:type="dxa"/>
            <w:vAlign w:val="bottom"/>
            <w:tcBorders>
              <w:right w:val="single" w:sz="8" w:color="auto"/>
            </w:tcBorders>
          </w:tcPr>
          <w:p>
            <w:pPr>
              <w:spacing w:after="0"/>
              <w:rPr>
                <w:sz w:val="15"/>
                <w:szCs w:val="15"/>
                <w:color w:val="auto"/>
              </w:rPr>
            </w:pPr>
          </w:p>
        </w:tc>
        <w:tc>
          <w:tcPr>
            <w:tcW w:w="840" w:type="dxa"/>
            <w:vAlign w:val="bottom"/>
          </w:tcPr>
          <w:p>
            <w:pPr>
              <w:spacing w:after="0"/>
              <w:rPr>
                <w:sz w:val="15"/>
                <w:szCs w:val="15"/>
                <w:color w:val="auto"/>
              </w:rPr>
            </w:pPr>
          </w:p>
        </w:tc>
        <w:tc>
          <w:tcPr>
            <w:tcW w:w="1280" w:type="dxa"/>
            <w:vAlign w:val="bottom"/>
            <w:tcBorders>
              <w:right w:val="single" w:sz="8" w:color="auto"/>
            </w:tcBorders>
          </w:tcPr>
          <w:p>
            <w:pPr>
              <w:spacing w:after="0"/>
              <w:rPr>
                <w:sz w:val="15"/>
                <w:szCs w:val="15"/>
                <w:color w:val="auto"/>
              </w:rPr>
            </w:pPr>
          </w:p>
        </w:tc>
      </w:tr>
      <w:tr>
        <w:trPr>
          <w:trHeight w:val="148"/>
        </w:trPr>
        <w:tc>
          <w:tcPr>
            <w:tcW w:w="5640" w:type="dxa"/>
            <w:vAlign w:val="bottom"/>
            <w:tcBorders>
              <w:left w:val="single" w:sz="8" w:color="auto"/>
              <w:right w:val="single" w:sz="8" w:color="auto"/>
            </w:tcBorders>
          </w:tcPr>
          <w:p>
            <w:pPr>
              <w:ind w:left="20"/>
              <w:spacing w:after="0" w:line="149" w:lineRule="exact"/>
              <w:rPr>
                <w:sz w:val="20"/>
                <w:szCs w:val="20"/>
                <w:color w:val="auto"/>
              </w:rPr>
            </w:pPr>
            <w:r>
              <w:rPr>
                <w:rFonts w:ascii="Arial" w:cs="Arial" w:eastAsia="Arial" w:hAnsi="Arial"/>
                <w:sz w:val="13"/>
                <w:szCs w:val="13"/>
                <w:color w:val="auto"/>
              </w:rPr>
              <w:t>IOL ratio</w:t>
            </w:r>
          </w:p>
        </w:tc>
        <w:tc>
          <w:tcPr>
            <w:tcW w:w="1160" w:type="dxa"/>
            <w:vAlign w:val="bottom"/>
          </w:tcPr>
          <w:p>
            <w:pPr>
              <w:jc w:val="center"/>
              <w:spacing w:after="0" w:line="149" w:lineRule="exact"/>
              <w:rPr>
                <w:sz w:val="20"/>
                <w:szCs w:val="20"/>
                <w:color w:val="auto"/>
              </w:rPr>
            </w:pPr>
            <w:r>
              <w:rPr>
                <w:rFonts w:ascii="Arial" w:cs="Arial" w:eastAsia="Arial" w:hAnsi="Arial"/>
                <w:sz w:val="13"/>
                <w:szCs w:val="13"/>
                <w:color w:val="auto"/>
              </w:rPr>
              <w:t>4.0%</w:t>
            </w:r>
          </w:p>
        </w:tc>
        <w:tc>
          <w:tcPr>
            <w:tcW w:w="1160" w:type="dxa"/>
            <w:vAlign w:val="bottom"/>
          </w:tcPr>
          <w:p>
            <w:pPr>
              <w:jc w:val="center"/>
              <w:spacing w:after="0" w:line="149" w:lineRule="exact"/>
              <w:rPr>
                <w:sz w:val="20"/>
                <w:szCs w:val="20"/>
                <w:color w:val="auto"/>
              </w:rPr>
            </w:pPr>
            <w:r>
              <w:rPr>
                <w:rFonts w:ascii="Arial" w:cs="Arial" w:eastAsia="Arial" w:hAnsi="Arial"/>
                <w:sz w:val="13"/>
                <w:szCs w:val="13"/>
                <w:color w:val="auto"/>
              </w:rPr>
              <w:t>4.1%</w:t>
            </w:r>
          </w:p>
        </w:tc>
        <w:tc>
          <w:tcPr>
            <w:tcW w:w="11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3"/>
                <w:szCs w:val="13"/>
                <w:color w:val="auto"/>
              </w:rPr>
              <w:t>4.4%</w:t>
            </w:r>
          </w:p>
        </w:tc>
        <w:tc>
          <w:tcPr>
            <w:tcW w:w="840" w:type="dxa"/>
            <w:vAlign w:val="bottom"/>
          </w:tcPr>
          <w:p>
            <w:pPr>
              <w:jc w:val="center"/>
              <w:ind w:left="234"/>
              <w:spacing w:after="0" w:line="149" w:lineRule="exact"/>
              <w:rPr>
                <w:sz w:val="20"/>
                <w:szCs w:val="20"/>
                <w:color w:val="auto"/>
              </w:rPr>
            </w:pPr>
            <w:r>
              <w:rPr>
                <w:rFonts w:ascii="Arial" w:cs="Arial" w:eastAsia="Arial" w:hAnsi="Arial"/>
                <w:sz w:val="13"/>
                <w:szCs w:val="13"/>
                <w:color w:val="auto"/>
              </w:rPr>
              <w:t>4.0%</w:t>
            </w:r>
          </w:p>
        </w:tc>
        <w:tc>
          <w:tcPr>
            <w:tcW w:w="1280" w:type="dxa"/>
            <w:vAlign w:val="bottom"/>
            <w:tcBorders>
              <w:right w:val="single" w:sz="8" w:color="auto"/>
            </w:tcBorders>
          </w:tcPr>
          <w:p>
            <w:pPr>
              <w:jc w:val="center"/>
              <w:ind w:left="234"/>
              <w:spacing w:after="0" w:line="149" w:lineRule="exact"/>
              <w:rPr>
                <w:sz w:val="20"/>
                <w:szCs w:val="20"/>
                <w:color w:val="auto"/>
              </w:rPr>
            </w:pPr>
            <w:r>
              <w:rPr>
                <w:rFonts w:ascii="Arial" w:cs="Arial" w:eastAsia="Arial" w:hAnsi="Arial"/>
                <w:sz w:val="13"/>
                <w:szCs w:val="13"/>
                <w:color w:val="auto"/>
              </w:rPr>
              <w:t>4.4%</w:t>
            </w:r>
          </w:p>
        </w:tc>
      </w:tr>
      <w:tr>
        <w:trPr>
          <w:trHeight w:val="148"/>
        </w:trPr>
        <w:tc>
          <w:tcPr>
            <w:tcW w:w="5640" w:type="dxa"/>
            <w:vAlign w:val="bottom"/>
            <w:tcBorders>
              <w:left w:val="single" w:sz="8" w:color="auto"/>
              <w:right w:val="single" w:sz="8" w:color="auto"/>
            </w:tcBorders>
          </w:tcPr>
          <w:p>
            <w:pPr>
              <w:ind w:left="20"/>
              <w:spacing w:after="0" w:line="149" w:lineRule="exact"/>
              <w:rPr>
                <w:sz w:val="20"/>
                <w:szCs w:val="20"/>
                <w:color w:val="auto"/>
              </w:rPr>
            </w:pPr>
            <w:r>
              <w:rPr>
                <w:rFonts w:ascii="Arial" w:cs="Arial" w:eastAsia="Arial" w:hAnsi="Arial"/>
                <w:sz w:val="13"/>
                <w:szCs w:val="13"/>
                <w:color w:val="auto"/>
              </w:rPr>
              <w:t>NPL ratio</w:t>
            </w:r>
          </w:p>
        </w:tc>
        <w:tc>
          <w:tcPr>
            <w:tcW w:w="1160" w:type="dxa"/>
            <w:vAlign w:val="bottom"/>
          </w:tcPr>
          <w:p>
            <w:pPr>
              <w:jc w:val="center"/>
              <w:spacing w:after="0" w:line="149" w:lineRule="exact"/>
              <w:rPr>
                <w:sz w:val="20"/>
                <w:szCs w:val="20"/>
                <w:color w:val="auto"/>
              </w:rPr>
            </w:pPr>
            <w:r>
              <w:rPr>
                <w:rFonts w:ascii="Arial" w:cs="Arial" w:eastAsia="Arial" w:hAnsi="Arial"/>
                <w:sz w:val="13"/>
                <w:szCs w:val="13"/>
                <w:color w:val="auto"/>
              </w:rPr>
              <w:t>5.3%</w:t>
            </w:r>
          </w:p>
        </w:tc>
        <w:tc>
          <w:tcPr>
            <w:tcW w:w="1160" w:type="dxa"/>
            <w:vAlign w:val="bottom"/>
          </w:tcPr>
          <w:p>
            <w:pPr>
              <w:jc w:val="center"/>
              <w:spacing w:after="0" w:line="149" w:lineRule="exact"/>
              <w:rPr>
                <w:sz w:val="20"/>
                <w:szCs w:val="20"/>
                <w:color w:val="auto"/>
              </w:rPr>
            </w:pPr>
            <w:r>
              <w:rPr>
                <w:rFonts w:ascii="Arial" w:cs="Arial" w:eastAsia="Arial" w:hAnsi="Arial"/>
                <w:sz w:val="13"/>
                <w:szCs w:val="13"/>
                <w:color w:val="auto"/>
              </w:rPr>
              <w:t>5.7%</w:t>
            </w:r>
          </w:p>
        </w:tc>
        <w:tc>
          <w:tcPr>
            <w:tcW w:w="11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3"/>
                <w:szCs w:val="13"/>
                <w:color w:val="auto"/>
              </w:rPr>
              <w:t>6.1%</w:t>
            </w:r>
          </w:p>
        </w:tc>
        <w:tc>
          <w:tcPr>
            <w:tcW w:w="840" w:type="dxa"/>
            <w:vAlign w:val="bottom"/>
          </w:tcPr>
          <w:p>
            <w:pPr>
              <w:jc w:val="center"/>
              <w:ind w:left="234"/>
              <w:spacing w:after="0" w:line="149" w:lineRule="exact"/>
              <w:rPr>
                <w:sz w:val="20"/>
                <w:szCs w:val="20"/>
                <w:color w:val="auto"/>
              </w:rPr>
            </w:pPr>
            <w:r>
              <w:rPr>
                <w:rFonts w:ascii="Arial" w:cs="Arial" w:eastAsia="Arial" w:hAnsi="Arial"/>
                <w:sz w:val="13"/>
                <w:szCs w:val="13"/>
                <w:color w:val="auto"/>
              </w:rPr>
              <w:t>5.3%</w:t>
            </w:r>
          </w:p>
        </w:tc>
        <w:tc>
          <w:tcPr>
            <w:tcW w:w="1280" w:type="dxa"/>
            <w:vAlign w:val="bottom"/>
            <w:tcBorders>
              <w:right w:val="single" w:sz="8" w:color="auto"/>
            </w:tcBorders>
          </w:tcPr>
          <w:p>
            <w:pPr>
              <w:jc w:val="center"/>
              <w:ind w:left="234"/>
              <w:spacing w:after="0" w:line="149" w:lineRule="exact"/>
              <w:rPr>
                <w:sz w:val="20"/>
                <w:szCs w:val="20"/>
                <w:color w:val="auto"/>
              </w:rPr>
            </w:pPr>
            <w:r>
              <w:rPr>
                <w:rFonts w:ascii="Arial" w:cs="Arial" w:eastAsia="Arial" w:hAnsi="Arial"/>
                <w:sz w:val="13"/>
                <w:szCs w:val="13"/>
                <w:color w:val="auto"/>
              </w:rPr>
              <w:t>6.1%</w:t>
            </w:r>
          </w:p>
        </w:tc>
      </w:tr>
      <w:tr>
        <w:trPr>
          <w:trHeight w:val="148"/>
        </w:trPr>
        <w:tc>
          <w:tcPr>
            <w:tcW w:w="5640" w:type="dxa"/>
            <w:vAlign w:val="bottom"/>
            <w:tcBorders>
              <w:left w:val="single" w:sz="8" w:color="auto"/>
              <w:right w:val="single" w:sz="8" w:color="auto"/>
            </w:tcBorders>
          </w:tcPr>
          <w:p>
            <w:pPr>
              <w:ind w:left="20"/>
              <w:spacing w:after="0" w:line="149" w:lineRule="exact"/>
              <w:rPr>
                <w:sz w:val="20"/>
                <w:szCs w:val="20"/>
                <w:color w:val="auto"/>
              </w:rPr>
            </w:pPr>
            <w:r>
              <w:rPr>
                <w:rFonts w:ascii="Arial" w:cs="Arial" w:eastAsia="Arial" w:hAnsi="Arial"/>
                <w:sz w:val="13"/>
                <w:szCs w:val="13"/>
                <w:color w:val="auto"/>
              </w:rPr>
              <w:t>Coverage of IOLs</w:t>
            </w:r>
          </w:p>
        </w:tc>
        <w:tc>
          <w:tcPr>
            <w:tcW w:w="1160" w:type="dxa"/>
            <w:vAlign w:val="bottom"/>
          </w:tcPr>
          <w:p>
            <w:pPr>
              <w:jc w:val="center"/>
              <w:spacing w:after="0" w:line="149" w:lineRule="exact"/>
              <w:rPr>
                <w:sz w:val="20"/>
                <w:szCs w:val="20"/>
                <w:color w:val="auto"/>
              </w:rPr>
            </w:pPr>
            <w:r>
              <w:rPr>
                <w:rFonts w:ascii="Arial" w:cs="Arial" w:eastAsia="Arial" w:hAnsi="Arial"/>
                <w:sz w:val="13"/>
                <w:szCs w:val="13"/>
                <w:color w:val="auto"/>
                <w:w w:val="99"/>
              </w:rPr>
              <w:t>127.7%</w:t>
            </w:r>
          </w:p>
        </w:tc>
        <w:tc>
          <w:tcPr>
            <w:tcW w:w="1160" w:type="dxa"/>
            <w:vAlign w:val="bottom"/>
          </w:tcPr>
          <w:p>
            <w:pPr>
              <w:jc w:val="center"/>
              <w:spacing w:after="0" w:line="149" w:lineRule="exact"/>
              <w:rPr>
                <w:sz w:val="20"/>
                <w:szCs w:val="20"/>
                <w:color w:val="auto"/>
              </w:rPr>
            </w:pPr>
            <w:r>
              <w:rPr>
                <w:rFonts w:ascii="Arial" w:cs="Arial" w:eastAsia="Arial" w:hAnsi="Arial"/>
                <w:sz w:val="13"/>
                <w:szCs w:val="13"/>
                <w:color w:val="auto"/>
                <w:w w:val="99"/>
              </w:rPr>
              <w:t>133.7%</w:t>
            </w:r>
          </w:p>
        </w:tc>
        <w:tc>
          <w:tcPr>
            <w:tcW w:w="11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3"/>
                <w:szCs w:val="13"/>
                <w:color w:val="auto"/>
                <w:w w:val="99"/>
              </w:rPr>
              <w:t>124.9%</w:t>
            </w:r>
          </w:p>
        </w:tc>
        <w:tc>
          <w:tcPr>
            <w:tcW w:w="840" w:type="dxa"/>
            <w:vAlign w:val="bottom"/>
          </w:tcPr>
          <w:p>
            <w:pPr>
              <w:jc w:val="center"/>
              <w:ind w:left="234"/>
              <w:spacing w:after="0" w:line="149" w:lineRule="exact"/>
              <w:rPr>
                <w:sz w:val="20"/>
                <w:szCs w:val="20"/>
                <w:color w:val="auto"/>
              </w:rPr>
            </w:pPr>
            <w:r>
              <w:rPr>
                <w:rFonts w:ascii="Arial" w:cs="Arial" w:eastAsia="Arial" w:hAnsi="Arial"/>
                <w:sz w:val="13"/>
                <w:szCs w:val="13"/>
                <w:color w:val="auto"/>
              </w:rPr>
              <w:t>127.7%</w:t>
            </w:r>
          </w:p>
        </w:tc>
        <w:tc>
          <w:tcPr>
            <w:tcW w:w="1280" w:type="dxa"/>
            <w:vAlign w:val="bottom"/>
            <w:tcBorders>
              <w:right w:val="single" w:sz="8" w:color="auto"/>
            </w:tcBorders>
          </w:tcPr>
          <w:p>
            <w:pPr>
              <w:jc w:val="center"/>
              <w:ind w:left="214"/>
              <w:spacing w:after="0" w:line="149" w:lineRule="exact"/>
              <w:rPr>
                <w:sz w:val="20"/>
                <w:szCs w:val="20"/>
                <w:color w:val="auto"/>
              </w:rPr>
            </w:pPr>
            <w:r>
              <w:rPr>
                <w:rFonts w:ascii="Arial" w:cs="Arial" w:eastAsia="Arial" w:hAnsi="Arial"/>
                <w:sz w:val="13"/>
                <w:szCs w:val="13"/>
                <w:color w:val="auto"/>
                <w:w w:val="99"/>
              </w:rPr>
              <w:t>124.9%</w:t>
            </w:r>
          </w:p>
        </w:tc>
      </w:tr>
      <w:tr>
        <w:trPr>
          <w:trHeight w:val="131"/>
        </w:trPr>
        <w:tc>
          <w:tcPr>
            <w:tcW w:w="5640" w:type="dxa"/>
            <w:vAlign w:val="bottom"/>
            <w:tcBorders>
              <w:left w:val="single" w:sz="8" w:color="auto"/>
              <w:right w:val="single" w:sz="8" w:color="auto"/>
            </w:tcBorders>
          </w:tcPr>
          <w:p>
            <w:pPr>
              <w:ind w:left="20"/>
              <w:spacing w:after="0" w:line="131" w:lineRule="exact"/>
              <w:rPr>
                <w:sz w:val="20"/>
                <w:szCs w:val="20"/>
                <w:color w:val="auto"/>
              </w:rPr>
            </w:pPr>
            <w:r>
              <w:rPr>
                <w:rFonts w:ascii="Arial" w:cs="Arial" w:eastAsia="Arial" w:hAnsi="Arial"/>
                <w:sz w:val="13"/>
                <w:szCs w:val="13"/>
                <w:color w:val="auto"/>
              </w:rPr>
              <w:t>Coverage of NPLs</w:t>
            </w:r>
          </w:p>
        </w:tc>
        <w:tc>
          <w:tcPr>
            <w:tcW w:w="1160" w:type="dxa"/>
            <w:vAlign w:val="bottom"/>
          </w:tcPr>
          <w:p>
            <w:pPr>
              <w:jc w:val="center"/>
              <w:spacing w:after="0" w:line="131" w:lineRule="exact"/>
              <w:rPr>
                <w:sz w:val="20"/>
                <w:szCs w:val="20"/>
                <w:color w:val="auto"/>
              </w:rPr>
            </w:pPr>
            <w:r>
              <w:rPr>
                <w:rFonts w:ascii="Arial" w:cs="Arial" w:eastAsia="Arial" w:hAnsi="Arial"/>
                <w:sz w:val="13"/>
                <w:szCs w:val="13"/>
                <w:color w:val="auto"/>
                <w:w w:val="97"/>
              </w:rPr>
              <w:t>95.7%</w:t>
            </w:r>
          </w:p>
        </w:tc>
        <w:tc>
          <w:tcPr>
            <w:tcW w:w="1160" w:type="dxa"/>
            <w:vAlign w:val="bottom"/>
          </w:tcPr>
          <w:p>
            <w:pPr>
              <w:jc w:val="center"/>
              <w:spacing w:after="0" w:line="131" w:lineRule="exact"/>
              <w:rPr>
                <w:sz w:val="20"/>
                <w:szCs w:val="20"/>
                <w:color w:val="auto"/>
              </w:rPr>
            </w:pPr>
            <w:r>
              <w:rPr>
                <w:rFonts w:ascii="Arial" w:cs="Arial" w:eastAsia="Arial" w:hAnsi="Arial"/>
                <w:sz w:val="13"/>
                <w:szCs w:val="13"/>
                <w:color w:val="auto"/>
                <w:w w:val="97"/>
              </w:rPr>
              <w:t>95.1%</w:t>
            </w:r>
          </w:p>
        </w:tc>
        <w:tc>
          <w:tcPr>
            <w:tcW w:w="118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3"/>
                <w:szCs w:val="13"/>
                <w:color w:val="auto"/>
                <w:w w:val="97"/>
              </w:rPr>
              <w:t>89.3%</w:t>
            </w:r>
          </w:p>
        </w:tc>
        <w:tc>
          <w:tcPr>
            <w:tcW w:w="840" w:type="dxa"/>
            <w:vAlign w:val="bottom"/>
          </w:tcPr>
          <w:p>
            <w:pPr>
              <w:jc w:val="center"/>
              <w:ind w:left="234"/>
              <w:spacing w:after="0" w:line="131" w:lineRule="exact"/>
              <w:rPr>
                <w:sz w:val="20"/>
                <w:szCs w:val="20"/>
                <w:color w:val="auto"/>
              </w:rPr>
            </w:pPr>
            <w:r>
              <w:rPr>
                <w:rFonts w:ascii="Arial" w:cs="Arial" w:eastAsia="Arial" w:hAnsi="Arial"/>
                <w:sz w:val="13"/>
                <w:szCs w:val="13"/>
                <w:color w:val="auto"/>
              </w:rPr>
              <w:t>95.7%</w:t>
            </w:r>
          </w:p>
        </w:tc>
        <w:tc>
          <w:tcPr>
            <w:tcW w:w="1280" w:type="dxa"/>
            <w:vAlign w:val="bottom"/>
            <w:tcBorders>
              <w:right w:val="single" w:sz="8" w:color="auto"/>
            </w:tcBorders>
          </w:tcPr>
          <w:p>
            <w:pPr>
              <w:jc w:val="center"/>
              <w:ind w:left="214"/>
              <w:spacing w:after="0" w:line="131" w:lineRule="exact"/>
              <w:rPr>
                <w:sz w:val="20"/>
                <w:szCs w:val="20"/>
                <w:color w:val="auto"/>
              </w:rPr>
            </w:pPr>
            <w:r>
              <w:rPr>
                <w:rFonts w:ascii="Arial" w:cs="Arial" w:eastAsia="Arial" w:hAnsi="Arial"/>
                <w:sz w:val="13"/>
                <w:szCs w:val="13"/>
                <w:color w:val="auto"/>
                <w:w w:val="97"/>
              </w:rPr>
              <w:t>89.3%</w:t>
            </w:r>
          </w:p>
        </w:tc>
      </w:tr>
      <w:tr>
        <w:trPr>
          <w:trHeight w:val="288"/>
        </w:trPr>
        <w:tc>
          <w:tcPr>
            <w:tcW w:w="56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 xml:space="preserve">Cost of risk </w:t>
            </w:r>
            <w:r>
              <w:rPr>
                <w:rFonts w:ascii="Arial" w:cs="Arial" w:eastAsia="Arial" w:hAnsi="Arial"/>
                <w:sz w:val="21"/>
                <w:szCs w:val="21"/>
                <w:color w:val="auto"/>
                <w:vertAlign w:val="superscript"/>
              </w:rPr>
              <w:t>(4)</w:t>
            </w:r>
          </w:p>
        </w:tc>
        <w:tc>
          <w:tcPr>
            <w:tcW w:w="1160" w:type="dxa"/>
            <w:vAlign w:val="bottom"/>
          </w:tcPr>
          <w:p>
            <w:pPr>
              <w:jc w:val="center"/>
              <w:spacing w:after="0"/>
              <w:rPr>
                <w:sz w:val="20"/>
                <w:szCs w:val="20"/>
                <w:color w:val="auto"/>
              </w:rPr>
            </w:pPr>
            <w:r>
              <w:rPr>
                <w:rFonts w:ascii="Arial" w:cs="Arial" w:eastAsia="Arial" w:hAnsi="Arial"/>
                <w:sz w:val="13"/>
                <w:szCs w:val="13"/>
                <w:color w:val="auto"/>
              </w:rPr>
              <w:t>1.1%</w:t>
            </w:r>
          </w:p>
        </w:tc>
        <w:tc>
          <w:tcPr>
            <w:tcW w:w="1160" w:type="dxa"/>
            <w:vAlign w:val="bottom"/>
          </w:tcPr>
          <w:p>
            <w:pPr>
              <w:jc w:val="center"/>
              <w:spacing w:after="0"/>
              <w:rPr>
                <w:sz w:val="20"/>
                <w:szCs w:val="20"/>
                <w:color w:val="auto"/>
              </w:rPr>
            </w:pPr>
            <w:r>
              <w:rPr>
                <w:rFonts w:ascii="Arial" w:cs="Arial" w:eastAsia="Arial" w:hAnsi="Arial"/>
                <w:sz w:val="13"/>
                <w:szCs w:val="13"/>
                <w:color w:val="auto"/>
              </w:rPr>
              <w:t>2.1%</w:t>
            </w:r>
          </w:p>
        </w:tc>
        <w:tc>
          <w:tcPr>
            <w:tcW w:w="118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2.3%</w:t>
            </w:r>
          </w:p>
        </w:tc>
        <w:tc>
          <w:tcPr>
            <w:tcW w:w="840" w:type="dxa"/>
            <w:vAlign w:val="bottom"/>
          </w:tcPr>
          <w:p>
            <w:pPr>
              <w:jc w:val="center"/>
              <w:ind w:left="234"/>
              <w:spacing w:after="0"/>
              <w:rPr>
                <w:sz w:val="20"/>
                <w:szCs w:val="20"/>
                <w:color w:val="auto"/>
              </w:rPr>
            </w:pPr>
            <w:r>
              <w:rPr>
                <w:rFonts w:ascii="Arial" w:cs="Arial" w:eastAsia="Arial" w:hAnsi="Arial"/>
                <w:sz w:val="13"/>
                <w:szCs w:val="13"/>
                <w:color w:val="auto"/>
              </w:rPr>
              <w:t>0.8%</w:t>
            </w:r>
          </w:p>
        </w:tc>
        <w:tc>
          <w:tcPr>
            <w:tcW w:w="1280" w:type="dxa"/>
            <w:vAlign w:val="bottom"/>
            <w:tcBorders>
              <w:right w:val="single" w:sz="8" w:color="auto"/>
            </w:tcBorders>
          </w:tcPr>
          <w:p>
            <w:pPr>
              <w:jc w:val="center"/>
              <w:ind w:left="234"/>
              <w:spacing w:after="0"/>
              <w:rPr>
                <w:sz w:val="20"/>
                <w:szCs w:val="20"/>
                <w:color w:val="auto"/>
              </w:rPr>
            </w:pPr>
            <w:r>
              <w:rPr>
                <w:rFonts w:ascii="Arial" w:cs="Arial" w:eastAsia="Arial" w:hAnsi="Arial"/>
                <w:sz w:val="13"/>
                <w:szCs w:val="13"/>
                <w:color w:val="auto"/>
              </w:rPr>
              <w:t>2.0%</w:t>
            </w:r>
          </w:p>
        </w:tc>
      </w:tr>
      <w:tr>
        <w:trPr>
          <w:trHeight w:val="157"/>
        </w:trPr>
        <w:tc>
          <w:tcPr>
            <w:tcW w:w="56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Operating efficiency</w:t>
            </w:r>
          </w:p>
        </w:tc>
        <w:tc>
          <w:tcPr>
            <w:tcW w:w="1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80" w:type="dxa"/>
            <w:vAlign w:val="bottom"/>
            <w:tcBorders>
              <w:right w:val="single" w:sz="8" w:color="auto"/>
            </w:tcBorders>
          </w:tcPr>
          <w:p>
            <w:pPr>
              <w:spacing w:after="0"/>
              <w:rPr>
                <w:sz w:val="13"/>
                <w:szCs w:val="13"/>
                <w:color w:val="auto"/>
              </w:rPr>
            </w:pPr>
          </w:p>
        </w:tc>
        <w:tc>
          <w:tcPr>
            <w:tcW w:w="840" w:type="dxa"/>
            <w:vAlign w:val="bottom"/>
          </w:tcPr>
          <w:p>
            <w:pPr>
              <w:spacing w:after="0"/>
              <w:rPr>
                <w:sz w:val="13"/>
                <w:szCs w:val="13"/>
                <w:color w:val="auto"/>
              </w:rPr>
            </w:pPr>
          </w:p>
        </w:tc>
        <w:tc>
          <w:tcPr>
            <w:tcW w:w="1280" w:type="dxa"/>
            <w:vAlign w:val="bottom"/>
            <w:tcBorders>
              <w:right w:val="single" w:sz="8" w:color="auto"/>
            </w:tcBorders>
          </w:tcPr>
          <w:p>
            <w:pPr>
              <w:spacing w:after="0"/>
              <w:rPr>
                <w:sz w:val="13"/>
                <w:szCs w:val="13"/>
                <w:color w:val="auto"/>
              </w:rPr>
            </w:pPr>
          </w:p>
        </w:tc>
      </w:tr>
      <w:tr>
        <w:trPr>
          <w:trHeight w:val="148"/>
        </w:trPr>
        <w:tc>
          <w:tcPr>
            <w:tcW w:w="5640" w:type="dxa"/>
            <w:vAlign w:val="bottom"/>
            <w:tcBorders>
              <w:left w:val="single" w:sz="8" w:color="auto"/>
              <w:right w:val="single" w:sz="8" w:color="auto"/>
            </w:tcBorders>
          </w:tcPr>
          <w:p>
            <w:pPr>
              <w:ind w:left="20"/>
              <w:spacing w:after="0" w:line="149" w:lineRule="exact"/>
              <w:rPr>
                <w:sz w:val="20"/>
                <w:szCs w:val="20"/>
                <w:color w:val="auto"/>
              </w:rPr>
            </w:pPr>
            <w:r>
              <w:rPr>
                <w:rFonts w:ascii="Arial" w:cs="Arial" w:eastAsia="Arial" w:hAnsi="Arial"/>
                <w:sz w:val="11"/>
                <w:szCs w:val="11"/>
                <w:color w:val="auto"/>
              </w:rPr>
              <w:t xml:space="preserve">Oper. expenses as a percent. of total income - reported </w:t>
            </w:r>
            <w:r>
              <w:rPr>
                <w:rFonts w:ascii="Arial" w:cs="Arial" w:eastAsia="Arial" w:hAnsi="Arial"/>
                <w:sz w:val="17"/>
                <w:szCs w:val="17"/>
                <w:color w:val="auto"/>
                <w:vertAlign w:val="superscript"/>
              </w:rPr>
              <w:t>(5)</w:t>
            </w:r>
          </w:p>
        </w:tc>
        <w:tc>
          <w:tcPr>
            <w:tcW w:w="1160" w:type="dxa"/>
            <w:vAlign w:val="bottom"/>
          </w:tcPr>
          <w:p>
            <w:pPr>
              <w:jc w:val="center"/>
              <w:spacing w:after="0" w:line="149" w:lineRule="exact"/>
              <w:rPr>
                <w:sz w:val="20"/>
                <w:szCs w:val="20"/>
                <w:color w:val="auto"/>
              </w:rPr>
            </w:pPr>
            <w:r>
              <w:rPr>
                <w:rFonts w:ascii="Arial" w:cs="Arial" w:eastAsia="Arial" w:hAnsi="Arial"/>
                <w:sz w:val="13"/>
                <w:szCs w:val="13"/>
                <w:color w:val="auto"/>
                <w:w w:val="97"/>
              </w:rPr>
              <w:t>38.9%</w:t>
            </w:r>
          </w:p>
        </w:tc>
        <w:tc>
          <w:tcPr>
            <w:tcW w:w="1160" w:type="dxa"/>
            <w:vAlign w:val="bottom"/>
          </w:tcPr>
          <w:p>
            <w:pPr>
              <w:jc w:val="center"/>
              <w:spacing w:after="0" w:line="149" w:lineRule="exact"/>
              <w:rPr>
                <w:sz w:val="20"/>
                <w:szCs w:val="20"/>
                <w:color w:val="auto"/>
              </w:rPr>
            </w:pPr>
            <w:r>
              <w:rPr>
                <w:rFonts w:ascii="Arial" w:cs="Arial" w:eastAsia="Arial" w:hAnsi="Arial"/>
                <w:sz w:val="13"/>
                <w:szCs w:val="13"/>
                <w:color w:val="auto"/>
                <w:w w:val="97"/>
              </w:rPr>
              <w:t>37.3%</w:t>
            </w:r>
          </w:p>
        </w:tc>
        <w:tc>
          <w:tcPr>
            <w:tcW w:w="11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3"/>
                <w:szCs w:val="13"/>
                <w:color w:val="auto"/>
                <w:w w:val="97"/>
              </w:rPr>
              <w:t>39.2%</w:t>
            </w:r>
          </w:p>
        </w:tc>
        <w:tc>
          <w:tcPr>
            <w:tcW w:w="840" w:type="dxa"/>
            <w:vAlign w:val="bottom"/>
          </w:tcPr>
          <w:p>
            <w:pPr>
              <w:jc w:val="center"/>
              <w:ind w:left="234"/>
              <w:spacing w:after="0" w:line="149" w:lineRule="exact"/>
              <w:rPr>
                <w:sz w:val="20"/>
                <w:szCs w:val="20"/>
                <w:color w:val="auto"/>
              </w:rPr>
            </w:pPr>
            <w:r>
              <w:rPr>
                <w:rFonts w:ascii="Arial" w:cs="Arial" w:eastAsia="Arial" w:hAnsi="Arial"/>
                <w:sz w:val="13"/>
                <w:szCs w:val="13"/>
                <w:color w:val="auto"/>
              </w:rPr>
              <w:t>40.3%</w:t>
            </w:r>
          </w:p>
        </w:tc>
        <w:tc>
          <w:tcPr>
            <w:tcW w:w="1280" w:type="dxa"/>
            <w:vAlign w:val="bottom"/>
            <w:tcBorders>
              <w:right w:val="single" w:sz="8" w:color="auto"/>
            </w:tcBorders>
          </w:tcPr>
          <w:p>
            <w:pPr>
              <w:jc w:val="center"/>
              <w:ind w:left="214"/>
              <w:spacing w:after="0" w:line="149" w:lineRule="exact"/>
              <w:rPr>
                <w:sz w:val="20"/>
                <w:szCs w:val="20"/>
                <w:color w:val="auto"/>
              </w:rPr>
            </w:pPr>
            <w:r>
              <w:rPr>
                <w:rFonts w:ascii="Arial" w:cs="Arial" w:eastAsia="Arial" w:hAnsi="Arial"/>
                <w:sz w:val="13"/>
                <w:szCs w:val="13"/>
                <w:color w:val="auto"/>
                <w:w w:val="97"/>
              </w:rPr>
              <w:t>37.8%</w:t>
            </w:r>
          </w:p>
        </w:tc>
      </w:tr>
      <w:tr>
        <w:trPr>
          <w:trHeight w:val="169"/>
        </w:trPr>
        <w:tc>
          <w:tcPr>
            <w:tcW w:w="5640" w:type="dxa"/>
            <w:vAlign w:val="bottom"/>
            <w:tcBorders>
              <w:left w:val="single" w:sz="8" w:color="auto"/>
              <w:bottom w:val="single" w:sz="8" w:color="auto"/>
              <w:right w:val="single" w:sz="8" w:color="auto"/>
            </w:tcBorders>
          </w:tcPr>
          <w:p>
            <w:pPr>
              <w:ind w:left="20"/>
              <w:spacing w:after="0" w:line="169" w:lineRule="exact"/>
              <w:rPr>
                <w:sz w:val="20"/>
                <w:szCs w:val="20"/>
                <w:color w:val="auto"/>
              </w:rPr>
            </w:pPr>
            <w:r>
              <w:rPr>
                <w:rFonts w:ascii="Arial" w:cs="Arial" w:eastAsia="Arial" w:hAnsi="Arial"/>
                <w:sz w:val="12"/>
                <w:szCs w:val="12"/>
                <w:color w:val="auto"/>
              </w:rPr>
              <w:t xml:space="preserve">Oper. expenses as a percent. of av. tot. assets </w:t>
            </w:r>
            <w:r>
              <w:rPr>
                <w:rFonts w:ascii="Arial" w:cs="Arial" w:eastAsia="Arial" w:hAnsi="Arial"/>
                <w:sz w:val="19"/>
                <w:szCs w:val="19"/>
                <w:color w:val="auto"/>
                <w:vertAlign w:val="superscript"/>
              </w:rPr>
              <w:t>(1)(2)(5)</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2.7%</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2.8%</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3.0%</w:t>
            </w:r>
          </w:p>
        </w:tc>
        <w:tc>
          <w:tcPr>
            <w:tcW w:w="840" w:type="dxa"/>
            <w:vAlign w:val="bottom"/>
            <w:tcBorders>
              <w:bottom w:val="single" w:sz="8" w:color="auto"/>
            </w:tcBorders>
          </w:tcPr>
          <w:p>
            <w:pPr>
              <w:jc w:val="center"/>
              <w:ind w:left="234"/>
              <w:spacing w:after="0"/>
              <w:rPr>
                <w:sz w:val="20"/>
                <w:szCs w:val="20"/>
                <w:color w:val="auto"/>
              </w:rPr>
            </w:pPr>
            <w:r>
              <w:rPr>
                <w:rFonts w:ascii="Arial" w:cs="Arial" w:eastAsia="Arial" w:hAnsi="Arial"/>
                <w:sz w:val="13"/>
                <w:szCs w:val="13"/>
                <w:color w:val="auto"/>
              </w:rPr>
              <w:t>2.51%</w:t>
            </w:r>
          </w:p>
        </w:tc>
        <w:tc>
          <w:tcPr>
            <w:tcW w:w="1280" w:type="dxa"/>
            <w:vAlign w:val="bottom"/>
            <w:tcBorders>
              <w:bottom w:val="single" w:sz="8" w:color="auto"/>
              <w:right w:val="single" w:sz="8" w:color="auto"/>
            </w:tcBorders>
          </w:tcPr>
          <w:p>
            <w:pPr>
              <w:jc w:val="center"/>
              <w:ind w:left="214"/>
              <w:spacing w:after="0"/>
              <w:rPr>
                <w:sz w:val="20"/>
                <w:szCs w:val="20"/>
                <w:color w:val="auto"/>
              </w:rPr>
            </w:pPr>
            <w:r>
              <w:rPr>
                <w:rFonts w:ascii="Arial" w:cs="Arial" w:eastAsia="Arial" w:hAnsi="Arial"/>
                <w:sz w:val="13"/>
                <w:szCs w:val="13"/>
                <w:color w:val="auto"/>
                <w:w w:val="97"/>
              </w:rPr>
              <w:t>2.87%</w:t>
            </w:r>
          </w:p>
        </w:tc>
      </w:tr>
    </w:tbl>
    <w:p>
      <w:pPr>
        <w:spacing w:after="0" w:line="81" w:lineRule="exact"/>
        <w:rPr>
          <w:sz w:val="20"/>
          <w:szCs w:val="20"/>
          <w:color w:val="auto"/>
        </w:rPr>
      </w:pPr>
    </w:p>
    <w:p>
      <w:pPr>
        <w:ind w:left="241" w:hanging="241"/>
        <w:spacing w:after="0"/>
        <w:tabs>
          <w:tab w:leader="none" w:pos="241" w:val="left"/>
        </w:tabs>
        <w:numPr>
          <w:ilvl w:val="0"/>
          <w:numId w:val="66"/>
        </w:numPr>
        <w:rPr>
          <w:rFonts w:ascii="Arial" w:cs="Arial" w:eastAsia="Arial" w:hAnsi="Arial"/>
          <w:sz w:val="11"/>
          <w:szCs w:val="11"/>
          <w:color w:val="auto"/>
        </w:rPr>
      </w:pPr>
      <w:r>
        <w:rPr>
          <w:rFonts w:ascii="Arial" w:cs="Arial" w:eastAsia="Arial" w:hAnsi="Arial"/>
          <w:sz w:val="11"/>
          <w:szCs w:val="11"/>
          <w:color w:val="auto"/>
        </w:rPr>
        <w:t>Ratios are annualized.</w:t>
      </w:r>
    </w:p>
    <w:p>
      <w:pPr>
        <w:spacing w:after="0" w:line="10" w:lineRule="exact"/>
        <w:rPr>
          <w:rFonts w:ascii="Arial" w:cs="Arial" w:eastAsia="Arial" w:hAnsi="Arial"/>
          <w:sz w:val="11"/>
          <w:szCs w:val="11"/>
          <w:color w:val="auto"/>
        </w:rPr>
      </w:pPr>
    </w:p>
    <w:p>
      <w:pPr>
        <w:ind w:left="241" w:hanging="241"/>
        <w:spacing w:after="0"/>
        <w:tabs>
          <w:tab w:leader="none" w:pos="241" w:val="left"/>
        </w:tabs>
        <w:numPr>
          <w:ilvl w:val="0"/>
          <w:numId w:val="66"/>
        </w:numPr>
        <w:rPr>
          <w:rFonts w:ascii="Arial" w:cs="Arial" w:eastAsia="Arial" w:hAnsi="Arial"/>
          <w:sz w:val="11"/>
          <w:szCs w:val="11"/>
          <w:color w:val="auto"/>
        </w:rPr>
      </w:pPr>
      <w:r>
        <w:rPr>
          <w:rFonts w:ascii="Arial" w:cs="Arial" w:eastAsia="Arial" w:hAnsi="Arial"/>
          <w:sz w:val="11"/>
          <w:szCs w:val="11"/>
          <w:color w:val="auto"/>
        </w:rPr>
        <w:t>Averages are determined as the average of period-beginning and period-ending balances.</w:t>
      </w:r>
    </w:p>
    <w:p>
      <w:pPr>
        <w:spacing w:after="0" w:line="9" w:lineRule="exact"/>
        <w:rPr>
          <w:rFonts w:ascii="Arial" w:cs="Arial" w:eastAsia="Arial" w:hAnsi="Arial"/>
          <w:sz w:val="11"/>
          <w:szCs w:val="11"/>
          <w:color w:val="auto"/>
        </w:rPr>
      </w:pPr>
    </w:p>
    <w:p>
      <w:pPr>
        <w:ind w:left="241" w:right="160" w:hanging="241"/>
        <w:spacing w:after="0" w:line="241" w:lineRule="auto"/>
        <w:tabs>
          <w:tab w:leader="none" w:pos="241" w:val="left"/>
        </w:tabs>
        <w:numPr>
          <w:ilvl w:val="0"/>
          <w:numId w:val="66"/>
        </w:numPr>
        <w:rPr>
          <w:rFonts w:ascii="Arial" w:cs="Arial" w:eastAsia="Arial" w:hAnsi="Arial"/>
          <w:sz w:val="11"/>
          <w:szCs w:val="11"/>
          <w:color w:val="auto"/>
        </w:rPr>
      </w:pPr>
      <w:r>
        <w:rPr>
          <w:rFonts w:ascii="Arial" w:cs="Arial" w:eastAsia="Arial" w:hAnsi="Arial"/>
          <w:sz w:val="11"/>
          <w:szCs w:val="11"/>
          <w:color w:val="auto"/>
        </w:rPr>
        <w:t>The funding costs differs from previously reported due to a methodology change in the denominator, which no longer includes the following accounts: acceptances outstanding, reserves for property and casualty claims, reserve for unearned premiums, reinsurance payable and other liabilities.</w:t>
      </w:r>
    </w:p>
    <w:p>
      <w:pPr>
        <w:ind w:left="241" w:hanging="241"/>
        <w:spacing w:after="0"/>
        <w:tabs>
          <w:tab w:leader="none" w:pos="241" w:val="left"/>
        </w:tabs>
        <w:numPr>
          <w:ilvl w:val="0"/>
          <w:numId w:val="66"/>
        </w:numPr>
        <w:rPr>
          <w:rFonts w:ascii="Arial" w:cs="Arial" w:eastAsia="Arial" w:hAnsi="Arial"/>
          <w:sz w:val="11"/>
          <w:szCs w:val="11"/>
          <w:color w:val="auto"/>
        </w:rPr>
      </w:pPr>
      <w:r>
        <w:rPr>
          <w:rFonts w:ascii="Arial" w:cs="Arial" w:eastAsia="Arial" w:hAnsi="Arial"/>
          <w:sz w:val="11"/>
          <w:szCs w:val="11"/>
          <w:color w:val="auto"/>
        </w:rPr>
        <w:t>Cost of risk: Annualized provision for loan losses / Total loans.</w:t>
      </w:r>
    </w:p>
    <w:p>
      <w:pPr>
        <w:spacing w:after="0" w:line="2" w:lineRule="exact"/>
        <w:rPr>
          <w:rFonts w:ascii="Arial" w:cs="Arial" w:eastAsia="Arial" w:hAnsi="Arial"/>
          <w:sz w:val="11"/>
          <w:szCs w:val="11"/>
          <w:color w:val="auto"/>
        </w:rPr>
      </w:pPr>
    </w:p>
    <w:p>
      <w:pPr>
        <w:ind w:left="241" w:right="120" w:hanging="241"/>
        <w:spacing w:after="0" w:line="252" w:lineRule="auto"/>
        <w:tabs>
          <w:tab w:leader="none" w:pos="241" w:val="left"/>
        </w:tabs>
        <w:numPr>
          <w:ilvl w:val="0"/>
          <w:numId w:val="66"/>
        </w:numPr>
        <w:rPr>
          <w:rFonts w:ascii="Arial" w:cs="Arial" w:eastAsia="Arial" w:hAnsi="Arial"/>
          <w:sz w:val="11"/>
          <w:szCs w:val="11"/>
          <w:color w:val="auto"/>
        </w:rPr>
      </w:pPr>
      <w:r>
        <w:rPr>
          <w:rFonts w:ascii="Arial" w:cs="Arial" w:eastAsia="Arial" w:hAnsi="Arial"/>
          <w:sz w:val="11"/>
          <w:szCs w:val="11"/>
          <w:color w:val="auto"/>
        </w:rPr>
        <w:t>Total income includes net interest income, fee income, net gain on foreign exchange transactions, result on exchange difference and net gain on derivatives. Operating expenses includes Salaries and social benefits, administrative, general and tax expenses and depreciation and amortization.</w:t>
      </w:r>
    </w:p>
    <w:p>
      <w:pPr>
        <w:spacing w:after="0" w:line="30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43750" cy="1587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337" w:right="339" w:bottom="1440" w:gutter="0" w:footer="0" w:header="0"/>
        </w:sectPr>
      </w:pPr>
    </w:p>
    <w:bookmarkStart w:id="67" w:name="page68"/>
    <w:bookmarkEnd w:id="67"/>
    <w:p>
      <w:pPr>
        <w:ind w:left="2960"/>
        <w:spacing w:after="0"/>
        <w:tabs>
          <w:tab w:leader="none" w:pos="3140" w:val="left"/>
          <w:tab w:leader="none" w:pos="7700" w:val="left"/>
        </w:tabs>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202565</wp:posOffset>
            </wp:positionH>
            <wp:positionV relativeFrom="page">
              <wp:posOffset>88900</wp:posOffset>
            </wp:positionV>
            <wp:extent cx="7143750" cy="41592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3750" cy="415925"/>
                    </a:xfrm>
                    <a:prstGeom prst="rect">
                      <a:avLst/>
                    </a:prstGeom>
                    <a:noFill/>
                  </pic:spPr>
                </pic:pic>
              </a:graphicData>
            </a:graphic>
          </wp:anchor>
        </w:drawing>
        <w:t>|</w:t>
      </w:r>
      <w:r>
        <w:rPr>
          <w:sz w:val="20"/>
          <w:szCs w:val="20"/>
          <w:color w:val="auto"/>
        </w:rPr>
        <w:tab/>
      </w:r>
      <w:r>
        <w:rPr>
          <w:rFonts w:ascii="Arial" w:cs="Arial" w:eastAsia="Arial" w:hAnsi="Arial"/>
          <w:sz w:val="16"/>
          <w:szCs w:val="16"/>
          <w:b w:val="1"/>
          <w:bCs w:val="1"/>
          <w:color w:val="FFFFFF"/>
        </w:rPr>
        <w:t>Earnings Release 3Q / 2023</w:t>
      </w:r>
      <w:r>
        <w:rPr>
          <w:sz w:val="20"/>
          <w:szCs w:val="20"/>
          <w:color w:val="auto"/>
        </w:rPr>
        <w:tab/>
      </w:r>
      <w:r>
        <w:rPr>
          <w:rFonts w:ascii="Arial" w:cs="Arial" w:eastAsia="Arial" w:hAnsi="Arial"/>
          <w:sz w:val="18"/>
          <w:szCs w:val="18"/>
          <w:b w:val="1"/>
          <w:bCs w:val="1"/>
          <w:color w:val="E93CAC"/>
        </w:rPr>
        <w:t>Analysis of 3Q23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175260</wp:posOffset>
            </wp:positionV>
            <wp:extent cx="7143750" cy="2038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3750" cy="203835"/>
                    </a:xfrm>
                    <a:prstGeom prst="rect">
                      <a:avLst/>
                    </a:prstGeom>
                    <a:noFill/>
                  </pic:spPr>
                </pic:pic>
              </a:graphicData>
            </a:graphic>
          </wp:anchor>
        </w:drawing>
      </w:r>
    </w:p>
    <w:p>
      <w:pPr>
        <w:spacing w:after="0" w:line="275"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FFFFFF"/>
        </w:rPr>
        <w:t>12. Appendix</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12.6.5. BCP Bolivia</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BCP Bolivia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(S/ thousands, IFRS)</w:t>
      </w:r>
    </w:p>
    <w:p>
      <w:pPr>
        <w:spacing w:after="0" w:line="148" w:lineRule="exact"/>
        <w:rPr>
          <w:sz w:val="20"/>
          <w:szCs w:val="20"/>
          <w:color w:val="auto"/>
        </w:rPr>
      </w:pPr>
    </w:p>
    <w:tbl>
      <w:tblPr>
        <w:tblLayout w:type="fixed"/>
        <w:tblInd w:w="10" w:type="dxa"/>
        <w:tblCellMar>
          <w:top w:w="0" w:type="dxa"/>
          <w:left w:w="0" w:type="dxa"/>
          <w:bottom w:w="0" w:type="dxa"/>
          <w:right w:w="0" w:type="dxa"/>
        </w:tblCellMar>
      </w:tblPr>
      <w:tr>
        <w:trPr>
          <w:trHeight w:val="126"/>
        </w:trPr>
        <w:tc>
          <w:tcPr>
            <w:tcW w:w="3400" w:type="dxa"/>
            <w:vAlign w:val="bottom"/>
            <w:tcBorders>
              <w:right w:val="single" w:sz="8" w:color="auto"/>
            </w:tcBorders>
          </w:tcPr>
          <w:p>
            <w:pPr>
              <w:spacing w:after="0"/>
              <w:rPr>
                <w:sz w:val="10"/>
                <w:szCs w:val="10"/>
                <w:color w:val="auto"/>
              </w:rPr>
            </w:pPr>
          </w:p>
        </w:tc>
        <w:tc>
          <w:tcPr>
            <w:tcW w:w="460" w:type="dxa"/>
            <w:vAlign w:val="bottom"/>
            <w:tcBorders>
              <w:top w:val="single" w:sz="8" w:color="auto"/>
              <w:right w:val="single" w:sz="8" w:color="33CCCC"/>
            </w:tcBorders>
            <w:shd w:val="clear" w:color="auto" w:fill="33CCCC"/>
          </w:tcPr>
          <w:p>
            <w:pPr>
              <w:spacing w:after="0"/>
              <w:rPr>
                <w:sz w:val="10"/>
                <w:szCs w:val="10"/>
                <w:color w:val="auto"/>
              </w:rPr>
            </w:pPr>
          </w:p>
        </w:tc>
        <w:tc>
          <w:tcPr>
            <w:tcW w:w="460" w:type="dxa"/>
            <w:vAlign w:val="bottom"/>
            <w:tcBorders>
              <w:top w:val="single" w:sz="8" w:color="auto"/>
            </w:tcBorders>
            <w:shd w:val="clear" w:color="auto" w:fill="33CCCC"/>
          </w:tcPr>
          <w:p>
            <w:pPr>
              <w:spacing w:after="0"/>
              <w:rPr>
                <w:sz w:val="10"/>
                <w:szCs w:val="10"/>
                <w:color w:val="auto"/>
              </w:rPr>
            </w:pPr>
          </w:p>
        </w:tc>
        <w:tc>
          <w:tcPr>
            <w:tcW w:w="120" w:type="dxa"/>
            <w:vAlign w:val="bottom"/>
            <w:tcBorders>
              <w:top w:val="single" w:sz="8" w:color="auto"/>
            </w:tcBorders>
            <w:shd w:val="clear" w:color="auto" w:fill="33CCCC"/>
          </w:tcPr>
          <w:p>
            <w:pPr>
              <w:spacing w:after="0"/>
              <w:rPr>
                <w:sz w:val="10"/>
                <w:szCs w:val="10"/>
                <w:color w:val="auto"/>
              </w:rPr>
            </w:pPr>
          </w:p>
        </w:tc>
        <w:tc>
          <w:tcPr>
            <w:tcW w:w="800" w:type="dxa"/>
            <w:vAlign w:val="bottom"/>
            <w:tcBorders>
              <w:top w:val="single" w:sz="8" w:color="auto"/>
            </w:tcBorders>
            <w:shd w:val="clear" w:color="auto" w:fill="33CCCC"/>
          </w:tcPr>
          <w:p>
            <w:pPr>
              <w:jc w:val="right"/>
              <w:ind w:right="326"/>
              <w:spacing w:after="0"/>
              <w:rPr>
                <w:sz w:val="20"/>
                <w:szCs w:val="20"/>
                <w:color w:val="auto"/>
              </w:rPr>
            </w:pPr>
            <w:r>
              <w:rPr>
                <w:rFonts w:ascii="Arial" w:cs="Arial" w:eastAsia="Arial" w:hAnsi="Arial"/>
                <w:sz w:val="11"/>
                <w:szCs w:val="11"/>
                <w:b w:val="1"/>
                <w:bCs w:val="1"/>
                <w:color w:val="FFFFFF"/>
              </w:rPr>
              <w:t>As of</w:t>
            </w:r>
          </w:p>
        </w:tc>
        <w:tc>
          <w:tcPr>
            <w:tcW w:w="140" w:type="dxa"/>
            <w:vAlign w:val="bottom"/>
            <w:tcBorders>
              <w:top w:val="single" w:sz="8" w:color="auto"/>
            </w:tcBorders>
            <w:shd w:val="clear" w:color="auto" w:fill="33CCCC"/>
          </w:tcPr>
          <w:p>
            <w:pPr>
              <w:spacing w:after="0"/>
              <w:rPr>
                <w:sz w:val="10"/>
                <w:szCs w:val="10"/>
                <w:color w:val="auto"/>
              </w:rPr>
            </w:pPr>
          </w:p>
        </w:tc>
        <w:tc>
          <w:tcPr>
            <w:tcW w:w="700" w:type="dxa"/>
            <w:vAlign w:val="bottom"/>
            <w:tcBorders>
              <w:top w:val="single" w:sz="8" w:color="auto"/>
              <w:right w:val="single" w:sz="8" w:color="auto"/>
            </w:tcBorders>
            <w:shd w:val="clear" w:color="auto" w:fill="33CCCC"/>
          </w:tcPr>
          <w:p>
            <w:pPr>
              <w:spacing w:after="0"/>
              <w:rPr>
                <w:sz w:val="10"/>
                <w:szCs w:val="10"/>
                <w:color w:val="auto"/>
              </w:rPr>
            </w:pPr>
          </w:p>
        </w:tc>
        <w:tc>
          <w:tcPr>
            <w:tcW w:w="600" w:type="dxa"/>
            <w:vAlign w:val="bottom"/>
            <w:tcBorders>
              <w:top w:val="single" w:sz="8" w:color="auto"/>
              <w:right w:val="single" w:sz="8" w:color="33CCCC"/>
            </w:tcBorders>
            <w:shd w:val="clear" w:color="auto" w:fill="33CCCC"/>
          </w:tcPr>
          <w:p>
            <w:pPr>
              <w:spacing w:after="0"/>
              <w:rPr>
                <w:sz w:val="10"/>
                <w:szCs w:val="10"/>
                <w:color w:val="auto"/>
              </w:rPr>
            </w:pPr>
          </w:p>
        </w:tc>
        <w:tc>
          <w:tcPr>
            <w:tcW w:w="20" w:type="dxa"/>
            <w:vAlign w:val="bottom"/>
            <w:tcBorders>
              <w:top w:val="single" w:sz="8" w:color="auto"/>
            </w:tcBorders>
            <w:shd w:val="clear" w:color="auto" w:fill="33CCCC"/>
          </w:tcPr>
          <w:p>
            <w:pPr>
              <w:spacing w:after="0"/>
              <w:rPr>
                <w:sz w:val="10"/>
                <w:szCs w:val="10"/>
                <w:color w:val="auto"/>
              </w:rPr>
            </w:pPr>
          </w:p>
        </w:tc>
        <w:tc>
          <w:tcPr>
            <w:tcW w:w="1000" w:type="dxa"/>
            <w:vAlign w:val="bottom"/>
            <w:tcBorders>
              <w:top w:val="single" w:sz="8" w:color="auto"/>
            </w:tcBorders>
            <w:shd w:val="clear" w:color="auto" w:fill="33CCCC"/>
          </w:tcPr>
          <w:p>
            <w:pPr>
              <w:ind w:left="20"/>
              <w:spacing w:after="0"/>
              <w:rPr>
                <w:sz w:val="20"/>
                <w:szCs w:val="20"/>
                <w:color w:val="auto"/>
              </w:rPr>
            </w:pPr>
            <w:r>
              <w:rPr>
                <w:rFonts w:ascii="Arial" w:cs="Arial" w:eastAsia="Arial" w:hAnsi="Arial"/>
                <w:sz w:val="11"/>
                <w:szCs w:val="11"/>
                <w:b w:val="1"/>
                <w:bCs w:val="1"/>
                <w:color w:val="FFFFFF"/>
              </w:rPr>
              <w:t>% change</w:t>
            </w:r>
          </w:p>
        </w:tc>
        <w:tc>
          <w:tcPr>
            <w:tcW w:w="180" w:type="dxa"/>
            <w:vAlign w:val="bottom"/>
            <w:tcBorders>
              <w:top w:val="single" w:sz="8" w:color="auto"/>
              <w:right w:val="single" w:sz="8" w:color="auto"/>
            </w:tcBorders>
            <w:shd w:val="clear" w:color="auto" w:fill="33CCCC"/>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34"/>
        </w:trPr>
        <w:tc>
          <w:tcPr>
            <w:tcW w:w="3400" w:type="dxa"/>
            <w:vAlign w:val="bottom"/>
            <w:tcBorders>
              <w:bottom w:val="single" w:sz="8" w:color="auto"/>
              <w:right w:val="single" w:sz="8" w:color="auto"/>
            </w:tcBorders>
          </w:tcPr>
          <w:p>
            <w:pPr>
              <w:spacing w:after="0"/>
              <w:rPr>
                <w:sz w:val="11"/>
                <w:szCs w:val="11"/>
                <w:color w:val="auto"/>
              </w:rPr>
            </w:pPr>
          </w:p>
        </w:tc>
        <w:tc>
          <w:tcPr>
            <w:tcW w:w="920" w:type="dxa"/>
            <w:vAlign w:val="bottom"/>
            <w:tcBorders>
              <w:bottom w:val="single" w:sz="8" w:color="auto"/>
            </w:tcBorders>
            <w:gridSpan w:val="2"/>
            <w:shd w:val="clear" w:color="auto" w:fill="33CCCC"/>
          </w:tcPr>
          <w:p>
            <w:pPr>
              <w:jc w:val="right"/>
              <w:ind w:right="246"/>
              <w:spacing w:after="0"/>
              <w:rPr>
                <w:sz w:val="20"/>
                <w:szCs w:val="20"/>
                <w:color w:val="auto"/>
              </w:rPr>
            </w:pPr>
            <w:r>
              <w:rPr>
                <w:rFonts w:ascii="Arial" w:cs="Arial" w:eastAsia="Arial" w:hAnsi="Arial"/>
                <w:sz w:val="11"/>
                <w:szCs w:val="11"/>
                <w:b w:val="1"/>
                <w:bCs w:val="1"/>
                <w:color w:val="FFFFFF"/>
              </w:rPr>
              <w:t>Sep 22</w:t>
            </w:r>
          </w:p>
        </w:tc>
        <w:tc>
          <w:tcPr>
            <w:tcW w:w="120" w:type="dxa"/>
            <w:vAlign w:val="bottom"/>
            <w:tcBorders>
              <w:bottom w:val="single" w:sz="8" w:color="auto"/>
            </w:tcBorders>
            <w:shd w:val="clear" w:color="auto" w:fill="33CCCC"/>
          </w:tcPr>
          <w:p>
            <w:pPr>
              <w:spacing w:after="0"/>
              <w:rPr>
                <w:sz w:val="11"/>
                <w:szCs w:val="11"/>
                <w:color w:val="auto"/>
              </w:rPr>
            </w:pPr>
          </w:p>
        </w:tc>
        <w:tc>
          <w:tcPr>
            <w:tcW w:w="800" w:type="dxa"/>
            <w:vAlign w:val="bottom"/>
            <w:tcBorders>
              <w:bottom w:val="single" w:sz="8" w:color="auto"/>
            </w:tcBorders>
            <w:shd w:val="clear" w:color="auto" w:fill="33CCCC"/>
          </w:tcPr>
          <w:p>
            <w:pPr>
              <w:jc w:val="right"/>
              <w:ind w:right="286"/>
              <w:spacing w:after="0"/>
              <w:rPr>
                <w:sz w:val="20"/>
                <w:szCs w:val="20"/>
                <w:color w:val="auto"/>
              </w:rPr>
            </w:pPr>
            <w:r>
              <w:rPr>
                <w:rFonts w:ascii="Arial" w:cs="Arial" w:eastAsia="Arial" w:hAnsi="Arial"/>
                <w:sz w:val="11"/>
                <w:szCs w:val="11"/>
                <w:b w:val="1"/>
                <w:bCs w:val="1"/>
                <w:color w:val="FFFFFF"/>
              </w:rPr>
              <w:t>Jun 23</w:t>
            </w:r>
          </w:p>
        </w:tc>
        <w:tc>
          <w:tcPr>
            <w:tcW w:w="140" w:type="dxa"/>
            <w:vAlign w:val="bottom"/>
            <w:tcBorders>
              <w:bottom w:val="single" w:sz="8" w:color="auto"/>
            </w:tcBorders>
            <w:shd w:val="clear" w:color="auto" w:fill="33CCCC"/>
          </w:tcPr>
          <w:p>
            <w:pPr>
              <w:spacing w:after="0"/>
              <w:rPr>
                <w:sz w:val="11"/>
                <w:szCs w:val="11"/>
                <w:color w:val="auto"/>
              </w:rPr>
            </w:pPr>
          </w:p>
        </w:tc>
        <w:tc>
          <w:tcPr>
            <w:tcW w:w="700" w:type="dxa"/>
            <w:vAlign w:val="bottom"/>
            <w:tcBorders>
              <w:bottom w:val="single" w:sz="8" w:color="auto"/>
              <w:right w:val="single" w:sz="8" w:color="auto"/>
            </w:tcBorders>
            <w:shd w:val="clear" w:color="auto" w:fill="33CCCC"/>
          </w:tcPr>
          <w:p>
            <w:pPr>
              <w:jc w:val="right"/>
              <w:ind w:right="246"/>
              <w:spacing w:after="0"/>
              <w:rPr>
                <w:sz w:val="20"/>
                <w:szCs w:val="20"/>
                <w:color w:val="auto"/>
              </w:rPr>
            </w:pPr>
            <w:r>
              <w:rPr>
                <w:rFonts w:ascii="Arial" w:cs="Arial" w:eastAsia="Arial" w:hAnsi="Arial"/>
                <w:sz w:val="11"/>
                <w:szCs w:val="11"/>
                <w:b w:val="1"/>
                <w:bCs w:val="1"/>
                <w:color w:val="FFFFFF"/>
              </w:rPr>
              <w:t>Sep 23</w:t>
            </w:r>
          </w:p>
        </w:tc>
        <w:tc>
          <w:tcPr>
            <w:tcW w:w="620" w:type="dxa"/>
            <w:vAlign w:val="bottom"/>
            <w:tcBorders>
              <w:bottom w:val="single" w:sz="8" w:color="auto"/>
            </w:tcBorders>
            <w:gridSpan w:val="2"/>
            <w:shd w:val="clear" w:color="auto" w:fill="33CCCC"/>
          </w:tcPr>
          <w:p>
            <w:pPr>
              <w:ind w:left="320"/>
              <w:spacing w:after="0"/>
              <w:rPr>
                <w:sz w:val="20"/>
                <w:szCs w:val="20"/>
                <w:color w:val="auto"/>
              </w:rPr>
            </w:pPr>
            <w:r>
              <w:rPr>
                <w:rFonts w:ascii="Arial" w:cs="Arial" w:eastAsia="Arial" w:hAnsi="Arial"/>
                <w:sz w:val="11"/>
                <w:szCs w:val="11"/>
                <w:b w:val="1"/>
                <w:bCs w:val="1"/>
                <w:color w:val="FFFFFF"/>
              </w:rPr>
              <w:t>QoQ</w:t>
            </w:r>
          </w:p>
        </w:tc>
        <w:tc>
          <w:tcPr>
            <w:tcW w:w="1000" w:type="dxa"/>
            <w:vAlign w:val="bottom"/>
            <w:tcBorders>
              <w:bottom w:val="single" w:sz="8" w:color="auto"/>
            </w:tcBorders>
            <w:shd w:val="clear" w:color="auto" w:fill="33CCCC"/>
          </w:tcPr>
          <w:p>
            <w:pPr>
              <w:ind w:left="620"/>
              <w:spacing w:after="0"/>
              <w:rPr>
                <w:sz w:val="20"/>
                <w:szCs w:val="20"/>
                <w:color w:val="auto"/>
              </w:rPr>
            </w:pPr>
            <w:r>
              <w:rPr>
                <w:rFonts w:ascii="Arial" w:cs="Arial" w:eastAsia="Arial" w:hAnsi="Arial"/>
                <w:sz w:val="11"/>
                <w:szCs w:val="11"/>
                <w:b w:val="1"/>
                <w:bCs w:val="1"/>
                <w:color w:val="FFFFFF"/>
              </w:rPr>
              <w:t>YoY</w:t>
            </w:r>
          </w:p>
        </w:tc>
        <w:tc>
          <w:tcPr>
            <w:tcW w:w="180" w:type="dxa"/>
            <w:vAlign w:val="bottom"/>
            <w:tcBorders>
              <w:bottom w:val="single" w:sz="8" w:color="auto"/>
              <w:right w:val="single" w:sz="8" w:color="auto"/>
            </w:tcBorders>
            <w:shd w:val="clear" w:color="auto" w:fill="33CCCC"/>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10"/>
        </w:trPr>
        <w:tc>
          <w:tcPr>
            <w:tcW w:w="3400" w:type="dxa"/>
            <w:vAlign w:val="bottom"/>
            <w:tcBorders>
              <w:left w:val="single" w:sz="8" w:color="auto"/>
              <w:right w:val="single" w:sz="8" w:color="auto"/>
            </w:tcBorders>
          </w:tcPr>
          <w:p>
            <w:pPr>
              <w:ind w:left="20"/>
              <w:spacing w:after="0" w:line="110" w:lineRule="exact"/>
              <w:rPr>
                <w:sz w:val="20"/>
                <w:szCs w:val="20"/>
                <w:color w:val="auto"/>
              </w:rPr>
            </w:pPr>
            <w:r>
              <w:rPr>
                <w:rFonts w:ascii="Arial" w:cs="Arial" w:eastAsia="Arial" w:hAnsi="Arial"/>
                <w:sz w:val="11"/>
                <w:szCs w:val="11"/>
                <w:b w:val="1"/>
                <w:bCs w:val="1"/>
                <w:color w:val="auto"/>
              </w:rPr>
              <w:t>ASSETS</w:t>
            </w: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40" w:type="dxa"/>
            <w:vAlign w:val="bottom"/>
          </w:tcPr>
          <w:p>
            <w:pPr>
              <w:spacing w:after="0"/>
              <w:rPr>
                <w:sz w:val="9"/>
                <w:szCs w:val="9"/>
                <w:color w:val="auto"/>
              </w:rPr>
            </w:pPr>
          </w:p>
        </w:tc>
      </w:tr>
      <w:tr>
        <w:trPr>
          <w:trHeight w:val="124"/>
        </w:trPr>
        <w:tc>
          <w:tcPr>
            <w:tcW w:w="3400" w:type="dxa"/>
            <w:vAlign w:val="bottom"/>
            <w:tcBorders>
              <w:left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Cash and due from banks</w:t>
            </w:r>
          </w:p>
        </w:tc>
        <w:tc>
          <w:tcPr>
            <w:tcW w:w="92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1,984,367</w:t>
            </w:r>
          </w:p>
        </w:tc>
        <w:tc>
          <w:tcPr>
            <w:tcW w:w="120" w:type="dxa"/>
            <w:vAlign w:val="bottom"/>
          </w:tcPr>
          <w:p>
            <w:pPr>
              <w:spacing w:after="0"/>
              <w:rPr>
                <w:sz w:val="10"/>
                <w:szCs w:val="10"/>
                <w:color w:val="auto"/>
              </w:rPr>
            </w:pPr>
          </w:p>
        </w:tc>
        <w:tc>
          <w:tcPr>
            <w:tcW w:w="800" w:type="dxa"/>
            <w:vAlign w:val="bottom"/>
          </w:tcPr>
          <w:p>
            <w:pPr>
              <w:jc w:val="right"/>
              <w:ind w:right="26"/>
              <w:spacing w:after="0" w:line="124" w:lineRule="exact"/>
              <w:rPr>
                <w:sz w:val="20"/>
                <w:szCs w:val="20"/>
                <w:color w:val="auto"/>
              </w:rPr>
            </w:pPr>
            <w:r>
              <w:rPr>
                <w:rFonts w:ascii="Arial" w:cs="Arial" w:eastAsia="Arial" w:hAnsi="Arial"/>
                <w:sz w:val="11"/>
                <w:szCs w:val="11"/>
                <w:color w:val="auto"/>
              </w:rPr>
              <w:t>2,220,058</w:t>
            </w:r>
          </w:p>
        </w:tc>
        <w:tc>
          <w:tcPr>
            <w:tcW w:w="140" w:type="dxa"/>
            <w:vAlign w:val="bottom"/>
          </w:tcPr>
          <w:p>
            <w:pPr>
              <w:spacing w:after="0"/>
              <w:rPr>
                <w:sz w:val="10"/>
                <w:szCs w:val="10"/>
                <w:color w:val="auto"/>
              </w:rPr>
            </w:pPr>
          </w:p>
        </w:tc>
        <w:tc>
          <w:tcPr>
            <w:tcW w:w="70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2,514,710</w:t>
            </w:r>
          </w:p>
        </w:tc>
        <w:tc>
          <w:tcPr>
            <w:tcW w:w="620" w:type="dxa"/>
            <w:vAlign w:val="bottom"/>
            <w:gridSpan w:val="2"/>
          </w:tcPr>
          <w:p>
            <w:pPr>
              <w:jc w:val="center"/>
              <w:ind w:left="186"/>
              <w:spacing w:after="0" w:line="124" w:lineRule="exact"/>
              <w:rPr>
                <w:sz w:val="20"/>
                <w:szCs w:val="20"/>
                <w:color w:val="auto"/>
              </w:rPr>
            </w:pPr>
            <w:r>
              <w:rPr>
                <w:rFonts w:ascii="Arial" w:cs="Arial" w:eastAsia="Arial" w:hAnsi="Arial"/>
                <w:sz w:val="11"/>
                <w:szCs w:val="11"/>
                <w:color w:val="auto"/>
                <w:w w:val="96"/>
              </w:rPr>
              <w:t>13.3%</w:t>
            </w:r>
          </w:p>
        </w:tc>
        <w:tc>
          <w:tcPr>
            <w:tcW w:w="1000" w:type="dxa"/>
            <w:vAlign w:val="bottom"/>
          </w:tcPr>
          <w:p>
            <w:pPr>
              <w:jc w:val="center"/>
              <w:ind w:left="366"/>
              <w:spacing w:after="0" w:line="124" w:lineRule="exact"/>
              <w:rPr>
                <w:sz w:val="20"/>
                <w:szCs w:val="20"/>
                <w:color w:val="auto"/>
              </w:rPr>
            </w:pPr>
            <w:r>
              <w:rPr>
                <w:rFonts w:ascii="Arial" w:cs="Arial" w:eastAsia="Arial" w:hAnsi="Arial"/>
                <w:sz w:val="11"/>
                <w:szCs w:val="11"/>
                <w:color w:val="auto"/>
                <w:w w:val="96"/>
              </w:rPr>
              <w:t>26.7%</w:t>
            </w:r>
          </w:p>
        </w:tc>
        <w:tc>
          <w:tcPr>
            <w:tcW w:w="180" w:type="dxa"/>
            <w:vAlign w:val="bottom"/>
            <w:tcBorders>
              <w:right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20"/>
        </w:trPr>
        <w:tc>
          <w:tcPr>
            <w:tcW w:w="3400" w:type="dxa"/>
            <w:vAlign w:val="bottom"/>
            <w:tcBorders>
              <w:left w:val="single" w:sz="8" w:color="auto"/>
              <w:right w:val="single" w:sz="8" w:color="auto"/>
            </w:tcBorders>
          </w:tcPr>
          <w:p>
            <w:pPr>
              <w:ind w:left="20"/>
              <w:spacing w:after="0" w:line="120" w:lineRule="exact"/>
              <w:rPr>
                <w:sz w:val="20"/>
                <w:szCs w:val="20"/>
                <w:color w:val="auto"/>
              </w:rPr>
            </w:pPr>
            <w:r>
              <w:rPr>
                <w:rFonts w:ascii="Arial" w:cs="Arial" w:eastAsia="Arial" w:hAnsi="Arial"/>
                <w:sz w:val="11"/>
                <w:szCs w:val="11"/>
                <w:color w:val="auto"/>
              </w:rPr>
              <w:t>Investments</w:t>
            </w:r>
          </w:p>
        </w:tc>
        <w:tc>
          <w:tcPr>
            <w:tcW w:w="920" w:type="dxa"/>
            <w:vAlign w:val="bottom"/>
            <w:gridSpan w:val="2"/>
          </w:tcPr>
          <w:p>
            <w:pPr>
              <w:jc w:val="right"/>
              <w:spacing w:after="0" w:line="120" w:lineRule="exact"/>
              <w:rPr>
                <w:sz w:val="20"/>
                <w:szCs w:val="20"/>
                <w:color w:val="auto"/>
              </w:rPr>
            </w:pPr>
            <w:r>
              <w:rPr>
                <w:rFonts w:ascii="Arial" w:cs="Arial" w:eastAsia="Arial" w:hAnsi="Arial"/>
                <w:sz w:val="11"/>
                <w:szCs w:val="11"/>
                <w:color w:val="auto"/>
              </w:rPr>
              <w:t>1,548,424</w:t>
            </w:r>
          </w:p>
        </w:tc>
        <w:tc>
          <w:tcPr>
            <w:tcW w:w="120" w:type="dxa"/>
            <w:vAlign w:val="bottom"/>
          </w:tcPr>
          <w:p>
            <w:pPr>
              <w:spacing w:after="0"/>
              <w:rPr>
                <w:sz w:val="10"/>
                <w:szCs w:val="10"/>
                <w:color w:val="auto"/>
              </w:rPr>
            </w:pPr>
          </w:p>
        </w:tc>
        <w:tc>
          <w:tcPr>
            <w:tcW w:w="800" w:type="dxa"/>
            <w:vAlign w:val="bottom"/>
          </w:tcPr>
          <w:p>
            <w:pPr>
              <w:jc w:val="right"/>
              <w:ind w:right="26"/>
              <w:spacing w:after="0" w:line="120" w:lineRule="exact"/>
              <w:rPr>
                <w:sz w:val="20"/>
                <w:szCs w:val="20"/>
                <w:color w:val="auto"/>
              </w:rPr>
            </w:pPr>
            <w:r>
              <w:rPr>
                <w:rFonts w:ascii="Arial" w:cs="Arial" w:eastAsia="Arial" w:hAnsi="Arial"/>
                <w:sz w:val="11"/>
                <w:szCs w:val="11"/>
                <w:color w:val="auto"/>
              </w:rPr>
              <w:t>1,459,846</w:t>
            </w:r>
          </w:p>
        </w:tc>
        <w:tc>
          <w:tcPr>
            <w:tcW w:w="140" w:type="dxa"/>
            <w:vAlign w:val="bottom"/>
          </w:tcPr>
          <w:p>
            <w:pPr>
              <w:spacing w:after="0"/>
              <w:rPr>
                <w:sz w:val="10"/>
                <w:szCs w:val="10"/>
                <w:color w:val="auto"/>
              </w:rPr>
            </w:pPr>
          </w:p>
        </w:tc>
        <w:tc>
          <w:tcPr>
            <w:tcW w:w="700" w:type="dxa"/>
            <w:vAlign w:val="bottom"/>
            <w:tcBorders>
              <w:right w:val="single" w:sz="8" w:color="auto"/>
            </w:tcBorders>
          </w:tcPr>
          <w:p>
            <w:pPr>
              <w:jc w:val="right"/>
              <w:spacing w:after="0" w:line="120" w:lineRule="exact"/>
              <w:rPr>
                <w:sz w:val="20"/>
                <w:szCs w:val="20"/>
                <w:color w:val="auto"/>
              </w:rPr>
            </w:pPr>
            <w:r>
              <w:rPr>
                <w:rFonts w:ascii="Arial" w:cs="Arial" w:eastAsia="Arial" w:hAnsi="Arial"/>
                <w:sz w:val="11"/>
                <w:szCs w:val="11"/>
                <w:color w:val="auto"/>
              </w:rPr>
              <w:t>1,530,566</w:t>
            </w:r>
          </w:p>
        </w:tc>
        <w:tc>
          <w:tcPr>
            <w:tcW w:w="600" w:type="dxa"/>
            <w:vAlign w:val="bottom"/>
          </w:tcPr>
          <w:p>
            <w:pPr>
              <w:jc w:val="center"/>
              <w:ind w:left="226"/>
              <w:spacing w:after="0" w:line="120" w:lineRule="exact"/>
              <w:rPr>
                <w:sz w:val="20"/>
                <w:szCs w:val="20"/>
                <w:color w:val="auto"/>
              </w:rPr>
            </w:pPr>
            <w:r>
              <w:rPr>
                <w:rFonts w:ascii="Arial" w:cs="Arial" w:eastAsia="Arial" w:hAnsi="Arial"/>
                <w:sz w:val="11"/>
                <w:szCs w:val="11"/>
                <w:color w:val="auto"/>
                <w:w w:val="95"/>
              </w:rPr>
              <w:t>4.8%</w:t>
            </w:r>
          </w:p>
        </w:tc>
        <w:tc>
          <w:tcPr>
            <w:tcW w:w="20" w:type="dxa"/>
            <w:vAlign w:val="bottom"/>
          </w:tcPr>
          <w:p>
            <w:pPr>
              <w:spacing w:after="0"/>
              <w:rPr>
                <w:sz w:val="10"/>
                <w:szCs w:val="10"/>
                <w:color w:val="auto"/>
              </w:rPr>
            </w:pPr>
          </w:p>
        </w:tc>
        <w:tc>
          <w:tcPr>
            <w:tcW w:w="1000" w:type="dxa"/>
            <w:vAlign w:val="bottom"/>
          </w:tcPr>
          <w:p>
            <w:pPr>
              <w:jc w:val="center"/>
              <w:ind w:left="386"/>
              <w:spacing w:after="0" w:line="120" w:lineRule="exact"/>
              <w:rPr>
                <w:sz w:val="20"/>
                <w:szCs w:val="20"/>
                <w:color w:val="auto"/>
              </w:rPr>
            </w:pPr>
            <w:r>
              <w:rPr>
                <w:rFonts w:ascii="Arial" w:cs="Arial" w:eastAsia="Arial" w:hAnsi="Arial"/>
                <w:sz w:val="11"/>
                <w:szCs w:val="11"/>
                <w:color w:val="auto"/>
                <w:w w:val="97"/>
              </w:rPr>
              <w:t>-1.2%</w:t>
            </w:r>
          </w:p>
        </w:tc>
        <w:tc>
          <w:tcPr>
            <w:tcW w:w="180" w:type="dxa"/>
            <w:vAlign w:val="bottom"/>
            <w:tcBorders>
              <w:right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28"/>
        </w:trPr>
        <w:tc>
          <w:tcPr>
            <w:tcW w:w="34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Total loans</w:t>
            </w:r>
          </w:p>
        </w:tc>
        <w:tc>
          <w:tcPr>
            <w:tcW w:w="920" w:type="dxa"/>
            <w:vAlign w:val="bottom"/>
            <w:gridSpan w:val="2"/>
          </w:tcPr>
          <w:p>
            <w:pPr>
              <w:jc w:val="right"/>
              <w:spacing w:after="0"/>
              <w:rPr>
                <w:sz w:val="20"/>
                <w:szCs w:val="20"/>
                <w:color w:val="auto"/>
              </w:rPr>
            </w:pPr>
            <w:r>
              <w:rPr>
                <w:rFonts w:ascii="Arial" w:cs="Arial" w:eastAsia="Arial" w:hAnsi="Arial"/>
                <w:sz w:val="11"/>
                <w:szCs w:val="11"/>
                <w:b w:val="1"/>
                <w:bCs w:val="1"/>
                <w:color w:val="auto"/>
              </w:rPr>
              <w:t>9,642,982</w:t>
            </w:r>
          </w:p>
        </w:tc>
        <w:tc>
          <w:tcPr>
            <w:tcW w:w="120" w:type="dxa"/>
            <w:vAlign w:val="bottom"/>
          </w:tcPr>
          <w:p>
            <w:pPr>
              <w:spacing w:after="0"/>
              <w:rPr>
                <w:sz w:val="11"/>
                <w:szCs w:val="11"/>
                <w:color w:val="auto"/>
              </w:rPr>
            </w:pPr>
          </w:p>
        </w:tc>
        <w:tc>
          <w:tcPr>
            <w:tcW w:w="800" w:type="dxa"/>
            <w:vAlign w:val="bottom"/>
          </w:tcPr>
          <w:p>
            <w:pPr>
              <w:jc w:val="right"/>
              <w:ind w:right="26"/>
              <w:spacing w:after="0"/>
              <w:rPr>
                <w:sz w:val="20"/>
                <w:szCs w:val="20"/>
                <w:color w:val="auto"/>
              </w:rPr>
            </w:pPr>
            <w:r>
              <w:rPr>
                <w:rFonts w:ascii="Arial" w:cs="Arial" w:eastAsia="Arial" w:hAnsi="Arial"/>
                <w:sz w:val="11"/>
                <w:szCs w:val="11"/>
                <w:b w:val="1"/>
                <w:bCs w:val="1"/>
                <w:color w:val="auto"/>
              </w:rPr>
              <w:t>9,087,400</w:t>
            </w:r>
          </w:p>
        </w:tc>
        <w:tc>
          <w:tcPr>
            <w:tcW w:w="140" w:type="dxa"/>
            <w:vAlign w:val="bottom"/>
          </w:tcPr>
          <w:p>
            <w:pPr>
              <w:spacing w:after="0"/>
              <w:rPr>
                <w:sz w:val="11"/>
                <w:szCs w:val="11"/>
                <w:color w:val="auto"/>
              </w:rPr>
            </w:pP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1"/>
                <w:szCs w:val="11"/>
                <w:b w:val="1"/>
                <w:bCs w:val="1"/>
                <w:color w:val="auto"/>
              </w:rPr>
              <w:t>9,598,393</w:t>
            </w:r>
          </w:p>
        </w:tc>
        <w:tc>
          <w:tcPr>
            <w:tcW w:w="600" w:type="dxa"/>
            <w:vAlign w:val="bottom"/>
          </w:tcPr>
          <w:p>
            <w:pPr>
              <w:jc w:val="center"/>
              <w:ind w:left="226"/>
              <w:spacing w:after="0"/>
              <w:rPr>
                <w:sz w:val="20"/>
                <w:szCs w:val="20"/>
                <w:color w:val="auto"/>
              </w:rPr>
            </w:pPr>
            <w:r>
              <w:rPr>
                <w:rFonts w:ascii="Arial" w:cs="Arial" w:eastAsia="Arial" w:hAnsi="Arial"/>
                <w:sz w:val="11"/>
                <w:szCs w:val="11"/>
                <w:b w:val="1"/>
                <w:bCs w:val="1"/>
                <w:color w:val="auto"/>
                <w:w w:val="95"/>
              </w:rPr>
              <w:t>5.6%</w:t>
            </w:r>
          </w:p>
        </w:tc>
        <w:tc>
          <w:tcPr>
            <w:tcW w:w="20" w:type="dxa"/>
            <w:vAlign w:val="bottom"/>
          </w:tcPr>
          <w:p>
            <w:pPr>
              <w:spacing w:after="0"/>
              <w:rPr>
                <w:sz w:val="11"/>
                <w:szCs w:val="11"/>
                <w:color w:val="auto"/>
              </w:rPr>
            </w:pPr>
          </w:p>
        </w:tc>
        <w:tc>
          <w:tcPr>
            <w:tcW w:w="1000" w:type="dxa"/>
            <w:vAlign w:val="bottom"/>
          </w:tcPr>
          <w:p>
            <w:pPr>
              <w:jc w:val="center"/>
              <w:ind w:left="386"/>
              <w:spacing w:after="0"/>
              <w:rPr>
                <w:sz w:val="20"/>
                <w:szCs w:val="20"/>
                <w:color w:val="auto"/>
              </w:rPr>
            </w:pPr>
            <w:r>
              <w:rPr>
                <w:rFonts w:ascii="Arial" w:cs="Arial" w:eastAsia="Arial" w:hAnsi="Arial"/>
                <w:sz w:val="11"/>
                <w:szCs w:val="11"/>
                <w:b w:val="1"/>
                <w:bCs w:val="1"/>
                <w:color w:val="auto"/>
                <w:w w:val="97"/>
              </w:rPr>
              <w:t>-0.5%</w:t>
            </w:r>
          </w:p>
        </w:tc>
        <w:tc>
          <w:tcPr>
            <w:tcW w:w="180" w:type="dxa"/>
            <w:vAlign w:val="bottom"/>
            <w:tcBorders>
              <w:right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24"/>
        </w:trPr>
        <w:tc>
          <w:tcPr>
            <w:tcW w:w="3400" w:type="dxa"/>
            <w:vAlign w:val="bottom"/>
            <w:tcBorders>
              <w:left w:val="single" w:sz="8" w:color="auto"/>
              <w:right w:val="single" w:sz="8" w:color="auto"/>
            </w:tcBorders>
          </w:tcPr>
          <w:p>
            <w:pPr>
              <w:ind w:left="160"/>
              <w:spacing w:after="0" w:line="124" w:lineRule="exact"/>
              <w:rPr>
                <w:sz w:val="20"/>
                <w:szCs w:val="20"/>
                <w:color w:val="auto"/>
              </w:rPr>
            </w:pPr>
            <w:r>
              <w:rPr>
                <w:rFonts w:ascii="Arial" w:cs="Arial" w:eastAsia="Arial" w:hAnsi="Arial"/>
                <w:sz w:val="11"/>
                <w:szCs w:val="11"/>
                <w:color w:val="auto"/>
              </w:rPr>
              <w:t>Current</w:t>
            </w:r>
          </w:p>
        </w:tc>
        <w:tc>
          <w:tcPr>
            <w:tcW w:w="92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9,411,840</w:t>
            </w:r>
          </w:p>
        </w:tc>
        <w:tc>
          <w:tcPr>
            <w:tcW w:w="120" w:type="dxa"/>
            <w:vAlign w:val="bottom"/>
          </w:tcPr>
          <w:p>
            <w:pPr>
              <w:spacing w:after="0"/>
              <w:rPr>
                <w:sz w:val="10"/>
                <w:szCs w:val="10"/>
                <w:color w:val="auto"/>
              </w:rPr>
            </w:pPr>
          </w:p>
        </w:tc>
        <w:tc>
          <w:tcPr>
            <w:tcW w:w="800" w:type="dxa"/>
            <w:vAlign w:val="bottom"/>
          </w:tcPr>
          <w:p>
            <w:pPr>
              <w:jc w:val="right"/>
              <w:ind w:right="26"/>
              <w:spacing w:after="0" w:line="124" w:lineRule="exact"/>
              <w:rPr>
                <w:sz w:val="20"/>
                <w:szCs w:val="20"/>
                <w:color w:val="auto"/>
              </w:rPr>
            </w:pPr>
            <w:r>
              <w:rPr>
                <w:rFonts w:ascii="Arial" w:cs="Arial" w:eastAsia="Arial" w:hAnsi="Arial"/>
                <w:sz w:val="11"/>
                <w:szCs w:val="11"/>
                <w:color w:val="auto"/>
              </w:rPr>
              <w:t>8,815,936</w:t>
            </w:r>
          </w:p>
        </w:tc>
        <w:tc>
          <w:tcPr>
            <w:tcW w:w="140" w:type="dxa"/>
            <w:vAlign w:val="bottom"/>
          </w:tcPr>
          <w:p>
            <w:pPr>
              <w:spacing w:after="0"/>
              <w:rPr>
                <w:sz w:val="10"/>
                <w:szCs w:val="10"/>
                <w:color w:val="auto"/>
              </w:rPr>
            </w:pPr>
          </w:p>
        </w:tc>
        <w:tc>
          <w:tcPr>
            <w:tcW w:w="70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9,299,719</w:t>
            </w:r>
          </w:p>
        </w:tc>
        <w:tc>
          <w:tcPr>
            <w:tcW w:w="600" w:type="dxa"/>
            <w:vAlign w:val="bottom"/>
          </w:tcPr>
          <w:p>
            <w:pPr>
              <w:jc w:val="center"/>
              <w:ind w:left="226"/>
              <w:spacing w:after="0" w:line="124" w:lineRule="exact"/>
              <w:rPr>
                <w:sz w:val="20"/>
                <w:szCs w:val="20"/>
                <w:color w:val="auto"/>
              </w:rPr>
            </w:pPr>
            <w:r>
              <w:rPr>
                <w:rFonts w:ascii="Arial" w:cs="Arial" w:eastAsia="Arial" w:hAnsi="Arial"/>
                <w:sz w:val="11"/>
                <w:szCs w:val="11"/>
                <w:color w:val="auto"/>
                <w:w w:val="95"/>
              </w:rPr>
              <w:t>5.5%</w:t>
            </w:r>
          </w:p>
        </w:tc>
        <w:tc>
          <w:tcPr>
            <w:tcW w:w="20" w:type="dxa"/>
            <w:vAlign w:val="bottom"/>
          </w:tcPr>
          <w:p>
            <w:pPr>
              <w:spacing w:after="0"/>
              <w:rPr>
                <w:sz w:val="10"/>
                <w:szCs w:val="10"/>
                <w:color w:val="auto"/>
              </w:rPr>
            </w:pPr>
          </w:p>
        </w:tc>
        <w:tc>
          <w:tcPr>
            <w:tcW w:w="1000" w:type="dxa"/>
            <w:vAlign w:val="bottom"/>
          </w:tcPr>
          <w:p>
            <w:pPr>
              <w:jc w:val="center"/>
              <w:ind w:left="386"/>
              <w:spacing w:after="0" w:line="124" w:lineRule="exact"/>
              <w:rPr>
                <w:sz w:val="20"/>
                <w:szCs w:val="20"/>
                <w:color w:val="auto"/>
              </w:rPr>
            </w:pPr>
            <w:r>
              <w:rPr>
                <w:rFonts w:ascii="Arial" w:cs="Arial" w:eastAsia="Arial" w:hAnsi="Arial"/>
                <w:sz w:val="11"/>
                <w:szCs w:val="11"/>
                <w:color w:val="auto"/>
                <w:w w:val="97"/>
              </w:rPr>
              <w:t>-1.2%</w:t>
            </w:r>
          </w:p>
        </w:tc>
        <w:tc>
          <w:tcPr>
            <w:tcW w:w="180" w:type="dxa"/>
            <w:vAlign w:val="bottom"/>
            <w:tcBorders>
              <w:right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24"/>
        </w:trPr>
        <w:tc>
          <w:tcPr>
            <w:tcW w:w="3400" w:type="dxa"/>
            <w:vAlign w:val="bottom"/>
            <w:tcBorders>
              <w:left w:val="single" w:sz="8" w:color="auto"/>
              <w:right w:val="single" w:sz="8" w:color="auto"/>
            </w:tcBorders>
          </w:tcPr>
          <w:p>
            <w:pPr>
              <w:ind w:left="160"/>
              <w:spacing w:after="0" w:line="124" w:lineRule="exact"/>
              <w:rPr>
                <w:sz w:val="20"/>
                <w:szCs w:val="20"/>
                <w:color w:val="auto"/>
              </w:rPr>
            </w:pPr>
            <w:r>
              <w:rPr>
                <w:rFonts w:ascii="Arial" w:cs="Arial" w:eastAsia="Arial" w:hAnsi="Arial"/>
                <w:sz w:val="11"/>
                <w:szCs w:val="11"/>
                <w:color w:val="auto"/>
              </w:rPr>
              <w:t>Internal overdue loans</w:t>
            </w:r>
          </w:p>
        </w:tc>
        <w:tc>
          <w:tcPr>
            <w:tcW w:w="92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203,915</w:t>
            </w:r>
          </w:p>
        </w:tc>
        <w:tc>
          <w:tcPr>
            <w:tcW w:w="120" w:type="dxa"/>
            <w:vAlign w:val="bottom"/>
          </w:tcPr>
          <w:p>
            <w:pPr>
              <w:spacing w:after="0"/>
              <w:rPr>
                <w:sz w:val="10"/>
                <w:szCs w:val="10"/>
                <w:color w:val="auto"/>
              </w:rPr>
            </w:pPr>
          </w:p>
        </w:tc>
        <w:tc>
          <w:tcPr>
            <w:tcW w:w="800" w:type="dxa"/>
            <w:vAlign w:val="bottom"/>
          </w:tcPr>
          <w:p>
            <w:pPr>
              <w:jc w:val="right"/>
              <w:ind w:right="26"/>
              <w:spacing w:after="0" w:line="124" w:lineRule="exact"/>
              <w:rPr>
                <w:sz w:val="20"/>
                <w:szCs w:val="20"/>
                <w:color w:val="auto"/>
              </w:rPr>
            </w:pPr>
            <w:r>
              <w:rPr>
                <w:rFonts w:ascii="Arial" w:cs="Arial" w:eastAsia="Arial" w:hAnsi="Arial"/>
                <w:sz w:val="11"/>
                <w:szCs w:val="11"/>
                <w:color w:val="auto"/>
              </w:rPr>
              <w:t>242,399</w:t>
            </w:r>
          </w:p>
        </w:tc>
        <w:tc>
          <w:tcPr>
            <w:tcW w:w="140" w:type="dxa"/>
            <w:vAlign w:val="bottom"/>
          </w:tcPr>
          <w:p>
            <w:pPr>
              <w:spacing w:after="0"/>
              <w:rPr>
                <w:sz w:val="10"/>
                <w:szCs w:val="10"/>
                <w:color w:val="auto"/>
              </w:rPr>
            </w:pPr>
          </w:p>
        </w:tc>
        <w:tc>
          <w:tcPr>
            <w:tcW w:w="70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251,779</w:t>
            </w:r>
          </w:p>
        </w:tc>
        <w:tc>
          <w:tcPr>
            <w:tcW w:w="600" w:type="dxa"/>
            <w:vAlign w:val="bottom"/>
          </w:tcPr>
          <w:p>
            <w:pPr>
              <w:jc w:val="center"/>
              <w:ind w:left="226"/>
              <w:spacing w:after="0" w:line="124" w:lineRule="exact"/>
              <w:rPr>
                <w:sz w:val="20"/>
                <w:szCs w:val="20"/>
                <w:color w:val="auto"/>
              </w:rPr>
            </w:pPr>
            <w:r>
              <w:rPr>
                <w:rFonts w:ascii="Arial" w:cs="Arial" w:eastAsia="Arial" w:hAnsi="Arial"/>
                <w:sz w:val="11"/>
                <w:szCs w:val="11"/>
                <w:color w:val="auto"/>
                <w:w w:val="95"/>
              </w:rPr>
              <w:t>3.9%</w:t>
            </w:r>
          </w:p>
        </w:tc>
        <w:tc>
          <w:tcPr>
            <w:tcW w:w="20" w:type="dxa"/>
            <w:vAlign w:val="bottom"/>
          </w:tcPr>
          <w:p>
            <w:pPr>
              <w:spacing w:after="0"/>
              <w:rPr>
                <w:sz w:val="10"/>
                <w:szCs w:val="10"/>
                <w:color w:val="auto"/>
              </w:rPr>
            </w:pPr>
          </w:p>
        </w:tc>
        <w:tc>
          <w:tcPr>
            <w:tcW w:w="1000" w:type="dxa"/>
            <w:vAlign w:val="bottom"/>
          </w:tcPr>
          <w:p>
            <w:pPr>
              <w:jc w:val="center"/>
              <w:ind w:left="366"/>
              <w:spacing w:after="0" w:line="124" w:lineRule="exact"/>
              <w:rPr>
                <w:sz w:val="20"/>
                <w:szCs w:val="20"/>
                <w:color w:val="auto"/>
              </w:rPr>
            </w:pPr>
            <w:r>
              <w:rPr>
                <w:rFonts w:ascii="Arial" w:cs="Arial" w:eastAsia="Arial" w:hAnsi="Arial"/>
                <w:sz w:val="11"/>
                <w:szCs w:val="11"/>
                <w:color w:val="auto"/>
                <w:w w:val="96"/>
              </w:rPr>
              <w:t>23.5%</w:t>
            </w:r>
          </w:p>
        </w:tc>
        <w:tc>
          <w:tcPr>
            <w:tcW w:w="180" w:type="dxa"/>
            <w:vAlign w:val="bottom"/>
            <w:tcBorders>
              <w:right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24"/>
        </w:trPr>
        <w:tc>
          <w:tcPr>
            <w:tcW w:w="3400" w:type="dxa"/>
            <w:vAlign w:val="bottom"/>
            <w:tcBorders>
              <w:left w:val="single" w:sz="8" w:color="auto"/>
              <w:right w:val="single" w:sz="8" w:color="auto"/>
            </w:tcBorders>
          </w:tcPr>
          <w:p>
            <w:pPr>
              <w:ind w:left="160"/>
              <w:spacing w:after="0" w:line="124" w:lineRule="exact"/>
              <w:rPr>
                <w:sz w:val="20"/>
                <w:szCs w:val="20"/>
                <w:color w:val="auto"/>
              </w:rPr>
            </w:pPr>
            <w:r>
              <w:rPr>
                <w:rFonts w:ascii="Arial" w:cs="Arial" w:eastAsia="Arial" w:hAnsi="Arial"/>
                <w:sz w:val="11"/>
                <w:szCs w:val="11"/>
                <w:color w:val="auto"/>
              </w:rPr>
              <w:t>Refinanced</w:t>
            </w:r>
          </w:p>
        </w:tc>
        <w:tc>
          <w:tcPr>
            <w:tcW w:w="92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27,227</w:t>
            </w:r>
          </w:p>
        </w:tc>
        <w:tc>
          <w:tcPr>
            <w:tcW w:w="120" w:type="dxa"/>
            <w:vAlign w:val="bottom"/>
          </w:tcPr>
          <w:p>
            <w:pPr>
              <w:spacing w:after="0"/>
              <w:rPr>
                <w:sz w:val="10"/>
                <w:szCs w:val="10"/>
                <w:color w:val="auto"/>
              </w:rPr>
            </w:pPr>
          </w:p>
        </w:tc>
        <w:tc>
          <w:tcPr>
            <w:tcW w:w="800" w:type="dxa"/>
            <w:vAlign w:val="bottom"/>
          </w:tcPr>
          <w:p>
            <w:pPr>
              <w:jc w:val="right"/>
              <w:ind w:right="26"/>
              <w:spacing w:after="0" w:line="124" w:lineRule="exact"/>
              <w:rPr>
                <w:sz w:val="20"/>
                <w:szCs w:val="20"/>
                <w:color w:val="auto"/>
              </w:rPr>
            </w:pPr>
            <w:r>
              <w:rPr>
                <w:rFonts w:ascii="Arial" w:cs="Arial" w:eastAsia="Arial" w:hAnsi="Arial"/>
                <w:sz w:val="11"/>
                <w:szCs w:val="11"/>
                <w:color w:val="auto"/>
              </w:rPr>
              <w:t>29,064</w:t>
            </w:r>
          </w:p>
        </w:tc>
        <w:tc>
          <w:tcPr>
            <w:tcW w:w="140" w:type="dxa"/>
            <w:vAlign w:val="bottom"/>
          </w:tcPr>
          <w:p>
            <w:pPr>
              <w:spacing w:after="0"/>
              <w:rPr>
                <w:sz w:val="10"/>
                <w:szCs w:val="10"/>
                <w:color w:val="auto"/>
              </w:rPr>
            </w:pPr>
          </w:p>
        </w:tc>
        <w:tc>
          <w:tcPr>
            <w:tcW w:w="70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46,895</w:t>
            </w:r>
          </w:p>
        </w:tc>
        <w:tc>
          <w:tcPr>
            <w:tcW w:w="620" w:type="dxa"/>
            <w:vAlign w:val="bottom"/>
            <w:gridSpan w:val="2"/>
          </w:tcPr>
          <w:p>
            <w:pPr>
              <w:jc w:val="center"/>
              <w:ind w:left="186"/>
              <w:spacing w:after="0" w:line="124" w:lineRule="exact"/>
              <w:rPr>
                <w:sz w:val="20"/>
                <w:szCs w:val="20"/>
                <w:color w:val="auto"/>
              </w:rPr>
            </w:pPr>
            <w:r>
              <w:rPr>
                <w:rFonts w:ascii="Arial" w:cs="Arial" w:eastAsia="Arial" w:hAnsi="Arial"/>
                <w:sz w:val="11"/>
                <w:szCs w:val="11"/>
                <w:color w:val="auto"/>
                <w:w w:val="96"/>
              </w:rPr>
              <w:t>61.3%</w:t>
            </w:r>
          </w:p>
        </w:tc>
        <w:tc>
          <w:tcPr>
            <w:tcW w:w="1000" w:type="dxa"/>
            <w:vAlign w:val="bottom"/>
          </w:tcPr>
          <w:p>
            <w:pPr>
              <w:jc w:val="center"/>
              <w:ind w:left="366"/>
              <w:spacing w:after="0" w:line="124" w:lineRule="exact"/>
              <w:rPr>
                <w:sz w:val="20"/>
                <w:szCs w:val="20"/>
                <w:color w:val="auto"/>
              </w:rPr>
            </w:pPr>
            <w:r>
              <w:rPr>
                <w:rFonts w:ascii="Arial" w:cs="Arial" w:eastAsia="Arial" w:hAnsi="Arial"/>
                <w:sz w:val="11"/>
                <w:szCs w:val="11"/>
                <w:color w:val="auto"/>
                <w:w w:val="96"/>
              </w:rPr>
              <w:t>72.2%</w:t>
            </w:r>
          </w:p>
        </w:tc>
        <w:tc>
          <w:tcPr>
            <w:tcW w:w="180" w:type="dxa"/>
            <w:vAlign w:val="bottom"/>
            <w:tcBorders>
              <w:right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20"/>
        </w:trPr>
        <w:tc>
          <w:tcPr>
            <w:tcW w:w="3400" w:type="dxa"/>
            <w:vAlign w:val="bottom"/>
            <w:tcBorders>
              <w:left w:val="single" w:sz="8" w:color="auto"/>
              <w:right w:val="single" w:sz="8" w:color="auto"/>
            </w:tcBorders>
          </w:tcPr>
          <w:p>
            <w:pPr>
              <w:ind w:left="160"/>
              <w:spacing w:after="0" w:line="120" w:lineRule="exact"/>
              <w:rPr>
                <w:sz w:val="20"/>
                <w:szCs w:val="20"/>
                <w:color w:val="auto"/>
              </w:rPr>
            </w:pPr>
            <w:r>
              <w:rPr>
                <w:rFonts w:ascii="Arial" w:cs="Arial" w:eastAsia="Arial" w:hAnsi="Arial"/>
                <w:sz w:val="11"/>
                <w:szCs w:val="11"/>
                <w:color w:val="auto"/>
              </w:rPr>
              <w:t>Allowance for loan losses</w:t>
            </w:r>
          </w:p>
        </w:tc>
        <w:tc>
          <w:tcPr>
            <w:tcW w:w="920" w:type="dxa"/>
            <w:vAlign w:val="bottom"/>
            <w:gridSpan w:val="2"/>
          </w:tcPr>
          <w:p>
            <w:pPr>
              <w:jc w:val="right"/>
              <w:spacing w:after="0" w:line="120" w:lineRule="exact"/>
              <w:rPr>
                <w:sz w:val="20"/>
                <w:szCs w:val="20"/>
                <w:color w:val="auto"/>
              </w:rPr>
            </w:pPr>
            <w:r>
              <w:rPr>
                <w:rFonts w:ascii="Arial" w:cs="Arial" w:eastAsia="Arial" w:hAnsi="Arial"/>
                <w:sz w:val="11"/>
                <w:szCs w:val="11"/>
                <w:color w:val="auto"/>
              </w:rPr>
              <w:t>(414,697)</w:t>
            </w:r>
          </w:p>
        </w:tc>
        <w:tc>
          <w:tcPr>
            <w:tcW w:w="120" w:type="dxa"/>
            <w:vAlign w:val="bottom"/>
          </w:tcPr>
          <w:p>
            <w:pPr>
              <w:spacing w:after="0"/>
              <w:rPr>
                <w:sz w:val="10"/>
                <w:szCs w:val="10"/>
                <w:color w:val="auto"/>
              </w:rPr>
            </w:pPr>
          </w:p>
        </w:tc>
        <w:tc>
          <w:tcPr>
            <w:tcW w:w="800" w:type="dxa"/>
            <w:vAlign w:val="bottom"/>
          </w:tcPr>
          <w:p>
            <w:pPr>
              <w:jc w:val="right"/>
              <w:ind w:right="26"/>
              <w:spacing w:after="0" w:line="120" w:lineRule="exact"/>
              <w:rPr>
                <w:sz w:val="20"/>
                <w:szCs w:val="20"/>
                <w:color w:val="auto"/>
              </w:rPr>
            </w:pPr>
            <w:r>
              <w:rPr>
                <w:rFonts w:ascii="Arial" w:cs="Arial" w:eastAsia="Arial" w:hAnsi="Arial"/>
                <w:sz w:val="11"/>
                <w:szCs w:val="11"/>
                <w:color w:val="auto"/>
              </w:rPr>
              <w:t>(362,495)</w:t>
            </w:r>
          </w:p>
        </w:tc>
        <w:tc>
          <w:tcPr>
            <w:tcW w:w="140" w:type="dxa"/>
            <w:vAlign w:val="bottom"/>
          </w:tcPr>
          <w:p>
            <w:pPr>
              <w:spacing w:after="0"/>
              <w:rPr>
                <w:sz w:val="10"/>
                <w:szCs w:val="10"/>
                <w:color w:val="auto"/>
              </w:rPr>
            </w:pPr>
          </w:p>
        </w:tc>
        <w:tc>
          <w:tcPr>
            <w:tcW w:w="700" w:type="dxa"/>
            <w:vAlign w:val="bottom"/>
            <w:tcBorders>
              <w:right w:val="single" w:sz="8" w:color="auto"/>
            </w:tcBorders>
          </w:tcPr>
          <w:p>
            <w:pPr>
              <w:jc w:val="right"/>
              <w:spacing w:after="0" w:line="120" w:lineRule="exact"/>
              <w:rPr>
                <w:sz w:val="20"/>
                <w:szCs w:val="20"/>
                <w:color w:val="auto"/>
              </w:rPr>
            </w:pPr>
            <w:r>
              <w:rPr>
                <w:rFonts w:ascii="Arial" w:cs="Arial" w:eastAsia="Arial" w:hAnsi="Arial"/>
                <w:sz w:val="11"/>
                <w:szCs w:val="11"/>
                <w:color w:val="auto"/>
              </w:rPr>
              <w:t>(377,842)</w:t>
            </w:r>
          </w:p>
        </w:tc>
        <w:tc>
          <w:tcPr>
            <w:tcW w:w="600" w:type="dxa"/>
            <w:vAlign w:val="bottom"/>
          </w:tcPr>
          <w:p>
            <w:pPr>
              <w:jc w:val="center"/>
              <w:ind w:left="226"/>
              <w:spacing w:after="0" w:line="120" w:lineRule="exact"/>
              <w:rPr>
                <w:sz w:val="20"/>
                <w:szCs w:val="20"/>
                <w:color w:val="auto"/>
              </w:rPr>
            </w:pPr>
            <w:r>
              <w:rPr>
                <w:rFonts w:ascii="Arial" w:cs="Arial" w:eastAsia="Arial" w:hAnsi="Arial"/>
                <w:sz w:val="11"/>
                <w:szCs w:val="11"/>
                <w:color w:val="auto"/>
                <w:w w:val="95"/>
              </w:rPr>
              <w:t>4.2%</w:t>
            </w:r>
          </w:p>
        </w:tc>
        <w:tc>
          <w:tcPr>
            <w:tcW w:w="20" w:type="dxa"/>
            <w:vAlign w:val="bottom"/>
          </w:tcPr>
          <w:p>
            <w:pPr>
              <w:spacing w:after="0"/>
              <w:rPr>
                <w:sz w:val="10"/>
                <w:szCs w:val="10"/>
                <w:color w:val="auto"/>
              </w:rPr>
            </w:pPr>
          </w:p>
        </w:tc>
        <w:tc>
          <w:tcPr>
            <w:tcW w:w="1000" w:type="dxa"/>
            <w:vAlign w:val="bottom"/>
          </w:tcPr>
          <w:p>
            <w:pPr>
              <w:jc w:val="center"/>
              <w:ind w:left="386"/>
              <w:spacing w:after="0" w:line="120" w:lineRule="exact"/>
              <w:rPr>
                <w:sz w:val="20"/>
                <w:szCs w:val="20"/>
                <w:color w:val="auto"/>
              </w:rPr>
            </w:pPr>
            <w:r>
              <w:rPr>
                <w:rFonts w:ascii="Arial" w:cs="Arial" w:eastAsia="Arial" w:hAnsi="Arial"/>
                <w:sz w:val="11"/>
                <w:szCs w:val="11"/>
                <w:color w:val="auto"/>
                <w:w w:val="97"/>
              </w:rPr>
              <w:t>-8.9%</w:t>
            </w:r>
          </w:p>
        </w:tc>
        <w:tc>
          <w:tcPr>
            <w:tcW w:w="180" w:type="dxa"/>
            <w:vAlign w:val="bottom"/>
            <w:tcBorders>
              <w:right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28"/>
        </w:trPr>
        <w:tc>
          <w:tcPr>
            <w:tcW w:w="34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Net loans</w:t>
            </w:r>
          </w:p>
        </w:tc>
        <w:tc>
          <w:tcPr>
            <w:tcW w:w="920" w:type="dxa"/>
            <w:vAlign w:val="bottom"/>
            <w:gridSpan w:val="2"/>
          </w:tcPr>
          <w:p>
            <w:pPr>
              <w:jc w:val="right"/>
              <w:spacing w:after="0"/>
              <w:rPr>
                <w:sz w:val="20"/>
                <w:szCs w:val="20"/>
                <w:color w:val="auto"/>
              </w:rPr>
            </w:pPr>
            <w:r>
              <w:rPr>
                <w:rFonts w:ascii="Arial" w:cs="Arial" w:eastAsia="Arial" w:hAnsi="Arial"/>
                <w:sz w:val="11"/>
                <w:szCs w:val="11"/>
                <w:b w:val="1"/>
                <w:bCs w:val="1"/>
                <w:color w:val="auto"/>
              </w:rPr>
              <w:t>9,228,285</w:t>
            </w:r>
          </w:p>
        </w:tc>
        <w:tc>
          <w:tcPr>
            <w:tcW w:w="120" w:type="dxa"/>
            <w:vAlign w:val="bottom"/>
          </w:tcPr>
          <w:p>
            <w:pPr>
              <w:spacing w:after="0"/>
              <w:rPr>
                <w:sz w:val="11"/>
                <w:szCs w:val="11"/>
                <w:color w:val="auto"/>
              </w:rPr>
            </w:pPr>
          </w:p>
        </w:tc>
        <w:tc>
          <w:tcPr>
            <w:tcW w:w="800" w:type="dxa"/>
            <w:vAlign w:val="bottom"/>
          </w:tcPr>
          <w:p>
            <w:pPr>
              <w:jc w:val="right"/>
              <w:ind w:right="26"/>
              <w:spacing w:after="0"/>
              <w:rPr>
                <w:sz w:val="20"/>
                <w:szCs w:val="20"/>
                <w:color w:val="auto"/>
              </w:rPr>
            </w:pPr>
            <w:r>
              <w:rPr>
                <w:rFonts w:ascii="Arial" w:cs="Arial" w:eastAsia="Arial" w:hAnsi="Arial"/>
                <w:sz w:val="11"/>
                <w:szCs w:val="11"/>
                <w:b w:val="1"/>
                <w:bCs w:val="1"/>
                <w:color w:val="auto"/>
              </w:rPr>
              <w:t>8,724,904</w:t>
            </w:r>
          </w:p>
        </w:tc>
        <w:tc>
          <w:tcPr>
            <w:tcW w:w="140" w:type="dxa"/>
            <w:vAlign w:val="bottom"/>
          </w:tcPr>
          <w:p>
            <w:pPr>
              <w:spacing w:after="0"/>
              <w:rPr>
                <w:sz w:val="11"/>
                <w:szCs w:val="11"/>
                <w:color w:val="auto"/>
              </w:rPr>
            </w:pP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1"/>
                <w:szCs w:val="11"/>
                <w:b w:val="1"/>
                <w:bCs w:val="1"/>
                <w:color w:val="auto"/>
              </w:rPr>
              <w:t>9,220,551</w:t>
            </w:r>
          </w:p>
        </w:tc>
        <w:tc>
          <w:tcPr>
            <w:tcW w:w="600" w:type="dxa"/>
            <w:vAlign w:val="bottom"/>
          </w:tcPr>
          <w:p>
            <w:pPr>
              <w:jc w:val="center"/>
              <w:ind w:left="226"/>
              <w:spacing w:after="0"/>
              <w:rPr>
                <w:sz w:val="20"/>
                <w:szCs w:val="20"/>
                <w:color w:val="auto"/>
              </w:rPr>
            </w:pPr>
            <w:r>
              <w:rPr>
                <w:rFonts w:ascii="Arial" w:cs="Arial" w:eastAsia="Arial" w:hAnsi="Arial"/>
                <w:sz w:val="11"/>
                <w:szCs w:val="11"/>
                <w:b w:val="1"/>
                <w:bCs w:val="1"/>
                <w:color w:val="auto"/>
                <w:w w:val="95"/>
              </w:rPr>
              <w:t>5.7%</w:t>
            </w:r>
          </w:p>
        </w:tc>
        <w:tc>
          <w:tcPr>
            <w:tcW w:w="20" w:type="dxa"/>
            <w:vAlign w:val="bottom"/>
          </w:tcPr>
          <w:p>
            <w:pPr>
              <w:spacing w:after="0"/>
              <w:rPr>
                <w:sz w:val="11"/>
                <w:szCs w:val="11"/>
                <w:color w:val="auto"/>
              </w:rPr>
            </w:pPr>
          </w:p>
        </w:tc>
        <w:tc>
          <w:tcPr>
            <w:tcW w:w="1000" w:type="dxa"/>
            <w:vAlign w:val="bottom"/>
          </w:tcPr>
          <w:p>
            <w:pPr>
              <w:jc w:val="center"/>
              <w:ind w:left="386"/>
              <w:spacing w:after="0"/>
              <w:rPr>
                <w:sz w:val="20"/>
                <w:szCs w:val="20"/>
                <w:color w:val="auto"/>
              </w:rPr>
            </w:pPr>
            <w:r>
              <w:rPr>
                <w:rFonts w:ascii="Arial" w:cs="Arial" w:eastAsia="Arial" w:hAnsi="Arial"/>
                <w:sz w:val="11"/>
                <w:szCs w:val="11"/>
                <w:b w:val="1"/>
                <w:bCs w:val="1"/>
                <w:color w:val="auto"/>
                <w:w w:val="97"/>
              </w:rPr>
              <w:t>-0.1%</w:t>
            </w:r>
          </w:p>
        </w:tc>
        <w:tc>
          <w:tcPr>
            <w:tcW w:w="180" w:type="dxa"/>
            <w:vAlign w:val="bottom"/>
            <w:tcBorders>
              <w:right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24"/>
        </w:trPr>
        <w:tc>
          <w:tcPr>
            <w:tcW w:w="3400" w:type="dxa"/>
            <w:vAlign w:val="bottom"/>
            <w:tcBorders>
              <w:left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Property, plant and equipment, net</w:t>
            </w:r>
          </w:p>
        </w:tc>
        <w:tc>
          <w:tcPr>
            <w:tcW w:w="92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66,016</w:t>
            </w:r>
          </w:p>
        </w:tc>
        <w:tc>
          <w:tcPr>
            <w:tcW w:w="120" w:type="dxa"/>
            <w:vAlign w:val="bottom"/>
          </w:tcPr>
          <w:p>
            <w:pPr>
              <w:spacing w:after="0"/>
              <w:rPr>
                <w:sz w:val="10"/>
                <w:szCs w:val="10"/>
                <w:color w:val="auto"/>
              </w:rPr>
            </w:pPr>
          </w:p>
        </w:tc>
        <w:tc>
          <w:tcPr>
            <w:tcW w:w="800" w:type="dxa"/>
            <w:vAlign w:val="bottom"/>
          </w:tcPr>
          <w:p>
            <w:pPr>
              <w:jc w:val="right"/>
              <w:ind w:right="26"/>
              <w:spacing w:after="0" w:line="124" w:lineRule="exact"/>
              <w:rPr>
                <w:sz w:val="20"/>
                <w:szCs w:val="20"/>
                <w:color w:val="auto"/>
              </w:rPr>
            </w:pPr>
            <w:r>
              <w:rPr>
                <w:rFonts w:ascii="Arial" w:cs="Arial" w:eastAsia="Arial" w:hAnsi="Arial"/>
                <w:sz w:val="11"/>
                <w:szCs w:val="11"/>
                <w:color w:val="auto"/>
              </w:rPr>
              <w:t>60,510</w:t>
            </w:r>
          </w:p>
        </w:tc>
        <w:tc>
          <w:tcPr>
            <w:tcW w:w="140" w:type="dxa"/>
            <w:vAlign w:val="bottom"/>
          </w:tcPr>
          <w:p>
            <w:pPr>
              <w:spacing w:after="0"/>
              <w:rPr>
                <w:sz w:val="10"/>
                <w:szCs w:val="10"/>
                <w:color w:val="auto"/>
              </w:rPr>
            </w:pPr>
          </w:p>
        </w:tc>
        <w:tc>
          <w:tcPr>
            <w:tcW w:w="70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65,194</w:t>
            </w:r>
          </w:p>
        </w:tc>
        <w:tc>
          <w:tcPr>
            <w:tcW w:w="600" w:type="dxa"/>
            <w:vAlign w:val="bottom"/>
          </w:tcPr>
          <w:p>
            <w:pPr>
              <w:jc w:val="center"/>
              <w:ind w:left="226"/>
              <w:spacing w:after="0" w:line="124" w:lineRule="exact"/>
              <w:rPr>
                <w:sz w:val="20"/>
                <w:szCs w:val="20"/>
                <w:color w:val="auto"/>
              </w:rPr>
            </w:pPr>
            <w:r>
              <w:rPr>
                <w:rFonts w:ascii="Arial" w:cs="Arial" w:eastAsia="Arial" w:hAnsi="Arial"/>
                <w:sz w:val="11"/>
                <w:szCs w:val="11"/>
                <w:color w:val="auto"/>
                <w:w w:val="95"/>
              </w:rPr>
              <w:t>7.7%</w:t>
            </w:r>
          </w:p>
        </w:tc>
        <w:tc>
          <w:tcPr>
            <w:tcW w:w="20" w:type="dxa"/>
            <w:vAlign w:val="bottom"/>
          </w:tcPr>
          <w:p>
            <w:pPr>
              <w:spacing w:after="0"/>
              <w:rPr>
                <w:sz w:val="10"/>
                <w:szCs w:val="10"/>
                <w:color w:val="auto"/>
              </w:rPr>
            </w:pPr>
          </w:p>
        </w:tc>
        <w:tc>
          <w:tcPr>
            <w:tcW w:w="1000" w:type="dxa"/>
            <w:vAlign w:val="bottom"/>
          </w:tcPr>
          <w:p>
            <w:pPr>
              <w:jc w:val="center"/>
              <w:ind w:left="386"/>
              <w:spacing w:after="0" w:line="124" w:lineRule="exact"/>
              <w:rPr>
                <w:sz w:val="20"/>
                <w:szCs w:val="20"/>
                <w:color w:val="auto"/>
              </w:rPr>
            </w:pPr>
            <w:r>
              <w:rPr>
                <w:rFonts w:ascii="Arial" w:cs="Arial" w:eastAsia="Arial" w:hAnsi="Arial"/>
                <w:sz w:val="11"/>
                <w:szCs w:val="11"/>
                <w:color w:val="auto"/>
                <w:w w:val="97"/>
              </w:rPr>
              <w:t>-1.2%</w:t>
            </w:r>
          </w:p>
        </w:tc>
        <w:tc>
          <w:tcPr>
            <w:tcW w:w="180" w:type="dxa"/>
            <w:vAlign w:val="bottom"/>
            <w:tcBorders>
              <w:right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20"/>
        </w:trPr>
        <w:tc>
          <w:tcPr>
            <w:tcW w:w="3400" w:type="dxa"/>
            <w:vAlign w:val="bottom"/>
            <w:tcBorders>
              <w:left w:val="single" w:sz="8" w:color="auto"/>
              <w:right w:val="single" w:sz="8" w:color="auto"/>
            </w:tcBorders>
          </w:tcPr>
          <w:p>
            <w:pPr>
              <w:ind w:left="20"/>
              <w:spacing w:after="0" w:line="120" w:lineRule="exact"/>
              <w:rPr>
                <w:sz w:val="20"/>
                <w:szCs w:val="20"/>
                <w:color w:val="auto"/>
              </w:rPr>
            </w:pPr>
            <w:r>
              <w:rPr>
                <w:rFonts w:ascii="Arial" w:cs="Arial" w:eastAsia="Arial" w:hAnsi="Arial"/>
                <w:sz w:val="11"/>
                <w:szCs w:val="11"/>
                <w:color w:val="auto"/>
              </w:rPr>
              <w:t>Other assets</w:t>
            </w:r>
          </w:p>
        </w:tc>
        <w:tc>
          <w:tcPr>
            <w:tcW w:w="920" w:type="dxa"/>
            <w:vAlign w:val="bottom"/>
            <w:gridSpan w:val="2"/>
          </w:tcPr>
          <w:p>
            <w:pPr>
              <w:jc w:val="right"/>
              <w:spacing w:after="0" w:line="120" w:lineRule="exact"/>
              <w:rPr>
                <w:sz w:val="20"/>
                <w:szCs w:val="20"/>
                <w:color w:val="auto"/>
              </w:rPr>
            </w:pPr>
            <w:r>
              <w:rPr>
                <w:rFonts w:ascii="Arial" w:cs="Arial" w:eastAsia="Arial" w:hAnsi="Arial"/>
                <w:sz w:val="11"/>
                <w:szCs w:val="11"/>
                <w:color w:val="auto"/>
              </w:rPr>
              <w:t>316,286</w:t>
            </w:r>
          </w:p>
        </w:tc>
        <w:tc>
          <w:tcPr>
            <w:tcW w:w="120" w:type="dxa"/>
            <w:vAlign w:val="bottom"/>
          </w:tcPr>
          <w:p>
            <w:pPr>
              <w:spacing w:after="0"/>
              <w:rPr>
                <w:sz w:val="10"/>
                <w:szCs w:val="10"/>
                <w:color w:val="auto"/>
              </w:rPr>
            </w:pPr>
          </w:p>
        </w:tc>
        <w:tc>
          <w:tcPr>
            <w:tcW w:w="800" w:type="dxa"/>
            <w:vAlign w:val="bottom"/>
          </w:tcPr>
          <w:p>
            <w:pPr>
              <w:jc w:val="right"/>
              <w:ind w:right="26"/>
              <w:spacing w:after="0" w:line="120" w:lineRule="exact"/>
              <w:rPr>
                <w:sz w:val="20"/>
                <w:szCs w:val="20"/>
                <w:color w:val="auto"/>
              </w:rPr>
            </w:pPr>
            <w:r>
              <w:rPr>
                <w:rFonts w:ascii="Arial" w:cs="Arial" w:eastAsia="Arial" w:hAnsi="Arial"/>
                <w:sz w:val="11"/>
                <w:szCs w:val="11"/>
                <w:color w:val="auto"/>
              </w:rPr>
              <w:t>262,197</w:t>
            </w:r>
          </w:p>
        </w:tc>
        <w:tc>
          <w:tcPr>
            <w:tcW w:w="140" w:type="dxa"/>
            <w:vAlign w:val="bottom"/>
          </w:tcPr>
          <w:p>
            <w:pPr>
              <w:spacing w:after="0"/>
              <w:rPr>
                <w:sz w:val="10"/>
                <w:szCs w:val="10"/>
                <w:color w:val="auto"/>
              </w:rPr>
            </w:pPr>
          </w:p>
        </w:tc>
        <w:tc>
          <w:tcPr>
            <w:tcW w:w="700" w:type="dxa"/>
            <w:vAlign w:val="bottom"/>
            <w:tcBorders>
              <w:right w:val="single" w:sz="8" w:color="auto"/>
            </w:tcBorders>
          </w:tcPr>
          <w:p>
            <w:pPr>
              <w:jc w:val="right"/>
              <w:spacing w:after="0" w:line="120" w:lineRule="exact"/>
              <w:rPr>
                <w:sz w:val="20"/>
                <w:szCs w:val="20"/>
                <w:color w:val="auto"/>
              </w:rPr>
            </w:pPr>
            <w:r>
              <w:rPr>
                <w:rFonts w:ascii="Arial" w:cs="Arial" w:eastAsia="Arial" w:hAnsi="Arial"/>
                <w:sz w:val="11"/>
                <w:szCs w:val="11"/>
                <w:color w:val="auto"/>
              </w:rPr>
              <w:t>270,614</w:t>
            </w:r>
          </w:p>
        </w:tc>
        <w:tc>
          <w:tcPr>
            <w:tcW w:w="600" w:type="dxa"/>
            <w:vAlign w:val="bottom"/>
          </w:tcPr>
          <w:p>
            <w:pPr>
              <w:jc w:val="center"/>
              <w:ind w:left="226"/>
              <w:spacing w:after="0" w:line="120" w:lineRule="exact"/>
              <w:rPr>
                <w:sz w:val="20"/>
                <w:szCs w:val="20"/>
                <w:color w:val="auto"/>
              </w:rPr>
            </w:pPr>
            <w:r>
              <w:rPr>
                <w:rFonts w:ascii="Arial" w:cs="Arial" w:eastAsia="Arial" w:hAnsi="Arial"/>
                <w:sz w:val="11"/>
                <w:szCs w:val="11"/>
                <w:color w:val="auto"/>
                <w:w w:val="95"/>
              </w:rPr>
              <w:t>3.2%</w:t>
            </w:r>
          </w:p>
        </w:tc>
        <w:tc>
          <w:tcPr>
            <w:tcW w:w="20" w:type="dxa"/>
            <w:vAlign w:val="bottom"/>
          </w:tcPr>
          <w:p>
            <w:pPr>
              <w:spacing w:after="0"/>
              <w:rPr>
                <w:sz w:val="10"/>
                <w:szCs w:val="10"/>
                <w:color w:val="auto"/>
              </w:rPr>
            </w:pPr>
          </w:p>
        </w:tc>
        <w:tc>
          <w:tcPr>
            <w:tcW w:w="1000" w:type="dxa"/>
            <w:vAlign w:val="bottom"/>
          </w:tcPr>
          <w:p>
            <w:pPr>
              <w:jc w:val="center"/>
              <w:ind w:left="366"/>
              <w:spacing w:after="0" w:line="120" w:lineRule="exact"/>
              <w:rPr>
                <w:sz w:val="20"/>
                <w:szCs w:val="20"/>
                <w:color w:val="auto"/>
              </w:rPr>
            </w:pPr>
            <w:r>
              <w:rPr>
                <w:rFonts w:ascii="Arial" w:cs="Arial" w:eastAsia="Arial" w:hAnsi="Arial"/>
                <w:sz w:val="11"/>
                <w:szCs w:val="11"/>
                <w:color w:val="auto"/>
                <w:w w:val="97"/>
              </w:rPr>
              <w:t>-14.4%</w:t>
            </w:r>
          </w:p>
        </w:tc>
        <w:tc>
          <w:tcPr>
            <w:tcW w:w="180" w:type="dxa"/>
            <w:vAlign w:val="bottom"/>
            <w:tcBorders>
              <w:right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49"/>
        </w:trPr>
        <w:tc>
          <w:tcPr>
            <w:tcW w:w="3400" w:type="dxa"/>
            <w:vAlign w:val="bottom"/>
            <w:tcBorders>
              <w:left w:val="single" w:sz="8" w:color="auto"/>
              <w:right w:val="single" w:sz="8" w:color="auto"/>
            </w:tcBorders>
          </w:tcPr>
          <w:p>
            <w:pPr>
              <w:ind w:left="1400"/>
              <w:spacing w:after="0"/>
              <w:rPr>
                <w:sz w:val="20"/>
                <w:szCs w:val="20"/>
                <w:color w:val="auto"/>
              </w:rPr>
            </w:pPr>
            <w:r>
              <w:rPr>
                <w:rFonts w:ascii="Arial" w:cs="Arial" w:eastAsia="Arial" w:hAnsi="Arial"/>
                <w:sz w:val="11"/>
                <w:szCs w:val="11"/>
                <w:b w:val="1"/>
                <w:bCs w:val="1"/>
                <w:color w:val="auto"/>
              </w:rPr>
              <w:t>Total assets</w:t>
            </w:r>
          </w:p>
        </w:tc>
        <w:tc>
          <w:tcPr>
            <w:tcW w:w="920" w:type="dxa"/>
            <w:vAlign w:val="bottom"/>
            <w:gridSpan w:val="2"/>
          </w:tcPr>
          <w:p>
            <w:pPr>
              <w:jc w:val="right"/>
              <w:spacing w:after="0"/>
              <w:rPr>
                <w:sz w:val="20"/>
                <w:szCs w:val="20"/>
                <w:color w:val="auto"/>
              </w:rPr>
            </w:pPr>
            <w:r>
              <w:rPr>
                <w:rFonts w:ascii="Arial" w:cs="Arial" w:eastAsia="Arial" w:hAnsi="Arial"/>
                <w:sz w:val="11"/>
                <w:szCs w:val="11"/>
                <w:b w:val="1"/>
                <w:bCs w:val="1"/>
                <w:color w:val="auto"/>
              </w:rPr>
              <w:t>13,143,378</w:t>
            </w:r>
          </w:p>
        </w:tc>
        <w:tc>
          <w:tcPr>
            <w:tcW w:w="120" w:type="dxa"/>
            <w:vAlign w:val="bottom"/>
          </w:tcPr>
          <w:p>
            <w:pPr>
              <w:spacing w:after="0"/>
              <w:rPr>
                <w:sz w:val="12"/>
                <w:szCs w:val="12"/>
                <w:color w:val="auto"/>
              </w:rPr>
            </w:pPr>
          </w:p>
        </w:tc>
        <w:tc>
          <w:tcPr>
            <w:tcW w:w="800" w:type="dxa"/>
            <w:vAlign w:val="bottom"/>
          </w:tcPr>
          <w:p>
            <w:pPr>
              <w:jc w:val="right"/>
              <w:ind w:right="26"/>
              <w:spacing w:after="0"/>
              <w:rPr>
                <w:sz w:val="20"/>
                <w:szCs w:val="20"/>
                <w:color w:val="auto"/>
              </w:rPr>
            </w:pPr>
            <w:r>
              <w:rPr>
                <w:rFonts w:ascii="Arial" w:cs="Arial" w:eastAsia="Arial" w:hAnsi="Arial"/>
                <w:sz w:val="11"/>
                <w:szCs w:val="11"/>
                <w:b w:val="1"/>
                <w:bCs w:val="1"/>
                <w:color w:val="auto"/>
              </w:rPr>
              <w:t>12,727,516</w:t>
            </w:r>
          </w:p>
        </w:tc>
        <w:tc>
          <w:tcPr>
            <w:tcW w:w="140" w:type="dxa"/>
            <w:vAlign w:val="bottom"/>
          </w:tcPr>
          <w:p>
            <w:pPr>
              <w:spacing w:after="0"/>
              <w:rPr>
                <w:sz w:val="12"/>
                <w:szCs w:val="12"/>
                <w:color w:val="auto"/>
              </w:rPr>
            </w:pP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1"/>
                <w:szCs w:val="11"/>
                <w:b w:val="1"/>
                <w:bCs w:val="1"/>
                <w:color w:val="auto"/>
              </w:rPr>
              <w:t>13,601,635</w:t>
            </w:r>
          </w:p>
        </w:tc>
        <w:tc>
          <w:tcPr>
            <w:tcW w:w="600" w:type="dxa"/>
            <w:vAlign w:val="bottom"/>
          </w:tcPr>
          <w:p>
            <w:pPr>
              <w:jc w:val="center"/>
              <w:ind w:left="226"/>
              <w:spacing w:after="0"/>
              <w:rPr>
                <w:sz w:val="20"/>
                <w:szCs w:val="20"/>
                <w:color w:val="auto"/>
              </w:rPr>
            </w:pPr>
            <w:r>
              <w:rPr>
                <w:rFonts w:ascii="Arial" w:cs="Arial" w:eastAsia="Arial" w:hAnsi="Arial"/>
                <w:sz w:val="11"/>
                <w:szCs w:val="11"/>
                <w:b w:val="1"/>
                <w:bCs w:val="1"/>
                <w:color w:val="auto"/>
                <w:w w:val="95"/>
              </w:rPr>
              <w:t>6.9%</w:t>
            </w:r>
          </w:p>
        </w:tc>
        <w:tc>
          <w:tcPr>
            <w:tcW w:w="20" w:type="dxa"/>
            <w:vAlign w:val="bottom"/>
          </w:tcPr>
          <w:p>
            <w:pPr>
              <w:spacing w:after="0"/>
              <w:rPr>
                <w:sz w:val="12"/>
                <w:szCs w:val="12"/>
                <w:color w:val="auto"/>
              </w:rPr>
            </w:pPr>
          </w:p>
        </w:tc>
        <w:tc>
          <w:tcPr>
            <w:tcW w:w="1000" w:type="dxa"/>
            <w:vAlign w:val="bottom"/>
          </w:tcPr>
          <w:p>
            <w:pPr>
              <w:jc w:val="center"/>
              <w:ind w:left="366"/>
              <w:spacing w:after="0"/>
              <w:rPr>
                <w:sz w:val="20"/>
                <w:szCs w:val="20"/>
                <w:color w:val="auto"/>
              </w:rPr>
            </w:pPr>
            <w:r>
              <w:rPr>
                <w:rFonts w:ascii="Arial" w:cs="Arial" w:eastAsia="Arial" w:hAnsi="Arial"/>
                <w:sz w:val="11"/>
                <w:szCs w:val="11"/>
                <w:b w:val="1"/>
                <w:bCs w:val="1"/>
                <w:color w:val="auto"/>
              </w:rPr>
              <w:t>3.5%</w:t>
            </w:r>
          </w:p>
        </w:tc>
        <w:tc>
          <w:tcPr>
            <w:tcW w:w="18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226"/>
        </w:trPr>
        <w:tc>
          <w:tcPr>
            <w:tcW w:w="34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LIABILITIES AND NET SHAREHOLDERS’ EQUITY</w:t>
            </w: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Borders>
              <w:right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124"/>
        </w:trPr>
        <w:tc>
          <w:tcPr>
            <w:tcW w:w="3400" w:type="dxa"/>
            <w:vAlign w:val="bottom"/>
            <w:tcBorders>
              <w:left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Deposits and obligations</w:t>
            </w:r>
          </w:p>
        </w:tc>
        <w:tc>
          <w:tcPr>
            <w:tcW w:w="92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11,173,682</w:t>
            </w:r>
          </w:p>
        </w:tc>
        <w:tc>
          <w:tcPr>
            <w:tcW w:w="120" w:type="dxa"/>
            <w:vAlign w:val="bottom"/>
          </w:tcPr>
          <w:p>
            <w:pPr>
              <w:spacing w:after="0"/>
              <w:rPr>
                <w:sz w:val="10"/>
                <w:szCs w:val="10"/>
                <w:color w:val="auto"/>
              </w:rPr>
            </w:pPr>
          </w:p>
        </w:tc>
        <w:tc>
          <w:tcPr>
            <w:tcW w:w="800" w:type="dxa"/>
            <w:vAlign w:val="bottom"/>
          </w:tcPr>
          <w:p>
            <w:pPr>
              <w:jc w:val="right"/>
              <w:ind w:right="26"/>
              <w:spacing w:after="0" w:line="124" w:lineRule="exact"/>
              <w:rPr>
                <w:sz w:val="20"/>
                <w:szCs w:val="20"/>
                <w:color w:val="auto"/>
              </w:rPr>
            </w:pPr>
            <w:r>
              <w:rPr>
                <w:rFonts w:ascii="Arial" w:cs="Arial" w:eastAsia="Arial" w:hAnsi="Arial"/>
                <w:sz w:val="11"/>
                <w:szCs w:val="11"/>
                <w:color w:val="auto"/>
              </w:rPr>
              <w:t>10,637,386</w:t>
            </w:r>
          </w:p>
        </w:tc>
        <w:tc>
          <w:tcPr>
            <w:tcW w:w="140" w:type="dxa"/>
            <w:vAlign w:val="bottom"/>
          </w:tcPr>
          <w:p>
            <w:pPr>
              <w:spacing w:after="0"/>
              <w:rPr>
                <w:sz w:val="10"/>
                <w:szCs w:val="10"/>
                <w:color w:val="auto"/>
              </w:rPr>
            </w:pPr>
          </w:p>
        </w:tc>
        <w:tc>
          <w:tcPr>
            <w:tcW w:w="70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11,422,221</w:t>
            </w:r>
          </w:p>
        </w:tc>
        <w:tc>
          <w:tcPr>
            <w:tcW w:w="600" w:type="dxa"/>
            <w:vAlign w:val="bottom"/>
          </w:tcPr>
          <w:p>
            <w:pPr>
              <w:jc w:val="center"/>
              <w:ind w:left="226"/>
              <w:spacing w:after="0" w:line="124" w:lineRule="exact"/>
              <w:rPr>
                <w:sz w:val="20"/>
                <w:szCs w:val="20"/>
                <w:color w:val="auto"/>
              </w:rPr>
            </w:pPr>
            <w:r>
              <w:rPr>
                <w:rFonts w:ascii="Arial" w:cs="Arial" w:eastAsia="Arial" w:hAnsi="Arial"/>
                <w:sz w:val="11"/>
                <w:szCs w:val="11"/>
                <w:color w:val="auto"/>
                <w:w w:val="95"/>
              </w:rPr>
              <w:t>7.4%</w:t>
            </w:r>
          </w:p>
        </w:tc>
        <w:tc>
          <w:tcPr>
            <w:tcW w:w="20" w:type="dxa"/>
            <w:vAlign w:val="bottom"/>
          </w:tcPr>
          <w:p>
            <w:pPr>
              <w:spacing w:after="0"/>
              <w:rPr>
                <w:sz w:val="10"/>
                <w:szCs w:val="10"/>
                <w:color w:val="auto"/>
              </w:rPr>
            </w:pPr>
          </w:p>
        </w:tc>
        <w:tc>
          <w:tcPr>
            <w:tcW w:w="1000" w:type="dxa"/>
            <w:vAlign w:val="bottom"/>
          </w:tcPr>
          <w:p>
            <w:pPr>
              <w:jc w:val="center"/>
              <w:ind w:left="366"/>
              <w:spacing w:after="0" w:line="124" w:lineRule="exact"/>
              <w:rPr>
                <w:sz w:val="20"/>
                <w:szCs w:val="20"/>
                <w:color w:val="auto"/>
              </w:rPr>
            </w:pPr>
            <w:r>
              <w:rPr>
                <w:rFonts w:ascii="Arial" w:cs="Arial" w:eastAsia="Arial" w:hAnsi="Arial"/>
                <w:sz w:val="11"/>
                <w:szCs w:val="11"/>
                <w:color w:val="auto"/>
              </w:rPr>
              <w:t>2.2%</w:t>
            </w:r>
          </w:p>
        </w:tc>
        <w:tc>
          <w:tcPr>
            <w:tcW w:w="180" w:type="dxa"/>
            <w:vAlign w:val="bottom"/>
            <w:tcBorders>
              <w:right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24"/>
        </w:trPr>
        <w:tc>
          <w:tcPr>
            <w:tcW w:w="3400" w:type="dxa"/>
            <w:vAlign w:val="bottom"/>
            <w:tcBorders>
              <w:left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Due to banks and correspondents</w:t>
            </w:r>
          </w:p>
        </w:tc>
        <w:tc>
          <w:tcPr>
            <w:tcW w:w="92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86,986</w:t>
            </w:r>
          </w:p>
        </w:tc>
        <w:tc>
          <w:tcPr>
            <w:tcW w:w="120" w:type="dxa"/>
            <w:vAlign w:val="bottom"/>
          </w:tcPr>
          <w:p>
            <w:pPr>
              <w:spacing w:after="0"/>
              <w:rPr>
                <w:sz w:val="10"/>
                <w:szCs w:val="10"/>
                <w:color w:val="auto"/>
              </w:rPr>
            </w:pPr>
          </w:p>
        </w:tc>
        <w:tc>
          <w:tcPr>
            <w:tcW w:w="800" w:type="dxa"/>
            <w:vAlign w:val="bottom"/>
          </w:tcPr>
          <w:p>
            <w:pPr>
              <w:jc w:val="right"/>
              <w:ind w:right="26"/>
              <w:spacing w:after="0" w:line="124" w:lineRule="exact"/>
              <w:rPr>
                <w:sz w:val="20"/>
                <w:szCs w:val="20"/>
                <w:color w:val="auto"/>
              </w:rPr>
            </w:pPr>
            <w:r>
              <w:rPr>
                <w:rFonts w:ascii="Arial" w:cs="Arial" w:eastAsia="Arial" w:hAnsi="Arial"/>
                <w:sz w:val="11"/>
                <w:szCs w:val="11"/>
                <w:color w:val="auto"/>
              </w:rPr>
              <w:t>81,339</w:t>
            </w:r>
          </w:p>
        </w:tc>
        <w:tc>
          <w:tcPr>
            <w:tcW w:w="140" w:type="dxa"/>
            <w:vAlign w:val="bottom"/>
          </w:tcPr>
          <w:p>
            <w:pPr>
              <w:spacing w:after="0"/>
              <w:rPr>
                <w:sz w:val="10"/>
                <w:szCs w:val="10"/>
                <w:color w:val="auto"/>
              </w:rPr>
            </w:pPr>
          </w:p>
        </w:tc>
        <w:tc>
          <w:tcPr>
            <w:tcW w:w="70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91,033</w:t>
            </w:r>
          </w:p>
        </w:tc>
        <w:tc>
          <w:tcPr>
            <w:tcW w:w="600" w:type="dxa"/>
            <w:vAlign w:val="bottom"/>
          </w:tcPr>
          <w:p>
            <w:pPr>
              <w:jc w:val="center"/>
              <w:ind w:left="206"/>
              <w:spacing w:after="0" w:line="124" w:lineRule="exact"/>
              <w:rPr>
                <w:sz w:val="20"/>
                <w:szCs w:val="20"/>
                <w:color w:val="auto"/>
              </w:rPr>
            </w:pPr>
            <w:r>
              <w:rPr>
                <w:rFonts w:ascii="Arial" w:cs="Arial" w:eastAsia="Arial" w:hAnsi="Arial"/>
                <w:sz w:val="11"/>
                <w:szCs w:val="11"/>
                <w:color w:val="auto"/>
                <w:w w:val="96"/>
              </w:rPr>
              <w:t>11.9%</w:t>
            </w:r>
          </w:p>
        </w:tc>
        <w:tc>
          <w:tcPr>
            <w:tcW w:w="20" w:type="dxa"/>
            <w:vAlign w:val="bottom"/>
          </w:tcPr>
          <w:p>
            <w:pPr>
              <w:spacing w:after="0"/>
              <w:rPr>
                <w:sz w:val="10"/>
                <w:szCs w:val="10"/>
                <w:color w:val="auto"/>
              </w:rPr>
            </w:pPr>
          </w:p>
        </w:tc>
        <w:tc>
          <w:tcPr>
            <w:tcW w:w="1000" w:type="dxa"/>
            <w:vAlign w:val="bottom"/>
          </w:tcPr>
          <w:p>
            <w:pPr>
              <w:jc w:val="center"/>
              <w:ind w:left="366"/>
              <w:spacing w:after="0" w:line="124" w:lineRule="exact"/>
              <w:rPr>
                <w:sz w:val="20"/>
                <w:szCs w:val="20"/>
                <w:color w:val="auto"/>
              </w:rPr>
            </w:pPr>
            <w:r>
              <w:rPr>
                <w:rFonts w:ascii="Arial" w:cs="Arial" w:eastAsia="Arial" w:hAnsi="Arial"/>
                <w:sz w:val="11"/>
                <w:szCs w:val="11"/>
                <w:color w:val="auto"/>
              </w:rPr>
              <w:t>4.7%</w:t>
            </w:r>
          </w:p>
        </w:tc>
        <w:tc>
          <w:tcPr>
            <w:tcW w:w="180" w:type="dxa"/>
            <w:vAlign w:val="bottom"/>
            <w:tcBorders>
              <w:right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24"/>
        </w:trPr>
        <w:tc>
          <w:tcPr>
            <w:tcW w:w="3400" w:type="dxa"/>
            <w:vAlign w:val="bottom"/>
            <w:tcBorders>
              <w:left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Bonds and subordinated debt</w:t>
            </w:r>
          </w:p>
        </w:tc>
        <w:tc>
          <w:tcPr>
            <w:tcW w:w="920" w:type="dxa"/>
            <w:vAlign w:val="bottom"/>
            <w:gridSpan w:val="2"/>
          </w:tcPr>
          <w:p>
            <w:pPr>
              <w:jc w:val="right"/>
              <w:spacing w:after="0" w:line="124" w:lineRule="exact"/>
              <w:rPr>
                <w:sz w:val="20"/>
                <w:szCs w:val="20"/>
                <w:color w:val="auto"/>
              </w:rPr>
            </w:pPr>
            <w:r>
              <w:rPr>
                <w:rFonts w:ascii="Arial" w:cs="Arial" w:eastAsia="Arial" w:hAnsi="Arial"/>
                <w:sz w:val="11"/>
                <w:szCs w:val="11"/>
                <w:color w:val="auto"/>
              </w:rPr>
              <w:t>101,757</w:t>
            </w:r>
          </w:p>
        </w:tc>
        <w:tc>
          <w:tcPr>
            <w:tcW w:w="120" w:type="dxa"/>
            <w:vAlign w:val="bottom"/>
          </w:tcPr>
          <w:p>
            <w:pPr>
              <w:spacing w:after="0"/>
              <w:rPr>
                <w:sz w:val="10"/>
                <w:szCs w:val="10"/>
                <w:color w:val="auto"/>
              </w:rPr>
            </w:pPr>
          </w:p>
        </w:tc>
        <w:tc>
          <w:tcPr>
            <w:tcW w:w="800" w:type="dxa"/>
            <w:vAlign w:val="bottom"/>
          </w:tcPr>
          <w:p>
            <w:pPr>
              <w:jc w:val="right"/>
              <w:ind w:right="26"/>
              <w:spacing w:after="0" w:line="124" w:lineRule="exact"/>
              <w:rPr>
                <w:sz w:val="20"/>
                <w:szCs w:val="20"/>
                <w:color w:val="auto"/>
              </w:rPr>
            </w:pPr>
            <w:r>
              <w:rPr>
                <w:rFonts w:ascii="Arial" w:cs="Arial" w:eastAsia="Arial" w:hAnsi="Arial"/>
                <w:sz w:val="11"/>
                <w:szCs w:val="11"/>
                <w:color w:val="auto"/>
              </w:rPr>
              <w:t>154,264</w:t>
            </w:r>
          </w:p>
        </w:tc>
        <w:tc>
          <w:tcPr>
            <w:tcW w:w="140" w:type="dxa"/>
            <w:vAlign w:val="bottom"/>
          </w:tcPr>
          <w:p>
            <w:pPr>
              <w:spacing w:after="0"/>
              <w:rPr>
                <w:sz w:val="10"/>
                <w:szCs w:val="10"/>
                <w:color w:val="auto"/>
              </w:rPr>
            </w:pPr>
          </w:p>
        </w:tc>
        <w:tc>
          <w:tcPr>
            <w:tcW w:w="70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162,809</w:t>
            </w:r>
          </w:p>
        </w:tc>
        <w:tc>
          <w:tcPr>
            <w:tcW w:w="600" w:type="dxa"/>
            <w:vAlign w:val="bottom"/>
          </w:tcPr>
          <w:p>
            <w:pPr>
              <w:jc w:val="center"/>
              <w:ind w:left="226"/>
              <w:spacing w:after="0" w:line="124" w:lineRule="exact"/>
              <w:rPr>
                <w:sz w:val="20"/>
                <w:szCs w:val="20"/>
                <w:color w:val="auto"/>
              </w:rPr>
            </w:pPr>
            <w:r>
              <w:rPr>
                <w:rFonts w:ascii="Arial" w:cs="Arial" w:eastAsia="Arial" w:hAnsi="Arial"/>
                <w:sz w:val="11"/>
                <w:szCs w:val="11"/>
                <w:color w:val="auto"/>
                <w:w w:val="95"/>
              </w:rPr>
              <w:t>5.5%</w:t>
            </w:r>
          </w:p>
        </w:tc>
        <w:tc>
          <w:tcPr>
            <w:tcW w:w="20" w:type="dxa"/>
            <w:vAlign w:val="bottom"/>
          </w:tcPr>
          <w:p>
            <w:pPr>
              <w:spacing w:after="0"/>
              <w:rPr>
                <w:sz w:val="10"/>
                <w:szCs w:val="10"/>
                <w:color w:val="auto"/>
              </w:rPr>
            </w:pPr>
          </w:p>
        </w:tc>
        <w:tc>
          <w:tcPr>
            <w:tcW w:w="1000" w:type="dxa"/>
            <w:vAlign w:val="bottom"/>
          </w:tcPr>
          <w:p>
            <w:pPr>
              <w:jc w:val="center"/>
              <w:ind w:left="366"/>
              <w:spacing w:after="0" w:line="124" w:lineRule="exact"/>
              <w:rPr>
                <w:sz w:val="20"/>
                <w:szCs w:val="20"/>
                <w:color w:val="auto"/>
              </w:rPr>
            </w:pPr>
            <w:r>
              <w:rPr>
                <w:rFonts w:ascii="Arial" w:cs="Arial" w:eastAsia="Arial" w:hAnsi="Arial"/>
                <w:sz w:val="11"/>
                <w:szCs w:val="11"/>
                <w:color w:val="auto"/>
                <w:w w:val="96"/>
              </w:rPr>
              <w:t>60.0%</w:t>
            </w:r>
          </w:p>
        </w:tc>
        <w:tc>
          <w:tcPr>
            <w:tcW w:w="180" w:type="dxa"/>
            <w:vAlign w:val="bottom"/>
            <w:tcBorders>
              <w:right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20"/>
        </w:trPr>
        <w:tc>
          <w:tcPr>
            <w:tcW w:w="3400" w:type="dxa"/>
            <w:vAlign w:val="bottom"/>
            <w:tcBorders>
              <w:left w:val="single" w:sz="8" w:color="auto"/>
              <w:right w:val="single" w:sz="8" w:color="auto"/>
            </w:tcBorders>
          </w:tcPr>
          <w:p>
            <w:pPr>
              <w:ind w:left="20"/>
              <w:spacing w:after="0" w:line="120" w:lineRule="exact"/>
              <w:rPr>
                <w:sz w:val="20"/>
                <w:szCs w:val="20"/>
                <w:color w:val="auto"/>
              </w:rPr>
            </w:pPr>
            <w:r>
              <w:rPr>
                <w:rFonts w:ascii="Arial" w:cs="Arial" w:eastAsia="Arial" w:hAnsi="Arial"/>
                <w:sz w:val="11"/>
                <w:szCs w:val="11"/>
                <w:color w:val="auto"/>
              </w:rPr>
              <w:t>Other liabilities</w:t>
            </w:r>
          </w:p>
        </w:tc>
        <w:tc>
          <w:tcPr>
            <w:tcW w:w="920" w:type="dxa"/>
            <w:vAlign w:val="bottom"/>
            <w:gridSpan w:val="2"/>
          </w:tcPr>
          <w:p>
            <w:pPr>
              <w:jc w:val="right"/>
              <w:spacing w:after="0" w:line="120" w:lineRule="exact"/>
              <w:rPr>
                <w:sz w:val="20"/>
                <w:szCs w:val="20"/>
                <w:color w:val="auto"/>
              </w:rPr>
            </w:pPr>
            <w:r>
              <w:rPr>
                <w:rFonts w:ascii="Arial" w:cs="Arial" w:eastAsia="Arial" w:hAnsi="Arial"/>
                <w:sz w:val="11"/>
                <w:szCs w:val="11"/>
                <w:color w:val="auto"/>
              </w:rPr>
              <w:t>909,268</w:t>
            </w:r>
          </w:p>
        </w:tc>
        <w:tc>
          <w:tcPr>
            <w:tcW w:w="120" w:type="dxa"/>
            <w:vAlign w:val="bottom"/>
          </w:tcPr>
          <w:p>
            <w:pPr>
              <w:spacing w:after="0"/>
              <w:rPr>
                <w:sz w:val="10"/>
                <w:szCs w:val="10"/>
                <w:color w:val="auto"/>
              </w:rPr>
            </w:pPr>
          </w:p>
        </w:tc>
        <w:tc>
          <w:tcPr>
            <w:tcW w:w="800" w:type="dxa"/>
            <w:vAlign w:val="bottom"/>
          </w:tcPr>
          <w:p>
            <w:pPr>
              <w:jc w:val="right"/>
              <w:ind w:right="26"/>
              <w:spacing w:after="0" w:line="120" w:lineRule="exact"/>
              <w:rPr>
                <w:sz w:val="20"/>
                <w:szCs w:val="20"/>
                <w:color w:val="auto"/>
              </w:rPr>
            </w:pPr>
            <w:r>
              <w:rPr>
                <w:rFonts w:ascii="Arial" w:cs="Arial" w:eastAsia="Arial" w:hAnsi="Arial"/>
                <w:sz w:val="11"/>
                <w:szCs w:val="11"/>
                <w:color w:val="auto"/>
              </w:rPr>
              <w:t>999,370</w:t>
            </w:r>
          </w:p>
        </w:tc>
        <w:tc>
          <w:tcPr>
            <w:tcW w:w="140" w:type="dxa"/>
            <w:vAlign w:val="bottom"/>
          </w:tcPr>
          <w:p>
            <w:pPr>
              <w:spacing w:after="0"/>
              <w:rPr>
                <w:sz w:val="10"/>
                <w:szCs w:val="10"/>
                <w:color w:val="auto"/>
              </w:rPr>
            </w:pPr>
          </w:p>
        </w:tc>
        <w:tc>
          <w:tcPr>
            <w:tcW w:w="700" w:type="dxa"/>
            <w:vAlign w:val="bottom"/>
            <w:tcBorders>
              <w:right w:val="single" w:sz="8" w:color="auto"/>
            </w:tcBorders>
          </w:tcPr>
          <w:p>
            <w:pPr>
              <w:jc w:val="right"/>
              <w:spacing w:after="0" w:line="120" w:lineRule="exact"/>
              <w:rPr>
                <w:sz w:val="20"/>
                <w:szCs w:val="20"/>
                <w:color w:val="auto"/>
              </w:rPr>
            </w:pPr>
            <w:r>
              <w:rPr>
                <w:rFonts w:ascii="Arial" w:cs="Arial" w:eastAsia="Arial" w:hAnsi="Arial"/>
                <w:sz w:val="11"/>
                <w:szCs w:val="11"/>
                <w:color w:val="auto"/>
              </w:rPr>
              <w:t>1,035,891</w:t>
            </w:r>
          </w:p>
        </w:tc>
        <w:tc>
          <w:tcPr>
            <w:tcW w:w="600" w:type="dxa"/>
            <w:vAlign w:val="bottom"/>
          </w:tcPr>
          <w:p>
            <w:pPr>
              <w:jc w:val="center"/>
              <w:ind w:left="226"/>
              <w:spacing w:after="0" w:line="120" w:lineRule="exact"/>
              <w:rPr>
                <w:sz w:val="20"/>
                <w:szCs w:val="20"/>
                <w:color w:val="auto"/>
              </w:rPr>
            </w:pPr>
            <w:r>
              <w:rPr>
                <w:rFonts w:ascii="Arial" w:cs="Arial" w:eastAsia="Arial" w:hAnsi="Arial"/>
                <w:sz w:val="11"/>
                <w:szCs w:val="11"/>
                <w:color w:val="auto"/>
                <w:w w:val="95"/>
              </w:rPr>
              <w:t>3.7%</w:t>
            </w:r>
          </w:p>
        </w:tc>
        <w:tc>
          <w:tcPr>
            <w:tcW w:w="20" w:type="dxa"/>
            <w:vAlign w:val="bottom"/>
          </w:tcPr>
          <w:p>
            <w:pPr>
              <w:spacing w:after="0"/>
              <w:rPr>
                <w:sz w:val="10"/>
                <w:szCs w:val="10"/>
                <w:color w:val="auto"/>
              </w:rPr>
            </w:pPr>
          </w:p>
        </w:tc>
        <w:tc>
          <w:tcPr>
            <w:tcW w:w="1000" w:type="dxa"/>
            <w:vAlign w:val="bottom"/>
          </w:tcPr>
          <w:p>
            <w:pPr>
              <w:jc w:val="center"/>
              <w:ind w:left="366"/>
              <w:spacing w:after="0" w:line="120" w:lineRule="exact"/>
              <w:rPr>
                <w:sz w:val="20"/>
                <w:szCs w:val="20"/>
                <w:color w:val="auto"/>
              </w:rPr>
            </w:pPr>
            <w:r>
              <w:rPr>
                <w:rFonts w:ascii="Arial" w:cs="Arial" w:eastAsia="Arial" w:hAnsi="Arial"/>
                <w:sz w:val="11"/>
                <w:szCs w:val="11"/>
                <w:color w:val="auto"/>
                <w:w w:val="96"/>
              </w:rPr>
              <w:t>13.9%</w:t>
            </w:r>
          </w:p>
        </w:tc>
        <w:tc>
          <w:tcPr>
            <w:tcW w:w="180" w:type="dxa"/>
            <w:vAlign w:val="bottom"/>
            <w:tcBorders>
              <w:right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49"/>
        </w:trPr>
        <w:tc>
          <w:tcPr>
            <w:tcW w:w="3400" w:type="dxa"/>
            <w:vAlign w:val="bottom"/>
            <w:tcBorders>
              <w:left w:val="single" w:sz="8" w:color="auto"/>
              <w:right w:val="single" w:sz="8" w:color="auto"/>
            </w:tcBorders>
          </w:tcPr>
          <w:p>
            <w:pPr>
              <w:ind w:left="1340"/>
              <w:spacing w:after="0"/>
              <w:rPr>
                <w:sz w:val="20"/>
                <w:szCs w:val="20"/>
                <w:color w:val="auto"/>
              </w:rPr>
            </w:pPr>
            <w:r>
              <w:rPr>
                <w:rFonts w:ascii="Arial" w:cs="Arial" w:eastAsia="Arial" w:hAnsi="Arial"/>
                <w:sz w:val="11"/>
                <w:szCs w:val="11"/>
                <w:b w:val="1"/>
                <w:bCs w:val="1"/>
                <w:color w:val="auto"/>
              </w:rPr>
              <w:t>Total liabilities</w:t>
            </w:r>
          </w:p>
        </w:tc>
        <w:tc>
          <w:tcPr>
            <w:tcW w:w="920" w:type="dxa"/>
            <w:vAlign w:val="bottom"/>
            <w:gridSpan w:val="2"/>
          </w:tcPr>
          <w:p>
            <w:pPr>
              <w:jc w:val="right"/>
              <w:spacing w:after="0"/>
              <w:rPr>
                <w:sz w:val="20"/>
                <w:szCs w:val="20"/>
                <w:color w:val="auto"/>
              </w:rPr>
            </w:pPr>
            <w:r>
              <w:rPr>
                <w:rFonts w:ascii="Arial" w:cs="Arial" w:eastAsia="Arial" w:hAnsi="Arial"/>
                <w:sz w:val="11"/>
                <w:szCs w:val="11"/>
                <w:b w:val="1"/>
                <w:bCs w:val="1"/>
                <w:color w:val="auto"/>
              </w:rPr>
              <w:t>12,271,692</w:t>
            </w:r>
          </w:p>
        </w:tc>
        <w:tc>
          <w:tcPr>
            <w:tcW w:w="120" w:type="dxa"/>
            <w:vAlign w:val="bottom"/>
          </w:tcPr>
          <w:p>
            <w:pPr>
              <w:spacing w:after="0"/>
              <w:rPr>
                <w:sz w:val="12"/>
                <w:szCs w:val="12"/>
                <w:color w:val="auto"/>
              </w:rPr>
            </w:pPr>
          </w:p>
        </w:tc>
        <w:tc>
          <w:tcPr>
            <w:tcW w:w="800" w:type="dxa"/>
            <w:vAlign w:val="bottom"/>
          </w:tcPr>
          <w:p>
            <w:pPr>
              <w:jc w:val="right"/>
              <w:ind w:right="26"/>
              <w:spacing w:after="0"/>
              <w:rPr>
                <w:sz w:val="20"/>
                <w:szCs w:val="20"/>
                <w:color w:val="auto"/>
              </w:rPr>
            </w:pPr>
            <w:r>
              <w:rPr>
                <w:rFonts w:ascii="Arial" w:cs="Arial" w:eastAsia="Arial" w:hAnsi="Arial"/>
                <w:sz w:val="11"/>
                <w:szCs w:val="11"/>
                <w:b w:val="1"/>
                <w:bCs w:val="1"/>
                <w:color w:val="auto"/>
              </w:rPr>
              <w:t>11,872,360</w:t>
            </w:r>
          </w:p>
        </w:tc>
        <w:tc>
          <w:tcPr>
            <w:tcW w:w="140" w:type="dxa"/>
            <w:vAlign w:val="bottom"/>
          </w:tcPr>
          <w:p>
            <w:pPr>
              <w:spacing w:after="0"/>
              <w:rPr>
                <w:sz w:val="12"/>
                <w:szCs w:val="12"/>
                <w:color w:val="auto"/>
              </w:rPr>
            </w:pP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1"/>
                <w:szCs w:val="11"/>
                <w:b w:val="1"/>
                <w:bCs w:val="1"/>
                <w:color w:val="auto"/>
              </w:rPr>
              <w:t>12,711,954</w:t>
            </w:r>
          </w:p>
        </w:tc>
        <w:tc>
          <w:tcPr>
            <w:tcW w:w="600" w:type="dxa"/>
            <w:vAlign w:val="bottom"/>
          </w:tcPr>
          <w:p>
            <w:pPr>
              <w:jc w:val="center"/>
              <w:ind w:left="226"/>
              <w:spacing w:after="0"/>
              <w:rPr>
                <w:sz w:val="20"/>
                <w:szCs w:val="20"/>
                <w:color w:val="auto"/>
              </w:rPr>
            </w:pPr>
            <w:r>
              <w:rPr>
                <w:rFonts w:ascii="Arial" w:cs="Arial" w:eastAsia="Arial" w:hAnsi="Arial"/>
                <w:sz w:val="11"/>
                <w:szCs w:val="11"/>
                <w:b w:val="1"/>
                <w:bCs w:val="1"/>
                <w:color w:val="auto"/>
                <w:w w:val="95"/>
              </w:rPr>
              <w:t>7.1%</w:t>
            </w:r>
          </w:p>
        </w:tc>
        <w:tc>
          <w:tcPr>
            <w:tcW w:w="20" w:type="dxa"/>
            <w:vAlign w:val="bottom"/>
          </w:tcPr>
          <w:p>
            <w:pPr>
              <w:spacing w:after="0"/>
              <w:rPr>
                <w:sz w:val="12"/>
                <w:szCs w:val="12"/>
                <w:color w:val="auto"/>
              </w:rPr>
            </w:pPr>
          </w:p>
        </w:tc>
        <w:tc>
          <w:tcPr>
            <w:tcW w:w="1000" w:type="dxa"/>
            <w:vAlign w:val="bottom"/>
          </w:tcPr>
          <w:p>
            <w:pPr>
              <w:jc w:val="center"/>
              <w:ind w:left="366"/>
              <w:spacing w:after="0"/>
              <w:rPr>
                <w:sz w:val="20"/>
                <w:szCs w:val="20"/>
                <w:color w:val="auto"/>
              </w:rPr>
            </w:pPr>
            <w:r>
              <w:rPr>
                <w:rFonts w:ascii="Arial" w:cs="Arial" w:eastAsia="Arial" w:hAnsi="Arial"/>
                <w:sz w:val="11"/>
                <w:szCs w:val="11"/>
                <w:b w:val="1"/>
                <w:bCs w:val="1"/>
                <w:color w:val="auto"/>
              </w:rPr>
              <w:t>3.6%</w:t>
            </w:r>
          </w:p>
        </w:tc>
        <w:tc>
          <w:tcPr>
            <w:tcW w:w="18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247"/>
        </w:trPr>
        <w:tc>
          <w:tcPr>
            <w:tcW w:w="34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Net equity</w:t>
            </w:r>
          </w:p>
        </w:tc>
        <w:tc>
          <w:tcPr>
            <w:tcW w:w="920" w:type="dxa"/>
            <w:vAlign w:val="bottom"/>
            <w:gridSpan w:val="2"/>
          </w:tcPr>
          <w:p>
            <w:pPr>
              <w:jc w:val="right"/>
              <w:spacing w:after="0"/>
              <w:rPr>
                <w:sz w:val="20"/>
                <w:szCs w:val="20"/>
                <w:color w:val="auto"/>
              </w:rPr>
            </w:pPr>
            <w:r>
              <w:rPr>
                <w:rFonts w:ascii="Arial" w:cs="Arial" w:eastAsia="Arial" w:hAnsi="Arial"/>
                <w:sz w:val="11"/>
                <w:szCs w:val="11"/>
                <w:b w:val="1"/>
                <w:bCs w:val="1"/>
                <w:color w:val="auto"/>
              </w:rPr>
              <w:t>871,686</w:t>
            </w:r>
          </w:p>
        </w:tc>
        <w:tc>
          <w:tcPr>
            <w:tcW w:w="120" w:type="dxa"/>
            <w:vAlign w:val="bottom"/>
          </w:tcPr>
          <w:p>
            <w:pPr>
              <w:spacing w:after="0"/>
              <w:rPr>
                <w:sz w:val="21"/>
                <w:szCs w:val="21"/>
                <w:color w:val="auto"/>
              </w:rPr>
            </w:pPr>
          </w:p>
        </w:tc>
        <w:tc>
          <w:tcPr>
            <w:tcW w:w="800" w:type="dxa"/>
            <w:vAlign w:val="bottom"/>
          </w:tcPr>
          <w:p>
            <w:pPr>
              <w:jc w:val="right"/>
              <w:ind w:right="26"/>
              <w:spacing w:after="0"/>
              <w:rPr>
                <w:sz w:val="20"/>
                <w:szCs w:val="20"/>
                <w:color w:val="auto"/>
              </w:rPr>
            </w:pPr>
            <w:r>
              <w:rPr>
                <w:rFonts w:ascii="Arial" w:cs="Arial" w:eastAsia="Arial" w:hAnsi="Arial"/>
                <w:sz w:val="11"/>
                <w:szCs w:val="11"/>
                <w:b w:val="1"/>
                <w:bCs w:val="1"/>
                <w:color w:val="auto"/>
              </w:rPr>
              <w:t>855,157</w:t>
            </w:r>
          </w:p>
        </w:tc>
        <w:tc>
          <w:tcPr>
            <w:tcW w:w="140" w:type="dxa"/>
            <w:vAlign w:val="bottom"/>
          </w:tcPr>
          <w:p>
            <w:pPr>
              <w:spacing w:after="0"/>
              <w:rPr>
                <w:sz w:val="21"/>
                <w:szCs w:val="21"/>
                <w:color w:val="auto"/>
              </w:rPr>
            </w:pP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1"/>
                <w:szCs w:val="11"/>
                <w:b w:val="1"/>
                <w:bCs w:val="1"/>
                <w:color w:val="auto"/>
              </w:rPr>
              <w:t>889,682</w:t>
            </w:r>
          </w:p>
        </w:tc>
        <w:tc>
          <w:tcPr>
            <w:tcW w:w="600" w:type="dxa"/>
            <w:vAlign w:val="bottom"/>
          </w:tcPr>
          <w:p>
            <w:pPr>
              <w:jc w:val="center"/>
              <w:ind w:left="226"/>
              <w:spacing w:after="0"/>
              <w:rPr>
                <w:sz w:val="20"/>
                <w:szCs w:val="20"/>
                <w:color w:val="auto"/>
              </w:rPr>
            </w:pPr>
            <w:r>
              <w:rPr>
                <w:rFonts w:ascii="Arial" w:cs="Arial" w:eastAsia="Arial" w:hAnsi="Arial"/>
                <w:sz w:val="11"/>
                <w:szCs w:val="11"/>
                <w:b w:val="1"/>
                <w:bCs w:val="1"/>
                <w:color w:val="auto"/>
                <w:w w:val="95"/>
              </w:rPr>
              <w:t>4.0%</w:t>
            </w:r>
          </w:p>
        </w:tc>
        <w:tc>
          <w:tcPr>
            <w:tcW w:w="20" w:type="dxa"/>
            <w:vAlign w:val="bottom"/>
          </w:tcPr>
          <w:p>
            <w:pPr>
              <w:spacing w:after="0"/>
              <w:rPr>
                <w:sz w:val="21"/>
                <w:szCs w:val="21"/>
                <w:color w:val="auto"/>
              </w:rPr>
            </w:pPr>
          </w:p>
        </w:tc>
        <w:tc>
          <w:tcPr>
            <w:tcW w:w="1000" w:type="dxa"/>
            <w:vAlign w:val="bottom"/>
          </w:tcPr>
          <w:p>
            <w:pPr>
              <w:jc w:val="center"/>
              <w:ind w:left="366"/>
              <w:spacing w:after="0"/>
              <w:rPr>
                <w:sz w:val="20"/>
                <w:szCs w:val="20"/>
                <w:color w:val="auto"/>
              </w:rPr>
            </w:pPr>
            <w:r>
              <w:rPr>
                <w:rFonts w:ascii="Arial" w:cs="Arial" w:eastAsia="Arial" w:hAnsi="Arial"/>
                <w:sz w:val="11"/>
                <w:szCs w:val="11"/>
                <w:b w:val="1"/>
                <w:bCs w:val="1"/>
                <w:color w:val="auto"/>
              </w:rPr>
              <w:t>2.1%</w:t>
            </w:r>
          </w:p>
        </w:tc>
        <w:tc>
          <w:tcPr>
            <w:tcW w:w="180" w:type="dxa"/>
            <w:vAlign w:val="bottom"/>
            <w:tcBorders>
              <w:right w:val="single" w:sz="8" w:color="auto"/>
            </w:tcBorders>
          </w:tcPr>
          <w:p>
            <w:pPr>
              <w:spacing w:after="0"/>
              <w:rPr>
                <w:sz w:val="21"/>
                <w:szCs w:val="21"/>
                <w:color w:val="auto"/>
              </w:rPr>
            </w:pPr>
          </w:p>
        </w:tc>
        <w:tc>
          <w:tcPr>
            <w:tcW w:w="6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32"/>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TOTAL LIABILITIES AND NET SHAREHOLDERS’ EQUITY</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13,143,378</w:t>
            </w: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rPr>
              <w:t>12,727,516</w:t>
            </w: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b w:val="1"/>
                <w:bCs w:val="1"/>
                <w:color w:val="auto"/>
              </w:rPr>
              <w:t>13,601,635</w:t>
            </w:r>
          </w:p>
        </w:tc>
        <w:tc>
          <w:tcPr>
            <w:tcW w:w="600" w:type="dxa"/>
            <w:vAlign w:val="bottom"/>
            <w:tcBorders>
              <w:bottom w:val="single" w:sz="8" w:color="auto"/>
            </w:tcBorders>
          </w:tcPr>
          <w:p>
            <w:pPr>
              <w:jc w:val="center"/>
              <w:ind w:left="226"/>
              <w:spacing w:after="0"/>
              <w:rPr>
                <w:sz w:val="20"/>
                <w:szCs w:val="20"/>
                <w:color w:val="auto"/>
              </w:rPr>
            </w:pPr>
            <w:r>
              <w:rPr>
                <w:rFonts w:ascii="Arial" w:cs="Arial" w:eastAsia="Arial" w:hAnsi="Arial"/>
                <w:sz w:val="11"/>
                <w:szCs w:val="11"/>
                <w:b w:val="1"/>
                <w:bCs w:val="1"/>
                <w:color w:val="auto"/>
                <w:w w:val="95"/>
              </w:rPr>
              <w:t>6.9%</w:t>
            </w:r>
          </w:p>
        </w:tc>
        <w:tc>
          <w:tcPr>
            <w:tcW w:w="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left="366"/>
              <w:spacing w:after="0"/>
              <w:rPr>
                <w:sz w:val="20"/>
                <w:szCs w:val="20"/>
                <w:color w:val="auto"/>
              </w:rPr>
            </w:pPr>
            <w:r>
              <w:rPr>
                <w:rFonts w:ascii="Arial" w:cs="Arial" w:eastAsia="Arial" w:hAnsi="Arial"/>
                <w:sz w:val="11"/>
                <w:szCs w:val="11"/>
                <w:b w:val="1"/>
                <w:bCs w:val="1"/>
                <w:color w:val="auto"/>
              </w:rPr>
              <w:t>3.5%</w:t>
            </w:r>
          </w:p>
        </w:tc>
        <w:tc>
          <w:tcPr>
            <w:tcW w:w="180" w:type="dxa"/>
            <w:vAlign w:val="bottom"/>
            <w:tcBorders>
              <w:bottom w:val="single" w:sz="8" w:color="auto"/>
              <w:right w:val="single" w:sz="8" w:color="auto"/>
            </w:tcBorders>
          </w:tcPr>
          <w:p>
            <w:pPr>
              <w:spacing w:after="0"/>
              <w:rPr>
                <w:sz w:val="20"/>
                <w:szCs w:val="20"/>
                <w:color w:val="auto"/>
              </w:rPr>
            </w:pPr>
          </w:p>
        </w:tc>
        <w:tc>
          <w:tcPr>
            <w:tcW w:w="6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165"/>
        </w:trPr>
        <w:tc>
          <w:tcPr>
            <w:tcW w:w="34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r>
      <w:tr>
        <w:trPr>
          <w:trHeight w:val="106"/>
        </w:trPr>
        <w:tc>
          <w:tcPr>
            <w:tcW w:w="3400" w:type="dxa"/>
            <w:vAlign w:val="bottom"/>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460" w:type="dxa"/>
            <w:vAlign w:val="bottom"/>
            <w:shd w:val="clear" w:color="auto" w:fill="33CCCC"/>
          </w:tcPr>
          <w:p>
            <w:pPr>
              <w:spacing w:after="0"/>
              <w:rPr>
                <w:sz w:val="9"/>
                <w:szCs w:val="9"/>
                <w:color w:val="auto"/>
              </w:rPr>
            </w:pPr>
          </w:p>
        </w:tc>
        <w:tc>
          <w:tcPr>
            <w:tcW w:w="120" w:type="dxa"/>
            <w:vAlign w:val="bottom"/>
            <w:shd w:val="clear" w:color="auto" w:fill="33CCCC"/>
          </w:tcPr>
          <w:p>
            <w:pPr>
              <w:spacing w:after="0"/>
              <w:rPr>
                <w:sz w:val="9"/>
                <w:szCs w:val="9"/>
                <w:color w:val="auto"/>
              </w:rPr>
            </w:pPr>
          </w:p>
        </w:tc>
        <w:tc>
          <w:tcPr>
            <w:tcW w:w="1640" w:type="dxa"/>
            <w:vAlign w:val="bottom"/>
            <w:tcBorders>
              <w:right w:val="single" w:sz="8" w:color="33CCCC"/>
            </w:tcBorders>
            <w:gridSpan w:val="3"/>
            <w:shd w:val="clear" w:color="auto" w:fill="33CCCC"/>
          </w:tcPr>
          <w:p>
            <w:pPr>
              <w:jc w:val="center"/>
              <w:spacing w:after="0" w:line="106" w:lineRule="exact"/>
              <w:rPr>
                <w:sz w:val="20"/>
                <w:szCs w:val="20"/>
                <w:color w:val="auto"/>
              </w:rPr>
            </w:pPr>
            <w:r>
              <w:rPr>
                <w:rFonts w:ascii="Arial" w:cs="Arial" w:eastAsia="Arial" w:hAnsi="Arial"/>
                <w:sz w:val="11"/>
                <w:szCs w:val="11"/>
                <w:b w:val="1"/>
                <w:bCs w:val="1"/>
                <w:color w:val="FFFFFF"/>
                <w:w w:val="95"/>
              </w:rPr>
              <w:t>Quarter</w:t>
            </w:r>
          </w:p>
        </w:tc>
        <w:tc>
          <w:tcPr>
            <w:tcW w:w="600" w:type="dxa"/>
            <w:vAlign w:val="bottom"/>
            <w:tcBorders>
              <w:right w:val="single" w:sz="8" w:color="auto"/>
            </w:tcBorders>
            <w:shd w:val="clear" w:color="auto" w:fill="33CCCC"/>
          </w:tcPr>
          <w:p>
            <w:pPr>
              <w:spacing w:after="0"/>
              <w:rPr>
                <w:sz w:val="9"/>
                <w:szCs w:val="9"/>
                <w:color w:val="auto"/>
              </w:rPr>
            </w:pPr>
          </w:p>
        </w:tc>
        <w:tc>
          <w:tcPr>
            <w:tcW w:w="20" w:type="dxa"/>
            <w:vAlign w:val="bottom"/>
            <w:shd w:val="clear" w:color="auto" w:fill="33CCCC"/>
          </w:tcPr>
          <w:p>
            <w:pPr>
              <w:spacing w:after="0"/>
              <w:rPr>
                <w:sz w:val="9"/>
                <w:szCs w:val="9"/>
                <w:color w:val="auto"/>
              </w:rPr>
            </w:pPr>
          </w:p>
        </w:tc>
        <w:tc>
          <w:tcPr>
            <w:tcW w:w="1840" w:type="dxa"/>
            <w:vAlign w:val="bottom"/>
            <w:tcBorders>
              <w:right w:val="single" w:sz="8" w:color="auto"/>
            </w:tcBorders>
            <w:gridSpan w:val="3"/>
            <w:shd w:val="clear" w:color="auto" w:fill="33CCCC"/>
          </w:tcPr>
          <w:p>
            <w:pPr>
              <w:ind w:left="640"/>
              <w:spacing w:after="0" w:line="106" w:lineRule="exact"/>
              <w:rPr>
                <w:sz w:val="20"/>
                <w:szCs w:val="20"/>
                <w:color w:val="auto"/>
              </w:rPr>
            </w:pPr>
            <w:r>
              <w:rPr>
                <w:rFonts w:ascii="Arial" w:cs="Arial" w:eastAsia="Arial" w:hAnsi="Arial"/>
                <w:sz w:val="11"/>
                <w:szCs w:val="11"/>
                <w:b w:val="1"/>
                <w:bCs w:val="1"/>
                <w:color w:val="FFFFFF"/>
              </w:rPr>
              <w:t>% change</w:t>
            </w:r>
          </w:p>
        </w:tc>
        <w:tc>
          <w:tcPr>
            <w:tcW w:w="1140" w:type="dxa"/>
            <w:vAlign w:val="bottom"/>
            <w:shd w:val="clear" w:color="auto" w:fill="33CCCC"/>
          </w:tcPr>
          <w:p>
            <w:pPr>
              <w:jc w:val="right"/>
              <w:ind w:right="6"/>
              <w:spacing w:after="0" w:line="106" w:lineRule="exact"/>
              <w:rPr>
                <w:sz w:val="20"/>
                <w:szCs w:val="20"/>
                <w:color w:val="auto"/>
              </w:rPr>
            </w:pPr>
            <w:r>
              <w:rPr>
                <w:rFonts w:ascii="Arial" w:cs="Arial" w:eastAsia="Arial" w:hAnsi="Arial"/>
                <w:sz w:val="11"/>
                <w:szCs w:val="11"/>
                <w:b w:val="1"/>
                <w:bCs w:val="1"/>
                <w:color w:val="FFFFFF"/>
              </w:rPr>
              <w:t>Up to</w:t>
            </w:r>
          </w:p>
        </w:tc>
        <w:tc>
          <w:tcPr>
            <w:tcW w:w="740" w:type="dxa"/>
            <w:vAlign w:val="bottom"/>
            <w:tcBorders>
              <w:right w:val="single" w:sz="8" w:color="auto"/>
            </w:tcBorders>
            <w:shd w:val="clear" w:color="auto" w:fill="33CCCC"/>
          </w:tcPr>
          <w:p>
            <w:pPr>
              <w:spacing w:after="0"/>
              <w:rPr>
                <w:sz w:val="9"/>
                <w:szCs w:val="9"/>
                <w:color w:val="auto"/>
              </w:rPr>
            </w:pPr>
          </w:p>
        </w:tc>
        <w:tc>
          <w:tcPr>
            <w:tcW w:w="840" w:type="dxa"/>
            <w:vAlign w:val="bottom"/>
            <w:tcBorders>
              <w:right w:val="single" w:sz="8" w:color="auto"/>
            </w:tcBorders>
            <w:shd w:val="clear" w:color="auto" w:fill="33CCCC"/>
          </w:tcPr>
          <w:p>
            <w:pPr>
              <w:jc w:val="center"/>
              <w:spacing w:after="0" w:line="106" w:lineRule="exact"/>
              <w:rPr>
                <w:sz w:val="20"/>
                <w:szCs w:val="20"/>
                <w:color w:val="auto"/>
              </w:rPr>
            </w:pPr>
            <w:r>
              <w:rPr>
                <w:rFonts w:ascii="Arial" w:cs="Arial" w:eastAsia="Arial" w:hAnsi="Arial"/>
                <w:sz w:val="11"/>
                <w:szCs w:val="11"/>
                <w:b w:val="1"/>
                <w:bCs w:val="1"/>
                <w:color w:val="FFFFFF"/>
                <w:w w:val="97"/>
              </w:rPr>
              <w:t>% change</w:t>
            </w:r>
          </w:p>
        </w:tc>
      </w:tr>
      <w:tr>
        <w:trPr>
          <w:trHeight w:val="134"/>
        </w:trPr>
        <w:tc>
          <w:tcPr>
            <w:tcW w:w="3400" w:type="dxa"/>
            <w:vAlign w:val="bottom"/>
            <w:tcBorders>
              <w:bottom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580" w:type="dxa"/>
            <w:vAlign w:val="bottom"/>
            <w:tcBorders>
              <w:bottom w:val="single" w:sz="8" w:color="auto"/>
            </w:tcBorders>
            <w:gridSpan w:val="2"/>
            <w:shd w:val="clear" w:color="auto" w:fill="33CCCC"/>
          </w:tcPr>
          <w:p>
            <w:pPr>
              <w:ind w:left="320"/>
              <w:spacing w:after="0"/>
              <w:rPr>
                <w:sz w:val="20"/>
                <w:szCs w:val="20"/>
                <w:color w:val="auto"/>
              </w:rPr>
            </w:pPr>
            <w:r>
              <w:rPr>
                <w:rFonts w:ascii="Arial" w:cs="Arial" w:eastAsia="Arial" w:hAnsi="Arial"/>
                <w:sz w:val="11"/>
                <w:szCs w:val="11"/>
                <w:b w:val="1"/>
                <w:bCs w:val="1"/>
                <w:color w:val="FFFFFF"/>
                <w:w w:val="89"/>
              </w:rPr>
              <w:t>3Q22</w:t>
            </w:r>
          </w:p>
        </w:tc>
        <w:tc>
          <w:tcPr>
            <w:tcW w:w="940" w:type="dxa"/>
            <w:vAlign w:val="bottom"/>
            <w:tcBorders>
              <w:bottom w:val="single" w:sz="8" w:color="auto"/>
            </w:tcBorders>
            <w:gridSpan w:val="2"/>
            <w:shd w:val="clear" w:color="auto" w:fill="33CCCC"/>
          </w:tcPr>
          <w:p>
            <w:pPr>
              <w:jc w:val="center"/>
              <w:ind w:left="606"/>
              <w:spacing w:after="0"/>
              <w:rPr>
                <w:sz w:val="20"/>
                <w:szCs w:val="20"/>
                <w:color w:val="auto"/>
              </w:rPr>
            </w:pPr>
            <w:r>
              <w:rPr>
                <w:rFonts w:ascii="Arial" w:cs="Arial" w:eastAsia="Arial" w:hAnsi="Arial"/>
                <w:sz w:val="11"/>
                <w:szCs w:val="11"/>
                <w:b w:val="1"/>
                <w:bCs w:val="1"/>
                <w:color w:val="FFFFFF"/>
              </w:rPr>
              <w:t>2Q23</w:t>
            </w:r>
          </w:p>
        </w:tc>
        <w:tc>
          <w:tcPr>
            <w:tcW w:w="1300" w:type="dxa"/>
            <w:vAlign w:val="bottom"/>
            <w:tcBorders>
              <w:bottom w:val="single" w:sz="8" w:color="auto"/>
              <w:right w:val="single" w:sz="8" w:color="auto"/>
            </w:tcBorders>
            <w:gridSpan w:val="2"/>
            <w:shd w:val="clear" w:color="auto" w:fill="33CCCC"/>
          </w:tcPr>
          <w:p>
            <w:pPr>
              <w:jc w:val="right"/>
              <w:ind w:right="306"/>
              <w:spacing w:after="0"/>
              <w:rPr>
                <w:sz w:val="20"/>
                <w:szCs w:val="20"/>
                <w:color w:val="auto"/>
              </w:rPr>
            </w:pPr>
            <w:r>
              <w:rPr>
                <w:rFonts w:ascii="Arial" w:cs="Arial" w:eastAsia="Arial" w:hAnsi="Arial"/>
                <w:sz w:val="11"/>
                <w:szCs w:val="11"/>
                <w:b w:val="1"/>
                <w:bCs w:val="1"/>
                <w:color w:val="FFFFFF"/>
              </w:rPr>
              <w:t>3Q23</w:t>
            </w:r>
          </w:p>
        </w:tc>
        <w:tc>
          <w:tcPr>
            <w:tcW w:w="20" w:type="dxa"/>
            <w:vAlign w:val="bottom"/>
            <w:tcBorders>
              <w:bottom w:val="single" w:sz="8" w:color="auto"/>
            </w:tcBorders>
            <w:shd w:val="clear" w:color="auto" w:fill="33CCCC"/>
          </w:tcPr>
          <w:p>
            <w:pPr>
              <w:spacing w:after="0"/>
              <w:rPr>
                <w:sz w:val="11"/>
                <w:szCs w:val="11"/>
                <w:color w:val="auto"/>
              </w:rPr>
            </w:pPr>
          </w:p>
        </w:tc>
        <w:tc>
          <w:tcPr>
            <w:tcW w:w="1000" w:type="dxa"/>
            <w:vAlign w:val="bottom"/>
            <w:tcBorders>
              <w:bottom w:val="single" w:sz="8" w:color="auto"/>
            </w:tcBorders>
            <w:shd w:val="clear" w:color="auto" w:fill="33CCCC"/>
          </w:tcPr>
          <w:p>
            <w:pPr>
              <w:jc w:val="center"/>
              <w:ind w:right="86"/>
              <w:spacing w:after="0"/>
              <w:rPr>
                <w:sz w:val="20"/>
                <w:szCs w:val="20"/>
                <w:color w:val="auto"/>
              </w:rPr>
            </w:pPr>
            <w:r>
              <w:rPr>
                <w:rFonts w:ascii="Arial" w:cs="Arial" w:eastAsia="Arial" w:hAnsi="Arial"/>
                <w:sz w:val="11"/>
                <w:szCs w:val="11"/>
                <w:b w:val="1"/>
                <w:bCs w:val="1"/>
                <w:color w:val="FFFFFF"/>
                <w:w w:val="92"/>
              </w:rPr>
              <w:t>QoQ</w:t>
            </w:r>
          </w:p>
        </w:tc>
        <w:tc>
          <w:tcPr>
            <w:tcW w:w="180" w:type="dxa"/>
            <w:vAlign w:val="bottom"/>
            <w:tcBorders>
              <w:bottom w:val="single" w:sz="8" w:color="auto"/>
              <w:right w:val="single" w:sz="8" w:color="33CCCC"/>
            </w:tcBorders>
            <w:shd w:val="clear" w:color="auto" w:fill="33CCCC"/>
          </w:tcPr>
          <w:p>
            <w:pPr>
              <w:spacing w:after="0"/>
              <w:rPr>
                <w:sz w:val="11"/>
                <w:szCs w:val="11"/>
                <w:color w:val="auto"/>
              </w:rPr>
            </w:pPr>
          </w:p>
        </w:tc>
        <w:tc>
          <w:tcPr>
            <w:tcW w:w="660" w:type="dxa"/>
            <w:vAlign w:val="bottom"/>
            <w:tcBorders>
              <w:bottom w:val="single" w:sz="8" w:color="auto"/>
              <w:right w:val="single" w:sz="8" w:color="auto"/>
            </w:tcBorders>
            <w:shd w:val="clear" w:color="auto" w:fill="33CCCC"/>
          </w:tcPr>
          <w:p>
            <w:pPr>
              <w:jc w:val="center"/>
              <w:ind w:right="246"/>
              <w:spacing w:after="0"/>
              <w:rPr>
                <w:sz w:val="20"/>
                <w:szCs w:val="20"/>
                <w:color w:val="auto"/>
              </w:rPr>
            </w:pPr>
            <w:r>
              <w:rPr>
                <w:rFonts w:ascii="Arial" w:cs="Arial" w:eastAsia="Arial" w:hAnsi="Arial"/>
                <w:sz w:val="11"/>
                <w:szCs w:val="11"/>
                <w:b w:val="1"/>
                <w:bCs w:val="1"/>
                <w:color w:val="FFFFFF"/>
                <w:w w:val="93"/>
              </w:rPr>
              <w:t>YoY</w:t>
            </w:r>
          </w:p>
        </w:tc>
        <w:tc>
          <w:tcPr>
            <w:tcW w:w="1140" w:type="dxa"/>
            <w:vAlign w:val="bottom"/>
            <w:tcBorders>
              <w:bottom w:val="single" w:sz="8" w:color="auto"/>
            </w:tcBorders>
            <w:shd w:val="clear" w:color="auto" w:fill="33CCCC"/>
          </w:tcPr>
          <w:p>
            <w:pPr>
              <w:jc w:val="right"/>
              <w:ind w:right="446"/>
              <w:spacing w:after="0"/>
              <w:rPr>
                <w:sz w:val="20"/>
                <w:szCs w:val="20"/>
                <w:color w:val="auto"/>
              </w:rPr>
            </w:pPr>
            <w:r>
              <w:rPr>
                <w:rFonts w:ascii="Arial" w:cs="Arial" w:eastAsia="Arial" w:hAnsi="Arial"/>
                <w:sz w:val="11"/>
                <w:szCs w:val="11"/>
                <w:b w:val="1"/>
                <w:bCs w:val="1"/>
                <w:color w:val="FFFFFF"/>
              </w:rPr>
              <w:t>Sep 22</w:t>
            </w:r>
          </w:p>
        </w:tc>
        <w:tc>
          <w:tcPr>
            <w:tcW w:w="740" w:type="dxa"/>
            <w:vAlign w:val="bottom"/>
            <w:tcBorders>
              <w:bottom w:val="single" w:sz="8" w:color="auto"/>
              <w:right w:val="single" w:sz="8" w:color="auto"/>
            </w:tcBorders>
            <w:shd w:val="clear" w:color="auto" w:fill="33CCCC"/>
          </w:tcPr>
          <w:p>
            <w:pPr>
              <w:jc w:val="right"/>
              <w:ind w:right="246"/>
              <w:spacing w:after="0"/>
              <w:rPr>
                <w:sz w:val="20"/>
                <w:szCs w:val="20"/>
                <w:color w:val="auto"/>
              </w:rPr>
            </w:pPr>
            <w:r>
              <w:rPr>
                <w:rFonts w:ascii="Arial" w:cs="Arial" w:eastAsia="Arial" w:hAnsi="Arial"/>
                <w:sz w:val="11"/>
                <w:szCs w:val="11"/>
                <w:b w:val="1"/>
                <w:bCs w:val="1"/>
                <w:color w:val="FFFFFF"/>
              </w:rPr>
              <w:t>Sep 23</w:t>
            </w:r>
          </w:p>
        </w:tc>
        <w:tc>
          <w:tcPr>
            <w:tcW w:w="84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1"/>
                <w:szCs w:val="11"/>
                <w:b w:val="1"/>
                <w:bCs w:val="1"/>
                <w:color w:val="FFFFFF"/>
                <w:w w:val="97"/>
              </w:rPr>
              <w:t>Sep 23 / Sep 22</w:t>
            </w:r>
          </w:p>
        </w:tc>
      </w:tr>
      <w:tr>
        <w:trPr>
          <w:trHeight w:val="110"/>
        </w:trPr>
        <w:tc>
          <w:tcPr>
            <w:tcW w:w="340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1"/>
                <w:szCs w:val="11"/>
                <w:color w:val="auto"/>
              </w:rPr>
              <w:t>Net interest income</w:t>
            </w:r>
          </w:p>
        </w:tc>
        <w:tc>
          <w:tcPr>
            <w:tcW w:w="460" w:type="dxa"/>
            <w:vAlign w:val="bottom"/>
            <w:tcBorders>
              <w:right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jc w:val="right"/>
              <w:ind w:right="406"/>
              <w:spacing w:after="0" w:line="110" w:lineRule="exact"/>
              <w:rPr>
                <w:sz w:val="20"/>
                <w:szCs w:val="20"/>
                <w:color w:val="auto"/>
              </w:rPr>
            </w:pPr>
            <w:r>
              <w:rPr>
                <w:rFonts w:ascii="Arial" w:cs="Arial" w:eastAsia="Arial" w:hAnsi="Arial"/>
                <w:sz w:val="11"/>
                <w:szCs w:val="11"/>
                <w:color w:val="auto"/>
                <w:w w:val="94"/>
              </w:rPr>
              <w:t>82,407</w:t>
            </w:r>
          </w:p>
        </w:tc>
        <w:tc>
          <w:tcPr>
            <w:tcW w:w="140" w:type="dxa"/>
            <w:vAlign w:val="bottom"/>
          </w:tcPr>
          <w:p>
            <w:pPr>
              <w:spacing w:after="0"/>
              <w:rPr>
                <w:sz w:val="9"/>
                <w:szCs w:val="9"/>
                <w:color w:val="auto"/>
              </w:rPr>
            </w:pPr>
          </w:p>
        </w:tc>
        <w:tc>
          <w:tcPr>
            <w:tcW w:w="700" w:type="dxa"/>
            <w:vAlign w:val="bottom"/>
          </w:tcPr>
          <w:p>
            <w:pPr>
              <w:jc w:val="right"/>
              <w:ind w:right="306"/>
              <w:spacing w:after="0" w:line="110" w:lineRule="exact"/>
              <w:rPr>
                <w:sz w:val="20"/>
                <w:szCs w:val="20"/>
                <w:color w:val="auto"/>
              </w:rPr>
            </w:pPr>
            <w:r>
              <w:rPr>
                <w:rFonts w:ascii="Arial" w:cs="Arial" w:eastAsia="Arial" w:hAnsi="Arial"/>
                <w:sz w:val="11"/>
                <w:szCs w:val="11"/>
                <w:color w:val="auto"/>
                <w:w w:val="94"/>
              </w:rPr>
              <w:t>82,279</w:t>
            </w:r>
          </w:p>
        </w:tc>
        <w:tc>
          <w:tcPr>
            <w:tcW w:w="600" w:type="dxa"/>
            <w:vAlign w:val="bottom"/>
            <w:tcBorders>
              <w:right w:val="single" w:sz="8" w:color="auto"/>
            </w:tcBorders>
          </w:tcPr>
          <w:p>
            <w:pPr>
              <w:jc w:val="right"/>
              <w:spacing w:after="0" w:line="110" w:lineRule="exact"/>
              <w:rPr>
                <w:sz w:val="20"/>
                <w:szCs w:val="20"/>
                <w:color w:val="auto"/>
              </w:rPr>
            </w:pPr>
            <w:r>
              <w:rPr>
                <w:rFonts w:ascii="Arial" w:cs="Arial" w:eastAsia="Arial" w:hAnsi="Arial"/>
                <w:sz w:val="11"/>
                <w:szCs w:val="11"/>
                <w:color w:val="auto"/>
              </w:rPr>
              <w:t>83,227</w:t>
            </w:r>
          </w:p>
        </w:tc>
        <w:tc>
          <w:tcPr>
            <w:tcW w:w="20" w:type="dxa"/>
            <w:vAlign w:val="bottom"/>
          </w:tcPr>
          <w:p>
            <w:pPr>
              <w:spacing w:after="0"/>
              <w:rPr>
                <w:sz w:val="9"/>
                <w:szCs w:val="9"/>
                <w:color w:val="auto"/>
              </w:rPr>
            </w:pPr>
          </w:p>
        </w:tc>
        <w:tc>
          <w:tcPr>
            <w:tcW w:w="1000" w:type="dxa"/>
            <w:vAlign w:val="bottom"/>
          </w:tcPr>
          <w:p>
            <w:pPr>
              <w:jc w:val="center"/>
              <w:ind w:right="106"/>
              <w:spacing w:after="0" w:line="110" w:lineRule="exact"/>
              <w:rPr>
                <w:sz w:val="20"/>
                <w:szCs w:val="20"/>
                <w:color w:val="auto"/>
              </w:rPr>
            </w:pPr>
            <w:r>
              <w:rPr>
                <w:rFonts w:ascii="Arial" w:cs="Arial" w:eastAsia="Arial" w:hAnsi="Arial"/>
                <w:sz w:val="11"/>
                <w:szCs w:val="11"/>
                <w:color w:val="auto"/>
                <w:w w:val="95"/>
              </w:rPr>
              <w:t>1.2%</w:t>
            </w:r>
          </w:p>
        </w:tc>
        <w:tc>
          <w:tcPr>
            <w:tcW w:w="840" w:type="dxa"/>
            <w:vAlign w:val="bottom"/>
            <w:tcBorders>
              <w:right w:val="single" w:sz="8" w:color="auto"/>
            </w:tcBorders>
            <w:gridSpan w:val="2"/>
          </w:tcPr>
          <w:p>
            <w:pPr>
              <w:jc w:val="center"/>
              <w:ind w:right="66"/>
              <w:spacing w:after="0" w:line="110" w:lineRule="exact"/>
              <w:rPr>
                <w:sz w:val="20"/>
                <w:szCs w:val="20"/>
                <w:color w:val="auto"/>
              </w:rPr>
            </w:pPr>
            <w:r>
              <w:rPr>
                <w:rFonts w:ascii="Arial" w:cs="Arial" w:eastAsia="Arial" w:hAnsi="Arial"/>
                <w:sz w:val="11"/>
                <w:szCs w:val="11"/>
                <w:color w:val="auto"/>
                <w:w w:val="95"/>
              </w:rPr>
              <w:t>1.0%</w:t>
            </w:r>
          </w:p>
        </w:tc>
        <w:tc>
          <w:tcPr>
            <w:tcW w:w="1140" w:type="dxa"/>
            <w:vAlign w:val="bottom"/>
          </w:tcPr>
          <w:p>
            <w:pPr>
              <w:jc w:val="right"/>
              <w:ind w:right="166"/>
              <w:spacing w:after="0" w:line="110" w:lineRule="exact"/>
              <w:rPr>
                <w:sz w:val="20"/>
                <w:szCs w:val="20"/>
                <w:color w:val="auto"/>
              </w:rPr>
            </w:pPr>
            <w:r>
              <w:rPr>
                <w:rFonts w:ascii="Arial" w:cs="Arial" w:eastAsia="Arial" w:hAnsi="Arial"/>
                <w:sz w:val="11"/>
                <w:szCs w:val="11"/>
                <w:color w:val="auto"/>
              </w:rPr>
              <w:t>245,649</w:t>
            </w:r>
          </w:p>
        </w:tc>
        <w:tc>
          <w:tcPr>
            <w:tcW w:w="740" w:type="dxa"/>
            <w:vAlign w:val="bottom"/>
            <w:tcBorders>
              <w:right w:val="single" w:sz="8" w:color="auto"/>
            </w:tcBorders>
          </w:tcPr>
          <w:p>
            <w:pPr>
              <w:jc w:val="right"/>
              <w:spacing w:after="0" w:line="110" w:lineRule="exact"/>
              <w:rPr>
                <w:sz w:val="20"/>
                <w:szCs w:val="20"/>
                <w:color w:val="auto"/>
              </w:rPr>
            </w:pPr>
            <w:r>
              <w:rPr>
                <w:rFonts w:ascii="Arial" w:cs="Arial" w:eastAsia="Arial" w:hAnsi="Arial"/>
                <w:sz w:val="11"/>
                <w:szCs w:val="11"/>
                <w:color w:val="auto"/>
              </w:rPr>
              <w:t>248,177</w:t>
            </w:r>
          </w:p>
        </w:tc>
        <w:tc>
          <w:tcPr>
            <w:tcW w:w="840" w:type="dxa"/>
            <w:vAlign w:val="bottom"/>
            <w:tcBorders>
              <w:right w:val="single" w:sz="8" w:color="auto"/>
            </w:tcBorders>
          </w:tcPr>
          <w:p>
            <w:pPr>
              <w:jc w:val="center"/>
              <w:spacing w:after="0" w:line="110" w:lineRule="exact"/>
              <w:rPr>
                <w:sz w:val="20"/>
                <w:szCs w:val="20"/>
                <w:color w:val="auto"/>
              </w:rPr>
            </w:pPr>
            <w:r>
              <w:rPr>
                <w:rFonts w:ascii="Arial" w:cs="Arial" w:eastAsia="Arial" w:hAnsi="Arial"/>
                <w:sz w:val="11"/>
                <w:szCs w:val="11"/>
                <w:color w:val="auto"/>
              </w:rPr>
              <w:t>1.0%</w:t>
            </w:r>
          </w:p>
        </w:tc>
      </w:tr>
      <w:tr>
        <w:trPr>
          <w:trHeight w:val="120"/>
        </w:trPr>
        <w:tc>
          <w:tcPr>
            <w:tcW w:w="3400" w:type="dxa"/>
            <w:vAlign w:val="bottom"/>
            <w:tcBorders>
              <w:left w:val="single" w:sz="8" w:color="auto"/>
            </w:tcBorders>
          </w:tcPr>
          <w:p>
            <w:pPr>
              <w:ind w:left="20"/>
              <w:spacing w:after="0" w:line="120" w:lineRule="exact"/>
              <w:rPr>
                <w:sz w:val="20"/>
                <w:szCs w:val="20"/>
                <w:color w:val="auto"/>
              </w:rPr>
            </w:pPr>
            <w:r>
              <w:rPr>
                <w:rFonts w:ascii="Arial" w:cs="Arial" w:eastAsia="Arial" w:hAnsi="Arial"/>
                <w:sz w:val="11"/>
                <w:szCs w:val="11"/>
                <w:color w:val="auto"/>
              </w:rPr>
              <w:t>Provision for loan losses, net of recoveries</w:t>
            </w:r>
          </w:p>
        </w:tc>
        <w:tc>
          <w:tcPr>
            <w:tcW w:w="460" w:type="dxa"/>
            <w:vAlign w:val="bottom"/>
            <w:tcBorders>
              <w:right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gridSpan w:val="2"/>
          </w:tcPr>
          <w:p>
            <w:pPr>
              <w:jc w:val="right"/>
              <w:ind w:right="406"/>
              <w:spacing w:after="0" w:line="120" w:lineRule="exact"/>
              <w:rPr>
                <w:sz w:val="20"/>
                <w:szCs w:val="20"/>
                <w:color w:val="auto"/>
              </w:rPr>
            </w:pPr>
            <w:r>
              <w:rPr>
                <w:rFonts w:ascii="Arial" w:cs="Arial" w:eastAsia="Arial" w:hAnsi="Arial"/>
                <w:sz w:val="11"/>
                <w:szCs w:val="11"/>
                <w:color w:val="auto"/>
              </w:rPr>
              <w:t>(9,200)</w:t>
            </w:r>
          </w:p>
        </w:tc>
        <w:tc>
          <w:tcPr>
            <w:tcW w:w="140" w:type="dxa"/>
            <w:vAlign w:val="bottom"/>
          </w:tcPr>
          <w:p>
            <w:pPr>
              <w:spacing w:after="0"/>
              <w:rPr>
                <w:sz w:val="10"/>
                <w:szCs w:val="10"/>
                <w:color w:val="auto"/>
              </w:rPr>
            </w:pPr>
          </w:p>
        </w:tc>
        <w:tc>
          <w:tcPr>
            <w:tcW w:w="700" w:type="dxa"/>
            <w:vAlign w:val="bottom"/>
          </w:tcPr>
          <w:p>
            <w:pPr>
              <w:jc w:val="right"/>
              <w:ind w:right="306"/>
              <w:spacing w:after="0" w:line="120" w:lineRule="exact"/>
              <w:rPr>
                <w:sz w:val="20"/>
                <w:szCs w:val="20"/>
                <w:color w:val="auto"/>
              </w:rPr>
            </w:pPr>
            <w:r>
              <w:rPr>
                <w:rFonts w:ascii="Arial" w:cs="Arial" w:eastAsia="Arial" w:hAnsi="Arial"/>
                <w:sz w:val="11"/>
                <w:szCs w:val="11"/>
                <w:color w:val="auto"/>
              </w:rPr>
              <w:t>4,337</w:t>
            </w:r>
          </w:p>
        </w:tc>
        <w:tc>
          <w:tcPr>
            <w:tcW w:w="600" w:type="dxa"/>
            <w:vAlign w:val="bottom"/>
            <w:tcBorders>
              <w:right w:val="single" w:sz="8" w:color="auto"/>
            </w:tcBorders>
          </w:tcPr>
          <w:p>
            <w:pPr>
              <w:jc w:val="right"/>
              <w:spacing w:after="0" w:line="120" w:lineRule="exact"/>
              <w:rPr>
                <w:sz w:val="20"/>
                <w:szCs w:val="20"/>
                <w:color w:val="auto"/>
              </w:rPr>
            </w:pPr>
            <w:r>
              <w:rPr>
                <w:rFonts w:ascii="Arial" w:cs="Arial" w:eastAsia="Arial" w:hAnsi="Arial"/>
                <w:sz w:val="11"/>
                <w:szCs w:val="11"/>
                <w:color w:val="auto"/>
              </w:rPr>
              <w:t>(11,497)</w:t>
            </w:r>
          </w:p>
        </w:tc>
        <w:tc>
          <w:tcPr>
            <w:tcW w:w="20" w:type="dxa"/>
            <w:vAlign w:val="bottom"/>
          </w:tcPr>
          <w:p>
            <w:pPr>
              <w:spacing w:after="0"/>
              <w:rPr>
                <w:sz w:val="10"/>
                <w:szCs w:val="10"/>
                <w:color w:val="auto"/>
              </w:rPr>
            </w:pPr>
          </w:p>
        </w:tc>
        <w:tc>
          <w:tcPr>
            <w:tcW w:w="1000" w:type="dxa"/>
            <w:vAlign w:val="bottom"/>
          </w:tcPr>
          <w:p>
            <w:pPr>
              <w:jc w:val="center"/>
              <w:ind w:right="106"/>
              <w:spacing w:after="0" w:line="120" w:lineRule="exact"/>
              <w:rPr>
                <w:sz w:val="20"/>
                <w:szCs w:val="20"/>
                <w:color w:val="auto"/>
              </w:rPr>
            </w:pPr>
            <w:r>
              <w:rPr>
                <w:rFonts w:ascii="Arial" w:cs="Arial" w:eastAsia="Arial" w:hAnsi="Arial"/>
                <w:sz w:val="11"/>
                <w:szCs w:val="11"/>
                <w:color w:val="auto"/>
                <w:w w:val="97"/>
              </w:rPr>
              <w:t>-365.1%</w:t>
            </w:r>
          </w:p>
        </w:tc>
        <w:tc>
          <w:tcPr>
            <w:tcW w:w="840" w:type="dxa"/>
            <w:vAlign w:val="bottom"/>
            <w:tcBorders>
              <w:right w:val="single" w:sz="8" w:color="auto"/>
            </w:tcBorders>
            <w:gridSpan w:val="2"/>
          </w:tcPr>
          <w:p>
            <w:pPr>
              <w:jc w:val="center"/>
              <w:ind w:right="66"/>
              <w:spacing w:after="0" w:line="120" w:lineRule="exact"/>
              <w:rPr>
                <w:sz w:val="20"/>
                <w:szCs w:val="20"/>
                <w:color w:val="auto"/>
              </w:rPr>
            </w:pPr>
            <w:r>
              <w:rPr>
                <w:rFonts w:ascii="Arial" w:cs="Arial" w:eastAsia="Arial" w:hAnsi="Arial"/>
                <w:sz w:val="11"/>
                <w:szCs w:val="11"/>
                <w:color w:val="auto"/>
              </w:rPr>
              <w:t>25.0%</w:t>
            </w:r>
          </w:p>
        </w:tc>
        <w:tc>
          <w:tcPr>
            <w:tcW w:w="1140" w:type="dxa"/>
            <w:vAlign w:val="bottom"/>
          </w:tcPr>
          <w:p>
            <w:pPr>
              <w:jc w:val="right"/>
              <w:ind w:right="166"/>
              <w:spacing w:after="0" w:line="120" w:lineRule="exact"/>
              <w:rPr>
                <w:sz w:val="20"/>
                <w:szCs w:val="20"/>
                <w:color w:val="auto"/>
              </w:rPr>
            </w:pPr>
            <w:r>
              <w:rPr>
                <w:rFonts w:ascii="Arial" w:cs="Arial" w:eastAsia="Arial" w:hAnsi="Arial"/>
                <w:sz w:val="11"/>
                <w:szCs w:val="11"/>
                <w:color w:val="auto"/>
              </w:rPr>
              <w:t>(37,851)</w:t>
            </w:r>
          </w:p>
        </w:tc>
        <w:tc>
          <w:tcPr>
            <w:tcW w:w="740" w:type="dxa"/>
            <w:vAlign w:val="bottom"/>
            <w:tcBorders>
              <w:right w:val="single" w:sz="8" w:color="auto"/>
            </w:tcBorders>
          </w:tcPr>
          <w:p>
            <w:pPr>
              <w:jc w:val="right"/>
              <w:spacing w:after="0" w:line="120" w:lineRule="exact"/>
              <w:rPr>
                <w:sz w:val="20"/>
                <w:szCs w:val="20"/>
                <w:color w:val="auto"/>
              </w:rPr>
            </w:pPr>
            <w:r>
              <w:rPr>
                <w:rFonts w:ascii="Arial" w:cs="Arial" w:eastAsia="Arial" w:hAnsi="Arial"/>
                <w:sz w:val="11"/>
                <w:szCs w:val="11"/>
                <w:color w:val="auto"/>
              </w:rPr>
              <w:t>(10,510)</w:t>
            </w:r>
          </w:p>
        </w:tc>
        <w:tc>
          <w:tcPr>
            <w:tcW w:w="840" w:type="dxa"/>
            <w:vAlign w:val="bottom"/>
            <w:tcBorders>
              <w:right w:val="single" w:sz="8" w:color="auto"/>
            </w:tcBorders>
          </w:tcPr>
          <w:p>
            <w:pPr>
              <w:jc w:val="center"/>
              <w:spacing w:after="0" w:line="120" w:lineRule="exact"/>
              <w:rPr>
                <w:sz w:val="20"/>
                <w:szCs w:val="20"/>
                <w:color w:val="auto"/>
              </w:rPr>
            </w:pPr>
            <w:r>
              <w:rPr>
                <w:rFonts w:ascii="Arial" w:cs="Arial" w:eastAsia="Arial" w:hAnsi="Arial"/>
                <w:sz w:val="11"/>
                <w:szCs w:val="11"/>
                <w:color w:val="auto"/>
                <w:w w:val="97"/>
              </w:rPr>
              <w:t>-72.2%</w:t>
            </w:r>
          </w:p>
        </w:tc>
      </w:tr>
      <w:tr>
        <w:trPr>
          <w:trHeight w:val="128"/>
        </w:trPr>
        <w:tc>
          <w:tcPr>
            <w:tcW w:w="3400" w:type="dxa"/>
            <w:vAlign w:val="bottom"/>
            <w:tcBorders>
              <w:left w:val="single" w:sz="8" w:color="auto"/>
            </w:tcBorders>
          </w:tcPr>
          <w:p>
            <w:pPr>
              <w:ind w:left="20"/>
              <w:spacing w:after="0"/>
              <w:rPr>
                <w:sz w:val="20"/>
                <w:szCs w:val="20"/>
                <w:color w:val="auto"/>
              </w:rPr>
            </w:pPr>
            <w:r>
              <w:rPr>
                <w:rFonts w:ascii="Arial" w:cs="Arial" w:eastAsia="Arial" w:hAnsi="Arial"/>
                <w:sz w:val="11"/>
                <w:szCs w:val="11"/>
                <w:b w:val="1"/>
                <w:bCs w:val="1"/>
                <w:color w:val="auto"/>
              </w:rPr>
              <w:t>Net interest income after provisions</w:t>
            </w:r>
          </w:p>
        </w:tc>
        <w:tc>
          <w:tcPr>
            <w:tcW w:w="460" w:type="dxa"/>
            <w:vAlign w:val="bottom"/>
            <w:tcBorders>
              <w:right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ind w:right="406"/>
              <w:spacing w:after="0"/>
              <w:rPr>
                <w:sz w:val="20"/>
                <w:szCs w:val="20"/>
                <w:color w:val="auto"/>
              </w:rPr>
            </w:pPr>
            <w:r>
              <w:rPr>
                <w:rFonts w:ascii="Arial" w:cs="Arial" w:eastAsia="Arial" w:hAnsi="Arial"/>
                <w:sz w:val="11"/>
                <w:szCs w:val="11"/>
                <w:b w:val="1"/>
                <w:bCs w:val="1"/>
                <w:color w:val="auto"/>
                <w:w w:val="94"/>
              </w:rPr>
              <w:t>73,207</w:t>
            </w:r>
          </w:p>
        </w:tc>
        <w:tc>
          <w:tcPr>
            <w:tcW w:w="140" w:type="dxa"/>
            <w:vAlign w:val="bottom"/>
          </w:tcPr>
          <w:p>
            <w:pPr>
              <w:spacing w:after="0"/>
              <w:rPr>
                <w:sz w:val="11"/>
                <w:szCs w:val="11"/>
                <w:color w:val="auto"/>
              </w:rPr>
            </w:pPr>
          </w:p>
        </w:tc>
        <w:tc>
          <w:tcPr>
            <w:tcW w:w="700" w:type="dxa"/>
            <w:vAlign w:val="bottom"/>
          </w:tcPr>
          <w:p>
            <w:pPr>
              <w:jc w:val="right"/>
              <w:ind w:right="306"/>
              <w:spacing w:after="0"/>
              <w:rPr>
                <w:sz w:val="20"/>
                <w:szCs w:val="20"/>
                <w:color w:val="auto"/>
              </w:rPr>
            </w:pPr>
            <w:r>
              <w:rPr>
                <w:rFonts w:ascii="Arial" w:cs="Arial" w:eastAsia="Arial" w:hAnsi="Arial"/>
                <w:sz w:val="11"/>
                <w:szCs w:val="11"/>
                <w:b w:val="1"/>
                <w:bCs w:val="1"/>
                <w:color w:val="auto"/>
                <w:w w:val="94"/>
              </w:rPr>
              <w:t>86,616</w:t>
            </w:r>
          </w:p>
        </w:tc>
        <w:tc>
          <w:tcPr>
            <w:tcW w:w="600" w:type="dxa"/>
            <w:vAlign w:val="bottom"/>
            <w:tcBorders>
              <w:right w:val="single" w:sz="8" w:color="auto"/>
            </w:tcBorders>
          </w:tcPr>
          <w:p>
            <w:pPr>
              <w:jc w:val="right"/>
              <w:spacing w:after="0"/>
              <w:rPr>
                <w:sz w:val="20"/>
                <w:szCs w:val="20"/>
                <w:color w:val="auto"/>
              </w:rPr>
            </w:pPr>
            <w:r>
              <w:rPr>
                <w:rFonts w:ascii="Arial" w:cs="Arial" w:eastAsia="Arial" w:hAnsi="Arial"/>
                <w:sz w:val="11"/>
                <w:szCs w:val="11"/>
                <w:b w:val="1"/>
                <w:bCs w:val="1"/>
                <w:color w:val="auto"/>
              </w:rPr>
              <w:t>71,730</w:t>
            </w:r>
          </w:p>
        </w:tc>
        <w:tc>
          <w:tcPr>
            <w:tcW w:w="20" w:type="dxa"/>
            <w:vAlign w:val="bottom"/>
          </w:tcPr>
          <w:p>
            <w:pPr>
              <w:spacing w:after="0"/>
              <w:rPr>
                <w:sz w:val="11"/>
                <w:szCs w:val="11"/>
                <w:color w:val="auto"/>
              </w:rPr>
            </w:pPr>
          </w:p>
        </w:tc>
        <w:tc>
          <w:tcPr>
            <w:tcW w:w="1000" w:type="dxa"/>
            <w:vAlign w:val="bottom"/>
          </w:tcPr>
          <w:p>
            <w:pPr>
              <w:jc w:val="center"/>
              <w:ind w:right="86"/>
              <w:spacing w:after="0"/>
              <w:rPr>
                <w:sz w:val="20"/>
                <w:szCs w:val="20"/>
                <w:color w:val="auto"/>
              </w:rPr>
            </w:pPr>
            <w:r>
              <w:rPr>
                <w:rFonts w:ascii="Arial" w:cs="Arial" w:eastAsia="Arial" w:hAnsi="Arial"/>
                <w:sz w:val="11"/>
                <w:szCs w:val="11"/>
                <w:b w:val="1"/>
                <w:bCs w:val="1"/>
                <w:color w:val="auto"/>
                <w:w w:val="97"/>
              </w:rPr>
              <w:t>-17.2%</w:t>
            </w:r>
          </w:p>
        </w:tc>
        <w:tc>
          <w:tcPr>
            <w:tcW w:w="840" w:type="dxa"/>
            <w:vAlign w:val="bottom"/>
            <w:tcBorders>
              <w:right w:val="single" w:sz="8" w:color="auto"/>
            </w:tcBorders>
            <w:gridSpan w:val="2"/>
          </w:tcPr>
          <w:p>
            <w:pPr>
              <w:jc w:val="center"/>
              <w:ind w:right="66"/>
              <w:spacing w:after="0"/>
              <w:rPr>
                <w:sz w:val="20"/>
                <w:szCs w:val="20"/>
                <w:color w:val="auto"/>
              </w:rPr>
            </w:pPr>
            <w:r>
              <w:rPr>
                <w:rFonts w:ascii="Arial" w:cs="Arial" w:eastAsia="Arial" w:hAnsi="Arial"/>
                <w:sz w:val="11"/>
                <w:szCs w:val="11"/>
                <w:b w:val="1"/>
                <w:bCs w:val="1"/>
                <w:color w:val="auto"/>
                <w:w w:val="97"/>
              </w:rPr>
              <w:t>-2.0%</w:t>
            </w:r>
          </w:p>
        </w:tc>
        <w:tc>
          <w:tcPr>
            <w:tcW w:w="1140" w:type="dxa"/>
            <w:vAlign w:val="bottom"/>
          </w:tcPr>
          <w:p>
            <w:pPr>
              <w:jc w:val="right"/>
              <w:ind w:right="166"/>
              <w:spacing w:after="0"/>
              <w:rPr>
                <w:sz w:val="20"/>
                <w:szCs w:val="20"/>
                <w:color w:val="auto"/>
              </w:rPr>
            </w:pPr>
            <w:r>
              <w:rPr>
                <w:rFonts w:ascii="Arial" w:cs="Arial" w:eastAsia="Arial" w:hAnsi="Arial"/>
                <w:sz w:val="11"/>
                <w:szCs w:val="11"/>
                <w:b w:val="1"/>
                <w:bCs w:val="1"/>
                <w:color w:val="auto"/>
              </w:rPr>
              <w:t>207,798</w:t>
            </w:r>
          </w:p>
        </w:tc>
        <w:tc>
          <w:tcPr>
            <w:tcW w:w="740" w:type="dxa"/>
            <w:vAlign w:val="bottom"/>
            <w:tcBorders>
              <w:right w:val="single" w:sz="8" w:color="auto"/>
            </w:tcBorders>
          </w:tcPr>
          <w:p>
            <w:pPr>
              <w:jc w:val="right"/>
              <w:spacing w:after="0"/>
              <w:rPr>
                <w:sz w:val="20"/>
                <w:szCs w:val="20"/>
                <w:color w:val="auto"/>
              </w:rPr>
            </w:pPr>
            <w:r>
              <w:rPr>
                <w:rFonts w:ascii="Arial" w:cs="Arial" w:eastAsia="Arial" w:hAnsi="Arial"/>
                <w:sz w:val="11"/>
                <w:szCs w:val="11"/>
                <w:b w:val="1"/>
                <w:bCs w:val="1"/>
                <w:color w:val="auto"/>
              </w:rPr>
              <w:t>237,667</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14.4%</w:t>
            </w:r>
          </w:p>
        </w:tc>
      </w:tr>
      <w:tr>
        <w:trPr>
          <w:trHeight w:val="124"/>
        </w:trPr>
        <w:tc>
          <w:tcPr>
            <w:tcW w:w="3400" w:type="dxa"/>
            <w:vAlign w:val="bottom"/>
            <w:tcBorders>
              <w:left w:val="single" w:sz="8" w:color="auto"/>
            </w:tcBorders>
          </w:tcPr>
          <w:p>
            <w:pPr>
              <w:ind w:left="20"/>
              <w:spacing w:after="0" w:line="124" w:lineRule="exact"/>
              <w:rPr>
                <w:sz w:val="20"/>
                <w:szCs w:val="20"/>
                <w:color w:val="auto"/>
              </w:rPr>
            </w:pPr>
            <w:r>
              <w:rPr>
                <w:rFonts w:ascii="Arial" w:cs="Arial" w:eastAsia="Arial" w:hAnsi="Arial"/>
                <w:sz w:val="11"/>
                <w:szCs w:val="11"/>
                <w:color w:val="auto"/>
              </w:rPr>
              <w:t>Non-financial income</w:t>
            </w:r>
          </w:p>
        </w:tc>
        <w:tc>
          <w:tcPr>
            <w:tcW w:w="460" w:type="dxa"/>
            <w:vAlign w:val="bottom"/>
            <w:tcBorders>
              <w:right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right"/>
              <w:ind w:right="406"/>
              <w:spacing w:after="0" w:line="124" w:lineRule="exact"/>
              <w:rPr>
                <w:sz w:val="20"/>
                <w:szCs w:val="20"/>
                <w:color w:val="auto"/>
              </w:rPr>
            </w:pPr>
            <w:r>
              <w:rPr>
                <w:rFonts w:ascii="Arial" w:cs="Arial" w:eastAsia="Arial" w:hAnsi="Arial"/>
                <w:sz w:val="11"/>
                <w:szCs w:val="11"/>
                <w:color w:val="auto"/>
                <w:w w:val="94"/>
              </w:rPr>
              <w:t>47,041</w:t>
            </w:r>
          </w:p>
        </w:tc>
        <w:tc>
          <w:tcPr>
            <w:tcW w:w="140" w:type="dxa"/>
            <w:vAlign w:val="bottom"/>
          </w:tcPr>
          <w:p>
            <w:pPr>
              <w:spacing w:after="0"/>
              <w:rPr>
                <w:sz w:val="10"/>
                <w:szCs w:val="10"/>
                <w:color w:val="auto"/>
              </w:rPr>
            </w:pPr>
          </w:p>
        </w:tc>
        <w:tc>
          <w:tcPr>
            <w:tcW w:w="700" w:type="dxa"/>
            <w:vAlign w:val="bottom"/>
          </w:tcPr>
          <w:p>
            <w:pPr>
              <w:jc w:val="right"/>
              <w:ind w:right="306"/>
              <w:spacing w:after="0" w:line="124" w:lineRule="exact"/>
              <w:rPr>
                <w:sz w:val="20"/>
                <w:szCs w:val="20"/>
                <w:color w:val="auto"/>
              </w:rPr>
            </w:pPr>
            <w:r>
              <w:rPr>
                <w:rFonts w:ascii="Arial" w:cs="Arial" w:eastAsia="Arial" w:hAnsi="Arial"/>
                <w:sz w:val="11"/>
                <w:szCs w:val="11"/>
                <w:color w:val="auto"/>
                <w:w w:val="94"/>
              </w:rPr>
              <w:t>57,444</w:t>
            </w:r>
          </w:p>
        </w:tc>
        <w:tc>
          <w:tcPr>
            <w:tcW w:w="60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59,541</w:t>
            </w:r>
          </w:p>
        </w:tc>
        <w:tc>
          <w:tcPr>
            <w:tcW w:w="20" w:type="dxa"/>
            <w:vAlign w:val="bottom"/>
          </w:tcPr>
          <w:p>
            <w:pPr>
              <w:spacing w:after="0"/>
              <w:rPr>
                <w:sz w:val="10"/>
                <w:szCs w:val="10"/>
                <w:color w:val="auto"/>
              </w:rPr>
            </w:pPr>
          </w:p>
        </w:tc>
        <w:tc>
          <w:tcPr>
            <w:tcW w:w="1000" w:type="dxa"/>
            <w:vAlign w:val="bottom"/>
          </w:tcPr>
          <w:p>
            <w:pPr>
              <w:jc w:val="center"/>
              <w:ind w:right="106"/>
              <w:spacing w:after="0" w:line="124" w:lineRule="exact"/>
              <w:rPr>
                <w:sz w:val="20"/>
                <w:szCs w:val="20"/>
                <w:color w:val="auto"/>
              </w:rPr>
            </w:pPr>
            <w:r>
              <w:rPr>
                <w:rFonts w:ascii="Arial" w:cs="Arial" w:eastAsia="Arial" w:hAnsi="Arial"/>
                <w:sz w:val="11"/>
                <w:szCs w:val="11"/>
                <w:color w:val="auto"/>
                <w:w w:val="95"/>
              </w:rPr>
              <w:t>3.7%</w:t>
            </w:r>
          </w:p>
        </w:tc>
        <w:tc>
          <w:tcPr>
            <w:tcW w:w="840" w:type="dxa"/>
            <w:vAlign w:val="bottom"/>
            <w:tcBorders>
              <w:right w:val="single" w:sz="8" w:color="auto"/>
            </w:tcBorders>
            <w:gridSpan w:val="2"/>
          </w:tcPr>
          <w:p>
            <w:pPr>
              <w:jc w:val="center"/>
              <w:ind w:right="66"/>
              <w:spacing w:after="0" w:line="124" w:lineRule="exact"/>
              <w:rPr>
                <w:sz w:val="20"/>
                <w:szCs w:val="20"/>
                <w:color w:val="auto"/>
              </w:rPr>
            </w:pPr>
            <w:r>
              <w:rPr>
                <w:rFonts w:ascii="Arial" w:cs="Arial" w:eastAsia="Arial" w:hAnsi="Arial"/>
                <w:sz w:val="11"/>
                <w:szCs w:val="11"/>
                <w:color w:val="auto"/>
              </w:rPr>
              <w:t>26.6%</w:t>
            </w:r>
          </w:p>
        </w:tc>
        <w:tc>
          <w:tcPr>
            <w:tcW w:w="1140" w:type="dxa"/>
            <w:vAlign w:val="bottom"/>
          </w:tcPr>
          <w:p>
            <w:pPr>
              <w:jc w:val="right"/>
              <w:ind w:right="166"/>
              <w:spacing w:after="0" w:line="124" w:lineRule="exact"/>
              <w:rPr>
                <w:sz w:val="20"/>
                <w:szCs w:val="20"/>
                <w:color w:val="auto"/>
              </w:rPr>
            </w:pPr>
            <w:r>
              <w:rPr>
                <w:rFonts w:ascii="Arial" w:cs="Arial" w:eastAsia="Arial" w:hAnsi="Arial"/>
                <w:sz w:val="11"/>
                <w:szCs w:val="11"/>
                <w:color w:val="auto"/>
              </w:rPr>
              <w:t>130,668</w:t>
            </w:r>
          </w:p>
        </w:tc>
        <w:tc>
          <w:tcPr>
            <w:tcW w:w="74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162,290</w:t>
            </w:r>
          </w:p>
        </w:tc>
        <w:tc>
          <w:tcPr>
            <w:tcW w:w="84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6"/>
              </w:rPr>
              <w:t>24.2%</w:t>
            </w:r>
          </w:p>
        </w:tc>
      </w:tr>
      <w:tr>
        <w:trPr>
          <w:trHeight w:val="124"/>
        </w:trPr>
        <w:tc>
          <w:tcPr>
            <w:tcW w:w="3400" w:type="dxa"/>
            <w:vAlign w:val="bottom"/>
            <w:tcBorders>
              <w:left w:val="single" w:sz="8" w:color="auto"/>
            </w:tcBorders>
          </w:tcPr>
          <w:p>
            <w:pPr>
              <w:ind w:left="20"/>
              <w:spacing w:after="0" w:line="124" w:lineRule="exact"/>
              <w:rPr>
                <w:sz w:val="20"/>
                <w:szCs w:val="20"/>
                <w:color w:val="auto"/>
              </w:rPr>
            </w:pPr>
            <w:r>
              <w:rPr>
                <w:rFonts w:ascii="Arial" w:cs="Arial" w:eastAsia="Arial" w:hAnsi="Arial"/>
                <w:sz w:val="11"/>
                <w:szCs w:val="11"/>
                <w:color w:val="auto"/>
              </w:rPr>
              <w:t>Total expenses</w:t>
            </w:r>
          </w:p>
        </w:tc>
        <w:tc>
          <w:tcPr>
            <w:tcW w:w="460" w:type="dxa"/>
            <w:vAlign w:val="bottom"/>
            <w:tcBorders>
              <w:right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gridSpan w:val="2"/>
          </w:tcPr>
          <w:p>
            <w:pPr>
              <w:jc w:val="right"/>
              <w:ind w:right="406"/>
              <w:spacing w:after="0" w:line="124" w:lineRule="exact"/>
              <w:rPr>
                <w:sz w:val="20"/>
                <w:szCs w:val="20"/>
                <w:color w:val="auto"/>
              </w:rPr>
            </w:pPr>
            <w:r>
              <w:rPr>
                <w:rFonts w:ascii="Arial" w:cs="Arial" w:eastAsia="Arial" w:hAnsi="Arial"/>
                <w:sz w:val="11"/>
                <w:szCs w:val="11"/>
                <w:color w:val="auto"/>
              </w:rPr>
              <w:t>(65,850)</w:t>
            </w:r>
          </w:p>
        </w:tc>
        <w:tc>
          <w:tcPr>
            <w:tcW w:w="840" w:type="dxa"/>
            <w:vAlign w:val="bottom"/>
            <w:gridSpan w:val="2"/>
          </w:tcPr>
          <w:p>
            <w:pPr>
              <w:jc w:val="right"/>
              <w:ind w:right="306"/>
              <w:spacing w:after="0" w:line="124" w:lineRule="exact"/>
              <w:rPr>
                <w:sz w:val="20"/>
                <w:szCs w:val="20"/>
                <w:color w:val="auto"/>
              </w:rPr>
            </w:pPr>
            <w:r>
              <w:rPr>
                <w:rFonts w:ascii="Arial" w:cs="Arial" w:eastAsia="Arial" w:hAnsi="Arial"/>
                <w:sz w:val="11"/>
                <w:szCs w:val="11"/>
                <w:color w:val="auto"/>
              </w:rPr>
              <w:t>(92,555)</w:t>
            </w:r>
          </w:p>
        </w:tc>
        <w:tc>
          <w:tcPr>
            <w:tcW w:w="60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(91,978)</w:t>
            </w:r>
          </w:p>
        </w:tc>
        <w:tc>
          <w:tcPr>
            <w:tcW w:w="20" w:type="dxa"/>
            <w:vAlign w:val="bottom"/>
          </w:tcPr>
          <w:p>
            <w:pPr>
              <w:spacing w:after="0"/>
              <w:rPr>
                <w:sz w:val="10"/>
                <w:szCs w:val="10"/>
                <w:color w:val="auto"/>
              </w:rPr>
            </w:pPr>
          </w:p>
        </w:tc>
        <w:tc>
          <w:tcPr>
            <w:tcW w:w="1000" w:type="dxa"/>
            <w:vAlign w:val="bottom"/>
          </w:tcPr>
          <w:p>
            <w:pPr>
              <w:jc w:val="center"/>
              <w:ind w:right="106"/>
              <w:spacing w:after="0" w:line="124" w:lineRule="exact"/>
              <w:rPr>
                <w:sz w:val="20"/>
                <w:szCs w:val="20"/>
                <w:color w:val="auto"/>
              </w:rPr>
            </w:pPr>
            <w:r>
              <w:rPr>
                <w:rFonts w:ascii="Arial" w:cs="Arial" w:eastAsia="Arial" w:hAnsi="Arial"/>
                <w:sz w:val="11"/>
                <w:szCs w:val="11"/>
                <w:color w:val="auto"/>
                <w:w w:val="97"/>
              </w:rPr>
              <w:t>-0.6%</w:t>
            </w:r>
          </w:p>
        </w:tc>
        <w:tc>
          <w:tcPr>
            <w:tcW w:w="840" w:type="dxa"/>
            <w:vAlign w:val="bottom"/>
            <w:tcBorders>
              <w:right w:val="single" w:sz="8" w:color="auto"/>
            </w:tcBorders>
            <w:gridSpan w:val="2"/>
          </w:tcPr>
          <w:p>
            <w:pPr>
              <w:jc w:val="center"/>
              <w:ind w:right="66"/>
              <w:spacing w:after="0" w:line="124" w:lineRule="exact"/>
              <w:rPr>
                <w:sz w:val="20"/>
                <w:szCs w:val="20"/>
                <w:color w:val="auto"/>
              </w:rPr>
            </w:pPr>
            <w:r>
              <w:rPr>
                <w:rFonts w:ascii="Arial" w:cs="Arial" w:eastAsia="Arial" w:hAnsi="Arial"/>
                <w:sz w:val="11"/>
                <w:szCs w:val="11"/>
                <w:color w:val="auto"/>
              </w:rPr>
              <w:t>39.7%</w:t>
            </w:r>
          </w:p>
        </w:tc>
        <w:tc>
          <w:tcPr>
            <w:tcW w:w="1140" w:type="dxa"/>
            <w:vAlign w:val="bottom"/>
          </w:tcPr>
          <w:p>
            <w:pPr>
              <w:jc w:val="right"/>
              <w:ind w:right="166"/>
              <w:spacing w:after="0" w:line="124" w:lineRule="exact"/>
              <w:rPr>
                <w:sz w:val="20"/>
                <w:szCs w:val="20"/>
                <w:color w:val="auto"/>
              </w:rPr>
            </w:pPr>
            <w:r>
              <w:rPr>
                <w:rFonts w:ascii="Arial" w:cs="Arial" w:eastAsia="Arial" w:hAnsi="Arial"/>
                <w:sz w:val="11"/>
                <w:szCs w:val="11"/>
                <w:color w:val="auto"/>
              </w:rPr>
              <w:t>(182,709)</w:t>
            </w:r>
          </w:p>
        </w:tc>
        <w:tc>
          <w:tcPr>
            <w:tcW w:w="74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(277,082)</w:t>
            </w:r>
          </w:p>
        </w:tc>
        <w:tc>
          <w:tcPr>
            <w:tcW w:w="84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6"/>
              </w:rPr>
              <w:t>51.7%</w:t>
            </w:r>
          </w:p>
        </w:tc>
      </w:tr>
      <w:tr>
        <w:trPr>
          <w:trHeight w:val="124"/>
        </w:trPr>
        <w:tc>
          <w:tcPr>
            <w:tcW w:w="3400" w:type="dxa"/>
            <w:vAlign w:val="bottom"/>
            <w:tcBorders>
              <w:left w:val="single" w:sz="8" w:color="auto"/>
            </w:tcBorders>
          </w:tcPr>
          <w:p>
            <w:pPr>
              <w:ind w:left="20"/>
              <w:spacing w:after="0" w:line="124" w:lineRule="exact"/>
              <w:rPr>
                <w:sz w:val="20"/>
                <w:szCs w:val="20"/>
                <w:color w:val="auto"/>
              </w:rPr>
            </w:pPr>
            <w:r>
              <w:rPr>
                <w:rFonts w:ascii="Arial" w:cs="Arial" w:eastAsia="Arial" w:hAnsi="Arial"/>
                <w:sz w:val="11"/>
                <w:szCs w:val="11"/>
                <w:color w:val="auto"/>
              </w:rPr>
              <w:t>Translation result</w:t>
            </w:r>
          </w:p>
        </w:tc>
        <w:tc>
          <w:tcPr>
            <w:tcW w:w="460" w:type="dxa"/>
            <w:vAlign w:val="bottom"/>
            <w:tcBorders>
              <w:right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right"/>
              <w:ind w:right="406"/>
              <w:spacing w:after="0" w:line="124" w:lineRule="exact"/>
              <w:rPr>
                <w:sz w:val="20"/>
                <w:szCs w:val="20"/>
                <w:color w:val="auto"/>
              </w:rPr>
            </w:pPr>
            <w:r>
              <w:rPr>
                <w:rFonts w:ascii="Arial" w:cs="Arial" w:eastAsia="Arial" w:hAnsi="Arial"/>
                <w:sz w:val="11"/>
                <w:szCs w:val="11"/>
                <w:color w:val="auto"/>
              </w:rPr>
              <w:t>(69)</w:t>
            </w:r>
          </w:p>
        </w:tc>
        <w:tc>
          <w:tcPr>
            <w:tcW w:w="140" w:type="dxa"/>
            <w:vAlign w:val="bottom"/>
          </w:tcPr>
          <w:p>
            <w:pPr>
              <w:spacing w:after="0"/>
              <w:rPr>
                <w:sz w:val="10"/>
                <w:szCs w:val="10"/>
                <w:color w:val="auto"/>
              </w:rPr>
            </w:pPr>
          </w:p>
        </w:tc>
        <w:tc>
          <w:tcPr>
            <w:tcW w:w="700" w:type="dxa"/>
            <w:vAlign w:val="bottom"/>
          </w:tcPr>
          <w:p>
            <w:pPr>
              <w:jc w:val="right"/>
              <w:ind w:right="306"/>
              <w:spacing w:after="0" w:line="124" w:lineRule="exact"/>
              <w:rPr>
                <w:sz w:val="20"/>
                <w:szCs w:val="20"/>
                <w:color w:val="auto"/>
              </w:rPr>
            </w:pPr>
            <w:r>
              <w:rPr>
                <w:rFonts w:ascii="Arial" w:cs="Arial" w:eastAsia="Arial" w:hAnsi="Arial"/>
                <w:sz w:val="11"/>
                <w:szCs w:val="11"/>
                <w:color w:val="auto"/>
              </w:rPr>
              <w:t>(59)</w:t>
            </w:r>
          </w:p>
        </w:tc>
        <w:tc>
          <w:tcPr>
            <w:tcW w:w="60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(31)</w:t>
            </w:r>
          </w:p>
        </w:tc>
        <w:tc>
          <w:tcPr>
            <w:tcW w:w="20" w:type="dxa"/>
            <w:vAlign w:val="bottom"/>
          </w:tcPr>
          <w:p>
            <w:pPr>
              <w:spacing w:after="0"/>
              <w:rPr>
                <w:sz w:val="10"/>
                <w:szCs w:val="10"/>
                <w:color w:val="auto"/>
              </w:rPr>
            </w:pPr>
          </w:p>
        </w:tc>
        <w:tc>
          <w:tcPr>
            <w:tcW w:w="1000" w:type="dxa"/>
            <w:vAlign w:val="bottom"/>
          </w:tcPr>
          <w:p>
            <w:pPr>
              <w:jc w:val="center"/>
              <w:ind w:right="86"/>
              <w:spacing w:after="0" w:line="124" w:lineRule="exact"/>
              <w:rPr>
                <w:sz w:val="20"/>
                <w:szCs w:val="20"/>
                <w:color w:val="auto"/>
              </w:rPr>
            </w:pPr>
            <w:r>
              <w:rPr>
                <w:rFonts w:ascii="Arial" w:cs="Arial" w:eastAsia="Arial" w:hAnsi="Arial"/>
                <w:sz w:val="11"/>
                <w:szCs w:val="11"/>
                <w:color w:val="auto"/>
                <w:w w:val="97"/>
              </w:rPr>
              <w:t>-47.6%</w:t>
            </w:r>
          </w:p>
        </w:tc>
        <w:tc>
          <w:tcPr>
            <w:tcW w:w="840" w:type="dxa"/>
            <w:vAlign w:val="bottom"/>
            <w:tcBorders>
              <w:right w:val="single" w:sz="8" w:color="auto"/>
            </w:tcBorders>
            <w:gridSpan w:val="2"/>
          </w:tcPr>
          <w:p>
            <w:pPr>
              <w:jc w:val="center"/>
              <w:ind w:right="86"/>
              <w:spacing w:after="0" w:line="124" w:lineRule="exact"/>
              <w:rPr>
                <w:sz w:val="20"/>
                <w:szCs w:val="20"/>
                <w:color w:val="auto"/>
              </w:rPr>
            </w:pPr>
            <w:r>
              <w:rPr>
                <w:rFonts w:ascii="Arial" w:cs="Arial" w:eastAsia="Arial" w:hAnsi="Arial"/>
                <w:sz w:val="11"/>
                <w:szCs w:val="11"/>
                <w:color w:val="auto"/>
                <w:w w:val="97"/>
              </w:rPr>
              <w:t>-55.6%</w:t>
            </w:r>
          </w:p>
        </w:tc>
        <w:tc>
          <w:tcPr>
            <w:tcW w:w="1140" w:type="dxa"/>
            <w:vAlign w:val="bottom"/>
          </w:tcPr>
          <w:p>
            <w:pPr>
              <w:jc w:val="right"/>
              <w:ind w:right="166"/>
              <w:spacing w:after="0" w:line="124" w:lineRule="exact"/>
              <w:rPr>
                <w:sz w:val="20"/>
                <w:szCs w:val="20"/>
                <w:color w:val="auto"/>
              </w:rPr>
            </w:pPr>
            <w:r>
              <w:rPr>
                <w:rFonts w:ascii="Arial" w:cs="Arial" w:eastAsia="Arial" w:hAnsi="Arial"/>
                <w:sz w:val="11"/>
                <w:szCs w:val="11"/>
                <w:color w:val="auto"/>
              </w:rPr>
              <w:t>(94)</w:t>
            </w:r>
          </w:p>
        </w:tc>
        <w:tc>
          <w:tcPr>
            <w:tcW w:w="74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(140)</w:t>
            </w:r>
          </w:p>
        </w:tc>
        <w:tc>
          <w:tcPr>
            <w:tcW w:w="84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6"/>
              </w:rPr>
              <w:t>49.9%</w:t>
            </w:r>
          </w:p>
        </w:tc>
      </w:tr>
      <w:tr>
        <w:trPr>
          <w:trHeight w:val="120"/>
        </w:trPr>
        <w:tc>
          <w:tcPr>
            <w:tcW w:w="3400" w:type="dxa"/>
            <w:vAlign w:val="bottom"/>
            <w:tcBorders>
              <w:left w:val="single" w:sz="8" w:color="auto"/>
            </w:tcBorders>
          </w:tcPr>
          <w:p>
            <w:pPr>
              <w:ind w:left="20"/>
              <w:spacing w:after="0" w:line="120" w:lineRule="exact"/>
              <w:rPr>
                <w:sz w:val="20"/>
                <w:szCs w:val="20"/>
                <w:color w:val="auto"/>
              </w:rPr>
            </w:pPr>
            <w:r>
              <w:rPr>
                <w:rFonts w:ascii="Arial" w:cs="Arial" w:eastAsia="Arial" w:hAnsi="Arial"/>
                <w:sz w:val="11"/>
                <w:szCs w:val="11"/>
                <w:color w:val="auto"/>
              </w:rPr>
              <w:t>Income taxes</w:t>
            </w:r>
          </w:p>
        </w:tc>
        <w:tc>
          <w:tcPr>
            <w:tcW w:w="460" w:type="dxa"/>
            <w:vAlign w:val="bottom"/>
            <w:tcBorders>
              <w:right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gridSpan w:val="2"/>
          </w:tcPr>
          <w:p>
            <w:pPr>
              <w:jc w:val="right"/>
              <w:ind w:right="406"/>
              <w:spacing w:after="0" w:line="120" w:lineRule="exact"/>
              <w:rPr>
                <w:sz w:val="20"/>
                <w:szCs w:val="20"/>
                <w:color w:val="auto"/>
              </w:rPr>
            </w:pPr>
            <w:r>
              <w:rPr>
                <w:rFonts w:ascii="Arial" w:cs="Arial" w:eastAsia="Arial" w:hAnsi="Arial"/>
                <w:sz w:val="11"/>
                <w:szCs w:val="11"/>
                <w:color w:val="auto"/>
              </w:rPr>
              <w:t>(40,406)</w:t>
            </w:r>
          </w:p>
        </w:tc>
        <w:tc>
          <w:tcPr>
            <w:tcW w:w="840" w:type="dxa"/>
            <w:vAlign w:val="bottom"/>
            <w:gridSpan w:val="2"/>
          </w:tcPr>
          <w:p>
            <w:pPr>
              <w:jc w:val="right"/>
              <w:ind w:right="306"/>
              <w:spacing w:after="0" w:line="120" w:lineRule="exact"/>
              <w:rPr>
                <w:sz w:val="20"/>
                <w:szCs w:val="20"/>
                <w:color w:val="auto"/>
              </w:rPr>
            </w:pPr>
            <w:r>
              <w:rPr>
                <w:rFonts w:ascii="Arial" w:cs="Arial" w:eastAsia="Arial" w:hAnsi="Arial"/>
                <w:sz w:val="11"/>
                <w:szCs w:val="11"/>
                <w:color w:val="auto"/>
              </w:rPr>
              <w:t>(29,844)</w:t>
            </w:r>
          </w:p>
        </w:tc>
        <w:tc>
          <w:tcPr>
            <w:tcW w:w="600" w:type="dxa"/>
            <w:vAlign w:val="bottom"/>
            <w:tcBorders>
              <w:right w:val="single" w:sz="8" w:color="auto"/>
            </w:tcBorders>
          </w:tcPr>
          <w:p>
            <w:pPr>
              <w:jc w:val="right"/>
              <w:spacing w:after="0" w:line="120" w:lineRule="exact"/>
              <w:rPr>
                <w:sz w:val="20"/>
                <w:szCs w:val="20"/>
                <w:color w:val="auto"/>
              </w:rPr>
            </w:pPr>
            <w:r>
              <w:rPr>
                <w:rFonts w:ascii="Arial" w:cs="Arial" w:eastAsia="Arial" w:hAnsi="Arial"/>
                <w:sz w:val="11"/>
                <w:szCs w:val="11"/>
                <w:color w:val="auto"/>
              </w:rPr>
              <w:t>(18,203)</w:t>
            </w:r>
          </w:p>
        </w:tc>
        <w:tc>
          <w:tcPr>
            <w:tcW w:w="20" w:type="dxa"/>
            <w:vAlign w:val="bottom"/>
          </w:tcPr>
          <w:p>
            <w:pPr>
              <w:spacing w:after="0"/>
              <w:rPr>
                <w:sz w:val="10"/>
                <w:szCs w:val="10"/>
                <w:color w:val="auto"/>
              </w:rPr>
            </w:pPr>
          </w:p>
        </w:tc>
        <w:tc>
          <w:tcPr>
            <w:tcW w:w="1000" w:type="dxa"/>
            <w:vAlign w:val="bottom"/>
          </w:tcPr>
          <w:p>
            <w:pPr>
              <w:jc w:val="center"/>
              <w:ind w:right="86"/>
              <w:spacing w:after="0" w:line="120" w:lineRule="exact"/>
              <w:rPr>
                <w:sz w:val="20"/>
                <w:szCs w:val="20"/>
                <w:color w:val="auto"/>
              </w:rPr>
            </w:pPr>
            <w:r>
              <w:rPr>
                <w:rFonts w:ascii="Arial" w:cs="Arial" w:eastAsia="Arial" w:hAnsi="Arial"/>
                <w:sz w:val="11"/>
                <w:szCs w:val="11"/>
                <w:color w:val="auto"/>
                <w:w w:val="97"/>
              </w:rPr>
              <w:t>-39.0%</w:t>
            </w:r>
          </w:p>
        </w:tc>
        <w:tc>
          <w:tcPr>
            <w:tcW w:w="840" w:type="dxa"/>
            <w:vAlign w:val="bottom"/>
            <w:tcBorders>
              <w:right w:val="single" w:sz="8" w:color="auto"/>
            </w:tcBorders>
            <w:gridSpan w:val="2"/>
          </w:tcPr>
          <w:p>
            <w:pPr>
              <w:jc w:val="center"/>
              <w:ind w:right="86"/>
              <w:spacing w:after="0" w:line="120" w:lineRule="exact"/>
              <w:rPr>
                <w:sz w:val="20"/>
                <w:szCs w:val="20"/>
                <w:color w:val="auto"/>
              </w:rPr>
            </w:pPr>
            <w:r>
              <w:rPr>
                <w:rFonts w:ascii="Arial" w:cs="Arial" w:eastAsia="Arial" w:hAnsi="Arial"/>
                <w:sz w:val="11"/>
                <w:szCs w:val="11"/>
                <w:color w:val="auto"/>
                <w:w w:val="97"/>
              </w:rPr>
              <w:t>-54.9%</w:t>
            </w:r>
          </w:p>
        </w:tc>
        <w:tc>
          <w:tcPr>
            <w:tcW w:w="1140" w:type="dxa"/>
            <w:vAlign w:val="bottom"/>
          </w:tcPr>
          <w:p>
            <w:pPr>
              <w:jc w:val="right"/>
              <w:ind w:right="166"/>
              <w:spacing w:after="0" w:line="120" w:lineRule="exact"/>
              <w:rPr>
                <w:sz w:val="20"/>
                <w:szCs w:val="20"/>
                <w:color w:val="auto"/>
              </w:rPr>
            </w:pPr>
            <w:r>
              <w:rPr>
                <w:rFonts w:ascii="Arial" w:cs="Arial" w:eastAsia="Arial" w:hAnsi="Arial"/>
                <w:sz w:val="11"/>
                <w:szCs w:val="11"/>
                <w:color w:val="auto"/>
              </w:rPr>
              <w:t>(104,410)</w:t>
            </w:r>
          </w:p>
        </w:tc>
        <w:tc>
          <w:tcPr>
            <w:tcW w:w="740" w:type="dxa"/>
            <w:vAlign w:val="bottom"/>
            <w:tcBorders>
              <w:right w:val="single" w:sz="8" w:color="auto"/>
            </w:tcBorders>
          </w:tcPr>
          <w:p>
            <w:pPr>
              <w:jc w:val="right"/>
              <w:spacing w:after="0" w:line="120" w:lineRule="exact"/>
              <w:rPr>
                <w:sz w:val="20"/>
                <w:szCs w:val="20"/>
                <w:color w:val="auto"/>
              </w:rPr>
            </w:pPr>
            <w:r>
              <w:rPr>
                <w:rFonts w:ascii="Arial" w:cs="Arial" w:eastAsia="Arial" w:hAnsi="Arial"/>
                <w:sz w:val="11"/>
                <w:szCs w:val="11"/>
                <w:color w:val="auto"/>
              </w:rPr>
              <w:t>(59,337)</w:t>
            </w:r>
          </w:p>
        </w:tc>
        <w:tc>
          <w:tcPr>
            <w:tcW w:w="840" w:type="dxa"/>
            <w:vAlign w:val="bottom"/>
            <w:tcBorders>
              <w:right w:val="single" w:sz="8" w:color="auto"/>
            </w:tcBorders>
          </w:tcPr>
          <w:p>
            <w:pPr>
              <w:jc w:val="center"/>
              <w:spacing w:after="0" w:line="120" w:lineRule="exact"/>
              <w:rPr>
                <w:sz w:val="20"/>
                <w:szCs w:val="20"/>
                <w:color w:val="auto"/>
              </w:rPr>
            </w:pPr>
            <w:r>
              <w:rPr>
                <w:rFonts w:ascii="Arial" w:cs="Arial" w:eastAsia="Arial" w:hAnsi="Arial"/>
                <w:sz w:val="11"/>
                <w:szCs w:val="11"/>
                <w:color w:val="auto"/>
                <w:w w:val="97"/>
              </w:rPr>
              <w:t>-43.2%</w:t>
            </w:r>
          </w:p>
        </w:tc>
      </w:tr>
      <w:tr>
        <w:trPr>
          <w:trHeight w:val="134"/>
        </w:trPr>
        <w:tc>
          <w:tcPr>
            <w:tcW w:w="34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1"/>
                <w:szCs w:val="11"/>
                <w:b w:val="1"/>
                <w:bCs w:val="1"/>
                <w:color w:val="auto"/>
              </w:rPr>
              <w:t>Net income</w:t>
            </w:r>
          </w:p>
        </w:tc>
        <w:tc>
          <w:tcPr>
            <w:tcW w:w="460" w:type="dxa"/>
            <w:vAlign w:val="bottom"/>
            <w:tcBorders>
              <w:bottom w:val="single" w:sz="8" w:color="auto"/>
              <w:right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406"/>
              <w:spacing w:after="0"/>
              <w:rPr>
                <w:sz w:val="20"/>
                <w:szCs w:val="20"/>
                <w:color w:val="auto"/>
              </w:rPr>
            </w:pPr>
            <w:r>
              <w:rPr>
                <w:rFonts w:ascii="Arial" w:cs="Arial" w:eastAsia="Arial" w:hAnsi="Arial"/>
                <w:sz w:val="11"/>
                <w:szCs w:val="11"/>
                <w:b w:val="1"/>
                <w:bCs w:val="1"/>
                <w:color w:val="auto"/>
                <w:w w:val="94"/>
              </w:rPr>
              <w:t>13,921</w:t>
            </w: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306"/>
              <w:spacing w:after="0"/>
              <w:rPr>
                <w:sz w:val="20"/>
                <w:szCs w:val="20"/>
                <w:color w:val="auto"/>
              </w:rPr>
            </w:pPr>
            <w:r>
              <w:rPr>
                <w:rFonts w:ascii="Arial" w:cs="Arial" w:eastAsia="Arial" w:hAnsi="Arial"/>
                <w:sz w:val="11"/>
                <w:szCs w:val="11"/>
                <w:b w:val="1"/>
                <w:bCs w:val="1"/>
                <w:color w:val="auto"/>
                <w:w w:val="94"/>
              </w:rPr>
              <w:t>21,603</w:t>
            </w:r>
          </w:p>
        </w:tc>
        <w:tc>
          <w:tcPr>
            <w:tcW w:w="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b w:val="1"/>
                <w:bCs w:val="1"/>
                <w:color w:val="auto"/>
              </w:rPr>
              <w:t>21,059</w:t>
            </w:r>
          </w:p>
        </w:tc>
        <w:tc>
          <w:tcPr>
            <w:tcW w:w="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center"/>
              <w:ind w:right="106"/>
              <w:spacing w:after="0"/>
              <w:rPr>
                <w:sz w:val="20"/>
                <w:szCs w:val="20"/>
                <w:color w:val="auto"/>
              </w:rPr>
            </w:pPr>
            <w:r>
              <w:rPr>
                <w:rFonts w:ascii="Arial" w:cs="Arial" w:eastAsia="Arial" w:hAnsi="Arial"/>
                <w:sz w:val="11"/>
                <w:szCs w:val="11"/>
                <w:b w:val="1"/>
                <w:bCs w:val="1"/>
                <w:color w:val="auto"/>
                <w:w w:val="97"/>
              </w:rPr>
              <w:t>-2.5%</w:t>
            </w:r>
          </w:p>
        </w:tc>
        <w:tc>
          <w:tcPr>
            <w:tcW w:w="840" w:type="dxa"/>
            <w:vAlign w:val="bottom"/>
            <w:tcBorders>
              <w:bottom w:val="single" w:sz="8" w:color="auto"/>
              <w:right w:val="single" w:sz="8" w:color="auto"/>
            </w:tcBorders>
            <w:gridSpan w:val="2"/>
          </w:tcPr>
          <w:p>
            <w:pPr>
              <w:jc w:val="center"/>
              <w:ind w:right="66"/>
              <w:spacing w:after="0"/>
              <w:rPr>
                <w:sz w:val="20"/>
                <w:szCs w:val="20"/>
                <w:color w:val="auto"/>
              </w:rPr>
            </w:pPr>
            <w:r>
              <w:rPr>
                <w:rFonts w:ascii="Arial" w:cs="Arial" w:eastAsia="Arial" w:hAnsi="Arial"/>
                <w:sz w:val="11"/>
                <w:szCs w:val="11"/>
                <w:b w:val="1"/>
                <w:bCs w:val="1"/>
                <w:color w:val="auto"/>
              </w:rPr>
              <w:t>51.3%</w:t>
            </w:r>
          </w:p>
        </w:tc>
        <w:tc>
          <w:tcPr>
            <w:tcW w:w="114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auto"/>
              </w:rPr>
              <w:t>51,254</w:t>
            </w:r>
          </w:p>
        </w:tc>
        <w:tc>
          <w:tcPr>
            <w:tcW w:w="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b w:val="1"/>
                <w:bCs w:val="1"/>
                <w:color w:val="auto"/>
              </w:rPr>
              <w:t>63,399</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96"/>
              </w:rPr>
              <w:t>23.7%</w:t>
            </w:r>
          </w:p>
        </w:tc>
      </w:tr>
      <w:tr>
        <w:trPr>
          <w:trHeight w:val="165"/>
        </w:trPr>
        <w:tc>
          <w:tcPr>
            <w:tcW w:w="34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r>
      <w:tr>
        <w:trPr>
          <w:trHeight w:val="110"/>
        </w:trPr>
        <w:tc>
          <w:tcPr>
            <w:tcW w:w="340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1"/>
                <w:szCs w:val="11"/>
                <w:color w:val="auto"/>
              </w:rPr>
              <w:t>Efficiency ratio</w:t>
            </w:r>
          </w:p>
        </w:tc>
        <w:tc>
          <w:tcPr>
            <w:tcW w:w="460" w:type="dxa"/>
            <w:vAlign w:val="bottom"/>
            <w:tcBorders>
              <w:right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jc w:val="right"/>
              <w:ind w:right="406"/>
              <w:spacing w:after="0" w:line="110" w:lineRule="exact"/>
              <w:rPr>
                <w:sz w:val="20"/>
                <w:szCs w:val="20"/>
                <w:color w:val="auto"/>
              </w:rPr>
            </w:pPr>
            <w:r>
              <w:rPr>
                <w:rFonts w:ascii="Arial" w:cs="Arial" w:eastAsia="Arial" w:hAnsi="Arial"/>
                <w:sz w:val="11"/>
                <w:szCs w:val="11"/>
                <w:color w:val="auto"/>
              </w:rPr>
              <w:t>60.4%</w:t>
            </w:r>
          </w:p>
        </w:tc>
        <w:tc>
          <w:tcPr>
            <w:tcW w:w="140" w:type="dxa"/>
            <w:vAlign w:val="bottom"/>
          </w:tcPr>
          <w:p>
            <w:pPr>
              <w:spacing w:after="0"/>
              <w:rPr>
                <w:sz w:val="9"/>
                <w:szCs w:val="9"/>
                <w:color w:val="auto"/>
              </w:rPr>
            </w:pPr>
          </w:p>
        </w:tc>
        <w:tc>
          <w:tcPr>
            <w:tcW w:w="700" w:type="dxa"/>
            <w:vAlign w:val="bottom"/>
          </w:tcPr>
          <w:p>
            <w:pPr>
              <w:jc w:val="right"/>
              <w:ind w:right="306"/>
              <w:spacing w:after="0" w:line="110" w:lineRule="exact"/>
              <w:rPr>
                <w:sz w:val="20"/>
                <w:szCs w:val="20"/>
                <w:color w:val="auto"/>
              </w:rPr>
            </w:pPr>
            <w:r>
              <w:rPr>
                <w:rFonts w:ascii="Arial" w:cs="Arial" w:eastAsia="Arial" w:hAnsi="Arial"/>
                <w:sz w:val="11"/>
                <w:szCs w:val="11"/>
                <w:color w:val="auto"/>
              </w:rPr>
              <w:t>60.6%</w:t>
            </w:r>
          </w:p>
        </w:tc>
        <w:tc>
          <w:tcPr>
            <w:tcW w:w="600" w:type="dxa"/>
            <w:vAlign w:val="bottom"/>
            <w:tcBorders>
              <w:right w:val="single" w:sz="8" w:color="auto"/>
            </w:tcBorders>
          </w:tcPr>
          <w:p>
            <w:pPr>
              <w:jc w:val="right"/>
              <w:spacing w:after="0" w:line="110" w:lineRule="exact"/>
              <w:rPr>
                <w:sz w:val="20"/>
                <w:szCs w:val="20"/>
                <w:color w:val="auto"/>
              </w:rPr>
            </w:pPr>
            <w:r>
              <w:rPr>
                <w:rFonts w:ascii="Arial" w:cs="Arial" w:eastAsia="Arial" w:hAnsi="Arial"/>
                <w:sz w:val="11"/>
                <w:szCs w:val="11"/>
                <w:color w:val="auto"/>
              </w:rPr>
              <w:t>65.1%</w:t>
            </w:r>
          </w:p>
        </w:tc>
        <w:tc>
          <w:tcPr>
            <w:tcW w:w="20" w:type="dxa"/>
            <w:vAlign w:val="bottom"/>
          </w:tcPr>
          <w:p>
            <w:pPr>
              <w:spacing w:after="0"/>
              <w:rPr>
                <w:sz w:val="9"/>
                <w:szCs w:val="9"/>
                <w:color w:val="auto"/>
              </w:rPr>
            </w:pPr>
          </w:p>
        </w:tc>
        <w:tc>
          <w:tcPr>
            <w:tcW w:w="1000" w:type="dxa"/>
            <w:vAlign w:val="bottom"/>
          </w:tcPr>
          <w:p>
            <w:pPr>
              <w:jc w:val="center"/>
              <w:ind w:right="86"/>
              <w:spacing w:after="0" w:line="110" w:lineRule="exact"/>
              <w:rPr>
                <w:sz w:val="20"/>
                <w:szCs w:val="20"/>
                <w:color w:val="auto"/>
              </w:rPr>
            </w:pPr>
            <w:r>
              <w:rPr>
                <w:rFonts w:ascii="Arial" w:cs="Arial" w:eastAsia="Arial" w:hAnsi="Arial"/>
                <w:sz w:val="11"/>
                <w:szCs w:val="11"/>
                <w:color w:val="auto"/>
                <w:w w:val="96"/>
              </w:rPr>
              <w:t>448 pbs</w:t>
            </w:r>
          </w:p>
        </w:tc>
        <w:tc>
          <w:tcPr>
            <w:tcW w:w="180" w:type="dxa"/>
            <w:vAlign w:val="bottom"/>
          </w:tcPr>
          <w:p>
            <w:pPr>
              <w:spacing w:after="0"/>
              <w:rPr>
                <w:sz w:val="9"/>
                <w:szCs w:val="9"/>
                <w:color w:val="auto"/>
              </w:rPr>
            </w:pPr>
          </w:p>
        </w:tc>
        <w:tc>
          <w:tcPr>
            <w:tcW w:w="660" w:type="dxa"/>
            <w:vAlign w:val="bottom"/>
            <w:tcBorders>
              <w:right w:val="single" w:sz="8" w:color="auto"/>
            </w:tcBorders>
          </w:tcPr>
          <w:p>
            <w:pPr>
              <w:jc w:val="center"/>
              <w:ind w:right="246"/>
              <w:spacing w:after="0" w:line="110" w:lineRule="exact"/>
              <w:rPr>
                <w:sz w:val="20"/>
                <w:szCs w:val="20"/>
                <w:color w:val="auto"/>
              </w:rPr>
            </w:pPr>
            <w:r>
              <w:rPr>
                <w:rFonts w:ascii="Arial" w:cs="Arial" w:eastAsia="Arial" w:hAnsi="Arial"/>
                <w:sz w:val="11"/>
                <w:szCs w:val="11"/>
                <w:color w:val="auto"/>
                <w:w w:val="91"/>
              </w:rPr>
              <w:t>473 pbs</w:t>
            </w:r>
          </w:p>
        </w:tc>
        <w:tc>
          <w:tcPr>
            <w:tcW w:w="1140" w:type="dxa"/>
            <w:vAlign w:val="bottom"/>
          </w:tcPr>
          <w:p>
            <w:pPr>
              <w:jc w:val="right"/>
              <w:ind w:right="166"/>
              <w:spacing w:after="0" w:line="110" w:lineRule="exact"/>
              <w:rPr>
                <w:sz w:val="20"/>
                <w:szCs w:val="20"/>
                <w:color w:val="auto"/>
              </w:rPr>
            </w:pPr>
            <w:r>
              <w:rPr>
                <w:rFonts w:ascii="Arial" w:cs="Arial" w:eastAsia="Arial" w:hAnsi="Arial"/>
                <w:sz w:val="11"/>
                <w:szCs w:val="11"/>
                <w:color w:val="auto"/>
              </w:rPr>
              <w:t>58.6%</w:t>
            </w:r>
          </w:p>
        </w:tc>
        <w:tc>
          <w:tcPr>
            <w:tcW w:w="740" w:type="dxa"/>
            <w:vAlign w:val="bottom"/>
            <w:tcBorders>
              <w:right w:val="single" w:sz="8" w:color="auto"/>
            </w:tcBorders>
          </w:tcPr>
          <w:p>
            <w:pPr>
              <w:jc w:val="right"/>
              <w:spacing w:after="0" w:line="110" w:lineRule="exact"/>
              <w:rPr>
                <w:sz w:val="20"/>
                <w:szCs w:val="20"/>
                <w:color w:val="auto"/>
              </w:rPr>
            </w:pPr>
            <w:r>
              <w:rPr>
                <w:rFonts w:ascii="Arial" w:cs="Arial" w:eastAsia="Arial" w:hAnsi="Arial"/>
                <w:sz w:val="11"/>
                <w:szCs w:val="11"/>
                <w:color w:val="auto"/>
              </w:rPr>
              <w:t>61.7%</w:t>
            </w:r>
          </w:p>
        </w:tc>
        <w:tc>
          <w:tcPr>
            <w:tcW w:w="840" w:type="dxa"/>
            <w:vAlign w:val="bottom"/>
            <w:tcBorders>
              <w:right w:val="single" w:sz="8" w:color="auto"/>
            </w:tcBorders>
          </w:tcPr>
          <w:p>
            <w:pPr>
              <w:jc w:val="center"/>
              <w:spacing w:after="0" w:line="110" w:lineRule="exact"/>
              <w:rPr>
                <w:sz w:val="20"/>
                <w:szCs w:val="20"/>
                <w:color w:val="auto"/>
              </w:rPr>
            </w:pPr>
            <w:r>
              <w:rPr>
                <w:rFonts w:ascii="Arial" w:cs="Arial" w:eastAsia="Arial" w:hAnsi="Arial"/>
                <w:sz w:val="11"/>
                <w:szCs w:val="11"/>
                <w:color w:val="auto"/>
                <w:w w:val="96"/>
              </w:rPr>
              <w:t>309 pbs</w:t>
            </w:r>
          </w:p>
        </w:tc>
      </w:tr>
      <w:tr>
        <w:trPr>
          <w:trHeight w:val="137"/>
        </w:trPr>
        <w:tc>
          <w:tcPr>
            <w:tcW w:w="3400" w:type="dxa"/>
            <w:vAlign w:val="bottom"/>
            <w:tcBorders>
              <w:left w:val="single" w:sz="8" w:color="auto"/>
            </w:tcBorders>
          </w:tcPr>
          <w:p>
            <w:pPr>
              <w:ind w:left="20"/>
              <w:spacing w:after="0"/>
              <w:rPr>
                <w:sz w:val="20"/>
                <w:szCs w:val="20"/>
                <w:color w:val="auto"/>
              </w:rPr>
            </w:pPr>
            <w:r>
              <w:rPr>
                <w:rFonts w:ascii="Arial" w:cs="Arial" w:eastAsia="Arial" w:hAnsi="Arial"/>
                <w:sz w:val="11"/>
                <w:szCs w:val="11"/>
                <w:color w:val="auto"/>
              </w:rPr>
              <w:t>ROAE</w:t>
            </w:r>
          </w:p>
        </w:tc>
        <w:tc>
          <w:tcPr>
            <w:tcW w:w="460" w:type="dxa"/>
            <w:vAlign w:val="bottom"/>
            <w:tcBorders>
              <w:right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right"/>
              <w:ind w:right="406"/>
              <w:spacing w:after="0"/>
              <w:rPr>
                <w:sz w:val="20"/>
                <w:szCs w:val="20"/>
                <w:color w:val="auto"/>
              </w:rPr>
            </w:pPr>
            <w:r>
              <w:rPr>
                <w:rFonts w:ascii="Arial" w:cs="Arial" w:eastAsia="Arial" w:hAnsi="Arial"/>
                <w:sz w:val="11"/>
                <w:szCs w:val="11"/>
                <w:color w:val="auto"/>
              </w:rPr>
              <w:t>6.6%</w:t>
            </w:r>
          </w:p>
        </w:tc>
        <w:tc>
          <w:tcPr>
            <w:tcW w:w="140" w:type="dxa"/>
            <w:vAlign w:val="bottom"/>
          </w:tcPr>
          <w:p>
            <w:pPr>
              <w:spacing w:after="0"/>
              <w:rPr>
                <w:sz w:val="11"/>
                <w:szCs w:val="11"/>
                <w:color w:val="auto"/>
              </w:rPr>
            </w:pPr>
          </w:p>
        </w:tc>
        <w:tc>
          <w:tcPr>
            <w:tcW w:w="700" w:type="dxa"/>
            <w:vAlign w:val="bottom"/>
          </w:tcPr>
          <w:p>
            <w:pPr>
              <w:jc w:val="right"/>
              <w:ind w:right="306"/>
              <w:spacing w:after="0"/>
              <w:rPr>
                <w:sz w:val="20"/>
                <w:szCs w:val="20"/>
                <w:color w:val="auto"/>
              </w:rPr>
            </w:pPr>
            <w:r>
              <w:rPr>
                <w:rFonts w:ascii="Arial" w:cs="Arial" w:eastAsia="Arial" w:hAnsi="Arial"/>
                <w:sz w:val="11"/>
                <w:szCs w:val="11"/>
                <w:color w:val="auto"/>
              </w:rPr>
              <w:t>10.1%</w:t>
            </w:r>
          </w:p>
        </w:tc>
        <w:tc>
          <w:tcPr>
            <w:tcW w:w="60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9.7%</w:t>
            </w:r>
          </w:p>
        </w:tc>
        <w:tc>
          <w:tcPr>
            <w:tcW w:w="20" w:type="dxa"/>
            <w:vAlign w:val="bottom"/>
          </w:tcPr>
          <w:p>
            <w:pPr>
              <w:spacing w:after="0"/>
              <w:rPr>
                <w:sz w:val="11"/>
                <w:szCs w:val="11"/>
                <w:color w:val="auto"/>
              </w:rPr>
            </w:pPr>
          </w:p>
        </w:tc>
        <w:tc>
          <w:tcPr>
            <w:tcW w:w="1000" w:type="dxa"/>
            <w:vAlign w:val="bottom"/>
          </w:tcPr>
          <w:p>
            <w:pPr>
              <w:jc w:val="center"/>
              <w:ind w:right="106"/>
              <w:spacing w:after="0"/>
              <w:rPr>
                <w:sz w:val="20"/>
                <w:szCs w:val="20"/>
                <w:color w:val="auto"/>
              </w:rPr>
            </w:pPr>
            <w:r>
              <w:rPr>
                <w:rFonts w:ascii="Arial" w:cs="Arial" w:eastAsia="Arial" w:hAnsi="Arial"/>
                <w:sz w:val="11"/>
                <w:szCs w:val="11"/>
                <w:color w:val="auto"/>
                <w:w w:val="97"/>
              </w:rPr>
              <w:t>-47 pbs</w:t>
            </w:r>
          </w:p>
        </w:tc>
        <w:tc>
          <w:tcPr>
            <w:tcW w:w="180" w:type="dxa"/>
            <w:vAlign w:val="bottom"/>
          </w:tcPr>
          <w:p>
            <w:pPr>
              <w:spacing w:after="0"/>
              <w:rPr>
                <w:sz w:val="11"/>
                <w:szCs w:val="11"/>
                <w:color w:val="auto"/>
              </w:rPr>
            </w:pPr>
          </w:p>
        </w:tc>
        <w:tc>
          <w:tcPr>
            <w:tcW w:w="660" w:type="dxa"/>
            <w:vAlign w:val="bottom"/>
            <w:tcBorders>
              <w:right w:val="single" w:sz="8" w:color="auto"/>
            </w:tcBorders>
          </w:tcPr>
          <w:p>
            <w:pPr>
              <w:jc w:val="center"/>
              <w:ind w:right="246"/>
              <w:spacing w:after="0"/>
              <w:rPr>
                <w:sz w:val="20"/>
                <w:szCs w:val="20"/>
                <w:color w:val="auto"/>
              </w:rPr>
            </w:pPr>
            <w:r>
              <w:rPr>
                <w:rFonts w:ascii="Arial" w:cs="Arial" w:eastAsia="Arial" w:hAnsi="Arial"/>
                <w:sz w:val="11"/>
                <w:szCs w:val="11"/>
                <w:color w:val="auto"/>
                <w:w w:val="91"/>
              </w:rPr>
              <w:t>308 pbs</w:t>
            </w:r>
          </w:p>
        </w:tc>
        <w:tc>
          <w:tcPr>
            <w:tcW w:w="114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color w:val="auto"/>
              </w:rPr>
              <w:t>18.0%</w:t>
            </w:r>
          </w:p>
        </w:tc>
        <w:tc>
          <w:tcPr>
            <w:tcW w:w="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19.8%</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6"/>
              </w:rPr>
              <w:t>171 pbs</w:t>
            </w:r>
          </w:p>
        </w:tc>
      </w:tr>
      <w:tr>
        <w:trPr>
          <w:trHeight w:val="115"/>
        </w:trPr>
        <w:tc>
          <w:tcPr>
            <w:tcW w:w="3400" w:type="dxa"/>
            <w:vAlign w:val="bottom"/>
            <w:tcBorders>
              <w:left w:val="single" w:sz="8" w:color="auto"/>
            </w:tcBorders>
          </w:tcPr>
          <w:p>
            <w:pPr>
              <w:ind w:left="20"/>
              <w:spacing w:after="0" w:line="115" w:lineRule="exact"/>
              <w:rPr>
                <w:sz w:val="20"/>
                <w:szCs w:val="20"/>
                <w:color w:val="auto"/>
              </w:rPr>
            </w:pPr>
            <w:r>
              <w:rPr>
                <w:rFonts w:ascii="Arial" w:cs="Arial" w:eastAsia="Arial" w:hAnsi="Arial"/>
                <w:sz w:val="11"/>
                <w:szCs w:val="11"/>
                <w:color w:val="auto"/>
              </w:rPr>
              <w:t>L/D ratio</w:t>
            </w:r>
          </w:p>
        </w:tc>
        <w:tc>
          <w:tcPr>
            <w:tcW w:w="460" w:type="dxa"/>
            <w:vAlign w:val="bottom"/>
            <w:tcBorders>
              <w:right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right"/>
              <w:ind w:right="406"/>
              <w:spacing w:after="0" w:line="115" w:lineRule="exact"/>
              <w:rPr>
                <w:sz w:val="20"/>
                <w:szCs w:val="20"/>
                <w:color w:val="auto"/>
              </w:rPr>
            </w:pPr>
            <w:r>
              <w:rPr>
                <w:rFonts w:ascii="Arial" w:cs="Arial" w:eastAsia="Arial" w:hAnsi="Arial"/>
                <w:sz w:val="11"/>
                <w:szCs w:val="11"/>
                <w:color w:val="auto"/>
              </w:rPr>
              <w:t>86.3%</w:t>
            </w:r>
          </w:p>
        </w:tc>
        <w:tc>
          <w:tcPr>
            <w:tcW w:w="140" w:type="dxa"/>
            <w:vAlign w:val="bottom"/>
          </w:tcPr>
          <w:p>
            <w:pPr>
              <w:spacing w:after="0"/>
              <w:rPr>
                <w:sz w:val="10"/>
                <w:szCs w:val="10"/>
                <w:color w:val="auto"/>
              </w:rPr>
            </w:pPr>
          </w:p>
        </w:tc>
        <w:tc>
          <w:tcPr>
            <w:tcW w:w="700" w:type="dxa"/>
            <w:vAlign w:val="bottom"/>
          </w:tcPr>
          <w:p>
            <w:pPr>
              <w:jc w:val="right"/>
              <w:ind w:right="306"/>
              <w:spacing w:after="0" w:line="115" w:lineRule="exact"/>
              <w:rPr>
                <w:sz w:val="20"/>
                <w:szCs w:val="20"/>
                <w:color w:val="auto"/>
              </w:rPr>
            </w:pPr>
            <w:r>
              <w:rPr>
                <w:rFonts w:ascii="Arial" w:cs="Arial" w:eastAsia="Arial" w:hAnsi="Arial"/>
                <w:sz w:val="11"/>
                <w:szCs w:val="11"/>
                <w:color w:val="auto"/>
              </w:rPr>
              <w:t>85.4%</w:t>
            </w:r>
          </w:p>
        </w:tc>
        <w:tc>
          <w:tcPr>
            <w:tcW w:w="600" w:type="dxa"/>
            <w:vAlign w:val="bottom"/>
            <w:tcBorders>
              <w:right w:val="single" w:sz="8" w:color="auto"/>
            </w:tcBorders>
          </w:tcPr>
          <w:p>
            <w:pPr>
              <w:jc w:val="right"/>
              <w:spacing w:after="0" w:line="115" w:lineRule="exact"/>
              <w:rPr>
                <w:sz w:val="20"/>
                <w:szCs w:val="20"/>
                <w:color w:val="auto"/>
              </w:rPr>
            </w:pPr>
            <w:r>
              <w:rPr>
                <w:rFonts w:ascii="Arial" w:cs="Arial" w:eastAsia="Arial" w:hAnsi="Arial"/>
                <w:sz w:val="11"/>
                <w:szCs w:val="11"/>
                <w:color w:val="auto"/>
              </w:rPr>
              <w:t>84.0%</w:t>
            </w:r>
          </w:p>
        </w:tc>
        <w:tc>
          <w:tcPr>
            <w:tcW w:w="20" w:type="dxa"/>
            <w:vAlign w:val="bottom"/>
          </w:tcPr>
          <w:p>
            <w:pPr>
              <w:spacing w:after="0"/>
              <w:rPr>
                <w:sz w:val="10"/>
                <w:szCs w:val="10"/>
                <w:color w:val="auto"/>
              </w:rPr>
            </w:pPr>
          </w:p>
        </w:tc>
        <w:tc>
          <w:tcPr>
            <w:tcW w:w="1000" w:type="dxa"/>
            <w:vAlign w:val="bottom"/>
          </w:tcPr>
          <w:p>
            <w:pPr>
              <w:jc w:val="center"/>
              <w:ind w:right="86"/>
              <w:spacing w:after="0" w:line="115" w:lineRule="exact"/>
              <w:rPr>
                <w:sz w:val="20"/>
                <w:szCs w:val="20"/>
                <w:color w:val="auto"/>
              </w:rPr>
            </w:pPr>
            <w:r>
              <w:rPr>
                <w:rFonts w:ascii="Arial" w:cs="Arial" w:eastAsia="Arial" w:hAnsi="Arial"/>
                <w:sz w:val="11"/>
                <w:szCs w:val="11"/>
                <w:color w:val="auto"/>
                <w:w w:val="98"/>
              </w:rPr>
              <w:t>-140 pbs</w:t>
            </w:r>
          </w:p>
        </w:tc>
        <w:tc>
          <w:tcPr>
            <w:tcW w:w="840" w:type="dxa"/>
            <w:vAlign w:val="bottom"/>
            <w:tcBorders>
              <w:right w:val="single" w:sz="8" w:color="auto"/>
            </w:tcBorders>
            <w:gridSpan w:val="2"/>
          </w:tcPr>
          <w:p>
            <w:pPr>
              <w:jc w:val="center"/>
              <w:ind w:right="66"/>
              <w:spacing w:after="0" w:line="115" w:lineRule="exact"/>
              <w:rPr>
                <w:sz w:val="20"/>
                <w:szCs w:val="20"/>
                <w:color w:val="auto"/>
              </w:rPr>
            </w:pPr>
            <w:r>
              <w:rPr>
                <w:rFonts w:ascii="Arial" w:cs="Arial" w:eastAsia="Arial" w:hAnsi="Arial"/>
                <w:sz w:val="11"/>
                <w:szCs w:val="11"/>
                <w:color w:val="auto"/>
                <w:w w:val="93"/>
              </w:rPr>
              <w:t>-227 pbs</w:t>
            </w:r>
          </w:p>
        </w:tc>
        <w:tc>
          <w:tcPr>
            <w:tcW w:w="1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24"/>
        </w:trPr>
        <w:tc>
          <w:tcPr>
            <w:tcW w:w="3400" w:type="dxa"/>
            <w:vAlign w:val="bottom"/>
            <w:tcBorders>
              <w:left w:val="single" w:sz="8" w:color="auto"/>
            </w:tcBorders>
          </w:tcPr>
          <w:p>
            <w:pPr>
              <w:ind w:left="20"/>
              <w:spacing w:after="0" w:line="124" w:lineRule="exact"/>
              <w:rPr>
                <w:sz w:val="20"/>
                <w:szCs w:val="20"/>
                <w:color w:val="auto"/>
              </w:rPr>
            </w:pPr>
            <w:r>
              <w:rPr>
                <w:rFonts w:ascii="Arial" w:cs="Arial" w:eastAsia="Arial" w:hAnsi="Arial"/>
                <w:sz w:val="11"/>
                <w:szCs w:val="11"/>
                <w:color w:val="auto"/>
              </w:rPr>
              <w:t>IOL ratio</w:t>
            </w:r>
          </w:p>
        </w:tc>
        <w:tc>
          <w:tcPr>
            <w:tcW w:w="460" w:type="dxa"/>
            <w:vAlign w:val="bottom"/>
            <w:tcBorders>
              <w:right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right"/>
              <w:ind w:right="406"/>
              <w:spacing w:after="0" w:line="124" w:lineRule="exact"/>
              <w:rPr>
                <w:sz w:val="20"/>
                <w:szCs w:val="20"/>
                <w:color w:val="auto"/>
              </w:rPr>
            </w:pPr>
            <w:r>
              <w:rPr>
                <w:rFonts w:ascii="Arial" w:cs="Arial" w:eastAsia="Arial" w:hAnsi="Arial"/>
                <w:sz w:val="11"/>
                <w:szCs w:val="11"/>
                <w:color w:val="auto"/>
              </w:rPr>
              <w:t>2.11%</w:t>
            </w:r>
          </w:p>
        </w:tc>
        <w:tc>
          <w:tcPr>
            <w:tcW w:w="140" w:type="dxa"/>
            <w:vAlign w:val="bottom"/>
          </w:tcPr>
          <w:p>
            <w:pPr>
              <w:spacing w:after="0"/>
              <w:rPr>
                <w:sz w:val="10"/>
                <w:szCs w:val="10"/>
                <w:color w:val="auto"/>
              </w:rPr>
            </w:pPr>
          </w:p>
        </w:tc>
        <w:tc>
          <w:tcPr>
            <w:tcW w:w="700" w:type="dxa"/>
            <w:vAlign w:val="bottom"/>
          </w:tcPr>
          <w:p>
            <w:pPr>
              <w:jc w:val="right"/>
              <w:ind w:right="306"/>
              <w:spacing w:after="0" w:line="124" w:lineRule="exact"/>
              <w:rPr>
                <w:sz w:val="20"/>
                <w:szCs w:val="20"/>
                <w:color w:val="auto"/>
              </w:rPr>
            </w:pPr>
            <w:r>
              <w:rPr>
                <w:rFonts w:ascii="Arial" w:cs="Arial" w:eastAsia="Arial" w:hAnsi="Arial"/>
                <w:sz w:val="11"/>
                <w:szCs w:val="11"/>
                <w:color w:val="auto"/>
              </w:rPr>
              <w:t>2.67%</w:t>
            </w:r>
          </w:p>
        </w:tc>
        <w:tc>
          <w:tcPr>
            <w:tcW w:w="60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2.62%</w:t>
            </w:r>
          </w:p>
        </w:tc>
        <w:tc>
          <w:tcPr>
            <w:tcW w:w="20" w:type="dxa"/>
            <w:vAlign w:val="bottom"/>
          </w:tcPr>
          <w:p>
            <w:pPr>
              <w:spacing w:after="0"/>
              <w:rPr>
                <w:sz w:val="10"/>
                <w:szCs w:val="10"/>
                <w:color w:val="auto"/>
              </w:rPr>
            </w:pPr>
          </w:p>
        </w:tc>
        <w:tc>
          <w:tcPr>
            <w:tcW w:w="1000" w:type="dxa"/>
            <w:vAlign w:val="bottom"/>
          </w:tcPr>
          <w:p>
            <w:pPr>
              <w:jc w:val="center"/>
              <w:ind w:right="86"/>
              <w:spacing w:after="0" w:line="124" w:lineRule="exact"/>
              <w:rPr>
                <w:sz w:val="20"/>
                <w:szCs w:val="20"/>
                <w:color w:val="auto"/>
              </w:rPr>
            </w:pPr>
            <w:r>
              <w:rPr>
                <w:rFonts w:ascii="Arial" w:cs="Arial" w:eastAsia="Arial" w:hAnsi="Arial"/>
                <w:sz w:val="11"/>
                <w:szCs w:val="11"/>
                <w:color w:val="auto"/>
                <w:w w:val="97"/>
              </w:rPr>
              <w:t>-5 pbs</w:t>
            </w:r>
          </w:p>
        </w:tc>
        <w:tc>
          <w:tcPr>
            <w:tcW w:w="180" w:type="dxa"/>
            <w:vAlign w:val="bottom"/>
          </w:tcPr>
          <w:p>
            <w:pPr>
              <w:spacing w:after="0"/>
              <w:rPr>
                <w:sz w:val="10"/>
                <w:szCs w:val="10"/>
                <w:color w:val="auto"/>
              </w:rPr>
            </w:pPr>
          </w:p>
        </w:tc>
        <w:tc>
          <w:tcPr>
            <w:tcW w:w="660" w:type="dxa"/>
            <w:vAlign w:val="bottom"/>
            <w:tcBorders>
              <w:right w:val="single" w:sz="8" w:color="auto"/>
            </w:tcBorders>
          </w:tcPr>
          <w:p>
            <w:pPr>
              <w:jc w:val="center"/>
              <w:ind w:right="246"/>
              <w:spacing w:after="0" w:line="124" w:lineRule="exact"/>
              <w:rPr>
                <w:sz w:val="20"/>
                <w:szCs w:val="20"/>
                <w:color w:val="auto"/>
              </w:rPr>
            </w:pPr>
            <w:r>
              <w:rPr>
                <w:rFonts w:ascii="Arial" w:cs="Arial" w:eastAsia="Arial" w:hAnsi="Arial"/>
                <w:sz w:val="11"/>
                <w:szCs w:val="11"/>
                <w:color w:val="auto"/>
                <w:w w:val="96"/>
              </w:rPr>
              <w:t>51 pbs</w:t>
            </w:r>
          </w:p>
        </w:tc>
        <w:tc>
          <w:tcPr>
            <w:tcW w:w="1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24"/>
        </w:trPr>
        <w:tc>
          <w:tcPr>
            <w:tcW w:w="3400" w:type="dxa"/>
            <w:vAlign w:val="bottom"/>
            <w:tcBorders>
              <w:left w:val="single" w:sz="8" w:color="auto"/>
            </w:tcBorders>
          </w:tcPr>
          <w:p>
            <w:pPr>
              <w:ind w:left="20"/>
              <w:spacing w:after="0" w:line="124" w:lineRule="exact"/>
              <w:rPr>
                <w:sz w:val="20"/>
                <w:szCs w:val="20"/>
                <w:color w:val="auto"/>
              </w:rPr>
            </w:pPr>
            <w:r>
              <w:rPr>
                <w:rFonts w:ascii="Arial" w:cs="Arial" w:eastAsia="Arial" w:hAnsi="Arial"/>
                <w:sz w:val="11"/>
                <w:szCs w:val="11"/>
                <w:color w:val="auto"/>
              </w:rPr>
              <w:t>NPL ratio</w:t>
            </w:r>
          </w:p>
        </w:tc>
        <w:tc>
          <w:tcPr>
            <w:tcW w:w="460" w:type="dxa"/>
            <w:vAlign w:val="bottom"/>
            <w:tcBorders>
              <w:right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right"/>
              <w:ind w:right="406"/>
              <w:spacing w:after="0" w:line="124" w:lineRule="exact"/>
              <w:rPr>
                <w:sz w:val="20"/>
                <w:szCs w:val="20"/>
                <w:color w:val="auto"/>
              </w:rPr>
            </w:pPr>
            <w:r>
              <w:rPr>
                <w:rFonts w:ascii="Arial" w:cs="Arial" w:eastAsia="Arial" w:hAnsi="Arial"/>
                <w:sz w:val="11"/>
                <w:szCs w:val="11"/>
                <w:color w:val="auto"/>
              </w:rPr>
              <w:t>2.40%</w:t>
            </w:r>
          </w:p>
        </w:tc>
        <w:tc>
          <w:tcPr>
            <w:tcW w:w="140" w:type="dxa"/>
            <w:vAlign w:val="bottom"/>
          </w:tcPr>
          <w:p>
            <w:pPr>
              <w:spacing w:after="0"/>
              <w:rPr>
                <w:sz w:val="10"/>
                <w:szCs w:val="10"/>
                <w:color w:val="auto"/>
              </w:rPr>
            </w:pPr>
          </w:p>
        </w:tc>
        <w:tc>
          <w:tcPr>
            <w:tcW w:w="700" w:type="dxa"/>
            <w:vAlign w:val="bottom"/>
          </w:tcPr>
          <w:p>
            <w:pPr>
              <w:jc w:val="right"/>
              <w:ind w:right="306"/>
              <w:spacing w:after="0" w:line="124" w:lineRule="exact"/>
              <w:rPr>
                <w:sz w:val="20"/>
                <w:szCs w:val="20"/>
                <w:color w:val="auto"/>
              </w:rPr>
            </w:pPr>
            <w:r>
              <w:rPr>
                <w:rFonts w:ascii="Arial" w:cs="Arial" w:eastAsia="Arial" w:hAnsi="Arial"/>
                <w:sz w:val="11"/>
                <w:szCs w:val="11"/>
                <w:color w:val="auto"/>
              </w:rPr>
              <w:t>2.99%</w:t>
            </w:r>
          </w:p>
        </w:tc>
        <w:tc>
          <w:tcPr>
            <w:tcW w:w="60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3.11%</w:t>
            </w:r>
          </w:p>
        </w:tc>
        <w:tc>
          <w:tcPr>
            <w:tcW w:w="20" w:type="dxa"/>
            <w:vAlign w:val="bottom"/>
          </w:tcPr>
          <w:p>
            <w:pPr>
              <w:spacing w:after="0"/>
              <w:rPr>
                <w:sz w:val="10"/>
                <w:szCs w:val="10"/>
                <w:color w:val="auto"/>
              </w:rPr>
            </w:pPr>
          </w:p>
        </w:tc>
        <w:tc>
          <w:tcPr>
            <w:tcW w:w="1000" w:type="dxa"/>
            <w:vAlign w:val="bottom"/>
          </w:tcPr>
          <w:p>
            <w:pPr>
              <w:jc w:val="center"/>
              <w:ind w:right="106"/>
              <w:spacing w:after="0" w:line="124" w:lineRule="exact"/>
              <w:rPr>
                <w:sz w:val="20"/>
                <w:szCs w:val="20"/>
                <w:color w:val="auto"/>
              </w:rPr>
            </w:pPr>
            <w:r>
              <w:rPr>
                <w:rFonts w:ascii="Arial" w:cs="Arial" w:eastAsia="Arial" w:hAnsi="Arial"/>
                <w:sz w:val="11"/>
                <w:szCs w:val="11"/>
                <w:color w:val="auto"/>
                <w:w w:val="96"/>
              </w:rPr>
              <w:t>12 pbs</w:t>
            </w:r>
          </w:p>
        </w:tc>
        <w:tc>
          <w:tcPr>
            <w:tcW w:w="180" w:type="dxa"/>
            <w:vAlign w:val="bottom"/>
          </w:tcPr>
          <w:p>
            <w:pPr>
              <w:spacing w:after="0"/>
              <w:rPr>
                <w:sz w:val="10"/>
                <w:szCs w:val="10"/>
                <w:color w:val="auto"/>
              </w:rPr>
            </w:pPr>
          </w:p>
        </w:tc>
        <w:tc>
          <w:tcPr>
            <w:tcW w:w="660" w:type="dxa"/>
            <w:vAlign w:val="bottom"/>
            <w:tcBorders>
              <w:right w:val="single" w:sz="8" w:color="auto"/>
            </w:tcBorders>
          </w:tcPr>
          <w:p>
            <w:pPr>
              <w:jc w:val="center"/>
              <w:ind w:right="246"/>
              <w:spacing w:after="0" w:line="124" w:lineRule="exact"/>
              <w:rPr>
                <w:sz w:val="20"/>
                <w:szCs w:val="20"/>
                <w:color w:val="auto"/>
              </w:rPr>
            </w:pPr>
            <w:r>
              <w:rPr>
                <w:rFonts w:ascii="Arial" w:cs="Arial" w:eastAsia="Arial" w:hAnsi="Arial"/>
                <w:sz w:val="11"/>
                <w:szCs w:val="11"/>
                <w:color w:val="auto"/>
                <w:w w:val="96"/>
              </w:rPr>
              <w:t>71 pbs</w:t>
            </w:r>
          </w:p>
        </w:tc>
        <w:tc>
          <w:tcPr>
            <w:tcW w:w="1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24"/>
        </w:trPr>
        <w:tc>
          <w:tcPr>
            <w:tcW w:w="3400" w:type="dxa"/>
            <w:vAlign w:val="bottom"/>
            <w:tcBorders>
              <w:left w:val="single" w:sz="8" w:color="auto"/>
            </w:tcBorders>
          </w:tcPr>
          <w:p>
            <w:pPr>
              <w:ind w:left="20"/>
              <w:spacing w:after="0" w:line="124" w:lineRule="exact"/>
              <w:rPr>
                <w:sz w:val="20"/>
                <w:szCs w:val="20"/>
                <w:color w:val="auto"/>
              </w:rPr>
            </w:pPr>
            <w:r>
              <w:rPr>
                <w:rFonts w:ascii="Arial" w:cs="Arial" w:eastAsia="Arial" w:hAnsi="Arial"/>
                <w:sz w:val="11"/>
                <w:szCs w:val="11"/>
                <w:color w:val="auto"/>
              </w:rPr>
              <w:t>Coverage of IOLs</w:t>
            </w:r>
          </w:p>
        </w:tc>
        <w:tc>
          <w:tcPr>
            <w:tcW w:w="460" w:type="dxa"/>
            <w:vAlign w:val="bottom"/>
            <w:tcBorders>
              <w:right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gridSpan w:val="2"/>
          </w:tcPr>
          <w:p>
            <w:pPr>
              <w:jc w:val="right"/>
              <w:ind w:right="406"/>
              <w:spacing w:after="0" w:line="124" w:lineRule="exact"/>
              <w:rPr>
                <w:sz w:val="20"/>
                <w:szCs w:val="20"/>
                <w:color w:val="auto"/>
              </w:rPr>
            </w:pPr>
            <w:r>
              <w:rPr>
                <w:rFonts w:ascii="Arial" w:cs="Arial" w:eastAsia="Arial" w:hAnsi="Arial"/>
                <w:sz w:val="11"/>
                <w:szCs w:val="11"/>
                <w:color w:val="auto"/>
              </w:rPr>
              <w:t>203.4%</w:t>
            </w:r>
          </w:p>
        </w:tc>
        <w:tc>
          <w:tcPr>
            <w:tcW w:w="840" w:type="dxa"/>
            <w:vAlign w:val="bottom"/>
            <w:gridSpan w:val="2"/>
          </w:tcPr>
          <w:p>
            <w:pPr>
              <w:jc w:val="right"/>
              <w:ind w:right="306"/>
              <w:spacing w:after="0" w:line="124" w:lineRule="exact"/>
              <w:rPr>
                <w:sz w:val="20"/>
                <w:szCs w:val="20"/>
                <w:color w:val="auto"/>
              </w:rPr>
            </w:pPr>
            <w:r>
              <w:rPr>
                <w:rFonts w:ascii="Arial" w:cs="Arial" w:eastAsia="Arial" w:hAnsi="Arial"/>
                <w:sz w:val="11"/>
                <w:szCs w:val="11"/>
                <w:color w:val="auto"/>
              </w:rPr>
              <w:t>149.5%</w:t>
            </w:r>
          </w:p>
        </w:tc>
        <w:tc>
          <w:tcPr>
            <w:tcW w:w="60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150.1%</w:t>
            </w:r>
          </w:p>
        </w:tc>
        <w:tc>
          <w:tcPr>
            <w:tcW w:w="20" w:type="dxa"/>
            <w:vAlign w:val="bottom"/>
          </w:tcPr>
          <w:p>
            <w:pPr>
              <w:spacing w:after="0"/>
              <w:rPr>
                <w:sz w:val="10"/>
                <w:szCs w:val="10"/>
                <w:color w:val="auto"/>
              </w:rPr>
            </w:pPr>
          </w:p>
        </w:tc>
        <w:tc>
          <w:tcPr>
            <w:tcW w:w="1000" w:type="dxa"/>
            <w:vAlign w:val="bottom"/>
          </w:tcPr>
          <w:p>
            <w:pPr>
              <w:jc w:val="center"/>
              <w:ind w:right="106"/>
              <w:spacing w:after="0" w:line="124" w:lineRule="exact"/>
              <w:rPr>
                <w:sz w:val="20"/>
                <w:szCs w:val="20"/>
                <w:color w:val="auto"/>
              </w:rPr>
            </w:pPr>
            <w:r>
              <w:rPr>
                <w:rFonts w:ascii="Arial" w:cs="Arial" w:eastAsia="Arial" w:hAnsi="Arial"/>
                <w:sz w:val="11"/>
                <w:szCs w:val="11"/>
                <w:color w:val="auto"/>
                <w:w w:val="96"/>
              </w:rPr>
              <w:t>53 pbs</w:t>
            </w:r>
          </w:p>
        </w:tc>
        <w:tc>
          <w:tcPr>
            <w:tcW w:w="840" w:type="dxa"/>
            <w:vAlign w:val="bottom"/>
            <w:tcBorders>
              <w:right w:val="single" w:sz="8" w:color="auto"/>
            </w:tcBorders>
            <w:gridSpan w:val="2"/>
          </w:tcPr>
          <w:p>
            <w:pPr>
              <w:jc w:val="center"/>
              <w:ind w:right="66"/>
              <w:spacing w:after="0" w:line="124" w:lineRule="exact"/>
              <w:rPr>
                <w:sz w:val="20"/>
                <w:szCs w:val="20"/>
                <w:color w:val="auto"/>
              </w:rPr>
            </w:pPr>
            <w:r>
              <w:rPr>
                <w:rFonts w:ascii="Arial" w:cs="Arial" w:eastAsia="Arial" w:hAnsi="Arial"/>
                <w:sz w:val="11"/>
                <w:szCs w:val="11"/>
                <w:color w:val="auto"/>
                <w:w w:val="98"/>
              </w:rPr>
              <w:t>-5330 pbs</w:t>
            </w:r>
          </w:p>
        </w:tc>
        <w:tc>
          <w:tcPr>
            <w:tcW w:w="1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24"/>
        </w:trPr>
        <w:tc>
          <w:tcPr>
            <w:tcW w:w="3400" w:type="dxa"/>
            <w:vAlign w:val="bottom"/>
            <w:tcBorders>
              <w:left w:val="single" w:sz="8" w:color="auto"/>
            </w:tcBorders>
          </w:tcPr>
          <w:p>
            <w:pPr>
              <w:ind w:left="20"/>
              <w:spacing w:after="0" w:line="124" w:lineRule="exact"/>
              <w:rPr>
                <w:sz w:val="20"/>
                <w:szCs w:val="20"/>
                <w:color w:val="auto"/>
              </w:rPr>
            </w:pPr>
            <w:r>
              <w:rPr>
                <w:rFonts w:ascii="Arial" w:cs="Arial" w:eastAsia="Arial" w:hAnsi="Arial"/>
                <w:sz w:val="11"/>
                <w:szCs w:val="11"/>
                <w:color w:val="auto"/>
              </w:rPr>
              <w:t>Coverage of NPLs</w:t>
            </w:r>
          </w:p>
        </w:tc>
        <w:tc>
          <w:tcPr>
            <w:tcW w:w="460" w:type="dxa"/>
            <w:vAlign w:val="bottom"/>
            <w:tcBorders>
              <w:right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gridSpan w:val="2"/>
          </w:tcPr>
          <w:p>
            <w:pPr>
              <w:jc w:val="right"/>
              <w:ind w:right="406"/>
              <w:spacing w:after="0" w:line="124" w:lineRule="exact"/>
              <w:rPr>
                <w:sz w:val="20"/>
                <w:szCs w:val="20"/>
                <w:color w:val="auto"/>
              </w:rPr>
            </w:pPr>
            <w:r>
              <w:rPr>
                <w:rFonts w:ascii="Arial" w:cs="Arial" w:eastAsia="Arial" w:hAnsi="Arial"/>
                <w:sz w:val="11"/>
                <w:szCs w:val="11"/>
                <w:color w:val="auto"/>
              </w:rPr>
              <w:t>179.4%</w:t>
            </w:r>
          </w:p>
        </w:tc>
        <w:tc>
          <w:tcPr>
            <w:tcW w:w="840" w:type="dxa"/>
            <w:vAlign w:val="bottom"/>
            <w:gridSpan w:val="2"/>
          </w:tcPr>
          <w:p>
            <w:pPr>
              <w:jc w:val="right"/>
              <w:ind w:right="306"/>
              <w:spacing w:after="0" w:line="124" w:lineRule="exact"/>
              <w:rPr>
                <w:sz w:val="20"/>
                <w:szCs w:val="20"/>
                <w:color w:val="auto"/>
              </w:rPr>
            </w:pPr>
            <w:r>
              <w:rPr>
                <w:rFonts w:ascii="Arial" w:cs="Arial" w:eastAsia="Arial" w:hAnsi="Arial"/>
                <w:sz w:val="11"/>
                <w:szCs w:val="11"/>
                <w:color w:val="auto"/>
              </w:rPr>
              <w:t>133.5%</w:t>
            </w:r>
          </w:p>
        </w:tc>
        <w:tc>
          <w:tcPr>
            <w:tcW w:w="60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126.5%</w:t>
            </w:r>
          </w:p>
        </w:tc>
        <w:tc>
          <w:tcPr>
            <w:tcW w:w="20" w:type="dxa"/>
            <w:vAlign w:val="bottom"/>
          </w:tcPr>
          <w:p>
            <w:pPr>
              <w:spacing w:after="0"/>
              <w:rPr>
                <w:sz w:val="10"/>
                <w:szCs w:val="10"/>
                <w:color w:val="auto"/>
              </w:rPr>
            </w:pPr>
          </w:p>
        </w:tc>
        <w:tc>
          <w:tcPr>
            <w:tcW w:w="1000" w:type="dxa"/>
            <w:vAlign w:val="bottom"/>
          </w:tcPr>
          <w:p>
            <w:pPr>
              <w:jc w:val="center"/>
              <w:ind w:right="86"/>
              <w:spacing w:after="0" w:line="124" w:lineRule="exact"/>
              <w:rPr>
                <w:sz w:val="20"/>
                <w:szCs w:val="20"/>
                <w:color w:val="auto"/>
              </w:rPr>
            </w:pPr>
            <w:r>
              <w:rPr>
                <w:rFonts w:ascii="Arial" w:cs="Arial" w:eastAsia="Arial" w:hAnsi="Arial"/>
                <w:sz w:val="11"/>
                <w:szCs w:val="11"/>
                <w:color w:val="auto"/>
                <w:w w:val="98"/>
              </w:rPr>
              <w:t>-702 pbs</w:t>
            </w:r>
          </w:p>
        </w:tc>
        <w:tc>
          <w:tcPr>
            <w:tcW w:w="840" w:type="dxa"/>
            <w:vAlign w:val="bottom"/>
            <w:tcBorders>
              <w:right w:val="single" w:sz="8" w:color="auto"/>
            </w:tcBorders>
            <w:gridSpan w:val="2"/>
          </w:tcPr>
          <w:p>
            <w:pPr>
              <w:jc w:val="center"/>
              <w:ind w:right="66"/>
              <w:spacing w:after="0" w:line="124" w:lineRule="exact"/>
              <w:rPr>
                <w:sz w:val="20"/>
                <w:szCs w:val="20"/>
                <w:color w:val="auto"/>
              </w:rPr>
            </w:pPr>
            <w:r>
              <w:rPr>
                <w:rFonts w:ascii="Arial" w:cs="Arial" w:eastAsia="Arial" w:hAnsi="Arial"/>
                <w:sz w:val="11"/>
                <w:szCs w:val="11"/>
                <w:color w:val="auto"/>
                <w:w w:val="98"/>
              </w:rPr>
              <w:t>-5290 pbs</w:t>
            </w:r>
          </w:p>
        </w:tc>
        <w:tc>
          <w:tcPr>
            <w:tcW w:w="1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24"/>
        </w:trPr>
        <w:tc>
          <w:tcPr>
            <w:tcW w:w="3400" w:type="dxa"/>
            <w:vAlign w:val="bottom"/>
            <w:tcBorders>
              <w:left w:val="single" w:sz="8" w:color="auto"/>
            </w:tcBorders>
          </w:tcPr>
          <w:p>
            <w:pPr>
              <w:ind w:left="20"/>
              <w:spacing w:after="0" w:line="124" w:lineRule="exact"/>
              <w:rPr>
                <w:sz w:val="20"/>
                <w:szCs w:val="20"/>
                <w:color w:val="auto"/>
              </w:rPr>
            </w:pPr>
            <w:r>
              <w:rPr>
                <w:rFonts w:ascii="Arial" w:cs="Arial" w:eastAsia="Arial" w:hAnsi="Arial"/>
                <w:sz w:val="11"/>
                <w:szCs w:val="11"/>
                <w:color w:val="auto"/>
              </w:rPr>
              <w:t>Branches</w:t>
            </w:r>
          </w:p>
        </w:tc>
        <w:tc>
          <w:tcPr>
            <w:tcW w:w="460" w:type="dxa"/>
            <w:vAlign w:val="bottom"/>
            <w:tcBorders>
              <w:right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right"/>
              <w:ind w:right="406"/>
              <w:spacing w:after="0" w:line="124" w:lineRule="exact"/>
              <w:rPr>
                <w:sz w:val="20"/>
                <w:szCs w:val="20"/>
                <w:color w:val="auto"/>
              </w:rPr>
            </w:pPr>
            <w:r>
              <w:rPr>
                <w:rFonts w:ascii="Arial" w:cs="Arial" w:eastAsia="Arial" w:hAnsi="Arial"/>
                <w:sz w:val="11"/>
                <w:szCs w:val="11"/>
                <w:color w:val="auto"/>
              </w:rPr>
              <w:t>45</w:t>
            </w:r>
          </w:p>
        </w:tc>
        <w:tc>
          <w:tcPr>
            <w:tcW w:w="140" w:type="dxa"/>
            <w:vAlign w:val="bottom"/>
          </w:tcPr>
          <w:p>
            <w:pPr>
              <w:spacing w:after="0"/>
              <w:rPr>
                <w:sz w:val="10"/>
                <w:szCs w:val="10"/>
                <w:color w:val="auto"/>
              </w:rPr>
            </w:pPr>
          </w:p>
        </w:tc>
        <w:tc>
          <w:tcPr>
            <w:tcW w:w="700" w:type="dxa"/>
            <w:vAlign w:val="bottom"/>
          </w:tcPr>
          <w:p>
            <w:pPr>
              <w:jc w:val="right"/>
              <w:ind w:right="306"/>
              <w:spacing w:after="0" w:line="124" w:lineRule="exact"/>
              <w:rPr>
                <w:sz w:val="20"/>
                <w:szCs w:val="20"/>
                <w:color w:val="auto"/>
              </w:rPr>
            </w:pPr>
            <w:r>
              <w:rPr>
                <w:rFonts w:ascii="Arial" w:cs="Arial" w:eastAsia="Arial" w:hAnsi="Arial"/>
                <w:sz w:val="11"/>
                <w:szCs w:val="11"/>
                <w:color w:val="auto"/>
              </w:rPr>
              <w:t>46</w:t>
            </w:r>
          </w:p>
        </w:tc>
        <w:tc>
          <w:tcPr>
            <w:tcW w:w="60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46</w:t>
            </w:r>
          </w:p>
        </w:tc>
        <w:tc>
          <w:tcPr>
            <w:tcW w:w="20" w:type="dxa"/>
            <w:vAlign w:val="bottom"/>
          </w:tcPr>
          <w:p>
            <w:pPr>
              <w:spacing w:after="0"/>
              <w:rPr>
                <w:sz w:val="10"/>
                <w:szCs w:val="10"/>
                <w:color w:val="auto"/>
              </w:rPr>
            </w:pPr>
          </w:p>
        </w:tc>
        <w:tc>
          <w:tcPr>
            <w:tcW w:w="1000" w:type="dxa"/>
            <w:vAlign w:val="bottom"/>
          </w:tcPr>
          <w:p>
            <w:pPr>
              <w:jc w:val="center"/>
              <w:ind w:right="86"/>
              <w:spacing w:after="0" w:line="124" w:lineRule="exact"/>
              <w:rPr>
                <w:sz w:val="20"/>
                <w:szCs w:val="20"/>
                <w:color w:val="auto"/>
              </w:rPr>
            </w:pPr>
            <w:r>
              <w:rPr>
                <w:rFonts w:ascii="Arial" w:cs="Arial" w:eastAsia="Arial" w:hAnsi="Arial"/>
                <w:sz w:val="11"/>
                <w:szCs w:val="11"/>
                <w:color w:val="auto"/>
                <w:w w:val="97"/>
              </w:rPr>
              <w:t>0</w:t>
            </w:r>
          </w:p>
        </w:tc>
        <w:tc>
          <w:tcPr>
            <w:tcW w:w="840" w:type="dxa"/>
            <w:vAlign w:val="bottom"/>
            <w:tcBorders>
              <w:right w:val="single" w:sz="8" w:color="auto"/>
            </w:tcBorders>
            <w:gridSpan w:val="2"/>
          </w:tcPr>
          <w:p>
            <w:pPr>
              <w:jc w:val="center"/>
              <w:ind w:right="86"/>
              <w:spacing w:after="0" w:line="124" w:lineRule="exact"/>
              <w:rPr>
                <w:sz w:val="20"/>
                <w:szCs w:val="20"/>
                <w:color w:val="auto"/>
              </w:rPr>
            </w:pPr>
            <w:r>
              <w:rPr>
                <w:rFonts w:ascii="Arial" w:cs="Arial" w:eastAsia="Arial" w:hAnsi="Arial"/>
                <w:sz w:val="11"/>
                <w:szCs w:val="11"/>
                <w:color w:val="auto"/>
                <w:w w:val="97"/>
              </w:rPr>
              <w:t>1</w:t>
            </w:r>
          </w:p>
        </w:tc>
        <w:tc>
          <w:tcPr>
            <w:tcW w:w="1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24"/>
        </w:trPr>
        <w:tc>
          <w:tcPr>
            <w:tcW w:w="3400" w:type="dxa"/>
            <w:vAlign w:val="bottom"/>
            <w:tcBorders>
              <w:left w:val="single" w:sz="8" w:color="auto"/>
            </w:tcBorders>
          </w:tcPr>
          <w:p>
            <w:pPr>
              <w:ind w:left="20"/>
              <w:spacing w:after="0" w:line="124" w:lineRule="exact"/>
              <w:rPr>
                <w:sz w:val="20"/>
                <w:szCs w:val="20"/>
                <w:color w:val="auto"/>
              </w:rPr>
            </w:pPr>
            <w:r>
              <w:rPr>
                <w:rFonts w:ascii="Arial" w:cs="Arial" w:eastAsia="Arial" w:hAnsi="Arial"/>
                <w:sz w:val="11"/>
                <w:szCs w:val="11"/>
                <w:color w:val="auto"/>
              </w:rPr>
              <w:t>Agentes</w:t>
            </w:r>
          </w:p>
        </w:tc>
        <w:tc>
          <w:tcPr>
            <w:tcW w:w="460" w:type="dxa"/>
            <w:vAlign w:val="bottom"/>
            <w:tcBorders>
              <w:right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right"/>
              <w:ind w:right="406"/>
              <w:spacing w:after="0" w:line="124" w:lineRule="exact"/>
              <w:rPr>
                <w:sz w:val="20"/>
                <w:szCs w:val="20"/>
                <w:color w:val="auto"/>
              </w:rPr>
            </w:pPr>
            <w:r>
              <w:rPr>
                <w:rFonts w:ascii="Arial" w:cs="Arial" w:eastAsia="Arial" w:hAnsi="Arial"/>
                <w:sz w:val="11"/>
                <w:szCs w:val="11"/>
                <w:color w:val="auto"/>
              </w:rPr>
              <w:t>1177</w:t>
            </w:r>
          </w:p>
        </w:tc>
        <w:tc>
          <w:tcPr>
            <w:tcW w:w="140" w:type="dxa"/>
            <w:vAlign w:val="bottom"/>
          </w:tcPr>
          <w:p>
            <w:pPr>
              <w:spacing w:after="0"/>
              <w:rPr>
                <w:sz w:val="10"/>
                <w:szCs w:val="10"/>
                <w:color w:val="auto"/>
              </w:rPr>
            </w:pPr>
          </w:p>
        </w:tc>
        <w:tc>
          <w:tcPr>
            <w:tcW w:w="700" w:type="dxa"/>
            <w:vAlign w:val="bottom"/>
          </w:tcPr>
          <w:p>
            <w:pPr>
              <w:jc w:val="right"/>
              <w:ind w:right="306"/>
              <w:spacing w:after="0" w:line="124" w:lineRule="exact"/>
              <w:rPr>
                <w:sz w:val="20"/>
                <w:szCs w:val="20"/>
                <w:color w:val="auto"/>
              </w:rPr>
            </w:pPr>
            <w:r>
              <w:rPr>
                <w:rFonts w:ascii="Arial" w:cs="Arial" w:eastAsia="Arial" w:hAnsi="Arial"/>
                <w:sz w:val="11"/>
                <w:szCs w:val="11"/>
                <w:color w:val="auto"/>
              </w:rPr>
              <w:t>1355</w:t>
            </w:r>
          </w:p>
        </w:tc>
        <w:tc>
          <w:tcPr>
            <w:tcW w:w="60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1351</w:t>
            </w:r>
          </w:p>
        </w:tc>
        <w:tc>
          <w:tcPr>
            <w:tcW w:w="20" w:type="dxa"/>
            <w:vAlign w:val="bottom"/>
          </w:tcPr>
          <w:p>
            <w:pPr>
              <w:spacing w:after="0"/>
              <w:rPr>
                <w:sz w:val="10"/>
                <w:szCs w:val="10"/>
                <w:color w:val="auto"/>
              </w:rPr>
            </w:pPr>
          </w:p>
        </w:tc>
        <w:tc>
          <w:tcPr>
            <w:tcW w:w="1000" w:type="dxa"/>
            <w:vAlign w:val="bottom"/>
          </w:tcPr>
          <w:p>
            <w:pPr>
              <w:jc w:val="center"/>
              <w:ind w:right="86"/>
              <w:spacing w:after="0" w:line="124" w:lineRule="exact"/>
              <w:rPr>
                <w:sz w:val="20"/>
                <w:szCs w:val="20"/>
                <w:color w:val="auto"/>
              </w:rPr>
            </w:pPr>
            <w:r>
              <w:rPr>
                <w:rFonts w:ascii="Arial" w:cs="Arial" w:eastAsia="Arial" w:hAnsi="Arial"/>
                <w:sz w:val="11"/>
                <w:szCs w:val="11"/>
                <w:color w:val="auto"/>
              </w:rPr>
              <w:t>-4</w:t>
            </w:r>
          </w:p>
        </w:tc>
        <w:tc>
          <w:tcPr>
            <w:tcW w:w="840" w:type="dxa"/>
            <w:vAlign w:val="bottom"/>
            <w:tcBorders>
              <w:right w:val="single" w:sz="8" w:color="auto"/>
            </w:tcBorders>
            <w:gridSpan w:val="2"/>
          </w:tcPr>
          <w:p>
            <w:pPr>
              <w:jc w:val="center"/>
              <w:ind w:right="66"/>
              <w:spacing w:after="0" w:line="124" w:lineRule="exact"/>
              <w:rPr>
                <w:sz w:val="20"/>
                <w:szCs w:val="20"/>
                <w:color w:val="auto"/>
              </w:rPr>
            </w:pPr>
            <w:r>
              <w:rPr>
                <w:rFonts w:ascii="Arial" w:cs="Arial" w:eastAsia="Arial" w:hAnsi="Arial"/>
                <w:sz w:val="11"/>
                <w:szCs w:val="11"/>
                <w:color w:val="auto"/>
                <w:w w:val="86"/>
              </w:rPr>
              <w:t>174</w:t>
            </w:r>
          </w:p>
        </w:tc>
        <w:tc>
          <w:tcPr>
            <w:tcW w:w="1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24"/>
        </w:trPr>
        <w:tc>
          <w:tcPr>
            <w:tcW w:w="3400" w:type="dxa"/>
            <w:vAlign w:val="bottom"/>
            <w:tcBorders>
              <w:left w:val="single" w:sz="8" w:color="auto"/>
            </w:tcBorders>
          </w:tcPr>
          <w:p>
            <w:pPr>
              <w:ind w:left="20"/>
              <w:spacing w:after="0" w:line="124" w:lineRule="exact"/>
              <w:rPr>
                <w:sz w:val="20"/>
                <w:szCs w:val="20"/>
                <w:color w:val="auto"/>
              </w:rPr>
            </w:pPr>
            <w:r>
              <w:rPr>
                <w:rFonts w:ascii="Arial" w:cs="Arial" w:eastAsia="Arial" w:hAnsi="Arial"/>
                <w:sz w:val="11"/>
                <w:szCs w:val="11"/>
                <w:color w:val="auto"/>
              </w:rPr>
              <w:t>ATMs</w:t>
            </w:r>
          </w:p>
        </w:tc>
        <w:tc>
          <w:tcPr>
            <w:tcW w:w="460" w:type="dxa"/>
            <w:vAlign w:val="bottom"/>
            <w:tcBorders>
              <w:right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right"/>
              <w:ind w:right="406"/>
              <w:spacing w:after="0" w:line="124" w:lineRule="exact"/>
              <w:rPr>
                <w:sz w:val="20"/>
                <w:szCs w:val="20"/>
                <w:color w:val="auto"/>
              </w:rPr>
            </w:pPr>
            <w:r>
              <w:rPr>
                <w:rFonts w:ascii="Arial" w:cs="Arial" w:eastAsia="Arial" w:hAnsi="Arial"/>
                <w:sz w:val="11"/>
                <w:szCs w:val="11"/>
                <w:color w:val="auto"/>
              </w:rPr>
              <w:t>311</w:t>
            </w:r>
          </w:p>
        </w:tc>
        <w:tc>
          <w:tcPr>
            <w:tcW w:w="140" w:type="dxa"/>
            <w:vAlign w:val="bottom"/>
          </w:tcPr>
          <w:p>
            <w:pPr>
              <w:spacing w:after="0"/>
              <w:rPr>
                <w:sz w:val="10"/>
                <w:szCs w:val="10"/>
                <w:color w:val="auto"/>
              </w:rPr>
            </w:pPr>
          </w:p>
        </w:tc>
        <w:tc>
          <w:tcPr>
            <w:tcW w:w="700" w:type="dxa"/>
            <w:vAlign w:val="bottom"/>
          </w:tcPr>
          <w:p>
            <w:pPr>
              <w:jc w:val="right"/>
              <w:ind w:right="306"/>
              <w:spacing w:after="0" w:line="124" w:lineRule="exact"/>
              <w:rPr>
                <w:sz w:val="20"/>
                <w:szCs w:val="20"/>
                <w:color w:val="auto"/>
              </w:rPr>
            </w:pPr>
            <w:r>
              <w:rPr>
                <w:rFonts w:ascii="Arial" w:cs="Arial" w:eastAsia="Arial" w:hAnsi="Arial"/>
                <w:sz w:val="11"/>
                <w:szCs w:val="11"/>
                <w:color w:val="auto"/>
              </w:rPr>
              <w:t>314</w:t>
            </w:r>
          </w:p>
        </w:tc>
        <w:tc>
          <w:tcPr>
            <w:tcW w:w="60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314</w:t>
            </w:r>
          </w:p>
        </w:tc>
        <w:tc>
          <w:tcPr>
            <w:tcW w:w="20" w:type="dxa"/>
            <w:vAlign w:val="bottom"/>
          </w:tcPr>
          <w:p>
            <w:pPr>
              <w:spacing w:after="0"/>
              <w:rPr>
                <w:sz w:val="10"/>
                <w:szCs w:val="10"/>
                <w:color w:val="auto"/>
              </w:rPr>
            </w:pPr>
          </w:p>
        </w:tc>
        <w:tc>
          <w:tcPr>
            <w:tcW w:w="1000" w:type="dxa"/>
            <w:vAlign w:val="bottom"/>
          </w:tcPr>
          <w:p>
            <w:pPr>
              <w:jc w:val="center"/>
              <w:ind w:right="86"/>
              <w:spacing w:after="0" w:line="124" w:lineRule="exact"/>
              <w:rPr>
                <w:sz w:val="20"/>
                <w:szCs w:val="20"/>
                <w:color w:val="auto"/>
              </w:rPr>
            </w:pPr>
            <w:r>
              <w:rPr>
                <w:rFonts w:ascii="Arial" w:cs="Arial" w:eastAsia="Arial" w:hAnsi="Arial"/>
                <w:sz w:val="11"/>
                <w:szCs w:val="11"/>
                <w:color w:val="auto"/>
                <w:w w:val="97"/>
              </w:rPr>
              <w:t>0</w:t>
            </w:r>
          </w:p>
        </w:tc>
        <w:tc>
          <w:tcPr>
            <w:tcW w:w="840" w:type="dxa"/>
            <w:vAlign w:val="bottom"/>
            <w:tcBorders>
              <w:right w:val="single" w:sz="8" w:color="auto"/>
            </w:tcBorders>
            <w:gridSpan w:val="2"/>
          </w:tcPr>
          <w:p>
            <w:pPr>
              <w:jc w:val="center"/>
              <w:ind w:right="86"/>
              <w:spacing w:after="0" w:line="124" w:lineRule="exact"/>
              <w:rPr>
                <w:sz w:val="20"/>
                <w:szCs w:val="20"/>
                <w:color w:val="auto"/>
              </w:rPr>
            </w:pPr>
            <w:r>
              <w:rPr>
                <w:rFonts w:ascii="Arial" w:cs="Arial" w:eastAsia="Arial" w:hAnsi="Arial"/>
                <w:sz w:val="11"/>
                <w:szCs w:val="11"/>
                <w:color w:val="auto"/>
                <w:w w:val="97"/>
              </w:rPr>
              <w:t>3</w:t>
            </w:r>
          </w:p>
        </w:tc>
        <w:tc>
          <w:tcPr>
            <w:tcW w:w="1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tcPr>
          <w:p>
            <w:pPr>
              <w:spacing w:after="0"/>
              <w:rPr>
                <w:sz w:val="10"/>
                <w:szCs w:val="10"/>
                <w:color w:val="auto"/>
              </w:rPr>
            </w:pPr>
          </w:p>
        </w:tc>
      </w:tr>
      <w:tr>
        <w:trPr>
          <w:trHeight w:val="139"/>
        </w:trPr>
        <w:tc>
          <w:tcPr>
            <w:tcW w:w="340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1"/>
                <w:szCs w:val="11"/>
                <w:color w:val="auto"/>
              </w:rPr>
              <w:t>Employees</w:t>
            </w:r>
          </w:p>
        </w:tc>
        <w:tc>
          <w:tcPr>
            <w:tcW w:w="460" w:type="dxa"/>
            <w:vAlign w:val="bottom"/>
            <w:tcBorders>
              <w:bottom w:val="single" w:sz="8" w:color="auto"/>
              <w:right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06"/>
              <w:spacing w:after="0"/>
              <w:rPr>
                <w:sz w:val="20"/>
                <w:szCs w:val="20"/>
                <w:color w:val="auto"/>
              </w:rPr>
            </w:pPr>
            <w:r>
              <w:rPr>
                <w:rFonts w:ascii="Arial" w:cs="Arial" w:eastAsia="Arial" w:hAnsi="Arial"/>
                <w:sz w:val="11"/>
                <w:szCs w:val="11"/>
                <w:color w:val="auto"/>
              </w:rPr>
              <w:t>1,622</w:t>
            </w: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06"/>
              <w:spacing w:after="0"/>
              <w:rPr>
                <w:sz w:val="20"/>
                <w:szCs w:val="20"/>
                <w:color w:val="auto"/>
              </w:rPr>
            </w:pPr>
            <w:r>
              <w:rPr>
                <w:rFonts w:ascii="Arial" w:cs="Arial" w:eastAsia="Arial" w:hAnsi="Arial"/>
                <w:sz w:val="11"/>
                <w:szCs w:val="11"/>
                <w:color w:val="auto"/>
              </w:rPr>
              <w:t>1,729</w:t>
            </w:r>
          </w:p>
        </w:tc>
        <w:tc>
          <w:tcPr>
            <w:tcW w:w="6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1,732</w:t>
            </w:r>
          </w:p>
        </w:tc>
        <w:tc>
          <w:tcPr>
            <w:tcW w:w="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86"/>
              <w:spacing w:after="0"/>
              <w:rPr>
                <w:sz w:val="20"/>
                <w:szCs w:val="20"/>
                <w:color w:val="auto"/>
              </w:rPr>
            </w:pPr>
            <w:r>
              <w:rPr>
                <w:rFonts w:ascii="Arial" w:cs="Arial" w:eastAsia="Arial" w:hAnsi="Arial"/>
                <w:sz w:val="11"/>
                <w:szCs w:val="11"/>
                <w:color w:val="auto"/>
                <w:w w:val="97"/>
              </w:rPr>
              <w:t>3</w:t>
            </w:r>
          </w:p>
        </w:tc>
        <w:tc>
          <w:tcPr>
            <w:tcW w:w="840" w:type="dxa"/>
            <w:vAlign w:val="bottom"/>
            <w:tcBorders>
              <w:bottom w:val="single" w:sz="8" w:color="auto"/>
              <w:right w:val="single" w:sz="8" w:color="auto"/>
            </w:tcBorders>
            <w:gridSpan w:val="2"/>
          </w:tcPr>
          <w:p>
            <w:pPr>
              <w:jc w:val="center"/>
              <w:ind w:right="66"/>
              <w:spacing w:after="0"/>
              <w:rPr>
                <w:sz w:val="20"/>
                <w:szCs w:val="20"/>
                <w:color w:val="auto"/>
              </w:rPr>
            </w:pPr>
            <w:r>
              <w:rPr>
                <w:rFonts w:ascii="Arial" w:cs="Arial" w:eastAsia="Arial" w:hAnsi="Arial"/>
                <w:sz w:val="11"/>
                <w:szCs w:val="11"/>
                <w:color w:val="auto"/>
                <w:w w:val="86"/>
              </w:rPr>
              <w:t>110</w:t>
            </w:r>
          </w:p>
        </w:tc>
        <w:tc>
          <w:tcPr>
            <w:tcW w:w="1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40" w:type="dxa"/>
            <w:vAlign w:val="bottom"/>
          </w:tcPr>
          <w:p>
            <w:pPr>
              <w:spacing w:after="0"/>
              <w:rPr>
                <w:sz w:val="12"/>
                <w:szCs w:val="12"/>
                <w:color w:val="auto"/>
              </w:rPr>
            </w:pPr>
          </w:p>
        </w:tc>
      </w:tr>
    </w:tbl>
    <w:p>
      <w:pPr>
        <w:spacing w:after="0" w:line="31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43750" cy="1587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8" w:name="page69"/>
    <w:bookmarkEnd w:id="68"/>
    <w:p>
      <w:pPr>
        <w:ind w:left="2961"/>
        <w:spacing w:after="0"/>
        <w:tabs>
          <w:tab w:leader="none" w:pos="3141" w:val="left"/>
          <w:tab w:leader="none" w:pos="7701" w:val="left"/>
        </w:tabs>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202565</wp:posOffset>
            </wp:positionH>
            <wp:positionV relativeFrom="page">
              <wp:posOffset>88900</wp:posOffset>
            </wp:positionV>
            <wp:extent cx="7143750" cy="41592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3750" cy="415925"/>
                    </a:xfrm>
                    <a:prstGeom prst="rect">
                      <a:avLst/>
                    </a:prstGeom>
                    <a:noFill/>
                  </pic:spPr>
                </pic:pic>
              </a:graphicData>
            </a:graphic>
          </wp:anchor>
        </w:drawing>
        <w:t>|</w:t>
      </w:r>
      <w:r>
        <w:rPr>
          <w:sz w:val="20"/>
          <w:szCs w:val="20"/>
          <w:color w:val="auto"/>
        </w:rPr>
        <w:tab/>
      </w:r>
      <w:r>
        <w:rPr>
          <w:rFonts w:ascii="Arial" w:cs="Arial" w:eastAsia="Arial" w:hAnsi="Arial"/>
          <w:sz w:val="16"/>
          <w:szCs w:val="16"/>
          <w:b w:val="1"/>
          <w:bCs w:val="1"/>
          <w:color w:val="FFFFFF"/>
        </w:rPr>
        <w:t>Earnings Release 3Q / 2023</w:t>
      </w:r>
      <w:r>
        <w:rPr>
          <w:sz w:val="20"/>
          <w:szCs w:val="20"/>
          <w:color w:val="auto"/>
        </w:rPr>
        <w:tab/>
      </w:r>
      <w:r>
        <w:rPr>
          <w:rFonts w:ascii="Arial" w:cs="Arial" w:eastAsia="Arial" w:hAnsi="Arial"/>
          <w:sz w:val="18"/>
          <w:szCs w:val="18"/>
          <w:b w:val="1"/>
          <w:bCs w:val="1"/>
          <w:color w:val="E93CAC"/>
        </w:rPr>
        <w:t>Analysis of 3Q23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175260</wp:posOffset>
            </wp:positionV>
            <wp:extent cx="7143750" cy="2038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3750" cy="203835"/>
                    </a:xfrm>
                    <a:prstGeom prst="rect">
                      <a:avLst/>
                    </a:prstGeom>
                    <a:noFill/>
                  </pic:spPr>
                </pic:pic>
              </a:graphicData>
            </a:graphic>
          </wp:anchor>
        </w:drawing>
      </w:r>
    </w:p>
    <w:p>
      <w:pPr>
        <w:spacing w:after="0" w:line="275" w:lineRule="exact"/>
        <w:rPr>
          <w:sz w:val="20"/>
          <w:szCs w:val="20"/>
          <w:color w:val="auto"/>
        </w:rPr>
      </w:pPr>
    </w:p>
    <w:p>
      <w:pPr>
        <w:ind w:left="41"/>
        <w:spacing w:after="0"/>
        <w:rPr>
          <w:sz w:val="20"/>
          <w:szCs w:val="20"/>
          <w:color w:val="auto"/>
        </w:rPr>
      </w:pPr>
      <w:r>
        <w:rPr>
          <w:rFonts w:ascii="Arial" w:cs="Arial" w:eastAsia="Arial" w:hAnsi="Arial"/>
          <w:sz w:val="20"/>
          <w:szCs w:val="20"/>
          <w:b w:val="1"/>
          <w:bCs w:val="1"/>
          <w:color w:val="FFFFFF"/>
        </w:rPr>
        <w:t>12. Appendix</w:t>
      </w:r>
    </w:p>
    <w:p>
      <w:pPr>
        <w:spacing w:after="0" w:line="76"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12.6.6. Mibanco</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MIBANCO</w:t>
      </w:r>
    </w:p>
    <w:p>
      <w:pPr>
        <w:jc w:val="center"/>
        <w:spacing w:after="0"/>
        <w:rPr>
          <w:sz w:val="20"/>
          <w:szCs w:val="20"/>
          <w:color w:val="auto"/>
        </w:rPr>
      </w:pPr>
      <w:r>
        <w:rPr>
          <w:rFonts w:ascii="Arial" w:cs="Arial" w:eastAsia="Arial" w:hAnsi="Arial"/>
          <w:sz w:val="12"/>
          <w:szCs w:val="12"/>
          <w:color w:val="auto"/>
        </w:rPr>
        <w:t>(In S/ thousands, IFRS)</w:t>
      </w:r>
    </w:p>
    <w:p>
      <w:pPr>
        <w:spacing w:after="0" w:line="95" w:lineRule="exact"/>
        <w:rPr>
          <w:sz w:val="20"/>
          <w:szCs w:val="20"/>
          <w:color w:val="auto"/>
        </w:rPr>
      </w:pPr>
    </w:p>
    <w:tbl>
      <w:tblPr>
        <w:tblLayout w:type="fixed"/>
        <w:tblInd w:w="11" w:type="dxa"/>
        <w:tblCellMar>
          <w:top w:w="0" w:type="dxa"/>
          <w:left w:w="0" w:type="dxa"/>
          <w:bottom w:w="0" w:type="dxa"/>
          <w:right w:w="0" w:type="dxa"/>
        </w:tblCellMar>
      </w:tblPr>
      <w:tr>
        <w:trPr>
          <w:trHeight w:val="117"/>
        </w:trPr>
        <w:tc>
          <w:tcPr>
            <w:tcW w:w="3680" w:type="dxa"/>
            <w:vAlign w:val="bottom"/>
            <w:tcBorders>
              <w:top w:val="single" w:sz="8" w:color="auto"/>
              <w:left w:val="single" w:sz="8" w:color="auto"/>
              <w:right w:val="single" w:sz="8" w:color="33CCCC"/>
            </w:tcBorders>
            <w:shd w:val="clear" w:color="auto" w:fill="33CCCC"/>
          </w:tcPr>
          <w:p>
            <w:pPr>
              <w:spacing w:after="0"/>
              <w:rPr>
                <w:sz w:val="10"/>
                <w:szCs w:val="10"/>
                <w:color w:val="auto"/>
              </w:rPr>
            </w:pPr>
          </w:p>
        </w:tc>
        <w:tc>
          <w:tcPr>
            <w:tcW w:w="1120" w:type="dxa"/>
            <w:vAlign w:val="bottom"/>
            <w:tcBorders>
              <w:top w:val="single" w:sz="8" w:color="auto"/>
            </w:tcBorders>
            <w:shd w:val="clear" w:color="auto" w:fill="33CCCC"/>
          </w:tcPr>
          <w:p>
            <w:pPr>
              <w:spacing w:after="0"/>
              <w:rPr>
                <w:sz w:val="10"/>
                <w:szCs w:val="10"/>
                <w:color w:val="auto"/>
              </w:rPr>
            </w:pPr>
          </w:p>
        </w:tc>
        <w:tc>
          <w:tcPr>
            <w:tcW w:w="220" w:type="dxa"/>
            <w:vAlign w:val="bottom"/>
            <w:tcBorders>
              <w:top w:val="single" w:sz="8" w:color="auto"/>
              <w:right w:val="single" w:sz="8" w:color="auto"/>
            </w:tcBorders>
            <w:shd w:val="clear" w:color="auto" w:fill="33CCCC"/>
          </w:tcPr>
          <w:p>
            <w:pPr>
              <w:spacing w:after="0"/>
              <w:rPr>
                <w:sz w:val="10"/>
                <w:szCs w:val="10"/>
                <w:color w:val="auto"/>
              </w:rPr>
            </w:pPr>
          </w:p>
        </w:tc>
        <w:tc>
          <w:tcPr>
            <w:tcW w:w="680" w:type="dxa"/>
            <w:vAlign w:val="bottom"/>
            <w:tcBorders>
              <w:top w:val="single" w:sz="8" w:color="auto"/>
            </w:tcBorders>
            <w:shd w:val="clear" w:color="auto" w:fill="33CCCC"/>
          </w:tcPr>
          <w:p>
            <w:pPr>
              <w:spacing w:after="0"/>
              <w:rPr>
                <w:sz w:val="10"/>
                <w:szCs w:val="10"/>
                <w:color w:val="auto"/>
              </w:rPr>
            </w:pPr>
          </w:p>
        </w:tc>
        <w:tc>
          <w:tcPr>
            <w:tcW w:w="980" w:type="dxa"/>
            <w:vAlign w:val="bottom"/>
            <w:tcBorders>
              <w:top w:val="single" w:sz="8" w:color="auto"/>
              <w:right w:val="single" w:sz="8" w:color="33CCCC"/>
            </w:tcBorders>
            <w:shd w:val="clear" w:color="auto" w:fill="33CCCC"/>
          </w:tcPr>
          <w:p>
            <w:pPr>
              <w:spacing w:after="0"/>
              <w:rPr>
                <w:sz w:val="10"/>
                <w:szCs w:val="10"/>
                <w:color w:val="auto"/>
              </w:rPr>
            </w:pPr>
          </w:p>
        </w:tc>
        <w:tc>
          <w:tcPr>
            <w:tcW w:w="1020" w:type="dxa"/>
            <w:vAlign w:val="bottom"/>
            <w:tcBorders>
              <w:top w:val="single" w:sz="8" w:color="auto"/>
            </w:tcBorders>
            <w:shd w:val="clear" w:color="auto" w:fill="33CCCC"/>
          </w:tcPr>
          <w:p>
            <w:pPr>
              <w:jc w:val="right"/>
              <w:ind w:right="503"/>
              <w:spacing w:after="0" w:line="117" w:lineRule="exact"/>
              <w:rPr>
                <w:sz w:val="20"/>
                <w:szCs w:val="20"/>
                <w:color w:val="auto"/>
              </w:rPr>
            </w:pPr>
            <w:r>
              <w:rPr>
                <w:rFonts w:ascii="Arial" w:cs="Arial" w:eastAsia="Arial" w:hAnsi="Arial"/>
                <w:sz w:val="12"/>
                <w:szCs w:val="12"/>
                <w:b w:val="1"/>
                <w:bCs w:val="1"/>
                <w:color w:val="FFFFFF"/>
              </w:rPr>
              <w:t>As of</w:t>
            </w:r>
          </w:p>
        </w:tc>
        <w:tc>
          <w:tcPr>
            <w:tcW w:w="620" w:type="dxa"/>
            <w:vAlign w:val="bottom"/>
            <w:tcBorders>
              <w:top w:val="single" w:sz="8" w:color="auto"/>
              <w:right w:val="single" w:sz="8" w:color="33CCCC"/>
            </w:tcBorders>
            <w:shd w:val="clear" w:color="auto" w:fill="33CCCC"/>
          </w:tcPr>
          <w:p>
            <w:pPr>
              <w:spacing w:after="0"/>
              <w:rPr>
                <w:sz w:val="10"/>
                <w:szCs w:val="10"/>
                <w:color w:val="auto"/>
              </w:rPr>
            </w:pPr>
          </w:p>
        </w:tc>
        <w:tc>
          <w:tcPr>
            <w:tcW w:w="700" w:type="dxa"/>
            <w:vAlign w:val="bottom"/>
            <w:tcBorders>
              <w:top w:val="single" w:sz="8" w:color="auto"/>
              <w:right w:val="single" w:sz="8" w:color="auto"/>
            </w:tcBorders>
            <w:shd w:val="clear" w:color="auto" w:fill="33CCCC"/>
          </w:tcPr>
          <w:p>
            <w:pPr>
              <w:spacing w:after="0"/>
              <w:rPr>
                <w:sz w:val="10"/>
                <w:szCs w:val="10"/>
                <w:color w:val="auto"/>
              </w:rPr>
            </w:pPr>
          </w:p>
        </w:tc>
        <w:tc>
          <w:tcPr>
            <w:tcW w:w="380" w:type="dxa"/>
            <w:vAlign w:val="bottom"/>
            <w:tcBorders>
              <w:top w:val="single" w:sz="8" w:color="auto"/>
            </w:tcBorders>
            <w:shd w:val="clear" w:color="auto" w:fill="33CCCC"/>
          </w:tcPr>
          <w:p>
            <w:pPr>
              <w:spacing w:after="0"/>
              <w:rPr>
                <w:sz w:val="10"/>
                <w:szCs w:val="10"/>
                <w:color w:val="auto"/>
              </w:rPr>
            </w:pPr>
          </w:p>
        </w:tc>
        <w:tc>
          <w:tcPr>
            <w:tcW w:w="1860" w:type="dxa"/>
            <w:vAlign w:val="bottom"/>
            <w:tcBorders>
              <w:top w:val="single" w:sz="8" w:color="auto"/>
              <w:right w:val="single" w:sz="8" w:color="auto"/>
            </w:tcBorders>
            <w:gridSpan w:val="2"/>
            <w:shd w:val="clear" w:color="auto" w:fill="33CCCC"/>
          </w:tcPr>
          <w:p>
            <w:pPr>
              <w:ind w:left="460"/>
              <w:spacing w:after="0" w:line="117" w:lineRule="exact"/>
              <w:rPr>
                <w:sz w:val="20"/>
                <w:szCs w:val="20"/>
                <w:color w:val="auto"/>
              </w:rPr>
            </w:pPr>
            <w:r>
              <w:rPr>
                <w:rFonts w:ascii="Arial" w:cs="Arial" w:eastAsia="Arial" w:hAnsi="Arial"/>
                <w:sz w:val="12"/>
                <w:szCs w:val="12"/>
                <w:b w:val="1"/>
                <w:bCs w:val="1"/>
                <w:color w:val="FFFFFF"/>
              </w:rPr>
              <w:t>% change</w:t>
            </w:r>
          </w:p>
        </w:tc>
        <w:tc>
          <w:tcPr>
            <w:tcW w:w="0" w:type="dxa"/>
            <w:vAlign w:val="bottom"/>
          </w:tcPr>
          <w:p>
            <w:pPr>
              <w:spacing w:after="0"/>
              <w:rPr>
                <w:sz w:val="1"/>
                <w:szCs w:val="1"/>
                <w:color w:val="auto"/>
              </w:rPr>
            </w:pPr>
          </w:p>
        </w:tc>
      </w:tr>
      <w:tr>
        <w:trPr>
          <w:trHeight w:val="143"/>
        </w:trPr>
        <w:tc>
          <w:tcPr>
            <w:tcW w:w="3680" w:type="dxa"/>
            <w:vAlign w:val="bottom"/>
            <w:tcBorders>
              <w:left w:val="single" w:sz="8" w:color="auto"/>
              <w:bottom w:val="single" w:sz="8" w:color="auto"/>
              <w:right w:val="single" w:sz="8" w:color="33CCCC"/>
            </w:tcBorders>
            <w:shd w:val="clear" w:color="auto" w:fill="33CCCC"/>
          </w:tcPr>
          <w:p>
            <w:pPr>
              <w:spacing w:after="0"/>
              <w:rPr>
                <w:sz w:val="12"/>
                <w:szCs w:val="12"/>
                <w:color w:val="auto"/>
              </w:rPr>
            </w:pPr>
          </w:p>
        </w:tc>
        <w:tc>
          <w:tcPr>
            <w:tcW w:w="1120" w:type="dxa"/>
            <w:vAlign w:val="bottom"/>
            <w:tcBorders>
              <w:bottom w:val="single" w:sz="8" w:color="auto"/>
            </w:tcBorders>
            <w:shd w:val="clear" w:color="auto" w:fill="33CCCC"/>
          </w:tcPr>
          <w:p>
            <w:pPr>
              <w:spacing w:after="0"/>
              <w:rPr>
                <w:sz w:val="12"/>
                <w:szCs w:val="12"/>
                <w:color w:val="auto"/>
              </w:rPr>
            </w:pPr>
          </w:p>
        </w:tc>
        <w:tc>
          <w:tcPr>
            <w:tcW w:w="220" w:type="dxa"/>
            <w:vAlign w:val="bottom"/>
            <w:tcBorders>
              <w:bottom w:val="single" w:sz="8" w:color="auto"/>
              <w:right w:val="single" w:sz="8" w:color="auto"/>
            </w:tcBorders>
            <w:shd w:val="clear" w:color="auto" w:fill="33CCCC"/>
          </w:tcPr>
          <w:p>
            <w:pPr>
              <w:spacing w:after="0"/>
              <w:rPr>
                <w:sz w:val="12"/>
                <w:szCs w:val="12"/>
                <w:color w:val="auto"/>
              </w:rPr>
            </w:pPr>
          </w:p>
        </w:tc>
        <w:tc>
          <w:tcPr>
            <w:tcW w:w="1660" w:type="dxa"/>
            <w:vAlign w:val="bottom"/>
            <w:tcBorders>
              <w:bottom w:val="single" w:sz="8" w:color="auto"/>
              <w:right w:val="single" w:sz="8" w:color="33CCCC"/>
            </w:tcBorders>
            <w:gridSpan w:val="2"/>
            <w:shd w:val="clear" w:color="auto" w:fill="33CCCC"/>
          </w:tcPr>
          <w:p>
            <w:pPr>
              <w:jc w:val="right"/>
              <w:ind w:right="763"/>
              <w:spacing w:after="0"/>
              <w:rPr>
                <w:sz w:val="20"/>
                <w:szCs w:val="20"/>
                <w:color w:val="auto"/>
              </w:rPr>
            </w:pPr>
            <w:r>
              <w:rPr>
                <w:rFonts w:ascii="Arial" w:cs="Arial" w:eastAsia="Arial" w:hAnsi="Arial"/>
                <w:sz w:val="12"/>
                <w:szCs w:val="12"/>
                <w:b w:val="1"/>
                <w:bCs w:val="1"/>
                <w:color w:val="FFFFFF"/>
              </w:rPr>
              <w:t>Sep 22</w:t>
            </w:r>
          </w:p>
        </w:tc>
        <w:tc>
          <w:tcPr>
            <w:tcW w:w="1020" w:type="dxa"/>
            <w:vAlign w:val="bottom"/>
            <w:tcBorders>
              <w:bottom w:val="single" w:sz="8" w:color="auto"/>
            </w:tcBorders>
            <w:shd w:val="clear" w:color="auto" w:fill="33CCCC"/>
          </w:tcPr>
          <w:p>
            <w:pPr>
              <w:jc w:val="right"/>
              <w:ind w:right="463"/>
              <w:spacing w:after="0"/>
              <w:rPr>
                <w:sz w:val="20"/>
                <w:szCs w:val="20"/>
                <w:color w:val="auto"/>
              </w:rPr>
            </w:pPr>
            <w:r>
              <w:rPr>
                <w:rFonts w:ascii="Arial" w:cs="Arial" w:eastAsia="Arial" w:hAnsi="Arial"/>
                <w:sz w:val="12"/>
                <w:szCs w:val="12"/>
                <w:b w:val="1"/>
                <w:bCs w:val="1"/>
                <w:color w:val="FFFFFF"/>
              </w:rPr>
              <w:t>Jun 23</w:t>
            </w:r>
          </w:p>
        </w:tc>
        <w:tc>
          <w:tcPr>
            <w:tcW w:w="1320" w:type="dxa"/>
            <w:vAlign w:val="bottom"/>
            <w:tcBorders>
              <w:bottom w:val="single" w:sz="8" w:color="auto"/>
              <w:right w:val="single" w:sz="8" w:color="auto"/>
            </w:tcBorders>
            <w:gridSpan w:val="2"/>
            <w:shd w:val="clear" w:color="auto" w:fill="33CCCC"/>
          </w:tcPr>
          <w:p>
            <w:pPr>
              <w:jc w:val="right"/>
              <w:ind w:right="443"/>
              <w:spacing w:after="0"/>
              <w:rPr>
                <w:sz w:val="20"/>
                <w:szCs w:val="20"/>
                <w:color w:val="auto"/>
              </w:rPr>
            </w:pPr>
            <w:r>
              <w:rPr>
                <w:rFonts w:ascii="Arial" w:cs="Arial" w:eastAsia="Arial" w:hAnsi="Arial"/>
                <w:sz w:val="12"/>
                <w:szCs w:val="12"/>
                <w:b w:val="1"/>
                <w:bCs w:val="1"/>
                <w:color w:val="FFFFFF"/>
              </w:rPr>
              <w:t>Sep 23</w:t>
            </w:r>
          </w:p>
        </w:tc>
        <w:tc>
          <w:tcPr>
            <w:tcW w:w="380" w:type="dxa"/>
            <w:vAlign w:val="bottom"/>
            <w:tcBorders>
              <w:bottom w:val="single" w:sz="8" w:color="auto"/>
            </w:tcBorders>
            <w:shd w:val="clear" w:color="auto" w:fill="33CCCC"/>
          </w:tcPr>
          <w:p>
            <w:pPr>
              <w:spacing w:after="0"/>
              <w:rPr>
                <w:sz w:val="12"/>
                <w:szCs w:val="12"/>
                <w:color w:val="auto"/>
              </w:rPr>
            </w:pPr>
          </w:p>
        </w:tc>
        <w:tc>
          <w:tcPr>
            <w:tcW w:w="740" w:type="dxa"/>
            <w:vAlign w:val="bottom"/>
            <w:tcBorders>
              <w:bottom w:val="single" w:sz="8" w:color="auto"/>
              <w:right w:val="single" w:sz="8" w:color="33CCCC"/>
            </w:tcBorders>
            <w:shd w:val="clear" w:color="auto" w:fill="33CCCC"/>
          </w:tcPr>
          <w:p>
            <w:pPr>
              <w:jc w:val="right"/>
              <w:ind w:right="343"/>
              <w:spacing w:after="0"/>
              <w:rPr>
                <w:sz w:val="20"/>
                <w:szCs w:val="20"/>
                <w:color w:val="auto"/>
              </w:rPr>
            </w:pPr>
            <w:r>
              <w:rPr>
                <w:rFonts w:ascii="Arial" w:cs="Arial" w:eastAsia="Arial" w:hAnsi="Arial"/>
                <w:sz w:val="12"/>
                <w:szCs w:val="12"/>
                <w:b w:val="1"/>
                <w:bCs w:val="1"/>
                <w:color w:val="FFFFFF"/>
              </w:rPr>
              <w:t>QoQ</w:t>
            </w:r>
          </w:p>
        </w:tc>
        <w:tc>
          <w:tcPr>
            <w:tcW w:w="1120" w:type="dxa"/>
            <w:vAlign w:val="bottom"/>
            <w:tcBorders>
              <w:bottom w:val="single" w:sz="8" w:color="auto"/>
              <w:right w:val="single" w:sz="8" w:color="auto"/>
            </w:tcBorders>
            <w:shd w:val="clear" w:color="auto" w:fill="33CCCC"/>
          </w:tcPr>
          <w:p>
            <w:pPr>
              <w:ind w:left="480"/>
              <w:spacing w:after="0"/>
              <w:rPr>
                <w:sz w:val="20"/>
                <w:szCs w:val="20"/>
                <w:color w:val="auto"/>
              </w:rPr>
            </w:pPr>
            <w:r>
              <w:rPr>
                <w:rFonts w:ascii="Arial" w:cs="Arial" w:eastAsia="Arial" w:hAnsi="Arial"/>
                <w:sz w:val="12"/>
                <w:szCs w:val="12"/>
                <w:b w:val="1"/>
                <w:bCs w:val="1"/>
                <w:color w:val="FFFFFF"/>
              </w:rPr>
              <w:t>YoY</w:t>
            </w:r>
          </w:p>
        </w:tc>
        <w:tc>
          <w:tcPr>
            <w:tcW w:w="0" w:type="dxa"/>
            <w:vAlign w:val="bottom"/>
          </w:tcPr>
          <w:p>
            <w:pPr>
              <w:spacing w:after="0"/>
              <w:rPr>
                <w:sz w:val="1"/>
                <w:szCs w:val="1"/>
                <w:color w:val="auto"/>
              </w:rPr>
            </w:pPr>
          </w:p>
        </w:tc>
      </w:tr>
      <w:tr>
        <w:trPr>
          <w:trHeight w:val="103"/>
        </w:trPr>
        <w:tc>
          <w:tcPr>
            <w:tcW w:w="3680" w:type="dxa"/>
            <w:vAlign w:val="bottom"/>
            <w:tcBorders>
              <w:left w:val="single" w:sz="8" w:color="auto"/>
            </w:tcBorders>
          </w:tcPr>
          <w:p>
            <w:pPr>
              <w:ind w:left="20"/>
              <w:spacing w:after="0" w:line="103" w:lineRule="exact"/>
              <w:rPr>
                <w:sz w:val="20"/>
                <w:szCs w:val="20"/>
                <w:color w:val="auto"/>
              </w:rPr>
            </w:pPr>
            <w:r>
              <w:rPr>
                <w:rFonts w:ascii="Arial" w:cs="Arial" w:eastAsia="Arial" w:hAnsi="Arial"/>
                <w:sz w:val="10"/>
                <w:szCs w:val="10"/>
                <w:b w:val="1"/>
                <w:bCs w:val="1"/>
                <w:color w:val="auto"/>
              </w:rPr>
              <w:t>ASSETS</w:t>
            </w:r>
          </w:p>
        </w:tc>
        <w:tc>
          <w:tcPr>
            <w:tcW w:w="112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6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Borders>
              <w:right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3680" w:type="dxa"/>
            <w:vAlign w:val="bottom"/>
            <w:tcBorders>
              <w:left w:val="single" w:sz="8" w:color="auto"/>
            </w:tcBorders>
          </w:tcPr>
          <w:p>
            <w:pPr>
              <w:ind w:left="20"/>
              <w:spacing w:after="0" w:line="124" w:lineRule="exact"/>
              <w:rPr>
                <w:sz w:val="20"/>
                <w:szCs w:val="20"/>
                <w:color w:val="auto"/>
              </w:rPr>
            </w:pPr>
            <w:r>
              <w:rPr>
                <w:rFonts w:ascii="Arial" w:cs="Arial" w:eastAsia="Arial" w:hAnsi="Arial"/>
                <w:sz w:val="12"/>
                <w:szCs w:val="12"/>
                <w:color w:val="auto"/>
              </w:rPr>
              <w:t>Cash and due from banks</w:t>
            </w:r>
          </w:p>
        </w:tc>
        <w:tc>
          <w:tcPr>
            <w:tcW w:w="112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980" w:type="dxa"/>
            <w:vAlign w:val="bottom"/>
          </w:tcPr>
          <w:p>
            <w:pPr>
              <w:jc w:val="right"/>
              <w:ind w:right="303"/>
              <w:spacing w:after="0" w:line="124" w:lineRule="exact"/>
              <w:rPr>
                <w:sz w:val="20"/>
                <w:szCs w:val="20"/>
                <w:color w:val="auto"/>
              </w:rPr>
            </w:pPr>
            <w:r>
              <w:rPr>
                <w:rFonts w:ascii="Arial" w:cs="Arial" w:eastAsia="Arial" w:hAnsi="Arial"/>
                <w:sz w:val="12"/>
                <w:szCs w:val="12"/>
                <w:color w:val="auto"/>
              </w:rPr>
              <w:t>1,869,624</w:t>
            </w:r>
          </w:p>
        </w:tc>
        <w:tc>
          <w:tcPr>
            <w:tcW w:w="1020" w:type="dxa"/>
            <w:vAlign w:val="bottom"/>
          </w:tcPr>
          <w:p>
            <w:pPr>
              <w:jc w:val="right"/>
              <w:spacing w:after="0" w:line="124" w:lineRule="exact"/>
              <w:rPr>
                <w:sz w:val="20"/>
                <w:szCs w:val="20"/>
                <w:color w:val="auto"/>
              </w:rPr>
            </w:pPr>
            <w:r>
              <w:rPr>
                <w:rFonts w:ascii="Arial" w:cs="Arial" w:eastAsia="Arial" w:hAnsi="Arial"/>
                <w:sz w:val="12"/>
                <w:szCs w:val="12"/>
                <w:color w:val="auto"/>
              </w:rPr>
              <w:t>1,605,462</w:t>
            </w:r>
          </w:p>
        </w:tc>
        <w:tc>
          <w:tcPr>
            <w:tcW w:w="620" w:type="dxa"/>
            <w:vAlign w:val="bottom"/>
          </w:tcPr>
          <w:p>
            <w:pPr>
              <w:spacing w:after="0"/>
              <w:rPr>
                <w:sz w:val="10"/>
                <w:szCs w:val="10"/>
                <w:color w:val="auto"/>
              </w:rPr>
            </w:pPr>
          </w:p>
        </w:tc>
        <w:tc>
          <w:tcPr>
            <w:tcW w:w="70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2"/>
                <w:szCs w:val="12"/>
                <w:color w:val="auto"/>
              </w:rPr>
              <w:t>1,618,194</w:t>
            </w:r>
          </w:p>
        </w:tc>
        <w:tc>
          <w:tcPr>
            <w:tcW w:w="380" w:type="dxa"/>
            <w:vAlign w:val="bottom"/>
          </w:tcPr>
          <w:p>
            <w:pPr>
              <w:spacing w:after="0"/>
              <w:rPr>
                <w:sz w:val="10"/>
                <w:szCs w:val="10"/>
                <w:color w:val="auto"/>
              </w:rPr>
            </w:pPr>
          </w:p>
        </w:tc>
        <w:tc>
          <w:tcPr>
            <w:tcW w:w="740" w:type="dxa"/>
            <w:vAlign w:val="bottom"/>
          </w:tcPr>
          <w:p>
            <w:pPr>
              <w:jc w:val="center"/>
              <w:ind w:right="263"/>
              <w:spacing w:after="0" w:line="124" w:lineRule="exact"/>
              <w:rPr>
                <w:sz w:val="20"/>
                <w:szCs w:val="20"/>
                <w:color w:val="auto"/>
              </w:rPr>
            </w:pPr>
            <w:r>
              <w:rPr>
                <w:rFonts w:ascii="Arial" w:cs="Arial" w:eastAsia="Arial" w:hAnsi="Arial"/>
                <w:sz w:val="12"/>
                <w:szCs w:val="12"/>
                <w:color w:val="auto"/>
                <w:w w:val="94"/>
              </w:rPr>
              <w:t>0.8%</w:t>
            </w:r>
          </w:p>
        </w:tc>
        <w:tc>
          <w:tcPr>
            <w:tcW w:w="1120" w:type="dxa"/>
            <w:vAlign w:val="bottom"/>
            <w:tcBorders>
              <w:right w:val="single" w:sz="8" w:color="auto"/>
            </w:tcBorders>
          </w:tcPr>
          <w:p>
            <w:pPr>
              <w:jc w:val="center"/>
              <w:ind w:left="3"/>
              <w:spacing w:after="0" w:line="124" w:lineRule="exact"/>
              <w:rPr>
                <w:sz w:val="20"/>
                <w:szCs w:val="20"/>
                <w:color w:val="auto"/>
              </w:rPr>
            </w:pPr>
            <w:r>
              <w:rPr>
                <w:rFonts w:ascii="Arial" w:cs="Arial" w:eastAsia="Arial" w:hAnsi="Arial"/>
                <w:sz w:val="12"/>
                <w:szCs w:val="12"/>
                <w:color w:val="auto"/>
                <w:w w:val="99"/>
              </w:rPr>
              <w:t>-13.4%</w:t>
            </w:r>
          </w:p>
        </w:tc>
        <w:tc>
          <w:tcPr>
            <w:tcW w:w="0" w:type="dxa"/>
            <w:vAlign w:val="bottom"/>
          </w:tcPr>
          <w:p>
            <w:pPr>
              <w:spacing w:after="0"/>
              <w:rPr>
                <w:sz w:val="1"/>
                <w:szCs w:val="1"/>
                <w:color w:val="auto"/>
              </w:rPr>
            </w:pPr>
          </w:p>
        </w:tc>
      </w:tr>
      <w:tr>
        <w:trPr>
          <w:trHeight w:val="118"/>
        </w:trPr>
        <w:tc>
          <w:tcPr>
            <w:tcW w:w="3680" w:type="dxa"/>
            <w:vAlign w:val="bottom"/>
            <w:tcBorders>
              <w:left w:val="single" w:sz="8" w:color="auto"/>
            </w:tcBorders>
          </w:tcPr>
          <w:p>
            <w:pPr>
              <w:ind w:left="20"/>
              <w:spacing w:after="0" w:line="118" w:lineRule="exact"/>
              <w:rPr>
                <w:sz w:val="20"/>
                <w:szCs w:val="20"/>
                <w:color w:val="auto"/>
              </w:rPr>
            </w:pPr>
            <w:r>
              <w:rPr>
                <w:rFonts w:ascii="Arial" w:cs="Arial" w:eastAsia="Arial" w:hAnsi="Arial"/>
                <w:sz w:val="12"/>
                <w:szCs w:val="12"/>
                <w:color w:val="auto"/>
              </w:rPr>
              <w:t>Investments</w:t>
            </w:r>
          </w:p>
        </w:tc>
        <w:tc>
          <w:tcPr>
            <w:tcW w:w="112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980" w:type="dxa"/>
            <w:vAlign w:val="bottom"/>
          </w:tcPr>
          <w:p>
            <w:pPr>
              <w:jc w:val="right"/>
              <w:ind w:right="303"/>
              <w:spacing w:after="0" w:line="118" w:lineRule="exact"/>
              <w:rPr>
                <w:sz w:val="20"/>
                <w:szCs w:val="20"/>
                <w:color w:val="auto"/>
              </w:rPr>
            </w:pPr>
            <w:r>
              <w:rPr>
                <w:rFonts w:ascii="Arial" w:cs="Arial" w:eastAsia="Arial" w:hAnsi="Arial"/>
                <w:sz w:val="12"/>
                <w:szCs w:val="12"/>
                <w:color w:val="auto"/>
              </w:rPr>
              <w:t>1,771,298</w:t>
            </w:r>
          </w:p>
        </w:tc>
        <w:tc>
          <w:tcPr>
            <w:tcW w:w="1020" w:type="dxa"/>
            <w:vAlign w:val="bottom"/>
          </w:tcPr>
          <w:p>
            <w:pPr>
              <w:jc w:val="right"/>
              <w:spacing w:after="0" w:line="118" w:lineRule="exact"/>
              <w:rPr>
                <w:sz w:val="20"/>
                <w:szCs w:val="20"/>
                <w:color w:val="auto"/>
              </w:rPr>
            </w:pPr>
            <w:r>
              <w:rPr>
                <w:rFonts w:ascii="Arial" w:cs="Arial" w:eastAsia="Arial" w:hAnsi="Arial"/>
                <w:sz w:val="12"/>
                <w:szCs w:val="12"/>
                <w:color w:val="auto"/>
              </w:rPr>
              <w:t>1,574,763</w:t>
            </w:r>
          </w:p>
        </w:tc>
        <w:tc>
          <w:tcPr>
            <w:tcW w:w="620" w:type="dxa"/>
            <w:vAlign w:val="bottom"/>
          </w:tcPr>
          <w:p>
            <w:pPr>
              <w:spacing w:after="0"/>
              <w:rPr>
                <w:sz w:val="10"/>
                <w:szCs w:val="10"/>
                <w:color w:val="auto"/>
              </w:rPr>
            </w:pPr>
          </w:p>
        </w:tc>
        <w:tc>
          <w:tcPr>
            <w:tcW w:w="700" w:type="dxa"/>
            <w:vAlign w:val="bottom"/>
            <w:tcBorders>
              <w:right w:val="single" w:sz="8" w:color="auto"/>
            </w:tcBorders>
          </w:tcPr>
          <w:p>
            <w:pPr>
              <w:jc w:val="right"/>
              <w:spacing w:after="0" w:line="118" w:lineRule="exact"/>
              <w:rPr>
                <w:sz w:val="20"/>
                <w:szCs w:val="20"/>
                <w:color w:val="auto"/>
              </w:rPr>
            </w:pPr>
            <w:r>
              <w:rPr>
                <w:rFonts w:ascii="Arial" w:cs="Arial" w:eastAsia="Arial" w:hAnsi="Arial"/>
                <w:sz w:val="12"/>
                <w:szCs w:val="12"/>
                <w:color w:val="auto"/>
              </w:rPr>
              <w:t>1,789,628</w:t>
            </w:r>
          </w:p>
        </w:tc>
        <w:tc>
          <w:tcPr>
            <w:tcW w:w="380" w:type="dxa"/>
            <w:vAlign w:val="bottom"/>
          </w:tcPr>
          <w:p>
            <w:pPr>
              <w:spacing w:after="0"/>
              <w:rPr>
                <w:sz w:val="10"/>
                <w:szCs w:val="10"/>
                <w:color w:val="auto"/>
              </w:rPr>
            </w:pPr>
          </w:p>
        </w:tc>
        <w:tc>
          <w:tcPr>
            <w:tcW w:w="740" w:type="dxa"/>
            <w:vAlign w:val="bottom"/>
          </w:tcPr>
          <w:p>
            <w:pPr>
              <w:jc w:val="center"/>
              <w:ind w:right="243"/>
              <w:spacing w:after="0" w:line="118" w:lineRule="exact"/>
              <w:rPr>
                <w:sz w:val="20"/>
                <w:szCs w:val="20"/>
                <w:color w:val="auto"/>
              </w:rPr>
            </w:pPr>
            <w:r>
              <w:rPr>
                <w:rFonts w:ascii="Arial" w:cs="Arial" w:eastAsia="Arial" w:hAnsi="Arial"/>
                <w:sz w:val="12"/>
                <w:szCs w:val="12"/>
                <w:color w:val="auto"/>
                <w:w w:val="93"/>
              </w:rPr>
              <w:t>13.6%</w:t>
            </w:r>
          </w:p>
        </w:tc>
        <w:tc>
          <w:tcPr>
            <w:tcW w:w="1120" w:type="dxa"/>
            <w:vAlign w:val="bottom"/>
            <w:tcBorders>
              <w:right w:val="single" w:sz="8" w:color="auto"/>
            </w:tcBorders>
          </w:tcPr>
          <w:p>
            <w:pPr>
              <w:jc w:val="center"/>
              <w:ind w:left="3"/>
              <w:spacing w:after="0" w:line="118" w:lineRule="exact"/>
              <w:rPr>
                <w:sz w:val="20"/>
                <w:szCs w:val="20"/>
                <w:color w:val="auto"/>
              </w:rPr>
            </w:pPr>
            <w:r>
              <w:rPr>
                <w:rFonts w:ascii="Arial" w:cs="Arial" w:eastAsia="Arial" w:hAnsi="Arial"/>
                <w:sz w:val="12"/>
                <w:szCs w:val="12"/>
                <w:color w:val="auto"/>
                <w:w w:val="94"/>
              </w:rPr>
              <w:t>1.0%</w:t>
            </w:r>
          </w:p>
        </w:tc>
        <w:tc>
          <w:tcPr>
            <w:tcW w:w="0" w:type="dxa"/>
            <w:vAlign w:val="bottom"/>
          </w:tcPr>
          <w:p>
            <w:pPr>
              <w:spacing w:after="0"/>
              <w:rPr>
                <w:sz w:val="1"/>
                <w:szCs w:val="1"/>
                <w:color w:val="auto"/>
              </w:rPr>
            </w:pPr>
          </w:p>
        </w:tc>
      </w:tr>
      <w:tr>
        <w:trPr>
          <w:trHeight w:val="130"/>
        </w:trPr>
        <w:tc>
          <w:tcPr>
            <w:tcW w:w="3680" w:type="dxa"/>
            <w:vAlign w:val="bottom"/>
            <w:tcBorders>
              <w:left w:val="single" w:sz="8" w:color="auto"/>
            </w:tcBorders>
          </w:tcPr>
          <w:p>
            <w:pPr>
              <w:ind w:left="20"/>
              <w:spacing w:after="0" w:line="130" w:lineRule="exact"/>
              <w:rPr>
                <w:sz w:val="20"/>
                <w:szCs w:val="20"/>
                <w:color w:val="auto"/>
              </w:rPr>
            </w:pPr>
            <w:r>
              <w:rPr>
                <w:rFonts w:ascii="Arial" w:cs="Arial" w:eastAsia="Arial" w:hAnsi="Arial"/>
                <w:sz w:val="12"/>
                <w:szCs w:val="12"/>
                <w:b w:val="1"/>
                <w:bCs w:val="1"/>
                <w:color w:val="auto"/>
              </w:rPr>
              <w:t>Total loans</w:t>
            </w:r>
          </w:p>
        </w:tc>
        <w:tc>
          <w:tcPr>
            <w:tcW w:w="112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tcPr>
          <w:p>
            <w:pPr>
              <w:jc w:val="right"/>
              <w:ind w:right="303"/>
              <w:spacing w:after="0" w:line="130" w:lineRule="exact"/>
              <w:rPr>
                <w:sz w:val="20"/>
                <w:szCs w:val="20"/>
                <w:color w:val="auto"/>
              </w:rPr>
            </w:pPr>
            <w:r>
              <w:rPr>
                <w:rFonts w:ascii="Arial" w:cs="Arial" w:eastAsia="Arial" w:hAnsi="Arial"/>
                <w:sz w:val="12"/>
                <w:szCs w:val="12"/>
                <w:b w:val="1"/>
                <w:bCs w:val="1"/>
                <w:color w:val="auto"/>
                <w:w w:val="99"/>
              </w:rPr>
              <w:t>14,228,231</w:t>
            </w:r>
          </w:p>
        </w:tc>
        <w:tc>
          <w:tcPr>
            <w:tcW w:w="1020" w:type="dxa"/>
            <w:vAlign w:val="bottom"/>
          </w:tcPr>
          <w:p>
            <w:pPr>
              <w:jc w:val="right"/>
              <w:spacing w:after="0" w:line="130" w:lineRule="exact"/>
              <w:rPr>
                <w:sz w:val="20"/>
                <w:szCs w:val="20"/>
                <w:color w:val="auto"/>
              </w:rPr>
            </w:pPr>
            <w:r>
              <w:rPr>
                <w:rFonts w:ascii="Arial" w:cs="Arial" w:eastAsia="Arial" w:hAnsi="Arial"/>
                <w:sz w:val="12"/>
                <w:szCs w:val="12"/>
                <w:b w:val="1"/>
                <w:bCs w:val="1"/>
                <w:color w:val="auto"/>
              </w:rPr>
              <w:t>14,198,690</w:t>
            </w:r>
          </w:p>
        </w:tc>
        <w:tc>
          <w:tcPr>
            <w:tcW w:w="620" w:type="dxa"/>
            <w:vAlign w:val="bottom"/>
          </w:tcPr>
          <w:p>
            <w:pPr>
              <w:spacing w:after="0"/>
              <w:rPr>
                <w:sz w:val="11"/>
                <w:szCs w:val="11"/>
                <w:color w:val="auto"/>
              </w:rPr>
            </w:pPr>
          </w:p>
        </w:tc>
        <w:tc>
          <w:tcPr>
            <w:tcW w:w="700" w:type="dxa"/>
            <w:vAlign w:val="bottom"/>
            <w:tcBorders>
              <w:right w:val="single" w:sz="8" w:color="auto"/>
            </w:tcBorders>
          </w:tcPr>
          <w:p>
            <w:pPr>
              <w:jc w:val="right"/>
              <w:spacing w:after="0" w:line="130" w:lineRule="exact"/>
              <w:rPr>
                <w:sz w:val="20"/>
                <w:szCs w:val="20"/>
                <w:color w:val="auto"/>
              </w:rPr>
            </w:pPr>
            <w:r>
              <w:rPr>
                <w:rFonts w:ascii="Arial" w:cs="Arial" w:eastAsia="Arial" w:hAnsi="Arial"/>
                <w:sz w:val="12"/>
                <w:szCs w:val="12"/>
                <w:b w:val="1"/>
                <w:bCs w:val="1"/>
                <w:color w:val="auto"/>
              </w:rPr>
              <w:t>13,562,314</w:t>
            </w:r>
          </w:p>
        </w:tc>
        <w:tc>
          <w:tcPr>
            <w:tcW w:w="380" w:type="dxa"/>
            <w:vAlign w:val="bottom"/>
          </w:tcPr>
          <w:p>
            <w:pPr>
              <w:spacing w:after="0"/>
              <w:rPr>
                <w:sz w:val="11"/>
                <w:szCs w:val="11"/>
                <w:color w:val="auto"/>
              </w:rPr>
            </w:pPr>
          </w:p>
        </w:tc>
        <w:tc>
          <w:tcPr>
            <w:tcW w:w="740" w:type="dxa"/>
            <w:vAlign w:val="bottom"/>
          </w:tcPr>
          <w:p>
            <w:pPr>
              <w:jc w:val="center"/>
              <w:ind w:right="263"/>
              <w:spacing w:after="0" w:line="130" w:lineRule="exact"/>
              <w:rPr>
                <w:sz w:val="20"/>
                <w:szCs w:val="20"/>
                <w:color w:val="auto"/>
              </w:rPr>
            </w:pPr>
            <w:r>
              <w:rPr>
                <w:rFonts w:ascii="Arial" w:cs="Arial" w:eastAsia="Arial" w:hAnsi="Arial"/>
                <w:sz w:val="12"/>
                <w:szCs w:val="12"/>
                <w:b w:val="1"/>
                <w:bCs w:val="1"/>
                <w:color w:val="auto"/>
                <w:w w:val="95"/>
              </w:rPr>
              <w:t>-4.5%</w:t>
            </w:r>
          </w:p>
        </w:tc>
        <w:tc>
          <w:tcPr>
            <w:tcW w:w="1120" w:type="dxa"/>
            <w:vAlign w:val="bottom"/>
            <w:tcBorders>
              <w:right w:val="single" w:sz="8" w:color="auto"/>
            </w:tcBorders>
          </w:tcPr>
          <w:p>
            <w:pPr>
              <w:jc w:val="center"/>
              <w:ind w:left="3"/>
              <w:spacing w:after="0" w:line="130" w:lineRule="exact"/>
              <w:rPr>
                <w:sz w:val="20"/>
                <w:szCs w:val="20"/>
                <w:color w:val="auto"/>
              </w:rPr>
            </w:pPr>
            <w:r>
              <w:rPr>
                <w:rFonts w:ascii="Arial" w:cs="Arial" w:eastAsia="Arial" w:hAnsi="Arial"/>
                <w:sz w:val="12"/>
                <w:szCs w:val="12"/>
                <w:b w:val="1"/>
                <w:bCs w:val="1"/>
                <w:color w:val="auto"/>
                <w:w w:val="95"/>
              </w:rPr>
              <w:t>-4.7%</w:t>
            </w:r>
          </w:p>
        </w:tc>
        <w:tc>
          <w:tcPr>
            <w:tcW w:w="0" w:type="dxa"/>
            <w:vAlign w:val="bottom"/>
          </w:tcPr>
          <w:p>
            <w:pPr>
              <w:spacing w:after="0"/>
              <w:rPr>
                <w:sz w:val="1"/>
                <w:szCs w:val="1"/>
                <w:color w:val="auto"/>
              </w:rPr>
            </w:pPr>
          </w:p>
        </w:tc>
      </w:tr>
      <w:tr>
        <w:trPr>
          <w:trHeight w:val="124"/>
        </w:trPr>
        <w:tc>
          <w:tcPr>
            <w:tcW w:w="3680" w:type="dxa"/>
            <w:vAlign w:val="bottom"/>
            <w:tcBorders>
              <w:left w:val="single" w:sz="8" w:color="auto"/>
            </w:tcBorders>
          </w:tcPr>
          <w:p>
            <w:pPr>
              <w:ind w:left="160"/>
              <w:spacing w:after="0" w:line="124" w:lineRule="exact"/>
              <w:rPr>
                <w:sz w:val="20"/>
                <w:szCs w:val="20"/>
                <w:color w:val="auto"/>
              </w:rPr>
            </w:pPr>
            <w:r>
              <w:rPr>
                <w:rFonts w:ascii="Arial" w:cs="Arial" w:eastAsia="Arial" w:hAnsi="Arial"/>
                <w:sz w:val="12"/>
                <w:szCs w:val="12"/>
                <w:color w:val="auto"/>
              </w:rPr>
              <w:t>Current</w:t>
            </w:r>
          </w:p>
        </w:tc>
        <w:tc>
          <w:tcPr>
            <w:tcW w:w="112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980" w:type="dxa"/>
            <w:vAlign w:val="bottom"/>
          </w:tcPr>
          <w:p>
            <w:pPr>
              <w:jc w:val="right"/>
              <w:ind w:right="303"/>
              <w:spacing w:after="0" w:line="124" w:lineRule="exact"/>
              <w:rPr>
                <w:sz w:val="20"/>
                <w:szCs w:val="20"/>
                <w:color w:val="auto"/>
              </w:rPr>
            </w:pPr>
            <w:r>
              <w:rPr>
                <w:rFonts w:ascii="Arial" w:cs="Arial" w:eastAsia="Arial" w:hAnsi="Arial"/>
                <w:sz w:val="12"/>
                <w:szCs w:val="12"/>
                <w:color w:val="auto"/>
                <w:w w:val="99"/>
              </w:rPr>
              <w:t>13,213,979</w:t>
            </w:r>
          </w:p>
        </w:tc>
        <w:tc>
          <w:tcPr>
            <w:tcW w:w="1020" w:type="dxa"/>
            <w:vAlign w:val="bottom"/>
          </w:tcPr>
          <w:p>
            <w:pPr>
              <w:jc w:val="right"/>
              <w:spacing w:after="0" w:line="124" w:lineRule="exact"/>
              <w:rPr>
                <w:sz w:val="20"/>
                <w:szCs w:val="20"/>
                <w:color w:val="auto"/>
              </w:rPr>
            </w:pPr>
            <w:r>
              <w:rPr>
                <w:rFonts w:ascii="Arial" w:cs="Arial" w:eastAsia="Arial" w:hAnsi="Arial"/>
                <w:sz w:val="12"/>
                <w:szCs w:val="12"/>
                <w:color w:val="auto"/>
              </w:rPr>
              <w:t>13,220,657</w:t>
            </w:r>
          </w:p>
        </w:tc>
        <w:tc>
          <w:tcPr>
            <w:tcW w:w="620" w:type="dxa"/>
            <w:vAlign w:val="bottom"/>
          </w:tcPr>
          <w:p>
            <w:pPr>
              <w:spacing w:after="0"/>
              <w:rPr>
                <w:sz w:val="10"/>
                <w:szCs w:val="10"/>
                <w:color w:val="auto"/>
              </w:rPr>
            </w:pPr>
          </w:p>
        </w:tc>
        <w:tc>
          <w:tcPr>
            <w:tcW w:w="70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2"/>
                <w:szCs w:val="12"/>
                <w:color w:val="auto"/>
              </w:rPr>
              <w:t>12,622,778</w:t>
            </w:r>
          </w:p>
        </w:tc>
        <w:tc>
          <w:tcPr>
            <w:tcW w:w="380" w:type="dxa"/>
            <w:vAlign w:val="bottom"/>
          </w:tcPr>
          <w:p>
            <w:pPr>
              <w:spacing w:after="0"/>
              <w:rPr>
                <w:sz w:val="10"/>
                <w:szCs w:val="10"/>
                <w:color w:val="auto"/>
              </w:rPr>
            </w:pPr>
          </w:p>
        </w:tc>
        <w:tc>
          <w:tcPr>
            <w:tcW w:w="740" w:type="dxa"/>
            <w:vAlign w:val="bottom"/>
          </w:tcPr>
          <w:p>
            <w:pPr>
              <w:jc w:val="center"/>
              <w:ind w:right="263"/>
              <w:spacing w:after="0" w:line="124" w:lineRule="exact"/>
              <w:rPr>
                <w:sz w:val="20"/>
                <w:szCs w:val="20"/>
                <w:color w:val="auto"/>
              </w:rPr>
            </w:pPr>
            <w:r>
              <w:rPr>
                <w:rFonts w:ascii="Arial" w:cs="Arial" w:eastAsia="Arial" w:hAnsi="Arial"/>
                <w:sz w:val="12"/>
                <w:szCs w:val="12"/>
                <w:color w:val="auto"/>
                <w:w w:val="95"/>
              </w:rPr>
              <w:t>-4.5%</w:t>
            </w:r>
          </w:p>
        </w:tc>
        <w:tc>
          <w:tcPr>
            <w:tcW w:w="1120" w:type="dxa"/>
            <w:vAlign w:val="bottom"/>
            <w:tcBorders>
              <w:right w:val="single" w:sz="8" w:color="auto"/>
            </w:tcBorders>
          </w:tcPr>
          <w:p>
            <w:pPr>
              <w:jc w:val="center"/>
              <w:ind w:left="3"/>
              <w:spacing w:after="0" w:line="124" w:lineRule="exact"/>
              <w:rPr>
                <w:sz w:val="20"/>
                <w:szCs w:val="20"/>
                <w:color w:val="auto"/>
              </w:rPr>
            </w:pPr>
            <w:r>
              <w:rPr>
                <w:rFonts w:ascii="Arial" w:cs="Arial" w:eastAsia="Arial" w:hAnsi="Arial"/>
                <w:sz w:val="12"/>
                <w:szCs w:val="12"/>
                <w:color w:val="auto"/>
                <w:w w:val="95"/>
              </w:rPr>
              <w:t>-4.5%</w:t>
            </w:r>
          </w:p>
        </w:tc>
        <w:tc>
          <w:tcPr>
            <w:tcW w:w="0" w:type="dxa"/>
            <w:vAlign w:val="bottom"/>
          </w:tcPr>
          <w:p>
            <w:pPr>
              <w:spacing w:after="0"/>
              <w:rPr>
                <w:sz w:val="1"/>
                <w:szCs w:val="1"/>
                <w:color w:val="auto"/>
              </w:rPr>
            </w:pPr>
          </w:p>
        </w:tc>
      </w:tr>
      <w:tr>
        <w:trPr>
          <w:trHeight w:val="124"/>
        </w:trPr>
        <w:tc>
          <w:tcPr>
            <w:tcW w:w="3680" w:type="dxa"/>
            <w:vAlign w:val="bottom"/>
            <w:tcBorders>
              <w:left w:val="single" w:sz="8" w:color="auto"/>
            </w:tcBorders>
          </w:tcPr>
          <w:p>
            <w:pPr>
              <w:ind w:left="160"/>
              <w:spacing w:after="0" w:line="124" w:lineRule="exact"/>
              <w:rPr>
                <w:sz w:val="20"/>
                <w:szCs w:val="20"/>
                <w:color w:val="auto"/>
              </w:rPr>
            </w:pPr>
            <w:r>
              <w:rPr>
                <w:rFonts w:ascii="Arial" w:cs="Arial" w:eastAsia="Arial" w:hAnsi="Arial"/>
                <w:sz w:val="12"/>
                <w:szCs w:val="12"/>
                <w:color w:val="auto"/>
              </w:rPr>
              <w:t>Internal overdue loans</w:t>
            </w:r>
          </w:p>
        </w:tc>
        <w:tc>
          <w:tcPr>
            <w:tcW w:w="112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980" w:type="dxa"/>
            <w:vAlign w:val="bottom"/>
          </w:tcPr>
          <w:p>
            <w:pPr>
              <w:jc w:val="right"/>
              <w:ind w:right="303"/>
              <w:spacing w:after="0" w:line="124" w:lineRule="exact"/>
              <w:rPr>
                <w:sz w:val="20"/>
                <w:szCs w:val="20"/>
                <w:color w:val="auto"/>
              </w:rPr>
            </w:pPr>
            <w:r>
              <w:rPr>
                <w:rFonts w:ascii="Arial" w:cs="Arial" w:eastAsia="Arial" w:hAnsi="Arial"/>
                <w:sz w:val="12"/>
                <w:szCs w:val="12"/>
                <w:color w:val="auto"/>
              </w:rPr>
              <w:t>933,425</w:t>
            </w:r>
          </w:p>
        </w:tc>
        <w:tc>
          <w:tcPr>
            <w:tcW w:w="1020" w:type="dxa"/>
            <w:vAlign w:val="bottom"/>
          </w:tcPr>
          <w:p>
            <w:pPr>
              <w:jc w:val="right"/>
              <w:spacing w:after="0" w:line="124" w:lineRule="exact"/>
              <w:rPr>
                <w:sz w:val="20"/>
                <w:szCs w:val="20"/>
                <w:color w:val="auto"/>
              </w:rPr>
            </w:pPr>
            <w:r>
              <w:rPr>
                <w:rFonts w:ascii="Arial" w:cs="Arial" w:eastAsia="Arial" w:hAnsi="Arial"/>
                <w:sz w:val="12"/>
                <w:szCs w:val="12"/>
                <w:color w:val="auto"/>
              </w:rPr>
              <w:t>887,987</w:t>
            </w:r>
          </w:p>
        </w:tc>
        <w:tc>
          <w:tcPr>
            <w:tcW w:w="620" w:type="dxa"/>
            <w:vAlign w:val="bottom"/>
          </w:tcPr>
          <w:p>
            <w:pPr>
              <w:spacing w:after="0"/>
              <w:rPr>
                <w:sz w:val="10"/>
                <w:szCs w:val="10"/>
                <w:color w:val="auto"/>
              </w:rPr>
            </w:pPr>
          </w:p>
        </w:tc>
        <w:tc>
          <w:tcPr>
            <w:tcW w:w="70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2"/>
                <w:szCs w:val="12"/>
                <w:color w:val="auto"/>
              </w:rPr>
              <w:t>845,479</w:t>
            </w:r>
          </w:p>
        </w:tc>
        <w:tc>
          <w:tcPr>
            <w:tcW w:w="380" w:type="dxa"/>
            <w:vAlign w:val="bottom"/>
          </w:tcPr>
          <w:p>
            <w:pPr>
              <w:spacing w:after="0"/>
              <w:rPr>
                <w:sz w:val="10"/>
                <w:szCs w:val="10"/>
                <w:color w:val="auto"/>
              </w:rPr>
            </w:pPr>
          </w:p>
        </w:tc>
        <w:tc>
          <w:tcPr>
            <w:tcW w:w="740" w:type="dxa"/>
            <w:vAlign w:val="bottom"/>
          </w:tcPr>
          <w:p>
            <w:pPr>
              <w:jc w:val="center"/>
              <w:ind w:right="263"/>
              <w:spacing w:after="0" w:line="124" w:lineRule="exact"/>
              <w:rPr>
                <w:sz w:val="20"/>
                <w:szCs w:val="20"/>
                <w:color w:val="auto"/>
              </w:rPr>
            </w:pPr>
            <w:r>
              <w:rPr>
                <w:rFonts w:ascii="Arial" w:cs="Arial" w:eastAsia="Arial" w:hAnsi="Arial"/>
                <w:sz w:val="12"/>
                <w:szCs w:val="12"/>
                <w:color w:val="auto"/>
                <w:w w:val="95"/>
              </w:rPr>
              <w:t>-4.8%</w:t>
            </w:r>
          </w:p>
        </w:tc>
        <w:tc>
          <w:tcPr>
            <w:tcW w:w="1120" w:type="dxa"/>
            <w:vAlign w:val="bottom"/>
            <w:tcBorders>
              <w:right w:val="single" w:sz="8" w:color="auto"/>
            </w:tcBorders>
          </w:tcPr>
          <w:p>
            <w:pPr>
              <w:jc w:val="center"/>
              <w:ind w:left="3"/>
              <w:spacing w:after="0" w:line="124" w:lineRule="exact"/>
              <w:rPr>
                <w:sz w:val="20"/>
                <w:szCs w:val="20"/>
                <w:color w:val="auto"/>
              </w:rPr>
            </w:pPr>
            <w:r>
              <w:rPr>
                <w:rFonts w:ascii="Arial" w:cs="Arial" w:eastAsia="Arial" w:hAnsi="Arial"/>
                <w:sz w:val="12"/>
                <w:szCs w:val="12"/>
                <w:color w:val="auto"/>
                <w:w w:val="95"/>
              </w:rPr>
              <w:t>-9.4%</w:t>
            </w:r>
          </w:p>
        </w:tc>
        <w:tc>
          <w:tcPr>
            <w:tcW w:w="0" w:type="dxa"/>
            <w:vAlign w:val="bottom"/>
          </w:tcPr>
          <w:p>
            <w:pPr>
              <w:spacing w:after="0"/>
              <w:rPr>
                <w:sz w:val="1"/>
                <w:szCs w:val="1"/>
                <w:color w:val="auto"/>
              </w:rPr>
            </w:pPr>
          </w:p>
        </w:tc>
      </w:tr>
      <w:tr>
        <w:trPr>
          <w:trHeight w:val="124"/>
        </w:trPr>
        <w:tc>
          <w:tcPr>
            <w:tcW w:w="3680" w:type="dxa"/>
            <w:vAlign w:val="bottom"/>
            <w:tcBorders>
              <w:left w:val="single" w:sz="8" w:color="auto"/>
            </w:tcBorders>
          </w:tcPr>
          <w:p>
            <w:pPr>
              <w:ind w:left="160"/>
              <w:spacing w:after="0" w:line="124" w:lineRule="exact"/>
              <w:rPr>
                <w:sz w:val="20"/>
                <w:szCs w:val="20"/>
                <w:color w:val="auto"/>
              </w:rPr>
            </w:pPr>
            <w:r>
              <w:rPr>
                <w:rFonts w:ascii="Arial" w:cs="Arial" w:eastAsia="Arial" w:hAnsi="Arial"/>
                <w:sz w:val="12"/>
                <w:szCs w:val="12"/>
                <w:color w:val="auto"/>
              </w:rPr>
              <w:t>Refinanced</w:t>
            </w:r>
          </w:p>
        </w:tc>
        <w:tc>
          <w:tcPr>
            <w:tcW w:w="112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980" w:type="dxa"/>
            <w:vAlign w:val="bottom"/>
          </w:tcPr>
          <w:p>
            <w:pPr>
              <w:jc w:val="right"/>
              <w:ind w:right="303"/>
              <w:spacing w:after="0" w:line="124" w:lineRule="exact"/>
              <w:rPr>
                <w:sz w:val="20"/>
                <w:szCs w:val="20"/>
                <w:color w:val="auto"/>
              </w:rPr>
            </w:pPr>
            <w:r>
              <w:rPr>
                <w:rFonts w:ascii="Arial" w:cs="Arial" w:eastAsia="Arial" w:hAnsi="Arial"/>
                <w:sz w:val="12"/>
                <w:szCs w:val="12"/>
                <w:color w:val="auto"/>
              </w:rPr>
              <w:t>80,827</w:t>
            </w:r>
          </w:p>
        </w:tc>
        <w:tc>
          <w:tcPr>
            <w:tcW w:w="1020" w:type="dxa"/>
            <w:vAlign w:val="bottom"/>
          </w:tcPr>
          <w:p>
            <w:pPr>
              <w:jc w:val="right"/>
              <w:spacing w:after="0" w:line="124" w:lineRule="exact"/>
              <w:rPr>
                <w:sz w:val="20"/>
                <w:szCs w:val="20"/>
                <w:color w:val="auto"/>
              </w:rPr>
            </w:pPr>
            <w:r>
              <w:rPr>
                <w:rFonts w:ascii="Arial" w:cs="Arial" w:eastAsia="Arial" w:hAnsi="Arial"/>
                <w:sz w:val="12"/>
                <w:szCs w:val="12"/>
                <w:color w:val="auto"/>
              </w:rPr>
              <w:t>90,046</w:t>
            </w:r>
          </w:p>
        </w:tc>
        <w:tc>
          <w:tcPr>
            <w:tcW w:w="620" w:type="dxa"/>
            <w:vAlign w:val="bottom"/>
          </w:tcPr>
          <w:p>
            <w:pPr>
              <w:spacing w:after="0"/>
              <w:rPr>
                <w:sz w:val="10"/>
                <w:szCs w:val="10"/>
                <w:color w:val="auto"/>
              </w:rPr>
            </w:pPr>
          </w:p>
        </w:tc>
        <w:tc>
          <w:tcPr>
            <w:tcW w:w="70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2"/>
                <w:szCs w:val="12"/>
                <w:color w:val="auto"/>
              </w:rPr>
              <w:t>94,057</w:t>
            </w:r>
          </w:p>
        </w:tc>
        <w:tc>
          <w:tcPr>
            <w:tcW w:w="380" w:type="dxa"/>
            <w:vAlign w:val="bottom"/>
          </w:tcPr>
          <w:p>
            <w:pPr>
              <w:spacing w:after="0"/>
              <w:rPr>
                <w:sz w:val="10"/>
                <w:szCs w:val="10"/>
                <w:color w:val="auto"/>
              </w:rPr>
            </w:pPr>
          </w:p>
        </w:tc>
        <w:tc>
          <w:tcPr>
            <w:tcW w:w="740" w:type="dxa"/>
            <w:vAlign w:val="bottom"/>
          </w:tcPr>
          <w:p>
            <w:pPr>
              <w:jc w:val="center"/>
              <w:ind w:right="263"/>
              <w:spacing w:after="0" w:line="124" w:lineRule="exact"/>
              <w:rPr>
                <w:sz w:val="20"/>
                <w:szCs w:val="20"/>
                <w:color w:val="auto"/>
              </w:rPr>
            </w:pPr>
            <w:r>
              <w:rPr>
                <w:rFonts w:ascii="Arial" w:cs="Arial" w:eastAsia="Arial" w:hAnsi="Arial"/>
                <w:sz w:val="12"/>
                <w:szCs w:val="12"/>
                <w:color w:val="auto"/>
                <w:w w:val="94"/>
              </w:rPr>
              <w:t>4.5%</w:t>
            </w:r>
          </w:p>
        </w:tc>
        <w:tc>
          <w:tcPr>
            <w:tcW w:w="1120" w:type="dxa"/>
            <w:vAlign w:val="bottom"/>
            <w:tcBorders>
              <w:right w:val="single" w:sz="8" w:color="auto"/>
            </w:tcBorders>
          </w:tcPr>
          <w:p>
            <w:pPr>
              <w:jc w:val="center"/>
              <w:ind w:left="3"/>
              <w:spacing w:after="0" w:line="124" w:lineRule="exact"/>
              <w:rPr>
                <w:sz w:val="20"/>
                <w:szCs w:val="20"/>
                <w:color w:val="auto"/>
              </w:rPr>
            </w:pPr>
            <w:r>
              <w:rPr>
                <w:rFonts w:ascii="Arial" w:cs="Arial" w:eastAsia="Arial" w:hAnsi="Arial"/>
                <w:sz w:val="12"/>
                <w:szCs w:val="12"/>
                <w:color w:val="auto"/>
                <w:w w:val="99"/>
              </w:rPr>
              <w:t>16.4%</w:t>
            </w:r>
          </w:p>
        </w:tc>
        <w:tc>
          <w:tcPr>
            <w:tcW w:w="0" w:type="dxa"/>
            <w:vAlign w:val="bottom"/>
          </w:tcPr>
          <w:p>
            <w:pPr>
              <w:spacing w:after="0"/>
              <w:rPr>
                <w:sz w:val="1"/>
                <w:szCs w:val="1"/>
                <w:color w:val="auto"/>
              </w:rPr>
            </w:pPr>
          </w:p>
        </w:tc>
      </w:tr>
      <w:tr>
        <w:trPr>
          <w:trHeight w:val="118"/>
        </w:trPr>
        <w:tc>
          <w:tcPr>
            <w:tcW w:w="3680" w:type="dxa"/>
            <w:vAlign w:val="bottom"/>
            <w:tcBorders>
              <w:left w:val="single" w:sz="8" w:color="auto"/>
            </w:tcBorders>
          </w:tcPr>
          <w:p>
            <w:pPr>
              <w:ind w:left="160"/>
              <w:spacing w:after="0" w:line="118" w:lineRule="exact"/>
              <w:rPr>
                <w:sz w:val="20"/>
                <w:szCs w:val="20"/>
                <w:color w:val="auto"/>
              </w:rPr>
            </w:pPr>
            <w:r>
              <w:rPr>
                <w:rFonts w:ascii="Arial" w:cs="Arial" w:eastAsia="Arial" w:hAnsi="Arial"/>
                <w:sz w:val="12"/>
                <w:szCs w:val="12"/>
                <w:color w:val="auto"/>
              </w:rPr>
              <w:t>Allowance for loan losses</w:t>
            </w:r>
          </w:p>
        </w:tc>
        <w:tc>
          <w:tcPr>
            <w:tcW w:w="112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980" w:type="dxa"/>
            <w:vAlign w:val="bottom"/>
          </w:tcPr>
          <w:p>
            <w:pPr>
              <w:jc w:val="right"/>
              <w:ind w:right="303"/>
              <w:spacing w:after="0" w:line="118" w:lineRule="exact"/>
              <w:rPr>
                <w:sz w:val="20"/>
                <w:szCs w:val="20"/>
                <w:color w:val="auto"/>
              </w:rPr>
            </w:pPr>
            <w:r>
              <w:rPr>
                <w:rFonts w:ascii="Arial" w:cs="Arial" w:eastAsia="Arial" w:hAnsi="Arial"/>
                <w:sz w:val="12"/>
                <w:szCs w:val="12"/>
                <w:color w:val="auto"/>
                <w:w w:val="97"/>
              </w:rPr>
              <w:t>(1,083,337)</w:t>
            </w:r>
          </w:p>
        </w:tc>
        <w:tc>
          <w:tcPr>
            <w:tcW w:w="1020" w:type="dxa"/>
            <w:vAlign w:val="bottom"/>
          </w:tcPr>
          <w:p>
            <w:pPr>
              <w:jc w:val="right"/>
              <w:spacing w:after="0" w:line="118" w:lineRule="exact"/>
              <w:rPr>
                <w:sz w:val="20"/>
                <w:szCs w:val="20"/>
                <w:color w:val="auto"/>
              </w:rPr>
            </w:pPr>
            <w:r>
              <w:rPr>
                <w:rFonts w:ascii="Arial" w:cs="Arial" w:eastAsia="Arial" w:hAnsi="Arial"/>
                <w:sz w:val="12"/>
                <w:szCs w:val="12"/>
                <w:color w:val="auto"/>
              </w:rPr>
              <w:t>(1,090,404)</w:t>
            </w:r>
          </w:p>
        </w:tc>
        <w:tc>
          <w:tcPr>
            <w:tcW w:w="620" w:type="dxa"/>
            <w:vAlign w:val="bottom"/>
          </w:tcPr>
          <w:p>
            <w:pPr>
              <w:spacing w:after="0"/>
              <w:rPr>
                <w:sz w:val="10"/>
                <w:szCs w:val="10"/>
                <w:color w:val="auto"/>
              </w:rPr>
            </w:pPr>
          </w:p>
        </w:tc>
        <w:tc>
          <w:tcPr>
            <w:tcW w:w="700" w:type="dxa"/>
            <w:vAlign w:val="bottom"/>
            <w:tcBorders>
              <w:right w:val="single" w:sz="8" w:color="auto"/>
            </w:tcBorders>
          </w:tcPr>
          <w:p>
            <w:pPr>
              <w:jc w:val="right"/>
              <w:spacing w:after="0" w:line="118" w:lineRule="exact"/>
              <w:rPr>
                <w:sz w:val="20"/>
                <w:szCs w:val="20"/>
                <w:color w:val="auto"/>
              </w:rPr>
            </w:pPr>
            <w:r>
              <w:rPr>
                <w:rFonts w:ascii="Arial" w:cs="Arial" w:eastAsia="Arial" w:hAnsi="Arial"/>
                <w:sz w:val="12"/>
                <w:szCs w:val="12"/>
                <w:color w:val="auto"/>
              </w:rPr>
              <w:t>(1,031,937)</w:t>
            </w:r>
          </w:p>
        </w:tc>
        <w:tc>
          <w:tcPr>
            <w:tcW w:w="380" w:type="dxa"/>
            <w:vAlign w:val="bottom"/>
          </w:tcPr>
          <w:p>
            <w:pPr>
              <w:spacing w:after="0"/>
              <w:rPr>
                <w:sz w:val="10"/>
                <w:szCs w:val="10"/>
                <w:color w:val="auto"/>
              </w:rPr>
            </w:pPr>
          </w:p>
        </w:tc>
        <w:tc>
          <w:tcPr>
            <w:tcW w:w="740" w:type="dxa"/>
            <w:vAlign w:val="bottom"/>
          </w:tcPr>
          <w:p>
            <w:pPr>
              <w:jc w:val="center"/>
              <w:ind w:right="263"/>
              <w:spacing w:after="0" w:line="118" w:lineRule="exact"/>
              <w:rPr>
                <w:sz w:val="20"/>
                <w:szCs w:val="20"/>
                <w:color w:val="auto"/>
              </w:rPr>
            </w:pPr>
            <w:r>
              <w:rPr>
                <w:rFonts w:ascii="Arial" w:cs="Arial" w:eastAsia="Arial" w:hAnsi="Arial"/>
                <w:sz w:val="12"/>
                <w:szCs w:val="12"/>
                <w:color w:val="auto"/>
                <w:w w:val="95"/>
              </w:rPr>
              <w:t>-5.4%</w:t>
            </w:r>
          </w:p>
        </w:tc>
        <w:tc>
          <w:tcPr>
            <w:tcW w:w="1120" w:type="dxa"/>
            <w:vAlign w:val="bottom"/>
            <w:tcBorders>
              <w:right w:val="single" w:sz="8" w:color="auto"/>
            </w:tcBorders>
          </w:tcPr>
          <w:p>
            <w:pPr>
              <w:jc w:val="center"/>
              <w:ind w:left="3"/>
              <w:spacing w:after="0" w:line="118" w:lineRule="exact"/>
              <w:rPr>
                <w:sz w:val="20"/>
                <w:szCs w:val="20"/>
                <w:color w:val="auto"/>
              </w:rPr>
            </w:pPr>
            <w:r>
              <w:rPr>
                <w:rFonts w:ascii="Arial" w:cs="Arial" w:eastAsia="Arial" w:hAnsi="Arial"/>
                <w:sz w:val="12"/>
                <w:szCs w:val="12"/>
                <w:color w:val="auto"/>
                <w:w w:val="95"/>
              </w:rPr>
              <w:t>-4.7%</w:t>
            </w:r>
          </w:p>
        </w:tc>
        <w:tc>
          <w:tcPr>
            <w:tcW w:w="0" w:type="dxa"/>
            <w:vAlign w:val="bottom"/>
          </w:tcPr>
          <w:p>
            <w:pPr>
              <w:spacing w:after="0"/>
              <w:rPr>
                <w:sz w:val="1"/>
                <w:szCs w:val="1"/>
                <w:color w:val="auto"/>
              </w:rPr>
            </w:pPr>
          </w:p>
        </w:tc>
      </w:tr>
      <w:tr>
        <w:trPr>
          <w:trHeight w:val="130"/>
        </w:trPr>
        <w:tc>
          <w:tcPr>
            <w:tcW w:w="3680" w:type="dxa"/>
            <w:vAlign w:val="bottom"/>
            <w:tcBorders>
              <w:left w:val="single" w:sz="8" w:color="auto"/>
            </w:tcBorders>
          </w:tcPr>
          <w:p>
            <w:pPr>
              <w:ind w:left="20"/>
              <w:spacing w:after="0" w:line="130" w:lineRule="exact"/>
              <w:rPr>
                <w:sz w:val="20"/>
                <w:szCs w:val="20"/>
                <w:color w:val="auto"/>
              </w:rPr>
            </w:pPr>
            <w:r>
              <w:rPr>
                <w:rFonts w:ascii="Arial" w:cs="Arial" w:eastAsia="Arial" w:hAnsi="Arial"/>
                <w:sz w:val="12"/>
                <w:szCs w:val="12"/>
                <w:b w:val="1"/>
                <w:bCs w:val="1"/>
                <w:color w:val="auto"/>
              </w:rPr>
              <w:t>Net loans</w:t>
            </w:r>
          </w:p>
        </w:tc>
        <w:tc>
          <w:tcPr>
            <w:tcW w:w="112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tcPr>
          <w:p>
            <w:pPr>
              <w:jc w:val="right"/>
              <w:ind w:right="303"/>
              <w:spacing w:after="0" w:line="130" w:lineRule="exact"/>
              <w:rPr>
                <w:sz w:val="20"/>
                <w:szCs w:val="20"/>
                <w:color w:val="auto"/>
              </w:rPr>
            </w:pPr>
            <w:r>
              <w:rPr>
                <w:rFonts w:ascii="Arial" w:cs="Arial" w:eastAsia="Arial" w:hAnsi="Arial"/>
                <w:sz w:val="12"/>
                <w:szCs w:val="12"/>
                <w:b w:val="1"/>
                <w:bCs w:val="1"/>
                <w:color w:val="auto"/>
                <w:w w:val="99"/>
              </w:rPr>
              <w:t>13,144,894</w:t>
            </w:r>
          </w:p>
        </w:tc>
        <w:tc>
          <w:tcPr>
            <w:tcW w:w="1020" w:type="dxa"/>
            <w:vAlign w:val="bottom"/>
          </w:tcPr>
          <w:p>
            <w:pPr>
              <w:jc w:val="right"/>
              <w:spacing w:after="0" w:line="130" w:lineRule="exact"/>
              <w:rPr>
                <w:sz w:val="20"/>
                <w:szCs w:val="20"/>
                <w:color w:val="auto"/>
              </w:rPr>
            </w:pPr>
            <w:r>
              <w:rPr>
                <w:rFonts w:ascii="Arial" w:cs="Arial" w:eastAsia="Arial" w:hAnsi="Arial"/>
                <w:sz w:val="12"/>
                <w:szCs w:val="12"/>
                <w:b w:val="1"/>
                <w:bCs w:val="1"/>
                <w:color w:val="auto"/>
              </w:rPr>
              <w:t>13,108,286</w:t>
            </w:r>
          </w:p>
        </w:tc>
        <w:tc>
          <w:tcPr>
            <w:tcW w:w="620" w:type="dxa"/>
            <w:vAlign w:val="bottom"/>
          </w:tcPr>
          <w:p>
            <w:pPr>
              <w:spacing w:after="0"/>
              <w:rPr>
                <w:sz w:val="11"/>
                <w:szCs w:val="11"/>
                <w:color w:val="auto"/>
              </w:rPr>
            </w:pPr>
          </w:p>
        </w:tc>
        <w:tc>
          <w:tcPr>
            <w:tcW w:w="700" w:type="dxa"/>
            <w:vAlign w:val="bottom"/>
            <w:tcBorders>
              <w:right w:val="single" w:sz="8" w:color="auto"/>
            </w:tcBorders>
          </w:tcPr>
          <w:p>
            <w:pPr>
              <w:jc w:val="right"/>
              <w:spacing w:after="0" w:line="130" w:lineRule="exact"/>
              <w:rPr>
                <w:sz w:val="20"/>
                <w:szCs w:val="20"/>
                <w:color w:val="auto"/>
              </w:rPr>
            </w:pPr>
            <w:r>
              <w:rPr>
                <w:rFonts w:ascii="Arial" w:cs="Arial" w:eastAsia="Arial" w:hAnsi="Arial"/>
                <w:sz w:val="12"/>
                <w:szCs w:val="12"/>
                <w:b w:val="1"/>
                <w:bCs w:val="1"/>
                <w:color w:val="auto"/>
              </w:rPr>
              <w:t>12,530,377</w:t>
            </w:r>
          </w:p>
        </w:tc>
        <w:tc>
          <w:tcPr>
            <w:tcW w:w="380" w:type="dxa"/>
            <w:vAlign w:val="bottom"/>
          </w:tcPr>
          <w:p>
            <w:pPr>
              <w:spacing w:after="0"/>
              <w:rPr>
                <w:sz w:val="11"/>
                <w:szCs w:val="11"/>
                <w:color w:val="auto"/>
              </w:rPr>
            </w:pPr>
          </w:p>
        </w:tc>
        <w:tc>
          <w:tcPr>
            <w:tcW w:w="740" w:type="dxa"/>
            <w:vAlign w:val="bottom"/>
          </w:tcPr>
          <w:p>
            <w:pPr>
              <w:jc w:val="center"/>
              <w:ind w:right="263"/>
              <w:spacing w:after="0" w:line="130" w:lineRule="exact"/>
              <w:rPr>
                <w:sz w:val="20"/>
                <w:szCs w:val="20"/>
                <w:color w:val="auto"/>
              </w:rPr>
            </w:pPr>
            <w:r>
              <w:rPr>
                <w:rFonts w:ascii="Arial" w:cs="Arial" w:eastAsia="Arial" w:hAnsi="Arial"/>
                <w:sz w:val="12"/>
                <w:szCs w:val="12"/>
                <w:b w:val="1"/>
                <w:bCs w:val="1"/>
                <w:color w:val="auto"/>
                <w:w w:val="95"/>
              </w:rPr>
              <w:t>-4.4%</w:t>
            </w:r>
          </w:p>
        </w:tc>
        <w:tc>
          <w:tcPr>
            <w:tcW w:w="1120" w:type="dxa"/>
            <w:vAlign w:val="bottom"/>
            <w:tcBorders>
              <w:right w:val="single" w:sz="8" w:color="auto"/>
            </w:tcBorders>
          </w:tcPr>
          <w:p>
            <w:pPr>
              <w:jc w:val="center"/>
              <w:ind w:left="3"/>
              <w:spacing w:after="0" w:line="130" w:lineRule="exact"/>
              <w:rPr>
                <w:sz w:val="20"/>
                <w:szCs w:val="20"/>
                <w:color w:val="auto"/>
              </w:rPr>
            </w:pPr>
            <w:r>
              <w:rPr>
                <w:rFonts w:ascii="Arial" w:cs="Arial" w:eastAsia="Arial" w:hAnsi="Arial"/>
                <w:sz w:val="12"/>
                <w:szCs w:val="12"/>
                <w:b w:val="1"/>
                <w:bCs w:val="1"/>
                <w:color w:val="auto"/>
                <w:w w:val="95"/>
              </w:rPr>
              <w:t>-4.7%</w:t>
            </w:r>
          </w:p>
        </w:tc>
        <w:tc>
          <w:tcPr>
            <w:tcW w:w="0" w:type="dxa"/>
            <w:vAlign w:val="bottom"/>
          </w:tcPr>
          <w:p>
            <w:pPr>
              <w:spacing w:after="0"/>
              <w:rPr>
                <w:sz w:val="1"/>
                <w:szCs w:val="1"/>
                <w:color w:val="auto"/>
              </w:rPr>
            </w:pPr>
          </w:p>
        </w:tc>
      </w:tr>
      <w:tr>
        <w:trPr>
          <w:trHeight w:val="124"/>
        </w:trPr>
        <w:tc>
          <w:tcPr>
            <w:tcW w:w="3680" w:type="dxa"/>
            <w:vAlign w:val="bottom"/>
            <w:tcBorders>
              <w:left w:val="single" w:sz="8" w:color="auto"/>
            </w:tcBorders>
          </w:tcPr>
          <w:p>
            <w:pPr>
              <w:ind w:left="20"/>
              <w:spacing w:after="0" w:line="124" w:lineRule="exact"/>
              <w:rPr>
                <w:sz w:val="20"/>
                <w:szCs w:val="20"/>
                <w:color w:val="auto"/>
              </w:rPr>
            </w:pPr>
            <w:r>
              <w:rPr>
                <w:rFonts w:ascii="Arial" w:cs="Arial" w:eastAsia="Arial" w:hAnsi="Arial"/>
                <w:sz w:val="12"/>
                <w:szCs w:val="12"/>
                <w:color w:val="auto"/>
              </w:rPr>
              <w:t>Property, plant and equipment, net</w:t>
            </w:r>
          </w:p>
        </w:tc>
        <w:tc>
          <w:tcPr>
            <w:tcW w:w="112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980" w:type="dxa"/>
            <w:vAlign w:val="bottom"/>
          </w:tcPr>
          <w:p>
            <w:pPr>
              <w:jc w:val="right"/>
              <w:ind w:right="303"/>
              <w:spacing w:after="0" w:line="124" w:lineRule="exact"/>
              <w:rPr>
                <w:sz w:val="20"/>
                <w:szCs w:val="20"/>
                <w:color w:val="auto"/>
              </w:rPr>
            </w:pPr>
            <w:r>
              <w:rPr>
                <w:rFonts w:ascii="Arial" w:cs="Arial" w:eastAsia="Arial" w:hAnsi="Arial"/>
                <w:sz w:val="12"/>
                <w:szCs w:val="12"/>
                <w:color w:val="auto"/>
              </w:rPr>
              <w:t>132,815</w:t>
            </w:r>
          </w:p>
        </w:tc>
        <w:tc>
          <w:tcPr>
            <w:tcW w:w="1020" w:type="dxa"/>
            <w:vAlign w:val="bottom"/>
          </w:tcPr>
          <w:p>
            <w:pPr>
              <w:jc w:val="right"/>
              <w:spacing w:after="0" w:line="124" w:lineRule="exact"/>
              <w:rPr>
                <w:sz w:val="20"/>
                <w:szCs w:val="20"/>
                <w:color w:val="auto"/>
              </w:rPr>
            </w:pPr>
            <w:r>
              <w:rPr>
                <w:rFonts w:ascii="Arial" w:cs="Arial" w:eastAsia="Arial" w:hAnsi="Arial"/>
                <w:sz w:val="12"/>
                <w:szCs w:val="12"/>
                <w:color w:val="auto"/>
              </w:rPr>
              <w:t>130,977</w:t>
            </w:r>
          </w:p>
        </w:tc>
        <w:tc>
          <w:tcPr>
            <w:tcW w:w="620" w:type="dxa"/>
            <w:vAlign w:val="bottom"/>
          </w:tcPr>
          <w:p>
            <w:pPr>
              <w:spacing w:after="0"/>
              <w:rPr>
                <w:sz w:val="10"/>
                <w:szCs w:val="10"/>
                <w:color w:val="auto"/>
              </w:rPr>
            </w:pPr>
          </w:p>
        </w:tc>
        <w:tc>
          <w:tcPr>
            <w:tcW w:w="70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2"/>
                <w:szCs w:val="12"/>
                <w:color w:val="auto"/>
              </w:rPr>
              <w:t>131,899</w:t>
            </w:r>
          </w:p>
        </w:tc>
        <w:tc>
          <w:tcPr>
            <w:tcW w:w="380" w:type="dxa"/>
            <w:vAlign w:val="bottom"/>
          </w:tcPr>
          <w:p>
            <w:pPr>
              <w:spacing w:after="0"/>
              <w:rPr>
                <w:sz w:val="10"/>
                <w:szCs w:val="10"/>
                <w:color w:val="auto"/>
              </w:rPr>
            </w:pPr>
          </w:p>
        </w:tc>
        <w:tc>
          <w:tcPr>
            <w:tcW w:w="740" w:type="dxa"/>
            <w:vAlign w:val="bottom"/>
          </w:tcPr>
          <w:p>
            <w:pPr>
              <w:jc w:val="center"/>
              <w:ind w:right="263"/>
              <w:spacing w:after="0" w:line="124" w:lineRule="exact"/>
              <w:rPr>
                <w:sz w:val="20"/>
                <w:szCs w:val="20"/>
                <w:color w:val="auto"/>
              </w:rPr>
            </w:pPr>
            <w:r>
              <w:rPr>
                <w:rFonts w:ascii="Arial" w:cs="Arial" w:eastAsia="Arial" w:hAnsi="Arial"/>
                <w:sz w:val="12"/>
                <w:szCs w:val="12"/>
                <w:color w:val="auto"/>
                <w:w w:val="94"/>
              </w:rPr>
              <w:t>0.7%</w:t>
            </w:r>
          </w:p>
        </w:tc>
        <w:tc>
          <w:tcPr>
            <w:tcW w:w="1120" w:type="dxa"/>
            <w:vAlign w:val="bottom"/>
            <w:tcBorders>
              <w:right w:val="single" w:sz="8" w:color="auto"/>
            </w:tcBorders>
          </w:tcPr>
          <w:p>
            <w:pPr>
              <w:jc w:val="center"/>
              <w:ind w:left="3"/>
              <w:spacing w:after="0" w:line="124" w:lineRule="exact"/>
              <w:rPr>
                <w:sz w:val="20"/>
                <w:szCs w:val="20"/>
                <w:color w:val="auto"/>
              </w:rPr>
            </w:pPr>
            <w:r>
              <w:rPr>
                <w:rFonts w:ascii="Arial" w:cs="Arial" w:eastAsia="Arial" w:hAnsi="Arial"/>
                <w:sz w:val="12"/>
                <w:szCs w:val="12"/>
                <w:color w:val="auto"/>
                <w:w w:val="95"/>
              </w:rPr>
              <w:t>-0.7%</w:t>
            </w:r>
          </w:p>
        </w:tc>
        <w:tc>
          <w:tcPr>
            <w:tcW w:w="0" w:type="dxa"/>
            <w:vAlign w:val="bottom"/>
          </w:tcPr>
          <w:p>
            <w:pPr>
              <w:spacing w:after="0"/>
              <w:rPr>
                <w:sz w:val="1"/>
                <w:szCs w:val="1"/>
                <w:color w:val="auto"/>
              </w:rPr>
            </w:pPr>
          </w:p>
        </w:tc>
      </w:tr>
      <w:tr>
        <w:trPr>
          <w:trHeight w:val="118"/>
        </w:trPr>
        <w:tc>
          <w:tcPr>
            <w:tcW w:w="3680" w:type="dxa"/>
            <w:vAlign w:val="bottom"/>
            <w:tcBorders>
              <w:left w:val="single" w:sz="8" w:color="auto"/>
            </w:tcBorders>
          </w:tcPr>
          <w:p>
            <w:pPr>
              <w:ind w:left="20"/>
              <w:spacing w:after="0" w:line="118" w:lineRule="exact"/>
              <w:rPr>
                <w:sz w:val="20"/>
                <w:szCs w:val="20"/>
                <w:color w:val="auto"/>
              </w:rPr>
            </w:pPr>
            <w:r>
              <w:rPr>
                <w:rFonts w:ascii="Arial" w:cs="Arial" w:eastAsia="Arial" w:hAnsi="Arial"/>
                <w:sz w:val="12"/>
                <w:szCs w:val="12"/>
                <w:color w:val="auto"/>
              </w:rPr>
              <w:t>Other assets</w:t>
            </w:r>
          </w:p>
        </w:tc>
        <w:tc>
          <w:tcPr>
            <w:tcW w:w="112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980" w:type="dxa"/>
            <w:vAlign w:val="bottom"/>
          </w:tcPr>
          <w:p>
            <w:pPr>
              <w:jc w:val="right"/>
              <w:ind w:right="303"/>
              <w:spacing w:after="0" w:line="118" w:lineRule="exact"/>
              <w:rPr>
                <w:sz w:val="20"/>
                <w:szCs w:val="20"/>
                <w:color w:val="auto"/>
              </w:rPr>
            </w:pPr>
            <w:r>
              <w:rPr>
                <w:rFonts w:ascii="Arial" w:cs="Arial" w:eastAsia="Arial" w:hAnsi="Arial"/>
                <w:sz w:val="12"/>
                <w:szCs w:val="12"/>
                <w:color w:val="auto"/>
              </w:rPr>
              <w:t>689,100</w:t>
            </w:r>
          </w:p>
        </w:tc>
        <w:tc>
          <w:tcPr>
            <w:tcW w:w="1020" w:type="dxa"/>
            <w:vAlign w:val="bottom"/>
          </w:tcPr>
          <w:p>
            <w:pPr>
              <w:jc w:val="right"/>
              <w:spacing w:after="0" w:line="118" w:lineRule="exact"/>
              <w:rPr>
                <w:sz w:val="20"/>
                <w:szCs w:val="20"/>
                <w:color w:val="auto"/>
              </w:rPr>
            </w:pPr>
            <w:r>
              <w:rPr>
                <w:rFonts w:ascii="Arial" w:cs="Arial" w:eastAsia="Arial" w:hAnsi="Arial"/>
                <w:sz w:val="12"/>
                <w:szCs w:val="12"/>
                <w:color w:val="auto"/>
              </w:rPr>
              <w:t>724,569</w:t>
            </w:r>
          </w:p>
        </w:tc>
        <w:tc>
          <w:tcPr>
            <w:tcW w:w="620" w:type="dxa"/>
            <w:vAlign w:val="bottom"/>
          </w:tcPr>
          <w:p>
            <w:pPr>
              <w:spacing w:after="0"/>
              <w:rPr>
                <w:sz w:val="10"/>
                <w:szCs w:val="10"/>
                <w:color w:val="auto"/>
              </w:rPr>
            </w:pPr>
          </w:p>
        </w:tc>
        <w:tc>
          <w:tcPr>
            <w:tcW w:w="700" w:type="dxa"/>
            <w:vAlign w:val="bottom"/>
            <w:tcBorders>
              <w:right w:val="single" w:sz="8" w:color="auto"/>
            </w:tcBorders>
          </w:tcPr>
          <w:p>
            <w:pPr>
              <w:jc w:val="right"/>
              <w:spacing w:after="0" w:line="118" w:lineRule="exact"/>
              <w:rPr>
                <w:sz w:val="20"/>
                <w:szCs w:val="20"/>
                <w:color w:val="auto"/>
              </w:rPr>
            </w:pPr>
            <w:r>
              <w:rPr>
                <w:rFonts w:ascii="Arial" w:cs="Arial" w:eastAsia="Arial" w:hAnsi="Arial"/>
                <w:sz w:val="12"/>
                <w:szCs w:val="12"/>
                <w:color w:val="auto"/>
              </w:rPr>
              <w:t>709,082</w:t>
            </w:r>
          </w:p>
        </w:tc>
        <w:tc>
          <w:tcPr>
            <w:tcW w:w="380" w:type="dxa"/>
            <w:vAlign w:val="bottom"/>
          </w:tcPr>
          <w:p>
            <w:pPr>
              <w:spacing w:after="0"/>
              <w:rPr>
                <w:sz w:val="10"/>
                <w:szCs w:val="10"/>
                <w:color w:val="auto"/>
              </w:rPr>
            </w:pPr>
          </w:p>
        </w:tc>
        <w:tc>
          <w:tcPr>
            <w:tcW w:w="740" w:type="dxa"/>
            <w:vAlign w:val="bottom"/>
          </w:tcPr>
          <w:p>
            <w:pPr>
              <w:jc w:val="center"/>
              <w:ind w:right="263"/>
              <w:spacing w:after="0" w:line="118" w:lineRule="exact"/>
              <w:rPr>
                <w:sz w:val="20"/>
                <w:szCs w:val="20"/>
                <w:color w:val="auto"/>
              </w:rPr>
            </w:pPr>
            <w:r>
              <w:rPr>
                <w:rFonts w:ascii="Arial" w:cs="Arial" w:eastAsia="Arial" w:hAnsi="Arial"/>
                <w:sz w:val="12"/>
                <w:szCs w:val="12"/>
                <w:color w:val="auto"/>
                <w:w w:val="95"/>
              </w:rPr>
              <w:t>-2.1%</w:t>
            </w:r>
          </w:p>
        </w:tc>
        <w:tc>
          <w:tcPr>
            <w:tcW w:w="1120" w:type="dxa"/>
            <w:vAlign w:val="bottom"/>
            <w:tcBorders>
              <w:right w:val="single" w:sz="8" w:color="auto"/>
            </w:tcBorders>
          </w:tcPr>
          <w:p>
            <w:pPr>
              <w:jc w:val="center"/>
              <w:ind w:left="3"/>
              <w:spacing w:after="0" w:line="118" w:lineRule="exact"/>
              <w:rPr>
                <w:sz w:val="20"/>
                <w:szCs w:val="20"/>
                <w:color w:val="auto"/>
              </w:rPr>
            </w:pPr>
            <w:r>
              <w:rPr>
                <w:rFonts w:ascii="Arial" w:cs="Arial" w:eastAsia="Arial" w:hAnsi="Arial"/>
                <w:sz w:val="12"/>
                <w:szCs w:val="12"/>
                <w:color w:val="auto"/>
                <w:w w:val="94"/>
              </w:rPr>
              <w:t>2.9%</w:t>
            </w:r>
          </w:p>
        </w:tc>
        <w:tc>
          <w:tcPr>
            <w:tcW w:w="0" w:type="dxa"/>
            <w:vAlign w:val="bottom"/>
          </w:tcPr>
          <w:p>
            <w:pPr>
              <w:spacing w:after="0"/>
              <w:rPr>
                <w:sz w:val="1"/>
                <w:szCs w:val="1"/>
                <w:color w:val="auto"/>
              </w:rPr>
            </w:pPr>
          </w:p>
        </w:tc>
      </w:tr>
      <w:tr>
        <w:trPr>
          <w:trHeight w:val="160"/>
        </w:trPr>
        <w:tc>
          <w:tcPr>
            <w:tcW w:w="3680" w:type="dxa"/>
            <w:vAlign w:val="bottom"/>
            <w:tcBorders>
              <w:left w:val="single" w:sz="8" w:color="auto"/>
            </w:tcBorders>
          </w:tcPr>
          <w:p>
            <w:pPr>
              <w:ind w:left="2180"/>
              <w:spacing w:after="0"/>
              <w:rPr>
                <w:sz w:val="20"/>
                <w:szCs w:val="20"/>
                <w:color w:val="auto"/>
              </w:rPr>
            </w:pPr>
            <w:r>
              <w:rPr>
                <w:rFonts w:ascii="Arial" w:cs="Arial" w:eastAsia="Arial" w:hAnsi="Arial"/>
                <w:sz w:val="12"/>
                <w:szCs w:val="12"/>
                <w:b w:val="1"/>
                <w:bCs w:val="1"/>
                <w:color w:val="auto"/>
              </w:rPr>
              <w:t>Total assets</w:t>
            </w:r>
          </w:p>
        </w:tc>
        <w:tc>
          <w:tcPr>
            <w:tcW w:w="112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980" w:type="dxa"/>
            <w:vAlign w:val="bottom"/>
          </w:tcPr>
          <w:p>
            <w:pPr>
              <w:jc w:val="right"/>
              <w:ind w:right="303"/>
              <w:spacing w:after="0"/>
              <w:rPr>
                <w:sz w:val="20"/>
                <w:szCs w:val="20"/>
                <w:color w:val="auto"/>
              </w:rPr>
            </w:pPr>
            <w:r>
              <w:rPr>
                <w:rFonts w:ascii="Arial" w:cs="Arial" w:eastAsia="Arial" w:hAnsi="Arial"/>
                <w:sz w:val="12"/>
                <w:szCs w:val="12"/>
                <w:b w:val="1"/>
                <w:bCs w:val="1"/>
                <w:color w:val="auto"/>
                <w:w w:val="99"/>
              </w:rPr>
              <w:t>17,607,731</w:t>
            </w:r>
          </w:p>
        </w:tc>
        <w:tc>
          <w:tcPr>
            <w:tcW w:w="1020" w:type="dxa"/>
            <w:vAlign w:val="bottom"/>
          </w:tcPr>
          <w:p>
            <w:pPr>
              <w:jc w:val="right"/>
              <w:spacing w:after="0"/>
              <w:rPr>
                <w:sz w:val="20"/>
                <w:szCs w:val="20"/>
                <w:color w:val="auto"/>
              </w:rPr>
            </w:pPr>
            <w:r>
              <w:rPr>
                <w:rFonts w:ascii="Arial" w:cs="Arial" w:eastAsia="Arial" w:hAnsi="Arial"/>
                <w:sz w:val="12"/>
                <w:szCs w:val="12"/>
                <w:b w:val="1"/>
                <w:bCs w:val="1"/>
                <w:color w:val="auto"/>
              </w:rPr>
              <w:t>17,144,058</w:t>
            </w:r>
          </w:p>
        </w:tc>
        <w:tc>
          <w:tcPr>
            <w:tcW w:w="620" w:type="dxa"/>
            <w:vAlign w:val="bottom"/>
          </w:tcPr>
          <w:p>
            <w:pPr>
              <w:spacing w:after="0"/>
              <w:rPr>
                <w:sz w:val="13"/>
                <w:szCs w:val="13"/>
                <w:color w:val="auto"/>
              </w:rPr>
            </w:pP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2"/>
                <w:szCs w:val="12"/>
                <w:b w:val="1"/>
                <w:bCs w:val="1"/>
                <w:color w:val="auto"/>
              </w:rPr>
              <w:t>16,779,181</w:t>
            </w:r>
          </w:p>
        </w:tc>
        <w:tc>
          <w:tcPr>
            <w:tcW w:w="380" w:type="dxa"/>
            <w:vAlign w:val="bottom"/>
          </w:tcPr>
          <w:p>
            <w:pPr>
              <w:spacing w:after="0"/>
              <w:rPr>
                <w:sz w:val="13"/>
                <w:szCs w:val="13"/>
                <w:color w:val="auto"/>
              </w:rPr>
            </w:pPr>
          </w:p>
        </w:tc>
        <w:tc>
          <w:tcPr>
            <w:tcW w:w="740" w:type="dxa"/>
            <w:vAlign w:val="bottom"/>
          </w:tcPr>
          <w:p>
            <w:pPr>
              <w:jc w:val="center"/>
              <w:ind w:right="263"/>
              <w:spacing w:after="0"/>
              <w:rPr>
                <w:sz w:val="20"/>
                <w:szCs w:val="20"/>
                <w:color w:val="auto"/>
              </w:rPr>
            </w:pPr>
            <w:r>
              <w:rPr>
                <w:rFonts w:ascii="Arial" w:cs="Arial" w:eastAsia="Arial" w:hAnsi="Arial"/>
                <w:sz w:val="12"/>
                <w:szCs w:val="12"/>
                <w:b w:val="1"/>
                <w:bCs w:val="1"/>
                <w:color w:val="auto"/>
                <w:w w:val="95"/>
              </w:rPr>
              <w:t>-2.1%</w:t>
            </w:r>
          </w:p>
        </w:tc>
        <w:tc>
          <w:tcPr>
            <w:tcW w:w="1120" w:type="dxa"/>
            <w:vAlign w:val="bottom"/>
            <w:tcBorders>
              <w:right w:val="single" w:sz="8" w:color="auto"/>
            </w:tcBorders>
          </w:tcPr>
          <w:p>
            <w:pPr>
              <w:jc w:val="center"/>
              <w:ind w:left="3"/>
              <w:spacing w:after="0"/>
              <w:rPr>
                <w:sz w:val="20"/>
                <w:szCs w:val="20"/>
                <w:color w:val="auto"/>
              </w:rPr>
            </w:pPr>
            <w:r>
              <w:rPr>
                <w:rFonts w:ascii="Arial" w:cs="Arial" w:eastAsia="Arial" w:hAnsi="Arial"/>
                <w:sz w:val="12"/>
                <w:szCs w:val="12"/>
                <w:b w:val="1"/>
                <w:bCs w:val="1"/>
                <w:color w:val="auto"/>
                <w:w w:val="95"/>
              </w:rPr>
              <w:t>-4.7%</w:t>
            </w:r>
          </w:p>
        </w:tc>
        <w:tc>
          <w:tcPr>
            <w:tcW w:w="0" w:type="dxa"/>
            <w:vAlign w:val="bottom"/>
          </w:tcPr>
          <w:p>
            <w:pPr>
              <w:spacing w:after="0"/>
              <w:rPr>
                <w:sz w:val="1"/>
                <w:szCs w:val="1"/>
                <w:color w:val="auto"/>
              </w:rPr>
            </w:pPr>
          </w:p>
        </w:tc>
      </w:tr>
      <w:tr>
        <w:trPr>
          <w:trHeight w:val="216"/>
        </w:trPr>
        <w:tc>
          <w:tcPr>
            <w:tcW w:w="3680" w:type="dxa"/>
            <w:vAlign w:val="bottom"/>
            <w:tcBorders>
              <w:left w:val="single" w:sz="8" w:color="auto"/>
            </w:tcBorders>
          </w:tcPr>
          <w:p>
            <w:pPr>
              <w:ind w:left="20"/>
              <w:spacing w:after="0"/>
              <w:rPr>
                <w:sz w:val="20"/>
                <w:szCs w:val="20"/>
                <w:color w:val="auto"/>
              </w:rPr>
            </w:pPr>
            <w:r>
              <w:rPr>
                <w:rFonts w:ascii="Arial" w:cs="Arial" w:eastAsia="Arial" w:hAnsi="Arial"/>
                <w:sz w:val="12"/>
                <w:szCs w:val="12"/>
                <w:b w:val="1"/>
                <w:bCs w:val="1"/>
                <w:color w:val="auto"/>
              </w:rPr>
              <w:t>LIABILITIES AND NET SHAREHOLDERS’ EQUITY</w:t>
            </w:r>
          </w:p>
        </w:tc>
        <w:tc>
          <w:tcPr>
            <w:tcW w:w="112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3680" w:type="dxa"/>
            <w:vAlign w:val="bottom"/>
            <w:tcBorders>
              <w:left w:val="single" w:sz="8" w:color="auto"/>
            </w:tcBorders>
          </w:tcPr>
          <w:p>
            <w:pPr>
              <w:ind w:left="20"/>
              <w:spacing w:after="0" w:line="124" w:lineRule="exact"/>
              <w:rPr>
                <w:sz w:val="20"/>
                <w:szCs w:val="20"/>
                <w:color w:val="auto"/>
              </w:rPr>
            </w:pPr>
            <w:r>
              <w:rPr>
                <w:rFonts w:ascii="Arial" w:cs="Arial" w:eastAsia="Arial" w:hAnsi="Arial"/>
                <w:sz w:val="12"/>
                <w:szCs w:val="12"/>
                <w:color w:val="auto"/>
              </w:rPr>
              <w:t>Deposits and obligations</w:t>
            </w:r>
          </w:p>
        </w:tc>
        <w:tc>
          <w:tcPr>
            <w:tcW w:w="112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980" w:type="dxa"/>
            <w:vAlign w:val="bottom"/>
          </w:tcPr>
          <w:p>
            <w:pPr>
              <w:jc w:val="right"/>
              <w:ind w:right="303"/>
              <w:spacing w:after="0" w:line="124" w:lineRule="exact"/>
              <w:rPr>
                <w:sz w:val="20"/>
                <w:szCs w:val="20"/>
                <w:color w:val="auto"/>
              </w:rPr>
            </w:pPr>
            <w:r>
              <w:rPr>
                <w:rFonts w:ascii="Arial" w:cs="Arial" w:eastAsia="Arial" w:hAnsi="Arial"/>
                <w:sz w:val="12"/>
                <w:szCs w:val="12"/>
                <w:color w:val="auto"/>
              </w:rPr>
              <w:t>9,185,353</w:t>
            </w:r>
          </w:p>
        </w:tc>
        <w:tc>
          <w:tcPr>
            <w:tcW w:w="1020" w:type="dxa"/>
            <w:vAlign w:val="bottom"/>
          </w:tcPr>
          <w:p>
            <w:pPr>
              <w:jc w:val="right"/>
              <w:spacing w:after="0" w:line="124" w:lineRule="exact"/>
              <w:rPr>
                <w:sz w:val="20"/>
                <w:szCs w:val="20"/>
                <w:color w:val="auto"/>
              </w:rPr>
            </w:pPr>
            <w:r>
              <w:rPr>
                <w:rFonts w:ascii="Arial" w:cs="Arial" w:eastAsia="Arial" w:hAnsi="Arial"/>
                <w:sz w:val="12"/>
                <w:szCs w:val="12"/>
                <w:color w:val="auto"/>
              </w:rPr>
              <w:t>9,858,344</w:t>
            </w:r>
          </w:p>
        </w:tc>
        <w:tc>
          <w:tcPr>
            <w:tcW w:w="620" w:type="dxa"/>
            <w:vAlign w:val="bottom"/>
          </w:tcPr>
          <w:p>
            <w:pPr>
              <w:spacing w:after="0"/>
              <w:rPr>
                <w:sz w:val="10"/>
                <w:szCs w:val="10"/>
                <w:color w:val="auto"/>
              </w:rPr>
            </w:pPr>
          </w:p>
        </w:tc>
        <w:tc>
          <w:tcPr>
            <w:tcW w:w="70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2"/>
                <w:szCs w:val="12"/>
                <w:color w:val="auto"/>
              </w:rPr>
              <w:t>10,036,767</w:t>
            </w:r>
          </w:p>
        </w:tc>
        <w:tc>
          <w:tcPr>
            <w:tcW w:w="380" w:type="dxa"/>
            <w:vAlign w:val="bottom"/>
          </w:tcPr>
          <w:p>
            <w:pPr>
              <w:spacing w:after="0"/>
              <w:rPr>
                <w:sz w:val="10"/>
                <w:szCs w:val="10"/>
                <w:color w:val="auto"/>
              </w:rPr>
            </w:pPr>
          </w:p>
        </w:tc>
        <w:tc>
          <w:tcPr>
            <w:tcW w:w="740" w:type="dxa"/>
            <w:vAlign w:val="bottom"/>
          </w:tcPr>
          <w:p>
            <w:pPr>
              <w:jc w:val="center"/>
              <w:ind w:right="263"/>
              <w:spacing w:after="0" w:line="124" w:lineRule="exact"/>
              <w:rPr>
                <w:sz w:val="20"/>
                <w:szCs w:val="20"/>
                <w:color w:val="auto"/>
              </w:rPr>
            </w:pPr>
            <w:r>
              <w:rPr>
                <w:rFonts w:ascii="Arial" w:cs="Arial" w:eastAsia="Arial" w:hAnsi="Arial"/>
                <w:sz w:val="12"/>
                <w:szCs w:val="12"/>
                <w:color w:val="auto"/>
                <w:w w:val="94"/>
              </w:rPr>
              <w:t>1.8%</w:t>
            </w:r>
          </w:p>
        </w:tc>
        <w:tc>
          <w:tcPr>
            <w:tcW w:w="1120" w:type="dxa"/>
            <w:vAlign w:val="bottom"/>
            <w:tcBorders>
              <w:right w:val="single" w:sz="8" w:color="auto"/>
            </w:tcBorders>
          </w:tcPr>
          <w:p>
            <w:pPr>
              <w:jc w:val="center"/>
              <w:ind w:left="3"/>
              <w:spacing w:after="0" w:line="124" w:lineRule="exact"/>
              <w:rPr>
                <w:sz w:val="20"/>
                <w:szCs w:val="20"/>
                <w:color w:val="auto"/>
              </w:rPr>
            </w:pPr>
            <w:r>
              <w:rPr>
                <w:rFonts w:ascii="Arial" w:cs="Arial" w:eastAsia="Arial" w:hAnsi="Arial"/>
                <w:sz w:val="12"/>
                <w:szCs w:val="12"/>
                <w:color w:val="auto"/>
                <w:w w:val="94"/>
              </w:rPr>
              <w:t>9.3%</w:t>
            </w:r>
          </w:p>
        </w:tc>
        <w:tc>
          <w:tcPr>
            <w:tcW w:w="0" w:type="dxa"/>
            <w:vAlign w:val="bottom"/>
          </w:tcPr>
          <w:p>
            <w:pPr>
              <w:spacing w:after="0"/>
              <w:rPr>
                <w:sz w:val="1"/>
                <w:szCs w:val="1"/>
                <w:color w:val="auto"/>
              </w:rPr>
            </w:pPr>
          </w:p>
        </w:tc>
      </w:tr>
      <w:tr>
        <w:trPr>
          <w:trHeight w:val="124"/>
        </w:trPr>
        <w:tc>
          <w:tcPr>
            <w:tcW w:w="3680" w:type="dxa"/>
            <w:vAlign w:val="bottom"/>
            <w:tcBorders>
              <w:left w:val="single" w:sz="8" w:color="auto"/>
            </w:tcBorders>
          </w:tcPr>
          <w:p>
            <w:pPr>
              <w:ind w:left="20"/>
              <w:spacing w:after="0" w:line="124" w:lineRule="exact"/>
              <w:rPr>
                <w:sz w:val="20"/>
                <w:szCs w:val="20"/>
                <w:color w:val="auto"/>
              </w:rPr>
            </w:pPr>
            <w:r>
              <w:rPr>
                <w:rFonts w:ascii="Arial" w:cs="Arial" w:eastAsia="Arial" w:hAnsi="Arial"/>
                <w:sz w:val="12"/>
                <w:szCs w:val="12"/>
                <w:color w:val="auto"/>
              </w:rPr>
              <w:t>Due to banks and correspondents</w:t>
            </w:r>
          </w:p>
        </w:tc>
        <w:tc>
          <w:tcPr>
            <w:tcW w:w="112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980" w:type="dxa"/>
            <w:vAlign w:val="bottom"/>
          </w:tcPr>
          <w:p>
            <w:pPr>
              <w:jc w:val="right"/>
              <w:ind w:right="303"/>
              <w:spacing w:after="0" w:line="124" w:lineRule="exact"/>
              <w:rPr>
                <w:sz w:val="20"/>
                <w:szCs w:val="20"/>
                <w:color w:val="auto"/>
              </w:rPr>
            </w:pPr>
            <w:r>
              <w:rPr>
                <w:rFonts w:ascii="Arial" w:cs="Arial" w:eastAsia="Arial" w:hAnsi="Arial"/>
                <w:sz w:val="12"/>
                <w:szCs w:val="12"/>
                <w:color w:val="auto"/>
              </w:rPr>
              <w:t>3,315,936</w:t>
            </w:r>
          </w:p>
        </w:tc>
        <w:tc>
          <w:tcPr>
            <w:tcW w:w="1020" w:type="dxa"/>
            <w:vAlign w:val="bottom"/>
          </w:tcPr>
          <w:p>
            <w:pPr>
              <w:jc w:val="right"/>
              <w:spacing w:after="0" w:line="124" w:lineRule="exact"/>
              <w:rPr>
                <w:sz w:val="20"/>
                <w:szCs w:val="20"/>
                <w:color w:val="auto"/>
              </w:rPr>
            </w:pPr>
            <w:r>
              <w:rPr>
                <w:rFonts w:ascii="Arial" w:cs="Arial" w:eastAsia="Arial" w:hAnsi="Arial"/>
                <w:sz w:val="12"/>
                <w:szCs w:val="12"/>
                <w:color w:val="auto"/>
              </w:rPr>
              <w:t>2,696,599</w:t>
            </w:r>
          </w:p>
        </w:tc>
        <w:tc>
          <w:tcPr>
            <w:tcW w:w="620" w:type="dxa"/>
            <w:vAlign w:val="bottom"/>
          </w:tcPr>
          <w:p>
            <w:pPr>
              <w:spacing w:after="0"/>
              <w:rPr>
                <w:sz w:val="10"/>
                <w:szCs w:val="10"/>
                <w:color w:val="auto"/>
              </w:rPr>
            </w:pPr>
          </w:p>
        </w:tc>
        <w:tc>
          <w:tcPr>
            <w:tcW w:w="70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2"/>
                <w:szCs w:val="12"/>
                <w:color w:val="auto"/>
              </w:rPr>
              <w:t>2,466,913</w:t>
            </w:r>
          </w:p>
        </w:tc>
        <w:tc>
          <w:tcPr>
            <w:tcW w:w="380" w:type="dxa"/>
            <w:vAlign w:val="bottom"/>
          </w:tcPr>
          <w:p>
            <w:pPr>
              <w:spacing w:after="0"/>
              <w:rPr>
                <w:sz w:val="10"/>
                <w:szCs w:val="10"/>
                <w:color w:val="auto"/>
              </w:rPr>
            </w:pPr>
          </w:p>
        </w:tc>
        <w:tc>
          <w:tcPr>
            <w:tcW w:w="740" w:type="dxa"/>
            <w:vAlign w:val="bottom"/>
          </w:tcPr>
          <w:p>
            <w:pPr>
              <w:jc w:val="center"/>
              <w:ind w:right="263"/>
              <w:spacing w:after="0" w:line="124" w:lineRule="exact"/>
              <w:rPr>
                <w:sz w:val="20"/>
                <w:szCs w:val="20"/>
                <w:color w:val="auto"/>
              </w:rPr>
            </w:pPr>
            <w:r>
              <w:rPr>
                <w:rFonts w:ascii="Arial" w:cs="Arial" w:eastAsia="Arial" w:hAnsi="Arial"/>
                <w:sz w:val="12"/>
                <w:szCs w:val="12"/>
                <w:color w:val="auto"/>
                <w:w w:val="95"/>
              </w:rPr>
              <w:t>-8.5%</w:t>
            </w:r>
          </w:p>
        </w:tc>
        <w:tc>
          <w:tcPr>
            <w:tcW w:w="1120" w:type="dxa"/>
            <w:vAlign w:val="bottom"/>
            <w:tcBorders>
              <w:right w:val="single" w:sz="8" w:color="auto"/>
            </w:tcBorders>
          </w:tcPr>
          <w:p>
            <w:pPr>
              <w:jc w:val="center"/>
              <w:ind w:left="3"/>
              <w:spacing w:after="0" w:line="124" w:lineRule="exact"/>
              <w:rPr>
                <w:sz w:val="20"/>
                <w:szCs w:val="20"/>
                <w:color w:val="auto"/>
              </w:rPr>
            </w:pPr>
            <w:r>
              <w:rPr>
                <w:rFonts w:ascii="Arial" w:cs="Arial" w:eastAsia="Arial" w:hAnsi="Arial"/>
                <w:sz w:val="12"/>
                <w:szCs w:val="12"/>
                <w:color w:val="auto"/>
                <w:w w:val="99"/>
              </w:rPr>
              <w:t>-25.6%</w:t>
            </w:r>
          </w:p>
        </w:tc>
        <w:tc>
          <w:tcPr>
            <w:tcW w:w="0" w:type="dxa"/>
            <w:vAlign w:val="bottom"/>
          </w:tcPr>
          <w:p>
            <w:pPr>
              <w:spacing w:after="0"/>
              <w:rPr>
                <w:sz w:val="1"/>
                <w:szCs w:val="1"/>
                <w:color w:val="auto"/>
              </w:rPr>
            </w:pPr>
          </w:p>
        </w:tc>
      </w:tr>
      <w:tr>
        <w:trPr>
          <w:trHeight w:val="124"/>
        </w:trPr>
        <w:tc>
          <w:tcPr>
            <w:tcW w:w="3680" w:type="dxa"/>
            <w:vAlign w:val="bottom"/>
            <w:tcBorders>
              <w:left w:val="single" w:sz="8" w:color="auto"/>
            </w:tcBorders>
          </w:tcPr>
          <w:p>
            <w:pPr>
              <w:ind w:left="20"/>
              <w:spacing w:after="0" w:line="124" w:lineRule="exact"/>
              <w:rPr>
                <w:sz w:val="20"/>
                <w:szCs w:val="20"/>
                <w:color w:val="auto"/>
              </w:rPr>
            </w:pPr>
            <w:r>
              <w:rPr>
                <w:rFonts w:ascii="Arial" w:cs="Arial" w:eastAsia="Arial" w:hAnsi="Arial"/>
                <w:sz w:val="12"/>
                <w:szCs w:val="12"/>
                <w:color w:val="auto"/>
              </w:rPr>
              <w:t>Bonds and subordinated debt</w:t>
            </w:r>
          </w:p>
        </w:tc>
        <w:tc>
          <w:tcPr>
            <w:tcW w:w="112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980" w:type="dxa"/>
            <w:vAlign w:val="bottom"/>
          </w:tcPr>
          <w:p>
            <w:pPr>
              <w:jc w:val="right"/>
              <w:ind w:right="303"/>
              <w:spacing w:after="0" w:line="124" w:lineRule="exact"/>
              <w:rPr>
                <w:sz w:val="20"/>
                <w:szCs w:val="20"/>
                <w:color w:val="auto"/>
              </w:rPr>
            </w:pPr>
            <w:r>
              <w:rPr>
                <w:rFonts w:ascii="Arial" w:cs="Arial" w:eastAsia="Arial" w:hAnsi="Arial"/>
                <w:sz w:val="12"/>
                <w:szCs w:val="12"/>
                <w:color w:val="auto"/>
              </w:rPr>
              <w:t>452,100</w:t>
            </w:r>
          </w:p>
        </w:tc>
        <w:tc>
          <w:tcPr>
            <w:tcW w:w="1020" w:type="dxa"/>
            <w:vAlign w:val="bottom"/>
          </w:tcPr>
          <w:p>
            <w:pPr>
              <w:jc w:val="right"/>
              <w:spacing w:after="0" w:line="124" w:lineRule="exact"/>
              <w:rPr>
                <w:sz w:val="20"/>
                <w:szCs w:val="20"/>
                <w:color w:val="auto"/>
              </w:rPr>
            </w:pPr>
            <w:r>
              <w:rPr>
                <w:rFonts w:ascii="Arial" w:cs="Arial" w:eastAsia="Arial" w:hAnsi="Arial"/>
                <w:sz w:val="12"/>
                <w:szCs w:val="12"/>
                <w:color w:val="auto"/>
              </w:rPr>
              <w:t>651,641</w:t>
            </w:r>
          </w:p>
        </w:tc>
        <w:tc>
          <w:tcPr>
            <w:tcW w:w="620" w:type="dxa"/>
            <w:vAlign w:val="bottom"/>
          </w:tcPr>
          <w:p>
            <w:pPr>
              <w:spacing w:after="0"/>
              <w:rPr>
                <w:sz w:val="10"/>
                <w:szCs w:val="10"/>
                <w:color w:val="auto"/>
              </w:rPr>
            </w:pPr>
          </w:p>
        </w:tc>
        <w:tc>
          <w:tcPr>
            <w:tcW w:w="70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2"/>
                <w:szCs w:val="12"/>
                <w:color w:val="auto"/>
              </w:rPr>
              <w:t>701,233</w:t>
            </w:r>
          </w:p>
        </w:tc>
        <w:tc>
          <w:tcPr>
            <w:tcW w:w="380" w:type="dxa"/>
            <w:vAlign w:val="bottom"/>
          </w:tcPr>
          <w:p>
            <w:pPr>
              <w:spacing w:after="0"/>
              <w:rPr>
                <w:sz w:val="10"/>
                <w:szCs w:val="10"/>
                <w:color w:val="auto"/>
              </w:rPr>
            </w:pPr>
          </w:p>
        </w:tc>
        <w:tc>
          <w:tcPr>
            <w:tcW w:w="740" w:type="dxa"/>
            <w:vAlign w:val="bottom"/>
          </w:tcPr>
          <w:p>
            <w:pPr>
              <w:jc w:val="center"/>
              <w:ind w:right="263"/>
              <w:spacing w:after="0" w:line="124" w:lineRule="exact"/>
              <w:rPr>
                <w:sz w:val="20"/>
                <w:szCs w:val="20"/>
                <w:color w:val="auto"/>
              </w:rPr>
            </w:pPr>
            <w:r>
              <w:rPr>
                <w:rFonts w:ascii="Arial" w:cs="Arial" w:eastAsia="Arial" w:hAnsi="Arial"/>
                <w:sz w:val="12"/>
                <w:szCs w:val="12"/>
                <w:color w:val="auto"/>
                <w:w w:val="94"/>
              </w:rPr>
              <w:t>7.6%</w:t>
            </w:r>
          </w:p>
        </w:tc>
        <w:tc>
          <w:tcPr>
            <w:tcW w:w="1120" w:type="dxa"/>
            <w:vAlign w:val="bottom"/>
            <w:tcBorders>
              <w:right w:val="single" w:sz="8" w:color="auto"/>
            </w:tcBorders>
          </w:tcPr>
          <w:p>
            <w:pPr>
              <w:jc w:val="center"/>
              <w:ind w:left="3"/>
              <w:spacing w:after="0" w:line="124" w:lineRule="exact"/>
              <w:rPr>
                <w:sz w:val="20"/>
                <w:szCs w:val="20"/>
                <w:color w:val="auto"/>
              </w:rPr>
            </w:pPr>
            <w:r>
              <w:rPr>
                <w:rFonts w:ascii="Arial" w:cs="Arial" w:eastAsia="Arial" w:hAnsi="Arial"/>
                <w:sz w:val="12"/>
                <w:szCs w:val="12"/>
                <w:color w:val="auto"/>
                <w:w w:val="99"/>
              </w:rPr>
              <w:t>55.1%</w:t>
            </w:r>
          </w:p>
        </w:tc>
        <w:tc>
          <w:tcPr>
            <w:tcW w:w="0" w:type="dxa"/>
            <w:vAlign w:val="bottom"/>
          </w:tcPr>
          <w:p>
            <w:pPr>
              <w:spacing w:after="0"/>
              <w:rPr>
                <w:sz w:val="1"/>
                <w:szCs w:val="1"/>
                <w:color w:val="auto"/>
              </w:rPr>
            </w:pPr>
          </w:p>
        </w:tc>
      </w:tr>
      <w:tr>
        <w:trPr>
          <w:trHeight w:val="118"/>
        </w:trPr>
        <w:tc>
          <w:tcPr>
            <w:tcW w:w="3680" w:type="dxa"/>
            <w:vAlign w:val="bottom"/>
            <w:tcBorders>
              <w:left w:val="single" w:sz="8" w:color="auto"/>
            </w:tcBorders>
          </w:tcPr>
          <w:p>
            <w:pPr>
              <w:ind w:left="20"/>
              <w:spacing w:after="0" w:line="118" w:lineRule="exact"/>
              <w:rPr>
                <w:sz w:val="20"/>
                <w:szCs w:val="20"/>
                <w:color w:val="auto"/>
              </w:rPr>
            </w:pPr>
            <w:r>
              <w:rPr>
                <w:rFonts w:ascii="Arial" w:cs="Arial" w:eastAsia="Arial" w:hAnsi="Arial"/>
                <w:sz w:val="12"/>
                <w:szCs w:val="12"/>
                <w:color w:val="auto"/>
              </w:rPr>
              <w:t>Other liabilities</w:t>
            </w:r>
          </w:p>
        </w:tc>
        <w:tc>
          <w:tcPr>
            <w:tcW w:w="112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980" w:type="dxa"/>
            <w:vAlign w:val="bottom"/>
          </w:tcPr>
          <w:p>
            <w:pPr>
              <w:jc w:val="right"/>
              <w:ind w:right="303"/>
              <w:spacing w:after="0" w:line="118" w:lineRule="exact"/>
              <w:rPr>
                <w:sz w:val="20"/>
                <w:szCs w:val="20"/>
                <w:color w:val="auto"/>
              </w:rPr>
            </w:pPr>
            <w:r>
              <w:rPr>
                <w:rFonts w:ascii="Arial" w:cs="Arial" w:eastAsia="Arial" w:hAnsi="Arial"/>
                <w:sz w:val="12"/>
                <w:szCs w:val="12"/>
                <w:color w:val="auto"/>
              </w:rPr>
              <w:t>1,923,119</w:t>
            </w:r>
          </w:p>
        </w:tc>
        <w:tc>
          <w:tcPr>
            <w:tcW w:w="1020" w:type="dxa"/>
            <w:vAlign w:val="bottom"/>
          </w:tcPr>
          <w:p>
            <w:pPr>
              <w:jc w:val="right"/>
              <w:spacing w:after="0" w:line="118" w:lineRule="exact"/>
              <w:rPr>
                <w:sz w:val="20"/>
                <w:szCs w:val="20"/>
                <w:color w:val="auto"/>
              </w:rPr>
            </w:pPr>
            <w:r>
              <w:rPr>
                <w:rFonts w:ascii="Arial" w:cs="Arial" w:eastAsia="Arial" w:hAnsi="Arial"/>
                <w:sz w:val="12"/>
                <w:szCs w:val="12"/>
                <w:color w:val="auto"/>
              </w:rPr>
              <w:t>1,059,119</w:t>
            </w:r>
          </w:p>
        </w:tc>
        <w:tc>
          <w:tcPr>
            <w:tcW w:w="620" w:type="dxa"/>
            <w:vAlign w:val="bottom"/>
          </w:tcPr>
          <w:p>
            <w:pPr>
              <w:spacing w:after="0"/>
              <w:rPr>
                <w:sz w:val="10"/>
                <w:szCs w:val="10"/>
                <w:color w:val="auto"/>
              </w:rPr>
            </w:pPr>
          </w:p>
        </w:tc>
        <w:tc>
          <w:tcPr>
            <w:tcW w:w="700" w:type="dxa"/>
            <w:vAlign w:val="bottom"/>
            <w:tcBorders>
              <w:right w:val="single" w:sz="8" w:color="auto"/>
            </w:tcBorders>
          </w:tcPr>
          <w:p>
            <w:pPr>
              <w:jc w:val="right"/>
              <w:spacing w:after="0" w:line="118" w:lineRule="exact"/>
              <w:rPr>
                <w:sz w:val="20"/>
                <w:szCs w:val="20"/>
                <w:color w:val="auto"/>
              </w:rPr>
            </w:pPr>
            <w:r>
              <w:rPr>
                <w:rFonts w:ascii="Arial" w:cs="Arial" w:eastAsia="Arial" w:hAnsi="Arial"/>
                <w:sz w:val="12"/>
                <w:szCs w:val="12"/>
                <w:color w:val="auto"/>
              </w:rPr>
              <w:t>643,403</w:t>
            </w:r>
          </w:p>
        </w:tc>
        <w:tc>
          <w:tcPr>
            <w:tcW w:w="380" w:type="dxa"/>
            <w:vAlign w:val="bottom"/>
          </w:tcPr>
          <w:p>
            <w:pPr>
              <w:spacing w:after="0"/>
              <w:rPr>
                <w:sz w:val="10"/>
                <w:szCs w:val="10"/>
                <w:color w:val="auto"/>
              </w:rPr>
            </w:pPr>
          </w:p>
        </w:tc>
        <w:tc>
          <w:tcPr>
            <w:tcW w:w="740" w:type="dxa"/>
            <w:vAlign w:val="bottom"/>
          </w:tcPr>
          <w:p>
            <w:pPr>
              <w:jc w:val="center"/>
              <w:ind w:right="243"/>
              <w:spacing w:after="0" w:line="118" w:lineRule="exact"/>
              <w:rPr>
                <w:sz w:val="20"/>
                <w:szCs w:val="20"/>
                <w:color w:val="auto"/>
              </w:rPr>
            </w:pPr>
            <w:r>
              <w:rPr>
                <w:rFonts w:ascii="Arial" w:cs="Arial" w:eastAsia="Arial" w:hAnsi="Arial"/>
                <w:sz w:val="12"/>
                <w:szCs w:val="12"/>
                <w:color w:val="auto"/>
                <w:w w:val="94"/>
              </w:rPr>
              <w:t>-39.3%</w:t>
            </w:r>
          </w:p>
        </w:tc>
        <w:tc>
          <w:tcPr>
            <w:tcW w:w="1120" w:type="dxa"/>
            <w:vAlign w:val="bottom"/>
            <w:tcBorders>
              <w:right w:val="single" w:sz="8" w:color="auto"/>
            </w:tcBorders>
          </w:tcPr>
          <w:p>
            <w:pPr>
              <w:jc w:val="center"/>
              <w:ind w:left="3"/>
              <w:spacing w:after="0" w:line="118" w:lineRule="exact"/>
              <w:rPr>
                <w:sz w:val="20"/>
                <w:szCs w:val="20"/>
                <w:color w:val="auto"/>
              </w:rPr>
            </w:pPr>
            <w:r>
              <w:rPr>
                <w:rFonts w:ascii="Arial" w:cs="Arial" w:eastAsia="Arial" w:hAnsi="Arial"/>
                <w:sz w:val="12"/>
                <w:szCs w:val="12"/>
                <w:color w:val="auto"/>
                <w:w w:val="99"/>
              </w:rPr>
              <w:t>-66.5%</w:t>
            </w:r>
          </w:p>
        </w:tc>
        <w:tc>
          <w:tcPr>
            <w:tcW w:w="0" w:type="dxa"/>
            <w:vAlign w:val="bottom"/>
          </w:tcPr>
          <w:p>
            <w:pPr>
              <w:spacing w:after="0"/>
              <w:rPr>
                <w:sz w:val="1"/>
                <w:szCs w:val="1"/>
                <w:color w:val="auto"/>
              </w:rPr>
            </w:pPr>
          </w:p>
        </w:tc>
      </w:tr>
      <w:tr>
        <w:trPr>
          <w:trHeight w:val="160"/>
        </w:trPr>
        <w:tc>
          <w:tcPr>
            <w:tcW w:w="3680" w:type="dxa"/>
            <w:vAlign w:val="bottom"/>
            <w:tcBorders>
              <w:left w:val="single" w:sz="8" w:color="auto"/>
            </w:tcBorders>
          </w:tcPr>
          <w:p>
            <w:pPr>
              <w:ind w:left="2100"/>
              <w:spacing w:after="0"/>
              <w:rPr>
                <w:sz w:val="20"/>
                <w:szCs w:val="20"/>
                <w:color w:val="auto"/>
              </w:rPr>
            </w:pPr>
            <w:r>
              <w:rPr>
                <w:rFonts w:ascii="Arial" w:cs="Arial" w:eastAsia="Arial" w:hAnsi="Arial"/>
                <w:sz w:val="12"/>
                <w:szCs w:val="12"/>
                <w:b w:val="1"/>
                <w:bCs w:val="1"/>
                <w:color w:val="auto"/>
              </w:rPr>
              <w:t>Total liabilities</w:t>
            </w:r>
          </w:p>
        </w:tc>
        <w:tc>
          <w:tcPr>
            <w:tcW w:w="112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980" w:type="dxa"/>
            <w:vAlign w:val="bottom"/>
          </w:tcPr>
          <w:p>
            <w:pPr>
              <w:jc w:val="right"/>
              <w:ind w:right="303"/>
              <w:spacing w:after="0"/>
              <w:rPr>
                <w:sz w:val="20"/>
                <w:szCs w:val="20"/>
                <w:color w:val="auto"/>
              </w:rPr>
            </w:pPr>
            <w:r>
              <w:rPr>
                <w:rFonts w:ascii="Arial" w:cs="Arial" w:eastAsia="Arial" w:hAnsi="Arial"/>
                <w:sz w:val="12"/>
                <w:szCs w:val="12"/>
                <w:b w:val="1"/>
                <w:bCs w:val="1"/>
                <w:color w:val="auto"/>
                <w:w w:val="99"/>
              </w:rPr>
              <w:t>14,876,508</w:t>
            </w:r>
          </w:p>
        </w:tc>
        <w:tc>
          <w:tcPr>
            <w:tcW w:w="1020" w:type="dxa"/>
            <w:vAlign w:val="bottom"/>
          </w:tcPr>
          <w:p>
            <w:pPr>
              <w:jc w:val="right"/>
              <w:spacing w:after="0"/>
              <w:rPr>
                <w:sz w:val="20"/>
                <w:szCs w:val="20"/>
                <w:color w:val="auto"/>
              </w:rPr>
            </w:pPr>
            <w:r>
              <w:rPr>
                <w:rFonts w:ascii="Arial" w:cs="Arial" w:eastAsia="Arial" w:hAnsi="Arial"/>
                <w:sz w:val="12"/>
                <w:szCs w:val="12"/>
                <w:b w:val="1"/>
                <w:bCs w:val="1"/>
                <w:color w:val="auto"/>
              </w:rPr>
              <w:t>14,265,703</w:t>
            </w:r>
          </w:p>
        </w:tc>
        <w:tc>
          <w:tcPr>
            <w:tcW w:w="620" w:type="dxa"/>
            <w:vAlign w:val="bottom"/>
          </w:tcPr>
          <w:p>
            <w:pPr>
              <w:spacing w:after="0"/>
              <w:rPr>
                <w:sz w:val="13"/>
                <w:szCs w:val="13"/>
                <w:color w:val="auto"/>
              </w:rPr>
            </w:pP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2"/>
                <w:szCs w:val="12"/>
                <w:b w:val="1"/>
                <w:bCs w:val="1"/>
                <w:color w:val="auto"/>
              </w:rPr>
              <w:t>13,848,316</w:t>
            </w:r>
          </w:p>
        </w:tc>
        <w:tc>
          <w:tcPr>
            <w:tcW w:w="380" w:type="dxa"/>
            <w:vAlign w:val="bottom"/>
          </w:tcPr>
          <w:p>
            <w:pPr>
              <w:spacing w:after="0"/>
              <w:rPr>
                <w:sz w:val="13"/>
                <w:szCs w:val="13"/>
                <w:color w:val="auto"/>
              </w:rPr>
            </w:pPr>
          </w:p>
        </w:tc>
        <w:tc>
          <w:tcPr>
            <w:tcW w:w="740" w:type="dxa"/>
            <w:vAlign w:val="bottom"/>
          </w:tcPr>
          <w:p>
            <w:pPr>
              <w:jc w:val="center"/>
              <w:ind w:right="263"/>
              <w:spacing w:after="0"/>
              <w:rPr>
                <w:sz w:val="20"/>
                <w:szCs w:val="20"/>
                <w:color w:val="auto"/>
              </w:rPr>
            </w:pPr>
            <w:r>
              <w:rPr>
                <w:rFonts w:ascii="Arial" w:cs="Arial" w:eastAsia="Arial" w:hAnsi="Arial"/>
                <w:sz w:val="12"/>
                <w:szCs w:val="12"/>
                <w:b w:val="1"/>
                <w:bCs w:val="1"/>
                <w:color w:val="auto"/>
                <w:w w:val="95"/>
              </w:rPr>
              <w:t>-2.9%</w:t>
            </w:r>
          </w:p>
        </w:tc>
        <w:tc>
          <w:tcPr>
            <w:tcW w:w="1120" w:type="dxa"/>
            <w:vAlign w:val="bottom"/>
            <w:tcBorders>
              <w:right w:val="single" w:sz="8" w:color="auto"/>
            </w:tcBorders>
          </w:tcPr>
          <w:p>
            <w:pPr>
              <w:jc w:val="center"/>
              <w:ind w:left="3"/>
              <w:spacing w:after="0"/>
              <w:rPr>
                <w:sz w:val="20"/>
                <w:szCs w:val="20"/>
                <w:color w:val="auto"/>
              </w:rPr>
            </w:pPr>
            <w:r>
              <w:rPr>
                <w:rFonts w:ascii="Arial" w:cs="Arial" w:eastAsia="Arial" w:hAnsi="Arial"/>
                <w:sz w:val="12"/>
                <w:szCs w:val="12"/>
                <w:b w:val="1"/>
                <w:bCs w:val="1"/>
                <w:color w:val="auto"/>
                <w:w w:val="95"/>
              </w:rPr>
              <w:t>-6.9%</w:t>
            </w:r>
          </w:p>
        </w:tc>
        <w:tc>
          <w:tcPr>
            <w:tcW w:w="0" w:type="dxa"/>
            <w:vAlign w:val="bottom"/>
          </w:tcPr>
          <w:p>
            <w:pPr>
              <w:spacing w:after="0"/>
              <w:rPr>
                <w:sz w:val="1"/>
                <w:szCs w:val="1"/>
                <w:color w:val="auto"/>
              </w:rPr>
            </w:pPr>
          </w:p>
        </w:tc>
      </w:tr>
      <w:tr>
        <w:trPr>
          <w:trHeight w:val="247"/>
        </w:trPr>
        <w:tc>
          <w:tcPr>
            <w:tcW w:w="3680" w:type="dxa"/>
            <w:vAlign w:val="bottom"/>
            <w:tcBorders>
              <w:left w:val="single" w:sz="8" w:color="auto"/>
            </w:tcBorders>
          </w:tcPr>
          <w:p>
            <w:pPr>
              <w:ind w:left="20"/>
              <w:spacing w:after="0"/>
              <w:rPr>
                <w:sz w:val="20"/>
                <w:szCs w:val="20"/>
                <w:color w:val="auto"/>
              </w:rPr>
            </w:pPr>
            <w:r>
              <w:rPr>
                <w:rFonts w:ascii="Arial" w:cs="Arial" w:eastAsia="Arial" w:hAnsi="Arial"/>
                <w:sz w:val="12"/>
                <w:szCs w:val="12"/>
                <w:b w:val="1"/>
                <w:bCs w:val="1"/>
                <w:color w:val="auto"/>
              </w:rPr>
              <w:t>Net equity</w:t>
            </w:r>
          </w:p>
        </w:tc>
        <w:tc>
          <w:tcPr>
            <w:tcW w:w="112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c>
          <w:tcPr>
            <w:tcW w:w="680" w:type="dxa"/>
            <w:vAlign w:val="bottom"/>
          </w:tcPr>
          <w:p>
            <w:pPr>
              <w:spacing w:after="0"/>
              <w:rPr>
                <w:sz w:val="21"/>
                <w:szCs w:val="21"/>
                <w:color w:val="auto"/>
              </w:rPr>
            </w:pPr>
          </w:p>
        </w:tc>
        <w:tc>
          <w:tcPr>
            <w:tcW w:w="980" w:type="dxa"/>
            <w:vAlign w:val="bottom"/>
          </w:tcPr>
          <w:p>
            <w:pPr>
              <w:jc w:val="right"/>
              <w:ind w:right="303"/>
              <w:spacing w:after="0"/>
              <w:rPr>
                <w:sz w:val="20"/>
                <w:szCs w:val="20"/>
                <w:color w:val="auto"/>
              </w:rPr>
            </w:pPr>
            <w:r>
              <w:rPr>
                <w:rFonts w:ascii="Arial" w:cs="Arial" w:eastAsia="Arial" w:hAnsi="Arial"/>
                <w:sz w:val="12"/>
                <w:szCs w:val="12"/>
                <w:b w:val="1"/>
                <w:bCs w:val="1"/>
                <w:color w:val="auto"/>
              </w:rPr>
              <w:t>2,731,223</w:t>
            </w:r>
          </w:p>
        </w:tc>
        <w:tc>
          <w:tcPr>
            <w:tcW w:w="1020" w:type="dxa"/>
            <w:vAlign w:val="bottom"/>
          </w:tcPr>
          <w:p>
            <w:pPr>
              <w:jc w:val="right"/>
              <w:spacing w:after="0"/>
              <w:rPr>
                <w:sz w:val="20"/>
                <w:szCs w:val="20"/>
                <w:color w:val="auto"/>
              </w:rPr>
            </w:pPr>
            <w:r>
              <w:rPr>
                <w:rFonts w:ascii="Arial" w:cs="Arial" w:eastAsia="Arial" w:hAnsi="Arial"/>
                <w:sz w:val="12"/>
                <w:szCs w:val="12"/>
                <w:b w:val="1"/>
                <w:bCs w:val="1"/>
                <w:color w:val="auto"/>
              </w:rPr>
              <w:t>2,878,354</w:t>
            </w:r>
          </w:p>
        </w:tc>
        <w:tc>
          <w:tcPr>
            <w:tcW w:w="620" w:type="dxa"/>
            <w:vAlign w:val="bottom"/>
          </w:tcPr>
          <w:p>
            <w:pPr>
              <w:spacing w:after="0"/>
              <w:rPr>
                <w:sz w:val="21"/>
                <w:szCs w:val="21"/>
                <w:color w:val="auto"/>
              </w:rPr>
            </w:pPr>
          </w:p>
        </w:tc>
        <w:tc>
          <w:tcPr>
            <w:tcW w:w="700" w:type="dxa"/>
            <w:vAlign w:val="bottom"/>
            <w:tcBorders>
              <w:right w:val="single" w:sz="8" w:color="auto"/>
            </w:tcBorders>
          </w:tcPr>
          <w:p>
            <w:pPr>
              <w:jc w:val="right"/>
              <w:spacing w:after="0"/>
              <w:rPr>
                <w:sz w:val="20"/>
                <w:szCs w:val="20"/>
                <w:color w:val="auto"/>
              </w:rPr>
            </w:pPr>
            <w:r>
              <w:rPr>
                <w:rFonts w:ascii="Arial" w:cs="Arial" w:eastAsia="Arial" w:hAnsi="Arial"/>
                <w:sz w:val="12"/>
                <w:szCs w:val="12"/>
                <w:b w:val="1"/>
                <w:bCs w:val="1"/>
                <w:color w:val="auto"/>
              </w:rPr>
              <w:t>2,930,865</w:t>
            </w:r>
          </w:p>
        </w:tc>
        <w:tc>
          <w:tcPr>
            <w:tcW w:w="380" w:type="dxa"/>
            <w:vAlign w:val="bottom"/>
          </w:tcPr>
          <w:p>
            <w:pPr>
              <w:spacing w:after="0"/>
              <w:rPr>
                <w:sz w:val="21"/>
                <w:szCs w:val="21"/>
                <w:color w:val="auto"/>
              </w:rPr>
            </w:pPr>
          </w:p>
        </w:tc>
        <w:tc>
          <w:tcPr>
            <w:tcW w:w="740" w:type="dxa"/>
            <w:vAlign w:val="bottom"/>
          </w:tcPr>
          <w:p>
            <w:pPr>
              <w:jc w:val="center"/>
              <w:ind w:right="263"/>
              <w:spacing w:after="0"/>
              <w:rPr>
                <w:sz w:val="20"/>
                <w:szCs w:val="20"/>
                <w:color w:val="auto"/>
              </w:rPr>
            </w:pPr>
            <w:r>
              <w:rPr>
                <w:rFonts w:ascii="Arial" w:cs="Arial" w:eastAsia="Arial" w:hAnsi="Arial"/>
                <w:sz w:val="12"/>
                <w:szCs w:val="12"/>
                <w:b w:val="1"/>
                <w:bCs w:val="1"/>
                <w:color w:val="auto"/>
                <w:w w:val="94"/>
              </w:rPr>
              <w:t>1.8%</w:t>
            </w:r>
          </w:p>
        </w:tc>
        <w:tc>
          <w:tcPr>
            <w:tcW w:w="1120" w:type="dxa"/>
            <w:vAlign w:val="bottom"/>
            <w:tcBorders>
              <w:right w:val="single" w:sz="8" w:color="auto"/>
            </w:tcBorders>
          </w:tcPr>
          <w:p>
            <w:pPr>
              <w:jc w:val="center"/>
              <w:ind w:left="3"/>
              <w:spacing w:after="0"/>
              <w:rPr>
                <w:sz w:val="20"/>
                <w:szCs w:val="20"/>
                <w:color w:val="auto"/>
              </w:rPr>
            </w:pPr>
            <w:r>
              <w:rPr>
                <w:rFonts w:ascii="Arial" w:cs="Arial" w:eastAsia="Arial" w:hAnsi="Arial"/>
                <w:sz w:val="12"/>
                <w:szCs w:val="12"/>
                <w:b w:val="1"/>
                <w:bCs w:val="1"/>
                <w:color w:val="auto"/>
                <w:w w:val="94"/>
              </w:rPr>
              <w:t>7.3%</w:t>
            </w:r>
          </w:p>
        </w:tc>
        <w:tc>
          <w:tcPr>
            <w:tcW w:w="0" w:type="dxa"/>
            <w:vAlign w:val="bottom"/>
          </w:tcPr>
          <w:p>
            <w:pPr>
              <w:spacing w:after="0"/>
              <w:rPr>
                <w:sz w:val="1"/>
                <w:szCs w:val="1"/>
                <w:color w:val="auto"/>
              </w:rPr>
            </w:pPr>
          </w:p>
        </w:tc>
      </w:tr>
      <w:tr>
        <w:trPr>
          <w:trHeight w:val="230"/>
        </w:trPr>
        <w:tc>
          <w:tcPr>
            <w:tcW w:w="368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2"/>
                <w:szCs w:val="12"/>
                <w:b w:val="1"/>
                <w:bCs w:val="1"/>
                <w:color w:val="auto"/>
              </w:rPr>
              <w:t>TOTAL LIABILITIES AND NET SHAREHOLDERS’ EQUITY</w:t>
            </w:r>
          </w:p>
        </w:tc>
        <w:tc>
          <w:tcPr>
            <w:tcW w:w="1120" w:type="dxa"/>
            <w:vAlign w:val="bottom"/>
            <w:tcBorders>
              <w:bottom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03"/>
              <w:spacing w:after="0"/>
              <w:rPr>
                <w:sz w:val="20"/>
                <w:szCs w:val="20"/>
                <w:color w:val="auto"/>
              </w:rPr>
            </w:pPr>
            <w:r>
              <w:rPr>
                <w:rFonts w:ascii="Arial" w:cs="Arial" w:eastAsia="Arial" w:hAnsi="Arial"/>
                <w:sz w:val="12"/>
                <w:szCs w:val="12"/>
                <w:b w:val="1"/>
                <w:bCs w:val="1"/>
                <w:color w:val="auto"/>
                <w:w w:val="99"/>
              </w:rPr>
              <w:t>17,607,731</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17,144,058</w:t>
            </w:r>
          </w:p>
        </w:tc>
        <w:tc>
          <w:tcPr>
            <w:tcW w:w="620" w:type="dxa"/>
            <w:vAlign w:val="bottom"/>
            <w:tcBorders>
              <w:bottom w:val="single" w:sz="8" w:color="auto"/>
            </w:tcBorders>
          </w:tcPr>
          <w:p>
            <w:pPr>
              <w:spacing w:after="0"/>
              <w:rPr>
                <w:sz w:val="19"/>
                <w:szCs w:val="19"/>
                <w:color w:val="auto"/>
              </w:rPr>
            </w:pPr>
          </w:p>
        </w:tc>
        <w:tc>
          <w:tcPr>
            <w:tcW w:w="7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2"/>
                <w:szCs w:val="12"/>
                <w:b w:val="1"/>
                <w:bCs w:val="1"/>
                <w:color w:val="auto"/>
              </w:rPr>
              <w:t>16,779,181</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center"/>
              <w:ind w:right="263"/>
              <w:spacing w:after="0"/>
              <w:rPr>
                <w:sz w:val="20"/>
                <w:szCs w:val="20"/>
                <w:color w:val="auto"/>
              </w:rPr>
            </w:pPr>
            <w:r>
              <w:rPr>
                <w:rFonts w:ascii="Arial" w:cs="Arial" w:eastAsia="Arial" w:hAnsi="Arial"/>
                <w:sz w:val="12"/>
                <w:szCs w:val="12"/>
                <w:b w:val="1"/>
                <w:bCs w:val="1"/>
                <w:color w:val="auto"/>
                <w:w w:val="95"/>
              </w:rPr>
              <w:t>-2.1%</w:t>
            </w:r>
          </w:p>
        </w:tc>
        <w:tc>
          <w:tcPr>
            <w:tcW w:w="1120" w:type="dxa"/>
            <w:vAlign w:val="bottom"/>
            <w:tcBorders>
              <w:bottom w:val="single" w:sz="8" w:color="auto"/>
              <w:right w:val="single" w:sz="8" w:color="auto"/>
            </w:tcBorders>
          </w:tcPr>
          <w:p>
            <w:pPr>
              <w:jc w:val="center"/>
              <w:ind w:left="3"/>
              <w:spacing w:after="0"/>
              <w:rPr>
                <w:sz w:val="20"/>
                <w:szCs w:val="20"/>
                <w:color w:val="auto"/>
              </w:rPr>
            </w:pPr>
            <w:r>
              <w:rPr>
                <w:rFonts w:ascii="Arial" w:cs="Arial" w:eastAsia="Arial" w:hAnsi="Arial"/>
                <w:sz w:val="12"/>
                <w:szCs w:val="12"/>
                <w:b w:val="1"/>
                <w:bCs w:val="1"/>
                <w:color w:val="auto"/>
                <w:w w:val="95"/>
              </w:rPr>
              <w:t>-4.7%</w:t>
            </w:r>
          </w:p>
        </w:tc>
        <w:tc>
          <w:tcPr>
            <w:tcW w:w="0" w:type="dxa"/>
            <w:vAlign w:val="bottom"/>
          </w:tcPr>
          <w:p>
            <w:pPr>
              <w:spacing w:after="0"/>
              <w:rPr>
                <w:sz w:val="1"/>
                <w:szCs w:val="1"/>
                <w:color w:val="auto"/>
              </w:rPr>
            </w:pPr>
          </w:p>
        </w:tc>
      </w:tr>
      <w:tr>
        <w:trPr>
          <w:trHeight w:val="165"/>
        </w:trPr>
        <w:tc>
          <w:tcPr>
            <w:tcW w:w="368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7"/>
        </w:trPr>
        <w:tc>
          <w:tcPr>
            <w:tcW w:w="3680" w:type="dxa"/>
            <w:vAlign w:val="bottom"/>
            <w:tcBorders>
              <w:right w:val="single" w:sz="8" w:color="auto"/>
            </w:tcBorders>
          </w:tcPr>
          <w:p>
            <w:pPr>
              <w:spacing w:after="0"/>
              <w:rPr>
                <w:sz w:val="8"/>
                <w:szCs w:val="8"/>
                <w:color w:val="auto"/>
              </w:rPr>
            </w:pPr>
          </w:p>
        </w:tc>
        <w:tc>
          <w:tcPr>
            <w:tcW w:w="1120" w:type="dxa"/>
            <w:vAlign w:val="bottom"/>
            <w:vMerge w:val="restart"/>
            <w:shd w:val="clear" w:color="auto" w:fill="33CCCC"/>
          </w:tcPr>
          <w:p>
            <w:pPr>
              <w:jc w:val="center"/>
              <w:ind w:right="103"/>
              <w:spacing w:after="0"/>
              <w:rPr>
                <w:sz w:val="20"/>
                <w:szCs w:val="20"/>
                <w:color w:val="auto"/>
              </w:rPr>
            </w:pPr>
            <w:r>
              <w:rPr>
                <w:rFonts w:ascii="Arial" w:cs="Arial" w:eastAsia="Arial" w:hAnsi="Arial"/>
                <w:sz w:val="12"/>
                <w:szCs w:val="12"/>
                <w:b w:val="1"/>
                <w:bCs w:val="1"/>
                <w:color w:val="FFFFFF"/>
                <w:w w:val="95"/>
              </w:rPr>
              <w:t>2Q22</w:t>
            </w:r>
          </w:p>
        </w:tc>
        <w:tc>
          <w:tcPr>
            <w:tcW w:w="900" w:type="dxa"/>
            <w:vAlign w:val="bottom"/>
            <w:gridSpan w:val="2"/>
            <w:shd w:val="clear" w:color="auto" w:fill="33CCCC"/>
          </w:tcPr>
          <w:p>
            <w:pPr>
              <w:jc w:val="right"/>
              <w:ind w:right="262"/>
              <w:spacing w:after="0" w:line="97" w:lineRule="exact"/>
              <w:rPr>
                <w:sz w:val="20"/>
                <w:szCs w:val="20"/>
                <w:color w:val="auto"/>
              </w:rPr>
            </w:pPr>
            <w:r>
              <w:rPr>
                <w:rFonts w:ascii="Arial" w:cs="Arial" w:eastAsia="Arial" w:hAnsi="Arial"/>
                <w:sz w:val="10"/>
                <w:szCs w:val="10"/>
                <w:b w:val="1"/>
                <w:bCs w:val="1"/>
                <w:color w:val="FFFFFF"/>
              </w:rPr>
              <w:t>Quarter</w:t>
            </w:r>
          </w:p>
        </w:tc>
        <w:tc>
          <w:tcPr>
            <w:tcW w:w="980" w:type="dxa"/>
            <w:vAlign w:val="bottom"/>
            <w:tcBorders>
              <w:right w:val="single" w:sz="8" w:color="auto"/>
            </w:tcBorders>
            <w:vMerge w:val="restart"/>
            <w:shd w:val="clear" w:color="auto" w:fill="33CCCC"/>
          </w:tcPr>
          <w:p>
            <w:pPr>
              <w:jc w:val="center"/>
              <w:ind w:right="3"/>
              <w:spacing w:after="0"/>
              <w:rPr>
                <w:sz w:val="20"/>
                <w:szCs w:val="20"/>
                <w:color w:val="auto"/>
              </w:rPr>
            </w:pPr>
            <w:r>
              <w:rPr>
                <w:rFonts w:ascii="Arial" w:cs="Arial" w:eastAsia="Arial" w:hAnsi="Arial"/>
                <w:sz w:val="12"/>
                <w:szCs w:val="12"/>
                <w:b w:val="1"/>
                <w:bCs w:val="1"/>
                <w:color w:val="FFFFFF"/>
                <w:w w:val="95"/>
              </w:rPr>
              <w:t>2Q23</w:t>
            </w:r>
          </w:p>
        </w:tc>
        <w:tc>
          <w:tcPr>
            <w:tcW w:w="1640" w:type="dxa"/>
            <w:vAlign w:val="bottom"/>
            <w:tcBorders>
              <w:right w:val="single" w:sz="8" w:color="auto"/>
            </w:tcBorders>
            <w:gridSpan w:val="2"/>
            <w:shd w:val="clear" w:color="auto" w:fill="33CCCC"/>
          </w:tcPr>
          <w:p>
            <w:pPr>
              <w:jc w:val="right"/>
              <w:ind w:right="503"/>
              <w:spacing w:after="0" w:line="97" w:lineRule="exact"/>
              <w:rPr>
                <w:sz w:val="20"/>
                <w:szCs w:val="20"/>
                <w:color w:val="auto"/>
              </w:rPr>
            </w:pPr>
            <w:r>
              <w:rPr>
                <w:rFonts w:ascii="Arial" w:cs="Arial" w:eastAsia="Arial" w:hAnsi="Arial"/>
                <w:sz w:val="10"/>
                <w:szCs w:val="10"/>
                <w:b w:val="1"/>
                <w:bCs w:val="1"/>
                <w:color w:val="FFFFFF"/>
              </w:rPr>
              <w:t>% change</w:t>
            </w:r>
          </w:p>
        </w:tc>
        <w:tc>
          <w:tcPr>
            <w:tcW w:w="700" w:type="dxa"/>
            <w:vAlign w:val="bottom"/>
            <w:tcBorders>
              <w:right w:val="single" w:sz="8" w:color="33CCCC"/>
            </w:tcBorders>
            <w:shd w:val="clear" w:color="auto" w:fill="33CCCC"/>
          </w:tcPr>
          <w:p>
            <w:pPr>
              <w:spacing w:after="0"/>
              <w:rPr>
                <w:sz w:val="8"/>
                <w:szCs w:val="8"/>
                <w:color w:val="auto"/>
              </w:rPr>
            </w:pPr>
          </w:p>
        </w:tc>
        <w:tc>
          <w:tcPr>
            <w:tcW w:w="380" w:type="dxa"/>
            <w:vAlign w:val="bottom"/>
            <w:shd w:val="clear" w:color="auto" w:fill="33CCCC"/>
          </w:tcPr>
          <w:p>
            <w:pPr>
              <w:jc w:val="right"/>
              <w:spacing w:after="0" w:line="97" w:lineRule="exact"/>
              <w:rPr>
                <w:sz w:val="20"/>
                <w:szCs w:val="20"/>
                <w:color w:val="auto"/>
              </w:rPr>
            </w:pPr>
            <w:r>
              <w:rPr>
                <w:rFonts w:ascii="Arial" w:cs="Arial" w:eastAsia="Arial" w:hAnsi="Arial"/>
                <w:sz w:val="10"/>
                <w:szCs w:val="10"/>
                <w:b w:val="1"/>
                <w:bCs w:val="1"/>
                <w:color w:val="FFFFFF"/>
              </w:rPr>
              <w:t>Up to</w:t>
            </w:r>
          </w:p>
        </w:tc>
        <w:tc>
          <w:tcPr>
            <w:tcW w:w="740" w:type="dxa"/>
            <w:vAlign w:val="bottom"/>
            <w:tcBorders>
              <w:right w:val="single" w:sz="8" w:color="auto"/>
            </w:tcBorders>
            <w:vMerge w:val="restart"/>
            <w:shd w:val="clear" w:color="auto" w:fill="33CCCC"/>
          </w:tcPr>
          <w:p>
            <w:pPr>
              <w:jc w:val="right"/>
              <w:ind w:right="243"/>
              <w:spacing w:after="0"/>
              <w:rPr>
                <w:sz w:val="20"/>
                <w:szCs w:val="20"/>
                <w:color w:val="auto"/>
              </w:rPr>
            </w:pPr>
            <w:r>
              <w:rPr>
                <w:rFonts w:ascii="Arial" w:cs="Arial" w:eastAsia="Arial" w:hAnsi="Arial"/>
                <w:sz w:val="12"/>
                <w:szCs w:val="12"/>
                <w:b w:val="1"/>
                <w:bCs w:val="1"/>
                <w:color w:val="FFFFFF"/>
              </w:rPr>
              <w:t>Sep 23</w:t>
            </w:r>
          </w:p>
        </w:tc>
        <w:tc>
          <w:tcPr>
            <w:tcW w:w="1120" w:type="dxa"/>
            <w:vAlign w:val="bottom"/>
            <w:tcBorders>
              <w:right w:val="single" w:sz="8" w:color="auto"/>
            </w:tcBorders>
            <w:shd w:val="clear" w:color="auto" w:fill="33CCCC"/>
          </w:tcPr>
          <w:p>
            <w:pPr>
              <w:jc w:val="center"/>
              <w:spacing w:after="0" w:line="97" w:lineRule="exact"/>
              <w:rPr>
                <w:sz w:val="20"/>
                <w:szCs w:val="20"/>
                <w:color w:val="auto"/>
              </w:rPr>
            </w:pPr>
            <w:r>
              <w:rPr>
                <w:rFonts w:ascii="Arial" w:cs="Arial" w:eastAsia="Arial" w:hAnsi="Arial"/>
                <w:sz w:val="10"/>
                <w:szCs w:val="10"/>
                <w:b w:val="1"/>
                <w:bCs w:val="1"/>
                <w:color w:val="FFFFFF"/>
              </w:rPr>
              <w:t>% change</w:t>
            </w:r>
          </w:p>
        </w:tc>
        <w:tc>
          <w:tcPr>
            <w:tcW w:w="0" w:type="dxa"/>
            <w:vAlign w:val="bottom"/>
          </w:tcPr>
          <w:p>
            <w:pPr>
              <w:spacing w:after="0"/>
              <w:rPr>
                <w:sz w:val="1"/>
                <w:szCs w:val="1"/>
                <w:color w:val="auto"/>
              </w:rPr>
            </w:pPr>
          </w:p>
        </w:tc>
      </w:tr>
      <w:tr>
        <w:trPr>
          <w:trHeight w:val="155"/>
        </w:trPr>
        <w:tc>
          <w:tcPr>
            <w:tcW w:w="3680" w:type="dxa"/>
            <w:vAlign w:val="bottom"/>
            <w:tcBorders>
              <w:bottom w:val="single" w:sz="8" w:color="auto"/>
              <w:right w:val="single" w:sz="8" w:color="auto"/>
            </w:tcBorders>
          </w:tcPr>
          <w:p>
            <w:pPr>
              <w:spacing w:after="0"/>
              <w:rPr>
                <w:sz w:val="13"/>
                <w:szCs w:val="13"/>
                <w:color w:val="auto"/>
              </w:rPr>
            </w:pPr>
          </w:p>
        </w:tc>
        <w:tc>
          <w:tcPr>
            <w:tcW w:w="1120" w:type="dxa"/>
            <w:vAlign w:val="bottom"/>
            <w:tcBorders>
              <w:bottom w:val="single" w:sz="8" w:color="auto"/>
            </w:tcBorders>
            <w:vMerge w:val="continue"/>
            <w:shd w:val="clear" w:color="auto" w:fill="33CCCC"/>
          </w:tcPr>
          <w:p>
            <w:pPr>
              <w:spacing w:after="0"/>
              <w:rPr>
                <w:sz w:val="13"/>
                <w:szCs w:val="13"/>
                <w:color w:val="auto"/>
              </w:rPr>
            </w:pPr>
          </w:p>
        </w:tc>
        <w:tc>
          <w:tcPr>
            <w:tcW w:w="220" w:type="dxa"/>
            <w:vAlign w:val="bottom"/>
            <w:tcBorders>
              <w:bottom w:val="single" w:sz="8" w:color="auto"/>
              <w:right w:val="single" w:sz="8" w:color="33CCCC"/>
            </w:tcBorders>
            <w:shd w:val="clear" w:color="auto" w:fill="33CCCC"/>
          </w:tcPr>
          <w:p>
            <w:pPr>
              <w:spacing w:after="0"/>
              <w:rPr>
                <w:sz w:val="13"/>
                <w:szCs w:val="13"/>
                <w:color w:val="auto"/>
              </w:rPr>
            </w:pPr>
          </w:p>
        </w:tc>
        <w:tc>
          <w:tcPr>
            <w:tcW w:w="680" w:type="dxa"/>
            <w:vAlign w:val="bottom"/>
            <w:tcBorders>
              <w:bottom w:val="single" w:sz="8" w:color="auto"/>
            </w:tcBorders>
            <w:shd w:val="clear" w:color="auto" w:fill="33CCCC"/>
          </w:tcPr>
          <w:p>
            <w:pPr>
              <w:jc w:val="center"/>
              <w:ind w:right="342"/>
              <w:spacing w:after="0"/>
              <w:rPr>
                <w:sz w:val="20"/>
                <w:szCs w:val="20"/>
                <w:color w:val="auto"/>
              </w:rPr>
            </w:pPr>
            <w:r>
              <w:rPr>
                <w:rFonts w:ascii="Arial" w:cs="Arial" w:eastAsia="Arial" w:hAnsi="Arial"/>
                <w:sz w:val="12"/>
                <w:szCs w:val="12"/>
                <w:b w:val="1"/>
                <w:bCs w:val="1"/>
                <w:color w:val="FFFFFF"/>
                <w:w w:val="95"/>
              </w:rPr>
              <w:t>1Q23</w:t>
            </w:r>
          </w:p>
        </w:tc>
        <w:tc>
          <w:tcPr>
            <w:tcW w:w="980" w:type="dxa"/>
            <w:vAlign w:val="bottom"/>
            <w:tcBorders>
              <w:bottom w:val="single" w:sz="8" w:color="auto"/>
              <w:right w:val="single" w:sz="8" w:color="auto"/>
            </w:tcBorders>
            <w:vMerge w:val="continue"/>
            <w:shd w:val="clear" w:color="auto" w:fill="33CCCC"/>
          </w:tcPr>
          <w:p>
            <w:pPr>
              <w:spacing w:after="0"/>
              <w:rPr>
                <w:sz w:val="13"/>
                <w:szCs w:val="13"/>
                <w:color w:val="auto"/>
              </w:rPr>
            </w:pPr>
          </w:p>
        </w:tc>
        <w:tc>
          <w:tcPr>
            <w:tcW w:w="1020" w:type="dxa"/>
            <w:vAlign w:val="bottom"/>
            <w:tcBorders>
              <w:bottom w:val="single" w:sz="8" w:color="auto"/>
            </w:tcBorders>
            <w:shd w:val="clear" w:color="auto" w:fill="33CCCC"/>
          </w:tcPr>
          <w:p>
            <w:pPr>
              <w:jc w:val="right"/>
              <w:ind w:right="403"/>
              <w:spacing w:after="0"/>
              <w:rPr>
                <w:sz w:val="20"/>
                <w:szCs w:val="20"/>
                <w:color w:val="auto"/>
              </w:rPr>
            </w:pPr>
            <w:r>
              <w:rPr>
                <w:rFonts w:ascii="Arial" w:cs="Arial" w:eastAsia="Arial" w:hAnsi="Arial"/>
                <w:sz w:val="12"/>
                <w:szCs w:val="12"/>
                <w:b w:val="1"/>
                <w:bCs w:val="1"/>
                <w:color w:val="FFFFFF"/>
              </w:rPr>
              <w:t>QoQ</w:t>
            </w:r>
          </w:p>
        </w:tc>
        <w:tc>
          <w:tcPr>
            <w:tcW w:w="620" w:type="dxa"/>
            <w:vAlign w:val="bottom"/>
            <w:tcBorders>
              <w:bottom w:val="single" w:sz="8" w:color="auto"/>
              <w:right w:val="single" w:sz="8" w:color="auto"/>
            </w:tcBorders>
            <w:shd w:val="clear" w:color="auto" w:fill="33CCCC"/>
          </w:tcPr>
          <w:p>
            <w:pPr>
              <w:jc w:val="right"/>
              <w:ind w:right="223"/>
              <w:spacing w:after="0"/>
              <w:rPr>
                <w:sz w:val="20"/>
                <w:szCs w:val="20"/>
                <w:color w:val="auto"/>
              </w:rPr>
            </w:pPr>
            <w:r>
              <w:rPr>
                <w:rFonts w:ascii="Arial" w:cs="Arial" w:eastAsia="Arial" w:hAnsi="Arial"/>
                <w:sz w:val="12"/>
                <w:szCs w:val="12"/>
                <w:b w:val="1"/>
                <w:bCs w:val="1"/>
                <w:color w:val="FFFFFF"/>
              </w:rPr>
              <w:t>YoY</w:t>
            </w:r>
          </w:p>
        </w:tc>
        <w:tc>
          <w:tcPr>
            <w:tcW w:w="1080" w:type="dxa"/>
            <w:vAlign w:val="bottom"/>
            <w:tcBorders>
              <w:bottom w:val="single" w:sz="8" w:color="auto"/>
            </w:tcBorders>
            <w:gridSpan w:val="2"/>
            <w:shd w:val="clear" w:color="auto" w:fill="33CCCC"/>
          </w:tcPr>
          <w:p>
            <w:pPr>
              <w:jc w:val="right"/>
              <w:ind w:right="388"/>
              <w:spacing w:after="0"/>
              <w:rPr>
                <w:sz w:val="20"/>
                <w:szCs w:val="20"/>
                <w:color w:val="auto"/>
              </w:rPr>
            </w:pPr>
            <w:r>
              <w:rPr>
                <w:rFonts w:ascii="Arial" w:cs="Arial" w:eastAsia="Arial" w:hAnsi="Arial"/>
                <w:sz w:val="12"/>
                <w:szCs w:val="12"/>
                <w:b w:val="1"/>
                <w:bCs w:val="1"/>
                <w:color w:val="FFFFFF"/>
              </w:rPr>
              <w:t>Sep 22</w:t>
            </w:r>
          </w:p>
        </w:tc>
        <w:tc>
          <w:tcPr>
            <w:tcW w:w="740" w:type="dxa"/>
            <w:vAlign w:val="bottom"/>
            <w:tcBorders>
              <w:bottom w:val="single" w:sz="8" w:color="auto"/>
              <w:right w:val="single" w:sz="8" w:color="auto"/>
            </w:tcBorders>
            <w:vMerge w:val="continue"/>
            <w:shd w:val="clear" w:color="auto" w:fill="33CCCC"/>
          </w:tcPr>
          <w:p>
            <w:pPr>
              <w:spacing w:after="0"/>
              <w:rPr>
                <w:sz w:val="13"/>
                <w:szCs w:val="13"/>
                <w:color w:val="auto"/>
              </w:rPr>
            </w:pPr>
          </w:p>
        </w:tc>
        <w:tc>
          <w:tcPr>
            <w:tcW w:w="112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2"/>
                <w:szCs w:val="12"/>
                <w:b w:val="1"/>
                <w:bCs w:val="1"/>
                <w:color w:val="FFFFFF"/>
                <w:w w:val="96"/>
              </w:rPr>
              <w:t>Sep 23 / Sep 22</w:t>
            </w:r>
          </w:p>
        </w:tc>
        <w:tc>
          <w:tcPr>
            <w:tcW w:w="0" w:type="dxa"/>
            <w:vAlign w:val="bottom"/>
          </w:tcPr>
          <w:p>
            <w:pPr>
              <w:spacing w:after="0"/>
              <w:rPr>
                <w:sz w:val="1"/>
                <w:szCs w:val="1"/>
                <w:color w:val="auto"/>
              </w:rPr>
            </w:pPr>
          </w:p>
        </w:tc>
      </w:tr>
      <w:tr>
        <w:trPr>
          <w:trHeight w:val="103"/>
        </w:trPr>
        <w:tc>
          <w:tcPr>
            <w:tcW w:w="3680" w:type="dxa"/>
            <w:vAlign w:val="bottom"/>
            <w:tcBorders>
              <w:left w:val="single" w:sz="8" w:color="auto"/>
              <w:right w:val="single" w:sz="8" w:color="auto"/>
            </w:tcBorders>
          </w:tcPr>
          <w:p>
            <w:pPr>
              <w:ind w:left="20"/>
              <w:spacing w:after="0" w:line="103" w:lineRule="exact"/>
              <w:rPr>
                <w:sz w:val="20"/>
                <w:szCs w:val="20"/>
                <w:color w:val="auto"/>
              </w:rPr>
            </w:pPr>
            <w:r>
              <w:rPr>
                <w:rFonts w:ascii="Arial" w:cs="Arial" w:eastAsia="Arial" w:hAnsi="Arial"/>
                <w:sz w:val="10"/>
                <w:szCs w:val="10"/>
                <w:color w:val="auto"/>
              </w:rPr>
              <w:t>Net interest income</w:t>
            </w:r>
          </w:p>
        </w:tc>
        <w:tc>
          <w:tcPr>
            <w:tcW w:w="1120" w:type="dxa"/>
            <w:vAlign w:val="bottom"/>
          </w:tcPr>
          <w:p>
            <w:pPr>
              <w:jc w:val="right"/>
              <w:ind w:right="83"/>
              <w:spacing w:after="0" w:line="103" w:lineRule="exact"/>
              <w:rPr>
                <w:sz w:val="20"/>
                <w:szCs w:val="20"/>
                <w:color w:val="auto"/>
              </w:rPr>
            </w:pPr>
            <w:r>
              <w:rPr>
                <w:rFonts w:ascii="Arial" w:cs="Arial" w:eastAsia="Arial" w:hAnsi="Arial"/>
                <w:sz w:val="10"/>
                <w:szCs w:val="10"/>
                <w:color w:val="auto"/>
              </w:rPr>
              <w:t>550,121</w:t>
            </w:r>
          </w:p>
        </w:tc>
        <w:tc>
          <w:tcPr>
            <w:tcW w:w="900" w:type="dxa"/>
            <w:vAlign w:val="bottom"/>
            <w:gridSpan w:val="2"/>
          </w:tcPr>
          <w:p>
            <w:pPr>
              <w:jc w:val="right"/>
              <w:spacing w:after="0" w:line="103" w:lineRule="exact"/>
              <w:rPr>
                <w:sz w:val="20"/>
                <w:szCs w:val="20"/>
                <w:color w:val="auto"/>
              </w:rPr>
            </w:pPr>
            <w:r>
              <w:rPr>
                <w:rFonts w:ascii="Arial" w:cs="Arial" w:eastAsia="Arial" w:hAnsi="Arial"/>
                <w:sz w:val="10"/>
                <w:szCs w:val="10"/>
                <w:color w:val="auto"/>
              </w:rPr>
              <w:t>542,880</w:t>
            </w:r>
          </w:p>
        </w:tc>
        <w:tc>
          <w:tcPr>
            <w:tcW w:w="980" w:type="dxa"/>
            <w:vAlign w:val="bottom"/>
            <w:tcBorders>
              <w:right w:val="single" w:sz="8" w:color="auto"/>
            </w:tcBorders>
          </w:tcPr>
          <w:p>
            <w:pPr>
              <w:jc w:val="right"/>
              <w:spacing w:after="0" w:line="103" w:lineRule="exact"/>
              <w:rPr>
                <w:sz w:val="20"/>
                <w:szCs w:val="20"/>
                <w:color w:val="auto"/>
              </w:rPr>
            </w:pPr>
            <w:r>
              <w:rPr>
                <w:rFonts w:ascii="Arial" w:cs="Arial" w:eastAsia="Arial" w:hAnsi="Arial"/>
                <w:sz w:val="10"/>
                <w:szCs w:val="10"/>
                <w:color w:val="auto"/>
              </w:rPr>
              <w:t>560,302</w:t>
            </w:r>
          </w:p>
        </w:tc>
        <w:tc>
          <w:tcPr>
            <w:tcW w:w="1020" w:type="dxa"/>
            <w:vAlign w:val="bottom"/>
          </w:tcPr>
          <w:p>
            <w:pPr>
              <w:jc w:val="center"/>
              <w:ind w:right="83"/>
              <w:spacing w:after="0" w:line="103" w:lineRule="exact"/>
              <w:rPr>
                <w:sz w:val="20"/>
                <w:szCs w:val="20"/>
                <w:color w:val="auto"/>
              </w:rPr>
            </w:pPr>
            <w:r>
              <w:rPr>
                <w:rFonts w:ascii="Arial" w:cs="Arial" w:eastAsia="Arial" w:hAnsi="Arial"/>
                <w:sz w:val="10"/>
                <w:szCs w:val="10"/>
                <w:color w:val="auto"/>
              </w:rPr>
              <w:t>3.2%</w:t>
            </w:r>
          </w:p>
        </w:tc>
        <w:tc>
          <w:tcPr>
            <w:tcW w:w="620" w:type="dxa"/>
            <w:vAlign w:val="bottom"/>
            <w:tcBorders>
              <w:right w:val="single" w:sz="8" w:color="auto"/>
            </w:tcBorders>
          </w:tcPr>
          <w:p>
            <w:pPr>
              <w:jc w:val="center"/>
              <w:ind w:right="103"/>
              <w:spacing w:after="0" w:line="103" w:lineRule="exact"/>
              <w:rPr>
                <w:sz w:val="20"/>
                <w:szCs w:val="20"/>
                <w:color w:val="auto"/>
              </w:rPr>
            </w:pPr>
            <w:r>
              <w:rPr>
                <w:rFonts w:ascii="Arial" w:cs="Arial" w:eastAsia="Arial" w:hAnsi="Arial"/>
                <w:sz w:val="10"/>
                <w:szCs w:val="10"/>
                <w:color w:val="auto"/>
              </w:rPr>
              <w:t>1.9%</w:t>
            </w:r>
          </w:p>
        </w:tc>
        <w:tc>
          <w:tcPr>
            <w:tcW w:w="1080" w:type="dxa"/>
            <w:vAlign w:val="bottom"/>
            <w:gridSpan w:val="2"/>
          </w:tcPr>
          <w:p>
            <w:pPr>
              <w:jc w:val="right"/>
              <w:ind w:right="148"/>
              <w:spacing w:after="0" w:line="103" w:lineRule="exact"/>
              <w:rPr>
                <w:sz w:val="20"/>
                <w:szCs w:val="20"/>
                <w:color w:val="auto"/>
              </w:rPr>
            </w:pPr>
            <w:r>
              <w:rPr>
                <w:rFonts w:ascii="Arial" w:cs="Arial" w:eastAsia="Arial" w:hAnsi="Arial"/>
                <w:sz w:val="10"/>
                <w:szCs w:val="10"/>
                <w:color w:val="auto"/>
              </w:rPr>
              <w:t>1,599,606</w:t>
            </w:r>
          </w:p>
        </w:tc>
        <w:tc>
          <w:tcPr>
            <w:tcW w:w="740" w:type="dxa"/>
            <w:vAlign w:val="bottom"/>
            <w:tcBorders>
              <w:right w:val="single" w:sz="8" w:color="auto"/>
            </w:tcBorders>
          </w:tcPr>
          <w:p>
            <w:pPr>
              <w:jc w:val="right"/>
              <w:spacing w:after="0" w:line="103" w:lineRule="exact"/>
              <w:rPr>
                <w:sz w:val="20"/>
                <w:szCs w:val="20"/>
                <w:color w:val="auto"/>
              </w:rPr>
            </w:pPr>
            <w:r>
              <w:rPr>
                <w:rFonts w:ascii="Arial" w:cs="Arial" w:eastAsia="Arial" w:hAnsi="Arial"/>
                <w:sz w:val="10"/>
                <w:szCs w:val="10"/>
                <w:color w:val="auto"/>
              </w:rPr>
              <w:t>1,621,945</w:t>
            </w:r>
          </w:p>
        </w:tc>
        <w:tc>
          <w:tcPr>
            <w:tcW w:w="112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rPr>
              <w:t>1.4%</w:t>
            </w:r>
          </w:p>
        </w:tc>
        <w:tc>
          <w:tcPr>
            <w:tcW w:w="0" w:type="dxa"/>
            <w:vAlign w:val="bottom"/>
          </w:tcPr>
          <w:p>
            <w:pPr>
              <w:spacing w:after="0"/>
              <w:rPr>
                <w:sz w:val="1"/>
                <w:szCs w:val="1"/>
                <w:color w:val="auto"/>
              </w:rPr>
            </w:pPr>
          </w:p>
        </w:tc>
      </w:tr>
      <w:tr>
        <w:trPr>
          <w:trHeight w:val="118"/>
        </w:trPr>
        <w:tc>
          <w:tcPr>
            <w:tcW w:w="3680" w:type="dxa"/>
            <w:vAlign w:val="bottom"/>
            <w:tcBorders>
              <w:left w:val="single" w:sz="8" w:color="auto"/>
              <w:right w:val="single" w:sz="8" w:color="auto"/>
            </w:tcBorders>
          </w:tcPr>
          <w:p>
            <w:pPr>
              <w:ind w:left="20"/>
              <w:spacing w:after="0" w:line="118" w:lineRule="exact"/>
              <w:rPr>
                <w:sz w:val="20"/>
                <w:szCs w:val="20"/>
                <w:color w:val="auto"/>
              </w:rPr>
            </w:pPr>
            <w:r>
              <w:rPr>
                <w:rFonts w:ascii="Arial" w:cs="Arial" w:eastAsia="Arial" w:hAnsi="Arial"/>
                <w:sz w:val="12"/>
                <w:szCs w:val="12"/>
                <w:color w:val="auto"/>
              </w:rPr>
              <w:t>Provision for loan losses, net of recoveries</w:t>
            </w:r>
          </w:p>
        </w:tc>
        <w:tc>
          <w:tcPr>
            <w:tcW w:w="1120" w:type="dxa"/>
            <w:vAlign w:val="bottom"/>
          </w:tcPr>
          <w:p>
            <w:pPr>
              <w:jc w:val="right"/>
              <w:ind w:right="83"/>
              <w:spacing w:after="0" w:line="118" w:lineRule="exact"/>
              <w:rPr>
                <w:sz w:val="20"/>
                <w:szCs w:val="20"/>
                <w:color w:val="auto"/>
              </w:rPr>
            </w:pPr>
            <w:r>
              <w:rPr>
                <w:rFonts w:ascii="Arial" w:cs="Arial" w:eastAsia="Arial" w:hAnsi="Arial"/>
                <w:sz w:val="12"/>
                <w:szCs w:val="12"/>
                <w:color w:val="auto"/>
              </w:rPr>
              <w:t>(84,932)</w:t>
            </w:r>
          </w:p>
        </w:tc>
        <w:tc>
          <w:tcPr>
            <w:tcW w:w="900" w:type="dxa"/>
            <w:vAlign w:val="bottom"/>
            <w:gridSpan w:val="2"/>
          </w:tcPr>
          <w:p>
            <w:pPr>
              <w:jc w:val="right"/>
              <w:spacing w:after="0" w:line="118" w:lineRule="exact"/>
              <w:rPr>
                <w:sz w:val="20"/>
                <w:szCs w:val="20"/>
                <w:color w:val="auto"/>
              </w:rPr>
            </w:pPr>
            <w:r>
              <w:rPr>
                <w:rFonts w:ascii="Arial" w:cs="Arial" w:eastAsia="Arial" w:hAnsi="Arial"/>
                <w:sz w:val="12"/>
                <w:szCs w:val="12"/>
                <w:color w:val="auto"/>
              </w:rPr>
              <w:t>(184,516)</w:t>
            </w:r>
          </w:p>
        </w:tc>
        <w:tc>
          <w:tcPr>
            <w:tcW w:w="980" w:type="dxa"/>
            <w:vAlign w:val="bottom"/>
            <w:tcBorders>
              <w:right w:val="single" w:sz="8" w:color="auto"/>
            </w:tcBorders>
          </w:tcPr>
          <w:p>
            <w:pPr>
              <w:jc w:val="right"/>
              <w:spacing w:after="0" w:line="118" w:lineRule="exact"/>
              <w:rPr>
                <w:sz w:val="20"/>
                <w:szCs w:val="20"/>
                <w:color w:val="auto"/>
              </w:rPr>
            </w:pPr>
            <w:r>
              <w:rPr>
                <w:rFonts w:ascii="Arial" w:cs="Arial" w:eastAsia="Arial" w:hAnsi="Arial"/>
                <w:sz w:val="12"/>
                <w:szCs w:val="12"/>
                <w:color w:val="auto"/>
              </w:rPr>
              <w:t>(201,898)</w:t>
            </w:r>
          </w:p>
        </w:tc>
        <w:tc>
          <w:tcPr>
            <w:tcW w:w="1020" w:type="dxa"/>
            <w:vAlign w:val="bottom"/>
          </w:tcPr>
          <w:p>
            <w:pPr>
              <w:jc w:val="center"/>
              <w:ind w:right="83"/>
              <w:spacing w:after="0" w:line="118" w:lineRule="exact"/>
              <w:rPr>
                <w:sz w:val="20"/>
                <w:szCs w:val="20"/>
                <w:color w:val="auto"/>
              </w:rPr>
            </w:pPr>
            <w:r>
              <w:rPr>
                <w:rFonts w:ascii="Arial" w:cs="Arial" w:eastAsia="Arial" w:hAnsi="Arial"/>
                <w:sz w:val="12"/>
                <w:szCs w:val="12"/>
                <w:color w:val="auto"/>
              </w:rPr>
              <w:t>9.4%</w:t>
            </w:r>
          </w:p>
        </w:tc>
        <w:tc>
          <w:tcPr>
            <w:tcW w:w="620" w:type="dxa"/>
            <w:vAlign w:val="bottom"/>
            <w:tcBorders>
              <w:right w:val="single" w:sz="8" w:color="auto"/>
            </w:tcBorders>
          </w:tcPr>
          <w:p>
            <w:pPr>
              <w:jc w:val="center"/>
              <w:ind w:right="83"/>
              <w:spacing w:after="0" w:line="118" w:lineRule="exact"/>
              <w:rPr>
                <w:sz w:val="20"/>
                <w:szCs w:val="20"/>
                <w:color w:val="auto"/>
              </w:rPr>
            </w:pPr>
            <w:r>
              <w:rPr>
                <w:rFonts w:ascii="Arial" w:cs="Arial" w:eastAsia="Arial" w:hAnsi="Arial"/>
                <w:sz w:val="12"/>
                <w:szCs w:val="12"/>
                <w:color w:val="auto"/>
                <w:w w:val="98"/>
              </w:rPr>
              <w:t>137.7%</w:t>
            </w:r>
          </w:p>
        </w:tc>
        <w:tc>
          <w:tcPr>
            <w:tcW w:w="1080" w:type="dxa"/>
            <w:vAlign w:val="bottom"/>
            <w:gridSpan w:val="2"/>
          </w:tcPr>
          <w:p>
            <w:pPr>
              <w:jc w:val="right"/>
              <w:ind w:right="148"/>
              <w:spacing w:after="0" w:line="118" w:lineRule="exact"/>
              <w:rPr>
                <w:sz w:val="20"/>
                <w:szCs w:val="20"/>
                <w:color w:val="auto"/>
              </w:rPr>
            </w:pPr>
            <w:r>
              <w:rPr>
                <w:rFonts w:ascii="Arial" w:cs="Arial" w:eastAsia="Arial" w:hAnsi="Arial"/>
                <w:sz w:val="12"/>
                <w:szCs w:val="12"/>
                <w:color w:val="auto"/>
              </w:rPr>
              <w:t>(295,791)</w:t>
            </w:r>
          </w:p>
        </w:tc>
        <w:tc>
          <w:tcPr>
            <w:tcW w:w="740" w:type="dxa"/>
            <w:vAlign w:val="bottom"/>
            <w:tcBorders>
              <w:right w:val="single" w:sz="8" w:color="auto"/>
            </w:tcBorders>
          </w:tcPr>
          <w:p>
            <w:pPr>
              <w:jc w:val="right"/>
              <w:spacing w:after="0" w:line="118" w:lineRule="exact"/>
              <w:rPr>
                <w:sz w:val="20"/>
                <w:szCs w:val="20"/>
                <w:color w:val="auto"/>
              </w:rPr>
            </w:pPr>
            <w:r>
              <w:rPr>
                <w:rFonts w:ascii="Arial" w:cs="Arial" w:eastAsia="Arial" w:hAnsi="Arial"/>
                <w:sz w:val="12"/>
                <w:szCs w:val="12"/>
                <w:color w:val="auto"/>
              </w:rPr>
              <w:t>(613,783)</w:t>
            </w:r>
          </w:p>
        </w:tc>
        <w:tc>
          <w:tcPr>
            <w:tcW w:w="1120" w:type="dxa"/>
            <w:vAlign w:val="bottom"/>
            <w:tcBorders>
              <w:right w:val="single" w:sz="8" w:color="auto"/>
            </w:tcBorders>
          </w:tcPr>
          <w:p>
            <w:pPr>
              <w:jc w:val="center"/>
              <w:spacing w:after="0" w:line="118" w:lineRule="exact"/>
              <w:rPr>
                <w:sz w:val="20"/>
                <w:szCs w:val="20"/>
                <w:color w:val="auto"/>
              </w:rPr>
            </w:pPr>
            <w:r>
              <w:rPr>
                <w:rFonts w:ascii="Arial" w:cs="Arial" w:eastAsia="Arial" w:hAnsi="Arial"/>
                <w:sz w:val="12"/>
                <w:szCs w:val="12"/>
                <w:color w:val="auto"/>
                <w:w w:val="98"/>
              </w:rPr>
              <w:t>107.5%</w:t>
            </w:r>
          </w:p>
        </w:tc>
        <w:tc>
          <w:tcPr>
            <w:tcW w:w="0" w:type="dxa"/>
            <w:vAlign w:val="bottom"/>
          </w:tcPr>
          <w:p>
            <w:pPr>
              <w:spacing w:after="0"/>
              <w:rPr>
                <w:sz w:val="1"/>
                <w:szCs w:val="1"/>
                <w:color w:val="auto"/>
              </w:rPr>
            </w:pPr>
          </w:p>
        </w:tc>
      </w:tr>
      <w:tr>
        <w:trPr>
          <w:trHeight w:val="130"/>
        </w:trPr>
        <w:tc>
          <w:tcPr>
            <w:tcW w:w="3680" w:type="dxa"/>
            <w:vAlign w:val="bottom"/>
            <w:tcBorders>
              <w:left w:val="single" w:sz="8" w:color="auto"/>
              <w:right w:val="single" w:sz="8" w:color="auto"/>
            </w:tcBorders>
          </w:tcPr>
          <w:p>
            <w:pPr>
              <w:ind w:left="20"/>
              <w:spacing w:after="0" w:line="130" w:lineRule="exact"/>
              <w:rPr>
                <w:sz w:val="20"/>
                <w:szCs w:val="20"/>
                <w:color w:val="auto"/>
              </w:rPr>
            </w:pPr>
            <w:r>
              <w:rPr>
                <w:rFonts w:ascii="Arial" w:cs="Arial" w:eastAsia="Arial" w:hAnsi="Arial"/>
                <w:sz w:val="12"/>
                <w:szCs w:val="12"/>
                <w:b w:val="1"/>
                <w:bCs w:val="1"/>
                <w:color w:val="auto"/>
              </w:rPr>
              <w:t>Net interest income after provisions</w:t>
            </w:r>
          </w:p>
        </w:tc>
        <w:tc>
          <w:tcPr>
            <w:tcW w:w="1120" w:type="dxa"/>
            <w:vAlign w:val="bottom"/>
          </w:tcPr>
          <w:p>
            <w:pPr>
              <w:jc w:val="right"/>
              <w:ind w:right="83"/>
              <w:spacing w:after="0" w:line="130" w:lineRule="exact"/>
              <w:rPr>
                <w:sz w:val="20"/>
                <w:szCs w:val="20"/>
                <w:color w:val="auto"/>
              </w:rPr>
            </w:pPr>
            <w:r>
              <w:rPr>
                <w:rFonts w:ascii="Arial" w:cs="Arial" w:eastAsia="Arial" w:hAnsi="Arial"/>
                <w:sz w:val="12"/>
                <w:szCs w:val="12"/>
                <w:b w:val="1"/>
                <w:bCs w:val="1"/>
                <w:color w:val="auto"/>
              </w:rPr>
              <w:t>465,189</w:t>
            </w:r>
          </w:p>
        </w:tc>
        <w:tc>
          <w:tcPr>
            <w:tcW w:w="900" w:type="dxa"/>
            <w:vAlign w:val="bottom"/>
            <w:gridSpan w:val="2"/>
          </w:tcPr>
          <w:p>
            <w:pPr>
              <w:jc w:val="right"/>
              <w:spacing w:after="0" w:line="130" w:lineRule="exact"/>
              <w:rPr>
                <w:sz w:val="20"/>
                <w:szCs w:val="20"/>
                <w:color w:val="auto"/>
              </w:rPr>
            </w:pPr>
            <w:r>
              <w:rPr>
                <w:rFonts w:ascii="Arial" w:cs="Arial" w:eastAsia="Arial" w:hAnsi="Arial"/>
                <w:sz w:val="12"/>
                <w:szCs w:val="12"/>
                <w:b w:val="1"/>
                <w:bCs w:val="1"/>
                <w:color w:val="auto"/>
              </w:rPr>
              <w:t>358,365</w:t>
            </w:r>
          </w:p>
        </w:tc>
        <w:tc>
          <w:tcPr>
            <w:tcW w:w="980" w:type="dxa"/>
            <w:vAlign w:val="bottom"/>
            <w:tcBorders>
              <w:right w:val="single" w:sz="8" w:color="auto"/>
            </w:tcBorders>
          </w:tcPr>
          <w:p>
            <w:pPr>
              <w:jc w:val="right"/>
              <w:spacing w:after="0" w:line="130" w:lineRule="exact"/>
              <w:rPr>
                <w:sz w:val="20"/>
                <w:szCs w:val="20"/>
                <w:color w:val="auto"/>
              </w:rPr>
            </w:pPr>
            <w:r>
              <w:rPr>
                <w:rFonts w:ascii="Arial" w:cs="Arial" w:eastAsia="Arial" w:hAnsi="Arial"/>
                <w:sz w:val="12"/>
                <w:szCs w:val="12"/>
                <w:b w:val="1"/>
                <w:bCs w:val="1"/>
                <w:color w:val="auto"/>
              </w:rPr>
              <w:t>358,403</w:t>
            </w:r>
          </w:p>
        </w:tc>
        <w:tc>
          <w:tcPr>
            <w:tcW w:w="1020" w:type="dxa"/>
            <w:vAlign w:val="bottom"/>
          </w:tcPr>
          <w:p>
            <w:pPr>
              <w:jc w:val="center"/>
              <w:ind w:right="83"/>
              <w:spacing w:after="0" w:line="130" w:lineRule="exact"/>
              <w:rPr>
                <w:sz w:val="20"/>
                <w:szCs w:val="20"/>
                <w:color w:val="auto"/>
              </w:rPr>
            </w:pPr>
            <w:r>
              <w:rPr>
                <w:rFonts w:ascii="Arial" w:cs="Arial" w:eastAsia="Arial" w:hAnsi="Arial"/>
                <w:sz w:val="12"/>
                <w:szCs w:val="12"/>
                <w:b w:val="1"/>
                <w:bCs w:val="1"/>
                <w:color w:val="auto"/>
              </w:rPr>
              <w:t>0.0%</w:t>
            </w:r>
          </w:p>
        </w:tc>
        <w:tc>
          <w:tcPr>
            <w:tcW w:w="620" w:type="dxa"/>
            <w:vAlign w:val="bottom"/>
            <w:tcBorders>
              <w:right w:val="single" w:sz="8" w:color="auto"/>
            </w:tcBorders>
          </w:tcPr>
          <w:p>
            <w:pPr>
              <w:jc w:val="center"/>
              <w:ind w:right="83"/>
              <w:spacing w:after="0" w:line="130" w:lineRule="exact"/>
              <w:rPr>
                <w:sz w:val="20"/>
                <w:szCs w:val="20"/>
                <w:color w:val="auto"/>
              </w:rPr>
            </w:pPr>
            <w:r>
              <w:rPr>
                <w:rFonts w:ascii="Arial" w:cs="Arial" w:eastAsia="Arial" w:hAnsi="Arial"/>
                <w:sz w:val="12"/>
                <w:szCs w:val="12"/>
                <w:b w:val="1"/>
                <w:bCs w:val="1"/>
                <w:color w:val="auto"/>
                <w:w w:val="94"/>
              </w:rPr>
              <w:t>-23.0%</w:t>
            </w:r>
          </w:p>
        </w:tc>
        <w:tc>
          <w:tcPr>
            <w:tcW w:w="1080" w:type="dxa"/>
            <w:vAlign w:val="bottom"/>
            <w:gridSpan w:val="2"/>
          </w:tcPr>
          <w:p>
            <w:pPr>
              <w:jc w:val="right"/>
              <w:ind w:right="148"/>
              <w:spacing w:after="0" w:line="130" w:lineRule="exact"/>
              <w:rPr>
                <w:sz w:val="20"/>
                <w:szCs w:val="20"/>
                <w:color w:val="auto"/>
              </w:rPr>
            </w:pPr>
            <w:r>
              <w:rPr>
                <w:rFonts w:ascii="Arial" w:cs="Arial" w:eastAsia="Arial" w:hAnsi="Arial"/>
                <w:sz w:val="12"/>
                <w:szCs w:val="12"/>
                <w:b w:val="1"/>
                <w:bCs w:val="1"/>
                <w:color w:val="auto"/>
              </w:rPr>
              <w:t>1,303,815</w:t>
            </w:r>
          </w:p>
        </w:tc>
        <w:tc>
          <w:tcPr>
            <w:tcW w:w="740" w:type="dxa"/>
            <w:vAlign w:val="bottom"/>
            <w:tcBorders>
              <w:right w:val="single" w:sz="8" w:color="auto"/>
            </w:tcBorders>
          </w:tcPr>
          <w:p>
            <w:pPr>
              <w:jc w:val="right"/>
              <w:spacing w:after="0" w:line="130" w:lineRule="exact"/>
              <w:rPr>
                <w:sz w:val="20"/>
                <w:szCs w:val="20"/>
                <w:color w:val="auto"/>
              </w:rPr>
            </w:pPr>
            <w:r>
              <w:rPr>
                <w:rFonts w:ascii="Arial" w:cs="Arial" w:eastAsia="Arial" w:hAnsi="Arial"/>
                <w:sz w:val="12"/>
                <w:szCs w:val="12"/>
                <w:b w:val="1"/>
                <w:bCs w:val="1"/>
                <w:color w:val="auto"/>
              </w:rPr>
              <w:t>1,008,162</w:t>
            </w:r>
          </w:p>
        </w:tc>
        <w:tc>
          <w:tcPr>
            <w:tcW w:w="1120" w:type="dxa"/>
            <w:vAlign w:val="bottom"/>
            <w:tcBorders>
              <w:right w:val="single" w:sz="8" w:color="auto"/>
            </w:tcBorders>
          </w:tcPr>
          <w:p>
            <w:pPr>
              <w:jc w:val="center"/>
              <w:spacing w:after="0" w:line="130" w:lineRule="exact"/>
              <w:rPr>
                <w:sz w:val="20"/>
                <w:szCs w:val="20"/>
                <w:color w:val="auto"/>
              </w:rPr>
            </w:pPr>
            <w:r>
              <w:rPr>
                <w:rFonts w:ascii="Arial" w:cs="Arial" w:eastAsia="Arial" w:hAnsi="Arial"/>
                <w:sz w:val="12"/>
                <w:szCs w:val="12"/>
                <w:b w:val="1"/>
                <w:bCs w:val="1"/>
                <w:color w:val="auto"/>
                <w:w w:val="94"/>
              </w:rPr>
              <w:t>-22.7%</w:t>
            </w:r>
          </w:p>
        </w:tc>
        <w:tc>
          <w:tcPr>
            <w:tcW w:w="0" w:type="dxa"/>
            <w:vAlign w:val="bottom"/>
          </w:tcPr>
          <w:p>
            <w:pPr>
              <w:spacing w:after="0"/>
              <w:rPr>
                <w:sz w:val="1"/>
                <w:szCs w:val="1"/>
                <w:color w:val="auto"/>
              </w:rPr>
            </w:pPr>
          </w:p>
        </w:tc>
      </w:tr>
      <w:tr>
        <w:trPr>
          <w:trHeight w:val="124"/>
        </w:trPr>
        <w:tc>
          <w:tcPr>
            <w:tcW w:w="3680" w:type="dxa"/>
            <w:vAlign w:val="bottom"/>
            <w:tcBorders>
              <w:left w:val="single" w:sz="8" w:color="auto"/>
              <w:right w:val="single" w:sz="8" w:color="auto"/>
            </w:tcBorders>
          </w:tcPr>
          <w:p>
            <w:pPr>
              <w:ind w:left="20"/>
              <w:spacing w:after="0" w:line="124" w:lineRule="exact"/>
              <w:rPr>
                <w:sz w:val="20"/>
                <w:szCs w:val="20"/>
                <w:color w:val="auto"/>
              </w:rPr>
            </w:pPr>
            <w:r>
              <w:rPr>
                <w:rFonts w:ascii="Arial" w:cs="Arial" w:eastAsia="Arial" w:hAnsi="Arial"/>
                <w:sz w:val="12"/>
                <w:szCs w:val="12"/>
                <w:color w:val="auto"/>
              </w:rPr>
              <w:t>Non-financial income</w:t>
            </w:r>
          </w:p>
        </w:tc>
        <w:tc>
          <w:tcPr>
            <w:tcW w:w="1120" w:type="dxa"/>
            <w:vAlign w:val="bottom"/>
          </w:tcPr>
          <w:p>
            <w:pPr>
              <w:jc w:val="right"/>
              <w:ind w:right="83"/>
              <w:spacing w:after="0" w:line="124" w:lineRule="exact"/>
              <w:rPr>
                <w:sz w:val="20"/>
                <w:szCs w:val="20"/>
                <w:color w:val="auto"/>
              </w:rPr>
            </w:pPr>
            <w:r>
              <w:rPr>
                <w:rFonts w:ascii="Arial" w:cs="Arial" w:eastAsia="Arial" w:hAnsi="Arial"/>
                <w:sz w:val="12"/>
                <w:szCs w:val="12"/>
                <w:color w:val="auto"/>
              </w:rPr>
              <w:t>30,844</w:t>
            </w:r>
          </w:p>
        </w:tc>
        <w:tc>
          <w:tcPr>
            <w:tcW w:w="900" w:type="dxa"/>
            <w:vAlign w:val="bottom"/>
            <w:gridSpan w:val="2"/>
          </w:tcPr>
          <w:p>
            <w:pPr>
              <w:jc w:val="right"/>
              <w:spacing w:after="0" w:line="124" w:lineRule="exact"/>
              <w:rPr>
                <w:sz w:val="20"/>
                <w:szCs w:val="20"/>
                <w:color w:val="auto"/>
              </w:rPr>
            </w:pPr>
            <w:r>
              <w:rPr>
                <w:rFonts w:ascii="Arial" w:cs="Arial" w:eastAsia="Arial" w:hAnsi="Arial"/>
                <w:sz w:val="12"/>
                <w:szCs w:val="12"/>
                <w:color w:val="auto"/>
              </w:rPr>
              <w:t>37,606</w:t>
            </w:r>
          </w:p>
        </w:tc>
        <w:tc>
          <w:tcPr>
            <w:tcW w:w="98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2"/>
                <w:szCs w:val="12"/>
                <w:color w:val="auto"/>
              </w:rPr>
              <w:t>31,726</w:t>
            </w:r>
          </w:p>
        </w:tc>
        <w:tc>
          <w:tcPr>
            <w:tcW w:w="1020" w:type="dxa"/>
            <w:vAlign w:val="bottom"/>
          </w:tcPr>
          <w:p>
            <w:pPr>
              <w:jc w:val="center"/>
              <w:ind w:right="83"/>
              <w:spacing w:after="0" w:line="124" w:lineRule="exact"/>
              <w:rPr>
                <w:sz w:val="20"/>
                <w:szCs w:val="20"/>
                <w:color w:val="auto"/>
              </w:rPr>
            </w:pPr>
            <w:r>
              <w:rPr>
                <w:rFonts w:ascii="Arial" w:cs="Arial" w:eastAsia="Arial" w:hAnsi="Arial"/>
                <w:sz w:val="12"/>
                <w:szCs w:val="12"/>
                <w:color w:val="auto"/>
                <w:w w:val="94"/>
              </w:rPr>
              <w:t>-15.6%</w:t>
            </w:r>
          </w:p>
        </w:tc>
        <w:tc>
          <w:tcPr>
            <w:tcW w:w="620" w:type="dxa"/>
            <w:vAlign w:val="bottom"/>
            <w:tcBorders>
              <w:right w:val="single" w:sz="8" w:color="auto"/>
            </w:tcBorders>
          </w:tcPr>
          <w:p>
            <w:pPr>
              <w:jc w:val="center"/>
              <w:ind w:right="103"/>
              <w:spacing w:after="0" w:line="124" w:lineRule="exact"/>
              <w:rPr>
                <w:sz w:val="20"/>
                <w:szCs w:val="20"/>
                <w:color w:val="auto"/>
              </w:rPr>
            </w:pPr>
            <w:r>
              <w:rPr>
                <w:rFonts w:ascii="Arial" w:cs="Arial" w:eastAsia="Arial" w:hAnsi="Arial"/>
                <w:sz w:val="12"/>
                <w:szCs w:val="12"/>
                <w:color w:val="auto"/>
                <w:w w:val="94"/>
              </w:rPr>
              <w:t>2.9%</w:t>
            </w:r>
          </w:p>
        </w:tc>
        <w:tc>
          <w:tcPr>
            <w:tcW w:w="1080" w:type="dxa"/>
            <w:vAlign w:val="bottom"/>
            <w:gridSpan w:val="2"/>
          </w:tcPr>
          <w:p>
            <w:pPr>
              <w:jc w:val="right"/>
              <w:ind w:right="148"/>
              <w:spacing w:after="0" w:line="124" w:lineRule="exact"/>
              <w:rPr>
                <w:sz w:val="20"/>
                <w:szCs w:val="20"/>
                <w:color w:val="auto"/>
              </w:rPr>
            </w:pPr>
            <w:r>
              <w:rPr>
                <w:rFonts w:ascii="Arial" w:cs="Arial" w:eastAsia="Arial" w:hAnsi="Arial"/>
                <w:sz w:val="12"/>
                <w:szCs w:val="12"/>
                <w:color w:val="auto"/>
              </w:rPr>
              <w:t>91,172</w:t>
            </w:r>
          </w:p>
        </w:tc>
        <w:tc>
          <w:tcPr>
            <w:tcW w:w="74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2"/>
                <w:szCs w:val="12"/>
                <w:color w:val="auto"/>
              </w:rPr>
              <w:t>105,670</w:t>
            </w:r>
          </w:p>
        </w:tc>
        <w:tc>
          <w:tcPr>
            <w:tcW w:w="112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2"/>
                <w:szCs w:val="12"/>
                <w:color w:val="auto"/>
                <w:w w:val="93"/>
              </w:rPr>
              <w:t>15.9%</w:t>
            </w:r>
          </w:p>
        </w:tc>
        <w:tc>
          <w:tcPr>
            <w:tcW w:w="0" w:type="dxa"/>
            <w:vAlign w:val="bottom"/>
          </w:tcPr>
          <w:p>
            <w:pPr>
              <w:spacing w:after="0"/>
              <w:rPr>
                <w:sz w:val="1"/>
                <w:szCs w:val="1"/>
                <w:color w:val="auto"/>
              </w:rPr>
            </w:pPr>
          </w:p>
        </w:tc>
      </w:tr>
      <w:tr>
        <w:trPr>
          <w:trHeight w:val="124"/>
        </w:trPr>
        <w:tc>
          <w:tcPr>
            <w:tcW w:w="3680" w:type="dxa"/>
            <w:vAlign w:val="bottom"/>
            <w:tcBorders>
              <w:left w:val="single" w:sz="8" w:color="auto"/>
              <w:right w:val="single" w:sz="8" w:color="auto"/>
            </w:tcBorders>
          </w:tcPr>
          <w:p>
            <w:pPr>
              <w:ind w:left="20"/>
              <w:spacing w:after="0" w:line="124" w:lineRule="exact"/>
              <w:rPr>
                <w:sz w:val="20"/>
                <w:szCs w:val="20"/>
                <w:color w:val="auto"/>
              </w:rPr>
            </w:pPr>
            <w:r>
              <w:rPr>
                <w:rFonts w:ascii="Arial" w:cs="Arial" w:eastAsia="Arial" w:hAnsi="Arial"/>
                <w:sz w:val="12"/>
                <w:szCs w:val="12"/>
                <w:color w:val="auto"/>
              </w:rPr>
              <w:t>Total expenses</w:t>
            </w:r>
          </w:p>
        </w:tc>
        <w:tc>
          <w:tcPr>
            <w:tcW w:w="1120" w:type="dxa"/>
            <w:vAlign w:val="bottom"/>
          </w:tcPr>
          <w:p>
            <w:pPr>
              <w:jc w:val="right"/>
              <w:ind w:right="83"/>
              <w:spacing w:after="0" w:line="124" w:lineRule="exact"/>
              <w:rPr>
                <w:sz w:val="20"/>
                <w:szCs w:val="20"/>
                <w:color w:val="auto"/>
              </w:rPr>
            </w:pPr>
            <w:r>
              <w:rPr>
                <w:rFonts w:ascii="Arial" w:cs="Arial" w:eastAsia="Arial" w:hAnsi="Arial"/>
                <w:sz w:val="12"/>
                <w:szCs w:val="12"/>
                <w:color w:val="auto"/>
              </w:rPr>
              <w:t>(291,817)</w:t>
            </w:r>
          </w:p>
        </w:tc>
        <w:tc>
          <w:tcPr>
            <w:tcW w:w="900" w:type="dxa"/>
            <w:vAlign w:val="bottom"/>
            <w:gridSpan w:val="2"/>
          </w:tcPr>
          <w:p>
            <w:pPr>
              <w:jc w:val="right"/>
              <w:spacing w:after="0" w:line="124" w:lineRule="exact"/>
              <w:rPr>
                <w:sz w:val="20"/>
                <w:szCs w:val="20"/>
                <w:color w:val="auto"/>
              </w:rPr>
            </w:pPr>
            <w:r>
              <w:rPr>
                <w:rFonts w:ascii="Arial" w:cs="Arial" w:eastAsia="Arial" w:hAnsi="Arial"/>
                <w:sz w:val="12"/>
                <w:szCs w:val="12"/>
                <w:color w:val="auto"/>
              </w:rPr>
              <w:t>(306,677)</w:t>
            </w:r>
          </w:p>
        </w:tc>
        <w:tc>
          <w:tcPr>
            <w:tcW w:w="98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2"/>
                <w:szCs w:val="12"/>
                <w:color w:val="auto"/>
              </w:rPr>
              <w:t>(314,070)</w:t>
            </w:r>
          </w:p>
        </w:tc>
        <w:tc>
          <w:tcPr>
            <w:tcW w:w="1020" w:type="dxa"/>
            <w:vAlign w:val="bottom"/>
          </w:tcPr>
          <w:p>
            <w:pPr>
              <w:jc w:val="center"/>
              <w:ind w:right="83"/>
              <w:spacing w:after="0" w:line="124" w:lineRule="exact"/>
              <w:rPr>
                <w:sz w:val="20"/>
                <w:szCs w:val="20"/>
                <w:color w:val="auto"/>
              </w:rPr>
            </w:pPr>
            <w:r>
              <w:rPr>
                <w:rFonts w:ascii="Arial" w:cs="Arial" w:eastAsia="Arial" w:hAnsi="Arial"/>
                <w:sz w:val="12"/>
                <w:szCs w:val="12"/>
                <w:color w:val="auto"/>
              </w:rPr>
              <w:t>2.4%</w:t>
            </w:r>
          </w:p>
        </w:tc>
        <w:tc>
          <w:tcPr>
            <w:tcW w:w="620" w:type="dxa"/>
            <w:vAlign w:val="bottom"/>
            <w:tcBorders>
              <w:right w:val="single" w:sz="8" w:color="auto"/>
            </w:tcBorders>
          </w:tcPr>
          <w:p>
            <w:pPr>
              <w:jc w:val="center"/>
              <w:ind w:right="103"/>
              <w:spacing w:after="0" w:line="124" w:lineRule="exact"/>
              <w:rPr>
                <w:sz w:val="20"/>
                <w:szCs w:val="20"/>
                <w:color w:val="auto"/>
              </w:rPr>
            </w:pPr>
            <w:r>
              <w:rPr>
                <w:rFonts w:ascii="Arial" w:cs="Arial" w:eastAsia="Arial" w:hAnsi="Arial"/>
                <w:sz w:val="12"/>
                <w:szCs w:val="12"/>
                <w:color w:val="auto"/>
                <w:w w:val="94"/>
              </w:rPr>
              <w:t>7.6%</w:t>
            </w:r>
          </w:p>
        </w:tc>
        <w:tc>
          <w:tcPr>
            <w:tcW w:w="1080" w:type="dxa"/>
            <w:vAlign w:val="bottom"/>
            <w:gridSpan w:val="2"/>
          </w:tcPr>
          <w:p>
            <w:pPr>
              <w:jc w:val="right"/>
              <w:ind w:right="148"/>
              <w:spacing w:after="0" w:line="124" w:lineRule="exact"/>
              <w:rPr>
                <w:sz w:val="20"/>
                <w:szCs w:val="20"/>
                <w:color w:val="auto"/>
              </w:rPr>
            </w:pPr>
            <w:r>
              <w:rPr>
                <w:rFonts w:ascii="Arial" w:cs="Arial" w:eastAsia="Arial" w:hAnsi="Arial"/>
                <w:sz w:val="12"/>
                <w:szCs w:val="12"/>
                <w:color w:val="auto"/>
              </w:rPr>
              <w:t>(870,139)</w:t>
            </w:r>
          </w:p>
        </w:tc>
        <w:tc>
          <w:tcPr>
            <w:tcW w:w="74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2"/>
                <w:szCs w:val="12"/>
                <w:color w:val="auto"/>
              </w:rPr>
              <w:t>(923,728)</w:t>
            </w:r>
          </w:p>
        </w:tc>
        <w:tc>
          <w:tcPr>
            <w:tcW w:w="112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2"/>
                <w:szCs w:val="12"/>
                <w:color w:val="auto"/>
              </w:rPr>
              <w:t>6.2%</w:t>
            </w:r>
          </w:p>
        </w:tc>
        <w:tc>
          <w:tcPr>
            <w:tcW w:w="0" w:type="dxa"/>
            <w:vAlign w:val="bottom"/>
          </w:tcPr>
          <w:p>
            <w:pPr>
              <w:spacing w:after="0"/>
              <w:rPr>
                <w:sz w:val="1"/>
                <w:szCs w:val="1"/>
                <w:color w:val="auto"/>
              </w:rPr>
            </w:pPr>
          </w:p>
        </w:tc>
      </w:tr>
      <w:tr>
        <w:trPr>
          <w:trHeight w:val="124"/>
        </w:trPr>
        <w:tc>
          <w:tcPr>
            <w:tcW w:w="3680" w:type="dxa"/>
            <w:vAlign w:val="bottom"/>
            <w:tcBorders>
              <w:left w:val="single" w:sz="8" w:color="auto"/>
              <w:right w:val="single" w:sz="8" w:color="auto"/>
            </w:tcBorders>
          </w:tcPr>
          <w:p>
            <w:pPr>
              <w:ind w:left="20"/>
              <w:spacing w:after="0" w:line="124" w:lineRule="exact"/>
              <w:rPr>
                <w:sz w:val="20"/>
                <w:szCs w:val="20"/>
                <w:color w:val="auto"/>
              </w:rPr>
            </w:pPr>
            <w:r>
              <w:rPr>
                <w:rFonts w:ascii="Arial" w:cs="Arial" w:eastAsia="Arial" w:hAnsi="Arial"/>
                <w:sz w:val="12"/>
                <w:szCs w:val="12"/>
                <w:color w:val="auto"/>
              </w:rPr>
              <w:t>Translation result</w:t>
            </w:r>
          </w:p>
        </w:tc>
        <w:tc>
          <w:tcPr>
            <w:tcW w:w="1120" w:type="dxa"/>
            <w:vAlign w:val="bottom"/>
          </w:tcPr>
          <w:p>
            <w:pPr>
              <w:jc w:val="right"/>
              <w:ind w:right="83"/>
              <w:spacing w:after="0" w:line="124" w:lineRule="exact"/>
              <w:rPr>
                <w:sz w:val="20"/>
                <w:szCs w:val="20"/>
                <w:color w:val="auto"/>
              </w:rPr>
            </w:pPr>
            <w:r>
              <w:rPr>
                <w:rFonts w:ascii="Arial" w:cs="Arial" w:eastAsia="Arial" w:hAnsi="Arial"/>
                <w:sz w:val="12"/>
                <w:szCs w:val="12"/>
                <w:color w:val="auto"/>
              </w:rPr>
              <w:t>-</w:t>
            </w:r>
          </w:p>
        </w:tc>
        <w:tc>
          <w:tcPr>
            <w:tcW w:w="900" w:type="dxa"/>
            <w:vAlign w:val="bottom"/>
            <w:gridSpan w:val="2"/>
          </w:tcPr>
          <w:p>
            <w:pPr>
              <w:jc w:val="right"/>
              <w:spacing w:after="0" w:line="124" w:lineRule="exact"/>
              <w:rPr>
                <w:sz w:val="20"/>
                <w:szCs w:val="20"/>
                <w:color w:val="auto"/>
              </w:rPr>
            </w:pPr>
            <w:r>
              <w:rPr>
                <w:rFonts w:ascii="Arial" w:cs="Arial" w:eastAsia="Arial" w:hAnsi="Arial"/>
                <w:sz w:val="12"/>
                <w:szCs w:val="12"/>
                <w:color w:val="auto"/>
              </w:rPr>
              <w:t>-</w:t>
            </w:r>
          </w:p>
        </w:tc>
        <w:tc>
          <w:tcPr>
            <w:tcW w:w="98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2"/>
                <w:szCs w:val="12"/>
                <w:color w:val="auto"/>
              </w:rPr>
              <w:t>-</w:t>
            </w:r>
          </w:p>
        </w:tc>
        <w:tc>
          <w:tcPr>
            <w:tcW w:w="1020" w:type="dxa"/>
            <w:vAlign w:val="bottom"/>
          </w:tcPr>
          <w:p>
            <w:pPr>
              <w:jc w:val="center"/>
              <w:ind w:right="83"/>
              <w:spacing w:after="0" w:line="124" w:lineRule="exact"/>
              <w:rPr>
                <w:sz w:val="20"/>
                <w:szCs w:val="20"/>
                <w:color w:val="auto"/>
              </w:rPr>
            </w:pPr>
            <w:r>
              <w:rPr>
                <w:rFonts w:ascii="Arial" w:cs="Arial" w:eastAsia="Arial" w:hAnsi="Arial"/>
                <w:sz w:val="12"/>
                <w:szCs w:val="12"/>
                <w:color w:val="auto"/>
              </w:rPr>
              <w:t>0.0%</w:t>
            </w:r>
          </w:p>
        </w:tc>
        <w:tc>
          <w:tcPr>
            <w:tcW w:w="620" w:type="dxa"/>
            <w:vAlign w:val="bottom"/>
            <w:tcBorders>
              <w:right w:val="single" w:sz="8" w:color="auto"/>
            </w:tcBorders>
          </w:tcPr>
          <w:p>
            <w:pPr>
              <w:jc w:val="center"/>
              <w:ind w:right="103"/>
              <w:spacing w:after="0" w:line="124" w:lineRule="exact"/>
              <w:rPr>
                <w:sz w:val="20"/>
                <w:szCs w:val="20"/>
                <w:color w:val="auto"/>
              </w:rPr>
            </w:pPr>
            <w:r>
              <w:rPr>
                <w:rFonts w:ascii="Arial" w:cs="Arial" w:eastAsia="Arial" w:hAnsi="Arial"/>
                <w:sz w:val="12"/>
                <w:szCs w:val="12"/>
                <w:color w:val="auto"/>
                <w:w w:val="94"/>
              </w:rPr>
              <w:t>0.0%</w:t>
            </w:r>
          </w:p>
        </w:tc>
        <w:tc>
          <w:tcPr>
            <w:tcW w:w="1080" w:type="dxa"/>
            <w:vAlign w:val="bottom"/>
            <w:gridSpan w:val="2"/>
          </w:tcPr>
          <w:p>
            <w:pPr>
              <w:jc w:val="right"/>
              <w:ind w:right="148"/>
              <w:spacing w:after="0" w:line="124" w:lineRule="exact"/>
              <w:rPr>
                <w:sz w:val="20"/>
                <w:szCs w:val="20"/>
                <w:color w:val="auto"/>
              </w:rPr>
            </w:pPr>
            <w:r>
              <w:rPr>
                <w:rFonts w:ascii="Arial" w:cs="Arial" w:eastAsia="Arial" w:hAnsi="Arial"/>
                <w:sz w:val="12"/>
                <w:szCs w:val="12"/>
                <w:color w:val="auto"/>
              </w:rPr>
              <w:t>-</w:t>
            </w:r>
          </w:p>
        </w:tc>
        <w:tc>
          <w:tcPr>
            <w:tcW w:w="74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2"/>
                <w:szCs w:val="12"/>
                <w:color w:val="auto"/>
              </w:rPr>
              <w:t>-</w:t>
            </w:r>
          </w:p>
        </w:tc>
        <w:tc>
          <w:tcPr>
            <w:tcW w:w="112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2"/>
                <w:szCs w:val="12"/>
                <w:color w:val="auto"/>
              </w:rPr>
              <w:t>0.0%</w:t>
            </w:r>
          </w:p>
        </w:tc>
        <w:tc>
          <w:tcPr>
            <w:tcW w:w="0" w:type="dxa"/>
            <w:vAlign w:val="bottom"/>
          </w:tcPr>
          <w:p>
            <w:pPr>
              <w:spacing w:after="0"/>
              <w:rPr>
                <w:sz w:val="1"/>
                <w:szCs w:val="1"/>
                <w:color w:val="auto"/>
              </w:rPr>
            </w:pPr>
          </w:p>
        </w:tc>
      </w:tr>
      <w:tr>
        <w:trPr>
          <w:trHeight w:val="118"/>
        </w:trPr>
        <w:tc>
          <w:tcPr>
            <w:tcW w:w="3680" w:type="dxa"/>
            <w:vAlign w:val="bottom"/>
            <w:tcBorders>
              <w:left w:val="single" w:sz="8" w:color="auto"/>
              <w:right w:val="single" w:sz="8" w:color="auto"/>
            </w:tcBorders>
          </w:tcPr>
          <w:p>
            <w:pPr>
              <w:ind w:left="20"/>
              <w:spacing w:after="0" w:line="118" w:lineRule="exact"/>
              <w:rPr>
                <w:sz w:val="20"/>
                <w:szCs w:val="20"/>
                <w:color w:val="auto"/>
              </w:rPr>
            </w:pPr>
            <w:r>
              <w:rPr>
                <w:rFonts w:ascii="Arial" w:cs="Arial" w:eastAsia="Arial" w:hAnsi="Arial"/>
                <w:sz w:val="12"/>
                <w:szCs w:val="12"/>
                <w:color w:val="auto"/>
              </w:rPr>
              <w:t>Income taxes</w:t>
            </w:r>
          </w:p>
        </w:tc>
        <w:tc>
          <w:tcPr>
            <w:tcW w:w="1120" w:type="dxa"/>
            <w:vAlign w:val="bottom"/>
          </w:tcPr>
          <w:p>
            <w:pPr>
              <w:jc w:val="right"/>
              <w:ind w:right="83"/>
              <w:spacing w:after="0" w:line="118" w:lineRule="exact"/>
              <w:rPr>
                <w:sz w:val="20"/>
                <w:szCs w:val="20"/>
                <w:color w:val="auto"/>
              </w:rPr>
            </w:pPr>
            <w:r>
              <w:rPr>
                <w:rFonts w:ascii="Arial" w:cs="Arial" w:eastAsia="Arial" w:hAnsi="Arial"/>
                <w:sz w:val="12"/>
                <w:szCs w:val="12"/>
                <w:color w:val="auto"/>
              </w:rPr>
              <w:t>(57,174)</w:t>
            </w:r>
          </w:p>
        </w:tc>
        <w:tc>
          <w:tcPr>
            <w:tcW w:w="900" w:type="dxa"/>
            <w:vAlign w:val="bottom"/>
            <w:gridSpan w:val="2"/>
          </w:tcPr>
          <w:p>
            <w:pPr>
              <w:jc w:val="right"/>
              <w:spacing w:after="0" w:line="118" w:lineRule="exact"/>
              <w:rPr>
                <w:sz w:val="20"/>
                <w:szCs w:val="20"/>
                <w:color w:val="auto"/>
              </w:rPr>
            </w:pPr>
            <w:r>
              <w:rPr>
                <w:rFonts w:ascii="Arial" w:cs="Arial" w:eastAsia="Arial" w:hAnsi="Arial"/>
                <w:sz w:val="12"/>
                <w:szCs w:val="12"/>
                <w:color w:val="auto"/>
              </w:rPr>
              <w:t>(22,934)</w:t>
            </w:r>
          </w:p>
        </w:tc>
        <w:tc>
          <w:tcPr>
            <w:tcW w:w="980" w:type="dxa"/>
            <w:vAlign w:val="bottom"/>
            <w:tcBorders>
              <w:right w:val="single" w:sz="8" w:color="auto"/>
            </w:tcBorders>
          </w:tcPr>
          <w:p>
            <w:pPr>
              <w:jc w:val="right"/>
              <w:spacing w:after="0" w:line="118" w:lineRule="exact"/>
              <w:rPr>
                <w:sz w:val="20"/>
                <w:szCs w:val="20"/>
                <w:color w:val="auto"/>
              </w:rPr>
            </w:pPr>
            <w:r>
              <w:rPr>
                <w:rFonts w:ascii="Arial" w:cs="Arial" w:eastAsia="Arial" w:hAnsi="Arial"/>
                <w:sz w:val="12"/>
                <w:szCs w:val="12"/>
                <w:color w:val="auto"/>
              </w:rPr>
              <w:t>(15,680)</w:t>
            </w:r>
          </w:p>
        </w:tc>
        <w:tc>
          <w:tcPr>
            <w:tcW w:w="1020" w:type="dxa"/>
            <w:vAlign w:val="bottom"/>
          </w:tcPr>
          <w:p>
            <w:pPr>
              <w:jc w:val="center"/>
              <w:ind w:right="83"/>
              <w:spacing w:after="0" w:line="118" w:lineRule="exact"/>
              <w:rPr>
                <w:sz w:val="20"/>
                <w:szCs w:val="20"/>
                <w:color w:val="auto"/>
              </w:rPr>
            </w:pPr>
            <w:r>
              <w:rPr>
                <w:rFonts w:ascii="Arial" w:cs="Arial" w:eastAsia="Arial" w:hAnsi="Arial"/>
                <w:sz w:val="12"/>
                <w:szCs w:val="12"/>
                <w:color w:val="auto"/>
                <w:w w:val="94"/>
              </w:rPr>
              <w:t>-31.6%</w:t>
            </w:r>
          </w:p>
        </w:tc>
        <w:tc>
          <w:tcPr>
            <w:tcW w:w="620" w:type="dxa"/>
            <w:vAlign w:val="bottom"/>
            <w:tcBorders>
              <w:right w:val="single" w:sz="8" w:color="auto"/>
            </w:tcBorders>
          </w:tcPr>
          <w:p>
            <w:pPr>
              <w:jc w:val="center"/>
              <w:ind w:right="83"/>
              <w:spacing w:after="0" w:line="118" w:lineRule="exact"/>
              <w:rPr>
                <w:sz w:val="20"/>
                <w:szCs w:val="20"/>
                <w:color w:val="auto"/>
              </w:rPr>
            </w:pPr>
            <w:r>
              <w:rPr>
                <w:rFonts w:ascii="Arial" w:cs="Arial" w:eastAsia="Arial" w:hAnsi="Arial"/>
                <w:sz w:val="12"/>
                <w:szCs w:val="12"/>
                <w:color w:val="auto"/>
                <w:w w:val="94"/>
              </w:rPr>
              <w:t>-72.6%</w:t>
            </w:r>
          </w:p>
        </w:tc>
        <w:tc>
          <w:tcPr>
            <w:tcW w:w="1080" w:type="dxa"/>
            <w:vAlign w:val="bottom"/>
            <w:gridSpan w:val="2"/>
          </w:tcPr>
          <w:p>
            <w:pPr>
              <w:jc w:val="right"/>
              <w:ind w:right="148"/>
              <w:spacing w:after="0" w:line="118" w:lineRule="exact"/>
              <w:rPr>
                <w:sz w:val="20"/>
                <w:szCs w:val="20"/>
                <w:color w:val="auto"/>
              </w:rPr>
            </w:pPr>
            <w:r>
              <w:rPr>
                <w:rFonts w:ascii="Arial" w:cs="Arial" w:eastAsia="Arial" w:hAnsi="Arial"/>
                <w:sz w:val="12"/>
                <w:szCs w:val="12"/>
                <w:color w:val="auto"/>
              </w:rPr>
              <w:t>(146,888)</w:t>
            </w:r>
          </w:p>
        </w:tc>
        <w:tc>
          <w:tcPr>
            <w:tcW w:w="740" w:type="dxa"/>
            <w:vAlign w:val="bottom"/>
            <w:tcBorders>
              <w:right w:val="single" w:sz="8" w:color="auto"/>
            </w:tcBorders>
          </w:tcPr>
          <w:p>
            <w:pPr>
              <w:jc w:val="right"/>
              <w:spacing w:after="0" w:line="118" w:lineRule="exact"/>
              <w:rPr>
                <w:sz w:val="20"/>
                <w:szCs w:val="20"/>
                <w:color w:val="auto"/>
              </w:rPr>
            </w:pPr>
            <w:r>
              <w:rPr>
                <w:rFonts w:ascii="Arial" w:cs="Arial" w:eastAsia="Arial" w:hAnsi="Arial"/>
                <w:sz w:val="12"/>
                <w:szCs w:val="12"/>
                <w:color w:val="auto"/>
              </w:rPr>
              <w:t>(40,222)</w:t>
            </w:r>
          </w:p>
        </w:tc>
        <w:tc>
          <w:tcPr>
            <w:tcW w:w="1120" w:type="dxa"/>
            <w:vAlign w:val="bottom"/>
            <w:tcBorders>
              <w:right w:val="single" w:sz="8" w:color="auto"/>
            </w:tcBorders>
          </w:tcPr>
          <w:p>
            <w:pPr>
              <w:jc w:val="center"/>
              <w:spacing w:after="0" w:line="118" w:lineRule="exact"/>
              <w:rPr>
                <w:sz w:val="20"/>
                <w:szCs w:val="20"/>
                <w:color w:val="auto"/>
              </w:rPr>
            </w:pPr>
            <w:r>
              <w:rPr>
                <w:rFonts w:ascii="Arial" w:cs="Arial" w:eastAsia="Arial" w:hAnsi="Arial"/>
                <w:sz w:val="12"/>
                <w:szCs w:val="12"/>
                <w:color w:val="auto"/>
                <w:w w:val="94"/>
              </w:rPr>
              <w:t>-72.6%</w:t>
            </w:r>
          </w:p>
        </w:tc>
        <w:tc>
          <w:tcPr>
            <w:tcW w:w="0" w:type="dxa"/>
            <w:vAlign w:val="bottom"/>
          </w:tcPr>
          <w:p>
            <w:pPr>
              <w:spacing w:after="0"/>
              <w:rPr>
                <w:sz w:val="1"/>
                <w:szCs w:val="1"/>
                <w:color w:val="auto"/>
              </w:rPr>
            </w:pPr>
          </w:p>
        </w:tc>
      </w:tr>
      <w:tr>
        <w:trPr>
          <w:trHeight w:val="143"/>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b w:val="1"/>
                <w:bCs w:val="1"/>
                <w:color w:val="auto"/>
              </w:rPr>
              <w:t>Net income</w:t>
            </w:r>
          </w:p>
        </w:tc>
        <w:tc>
          <w:tcPr>
            <w:tcW w:w="1120" w:type="dxa"/>
            <w:vAlign w:val="bottom"/>
            <w:tcBorders>
              <w:bottom w:val="single" w:sz="8" w:color="auto"/>
            </w:tcBorders>
          </w:tcPr>
          <w:p>
            <w:pPr>
              <w:jc w:val="right"/>
              <w:ind w:right="83"/>
              <w:spacing w:after="0"/>
              <w:rPr>
                <w:sz w:val="20"/>
                <w:szCs w:val="20"/>
                <w:color w:val="auto"/>
              </w:rPr>
            </w:pPr>
            <w:r>
              <w:rPr>
                <w:rFonts w:ascii="Arial" w:cs="Arial" w:eastAsia="Arial" w:hAnsi="Arial"/>
                <w:sz w:val="12"/>
                <w:szCs w:val="12"/>
                <w:b w:val="1"/>
                <w:bCs w:val="1"/>
                <w:color w:val="auto"/>
              </w:rPr>
              <w:t>147,042</w:t>
            </w: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66,360</w:t>
            </w:r>
          </w:p>
        </w:tc>
        <w:tc>
          <w:tcPr>
            <w:tcW w:w="9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2"/>
                <w:szCs w:val="12"/>
                <w:b w:val="1"/>
                <w:bCs w:val="1"/>
                <w:color w:val="auto"/>
              </w:rPr>
              <w:t>60,380</w:t>
            </w:r>
          </w:p>
        </w:tc>
        <w:tc>
          <w:tcPr>
            <w:tcW w:w="1020" w:type="dxa"/>
            <w:vAlign w:val="bottom"/>
            <w:tcBorders>
              <w:bottom w:val="single" w:sz="8" w:color="auto"/>
            </w:tcBorders>
          </w:tcPr>
          <w:p>
            <w:pPr>
              <w:jc w:val="center"/>
              <w:ind w:right="83"/>
              <w:spacing w:after="0"/>
              <w:rPr>
                <w:sz w:val="20"/>
                <w:szCs w:val="20"/>
                <w:color w:val="auto"/>
              </w:rPr>
            </w:pPr>
            <w:r>
              <w:rPr>
                <w:rFonts w:ascii="Arial" w:cs="Arial" w:eastAsia="Arial" w:hAnsi="Arial"/>
                <w:sz w:val="12"/>
                <w:szCs w:val="12"/>
                <w:b w:val="1"/>
                <w:bCs w:val="1"/>
                <w:color w:val="auto"/>
              </w:rPr>
              <w:t>-9.0%</w:t>
            </w:r>
          </w:p>
        </w:tc>
        <w:tc>
          <w:tcPr>
            <w:tcW w:w="620" w:type="dxa"/>
            <w:vAlign w:val="bottom"/>
            <w:tcBorders>
              <w:bottom w:val="single" w:sz="8" w:color="auto"/>
              <w:right w:val="single" w:sz="8" w:color="auto"/>
            </w:tcBorders>
          </w:tcPr>
          <w:p>
            <w:pPr>
              <w:jc w:val="center"/>
              <w:ind w:right="83"/>
              <w:spacing w:after="0"/>
              <w:rPr>
                <w:sz w:val="20"/>
                <w:szCs w:val="20"/>
                <w:color w:val="auto"/>
              </w:rPr>
            </w:pPr>
            <w:r>
              <w:rPr>
                <w:rFonts w:ascii="Arial" w:cs="Arial" w:eastAsia="Arial" w:hAnsi="Arial"/>
                <w:sz w:val="12"/>
                <w:szCs w:val="12"/>
                <w:b w:val="1"/>
                <w:bCs w:val="1"/>
                <w:color w:val="auto"/>
                <w:w w:val="94"/>
              </w:rPr>
              <w:t>-58.9%</w:t>
            </w:r>
          </w:p>
        </w:tc>
        <w:tc>
          <w:tcPr>
            <w:tcW w:w="1080" w:type="dxa"/>
            <w:vAlign w:val="bottom"/>
            <w:tcBorders>
              <w:bottom w:val="single" w:sz="8" w:color="auto"/>
            </w:tcBorders>
            <w:gridSpan w:val="2"/>
          </w:tcPr>
          <w:p>
            <w:pPr>
              <w:jc w:val="right"/>
              <w:ind w:right="148"/>
              <w:spacing w:after="0"/>
              <w:rPr>
                <w:sz w:val="20"/>
                <w:szCs w:val="20"/>
                <w:color w:val="auto"/>
              </w:rPr>
            </w:pPr>
            <w:r>
              <w:rPr>
                <w:rFonts w:ascii="Arial" w:cs="Arial" w:eastAsia="Arial" w:hAnsi="Arial"/>
                <w:sz w:val="12"/>
                <w:szCs w:val="12"/>
                <w:b w:val="1"/>
                <w:bCs w:val="1"/>
                <w:color w:val="auto"/>
              </w:rPr>
              <w:t>377,960</w:t>
            </w:r>
          </w:p>
        </w:tc>
        <w:tc>
          <w:tcPr>
            <w:tcW w:w="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2"/>
                <w:szCs w:val="12"/>
                <w:b w:val="1"/>
                <w:bCs w:val="1"/>
                <w:color w:val="auto"/>
              </w:rPr>
              <w:t>149,882</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-60.3%</w:t>
            </w:r>
          </w:p>
        </w:tc>
        <w:tc>
          <w:tcPr>
            <w:tcW w:w="0" w:type="dxa"/>
            <w:vAlign w:val="bottom"/>
          </w:tcPr>
          <w:p>
            <w:pPr>
              <w:spacing w:after="0"/>
              <w:rPr>
                <w:sz w:val="1"/>
                <w:szCs w:val="1"/>
                <w:color w:val="auto"/>
              </w:rPr>
            </w:pPr>
          </w:p>
        </w:tc>
      </w:tr>
      <w:tr>
        <w:trPr>
          <w:trHeight w:val="165"/>
        </w:trPr>
        <w:tc>
          <w:tcPr>
            <w:tcW w:w="36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3"/>
        </w:trPr>
        <w:tc>
          <w:tcPr>
            <w:tcW w:w="3680" w:type="dxa"/>
            <w:vAlign w:val="bottom"/>
            <w:tcBorders>
              <w:left w:val="single" w:sz="8" w:color="auto"/>
              <w:right w:val="single" w:sz="8" w:color="auto"/>
            </w:tcBorders>
          </w:tcPr>
          <w:p>
            <w:pPr>
              <w:ind w:left="20"/>
              <w:spacing w:after="0" w:line="103" w:lineRule="exact"/>
              <w:rPr>
                <w:sz w:val="20"/>
                <w:szCs w:val="20"/>
                <w:color w:val="auto"/>
              </w:rPr>
            </w:pPr>
            <w:r>
              <w:rPr>
                <w:rFonts w:ascii="Arial" w:cs="Arial" w:eastAsia="Arial" w:hAnsi="Arial"/>
                <w:sz w:val="10"/>
                <w:szCs w:val="10"/>
                <w:color w:val="auto"/>
              </w:rPr>
              <w:t>Efficiency ratio</w:t>
            </w:r>
          </w:p>
        </w:tc>
        <w:tc>
          <w:tcPr>
            <w:tcW w:w="1120" w:type="dxa"/>
            <w:vAlign w:val="bottom"/>
          </w:tcPr>
          <w:p>
            <w:pPr>
              <w:jc w:val="center"/>
              <w:ind w:right="103"/>
              <w:spacing w:after="0" w:line="103" w:lineRule="exact"/>
              <w:rPr>
                <w:sz w:val="20"/>
                <w:szCs w:val="20"/>
                <w:color w:val="auto"/>
              </w:rPr>
            </w:pPr>
            <w:r>
              <w:rPr>
                <w:rFonts w:ascii="Arial" w:cs="Arial" w:eastAsia="Arial" w:hAnsi="Arial"/>
                <w:sz w:val="10"/>
                <w:szCs w:val="10"/>
                <w:color w:val="auto"/>
              </w:rPr>
              <w:t>50.0%</w:t>
            </w:r>
          </w:p>
        </w:tc>
        <w:tc>
          <w:tcPr>
            <w:tcW w:w="900" w:type="dxa"/>
            <w:vAlign w:val="bottom"/>
            <w:gridSpan w:val="2"/>
          </w:tcPr>
          <w:p>
            <w:pPr>
              <w:jc w:val="center"/>
              <w:ind w:right="122"/>
              <w:spacing w:after="0" w:line="103" w:lineRule="exact"/>
              <w:rPr>
                <w:sz w:val="20"/>
                <w:szCs w:val="20"/>
                <w:color w:val="auto"/>
              </w:rPr>
            </w:pPr>
            <w:r>
              <w:rPr>
                <w:rFonts w:ascii="Arial" w:cs="Arial" w:eastAsia="Arial" w:hAnsi="Arial"/>
                <w:sz w:val="10"/>
                <w:szCs w:val="10"/>
                <w:color w:val="auto"/>
              </w:rPr>
              <w:t>52.7%</w:t>
            </w:r>
          </w:p>
        </w:tc>
        <w:tc>
          <w:tcPr>
            <w:tcW w:w="980" w:type="dxa"/>
            <w:vAlign w:val="bottom"/>
            <w:tcBorders>
              <w:right w:val="single" w:sz="8" w:color="auto"/>
            </w:tcBorders>
          </w:tcPr>
          <w:p>
            <w:pPr>
              <w:jc w:val="right"/>
              <w:ind w:right="303"/>
              <w:spacing w:after="0" w:line="103" w:lineRule="exact"/>
              <w:rPr>
                <w:sz w:val="20"/>
                <w:szCs w:val="20"/>
                <w:color w:val="auto"/>
              </w:rPr>
            </w:pPr>
            <w:r>
              <w:rPr>
                <w:rFonts w:ascii="Arial" w:cs="Arial" w:eastAsia="Arial" w:hAnsi="Arial"/>
                <w:sz w:val="10"/>
                <w:szCs w:val="10"/>
                <w:color w:val="auto"/>
              </w:rPr>
              <w:t>51.7%</w:t>
            </w:r>
          </w:p>
        </w:tc>
        <w:tc>
          <w:tcPr>
            <w:tcW w:w="1020" w:type="dxa"/>
            <w:vAlign w:val="bottom"/>
          </w:tcPr>
          <w:p>
            <w:pPr>
              <w:jc w:val="right"/>
              <w:ind w:right="83"/>
              <w:spacing w:after="0" w:line="103" w:lineRule="exact"/>
              <w:rPr>
                <w:sz w:val="20"/>
                <w:szCs w:val="20"/>
                <w:color w:val="auto"/>
              </w:rPr>
            </w:pPr>
            <w:r>
              <w:rPr>
                <w:rFonts w:ascii="Arial" w:cs="Arial" w:eastAsia="Arial" w:hAnsi="Arial"/>
                <w:sz w:val="10"/>
                <w:szCs w:val="10"/>
                <w:color w:val="auto"/>
              </w:rPr>
              <w:t>-99 bps</w:t>
            </w:r>
          </w:p>
        </w:tc>
        <w:tc>
          <w:tcPr>
            <w:tcW w:w="620" w:type="dxa"/>
            <w:vAlign w:val="bottom"/>
            <w:tcBorders>
              <w:right w:val="single" w:sz="8" w:color="auto"/>
            </w:tcBorders>
          </w:tcPr>
          <w:p>
            <w:pPr>
              <w:jc w:val="right"/>
              <w:spacing w:after="0" w:line="103" w:lineRule="exact"/>
              <w:rPr>
                <w:sz w:val="20"/>
                <w:szCs w:val="20"/>
                <w:color w:val="auto"/>
              </w:rPr>
            </w:pPr>
            <w:r>
              <w:rPr>
                <w:rFonts w:ascii="Arial" w:cs="Arial" w:eastAsia="Arial" w:hAnsi="Arial"/>
                <w:sz w:val="10"/>
                <w:szCs w:val="10"/>
                <w:color w:val="auto"/>
              </w:rPr>
              <w:t>172 bps</w:t>
            </w:r>
          </w:p>
        </w:tc>
        <w:tc>
          <w:tcPr>
            <w:tcW w:w="1080" w:type="dxa"/>
            <w:vAlign w:val="bottom"/>
            <w:gridSpan w:val="2"/>
          </w:tcPr>
          <w:p>
            <w:pPr>
              <w:jc w:val="right"/>
              <w:ind w:right="148"/>
              <w:spacing w:after="0" w:line="103" w:lineRule="exact"/>
              <w:rPr>
                <w:sz w:val="20"/>
                <w:szCs w:val="20"/>
                <w:color w:val="auto"/>
              </w:rPr>
            </w:pPr>
            <w:r>
              <w:rPr>
                <w:rFonts w:ascii="Arial" w:cs="Arial" w:eastAsia="Arial" w:hAnsi="Arial"/>
                <w:sz w:val="10"/>
                <w:szCs w:val="10"/>
                <w:color w:val="auto"/>
              </w:rPr>
              <w:t>51.3%</w:t>
            </w:r>
          </w:p>
        </w:tc>
        <w:tc>
          <w:tcPr>
            <w:tcW w:w="740" w:type="dxa"/>
            <w:vAlign w:val="bottom"/>
            <w:tcBorders>
              <w:right w:val="single" w:sz="8" w:color="auto"/>
            </w:tcBorders>
          </w:tcPr>
          <w:p>
            <w:pPr>
              <w:jc w:val="right"/>
              <w:spacing w:after="0" w:line="103" w:lineRule="exact"/>
              <w:rPr>
                <w:sz w:val="20"/>
                <w:szCs w:val="20"/>
                <w:color w:val="auto"/>
              </w:rPr>
            </w:pPr>
            <w:r>
              <w:rPr>
                <w:rFonts w:ascii="Arial" w:cs="Arial" w:eastAsia="Arial" w:hAnsi="Arial"/>
                <w:sz w:val="10"/>
                <w:szCs w:val="10"/>
                <w:color w:val="auto"/>
              </w:rPr>
              <w:t>52.9%</w:t>
            </w:r>
          </w:p>
        </w:tc>
        <w:tc>
          <w:tcPr>
            <w:tcW w:w="1120" w:type="dxa"/>
            <w:vAlign w:val="bottom"/>
            <w:tcBorders>
              <w:right w:val="single" w:sz="8" w:color="auto"/>
            </w:tcBorders>
          </w:tcPr>
          <w:p>
            <w:pPr>
              <w:jc w:val="center"/>
              <w:spacing w:after="0" w:line="103" w:lineRule="exact"/>
              <w:rPr>
                <w:sz w:val="20"/>
                <w:szCs w:val="20"/>
                <w:color w:val="auto"/>
              </w:rPr>
            </w:pPr>
            <w:r>
              <w:rPr>
                <w:rFonts w:ascii="Arial" w:cs="Arial" w:eastAsia="Arial" w:hAnsi="Arial"/>
                <w:sz w:val="10"/>
                <w:szCs w:val="10"/>
                <w:color w:val="auto"/>
              </w:rPr>
              <w:t>162</w:t>
            </w:r>
          </w:p>
        </w:tc>
        <w:tc>
          <w:tcPr>
            <w:tcW w:w="0" w:type="dxa"/>
            <w:vAlign w:val="bottom"/>
          </w:tcPr>
          <w:p>
            <w:pPr>
              <w:spacing w:after="0"/>
              <w:rPr>
                <w:sz w:val="1"/>
                <w:szCs w:val="1"/>
                <w:color w:val="auto"/>
              </w:rPr>
            </w:pPr>
          </w:p>
        </w:tc>
      </w:tr>
      <w:tr>
        <w:trPr>
          <w:trHeight w:val="124"/>
        </w:trPr>
        <w:tc>
          <w:tcPr>
            <w:tcW w:w="3680" w:type="dxa"/>
            <w:vAlign w:val="bottom"/>
            <w:tcBorders>
              <w:left w:val="single" w:sz="8" w:color="auto"/>
              <w:right w:val="single" w:sz="8" w:color="auto"/>
            </w:tcBorders>
          </w:tcPr>
          <w:p>
            <w:pPr>
              <w:ind w:left="20"/>
              <w:spacing w:after="0" w:line="124" w:lineRule="exact"/>
              <w:rPr>
                <w:sz w:val="20"/>
                <w:szCs w:val="20"/>
                <w:color w:val="auto"/>
              </w:rPr>
            </w:pPr>
            <w:r>
              <w:rPr>
                <w:rFonts w:ascii="Arial" w:cs="Arial" w:eastAsia="Arial" w:hAnsi="Arial"/>
                <w:sz w:val="12"/>
                <w:szCs w:val="12"/>
                <w:color w:val="auto"/>
              </w:rPr>
              <w:t>ROAE</w:t>
            </w:r>
          </w:p>
        </w:tc>
        <w:tc>
          <w:tcPr>
            <w:tcW w:w="1120" w:type="dxa"/>
            <w:vAlign w:val="bottom"/>
          </w:tcPr>
          <w:p>
            <w:pPr>
              <w:jc w:val="center"/>
              <w:ind w:right="103"/>
              <w:spacing w:after="0" w:line="124" w:lineRule="exact"/>
              <w:rPr>
                <w:sz w:val="20"/>
                <w:szCs w:val="20"/>
                <w:color w:val="auto"/>
              </w:rPr>
            </w:pPr>
            <w:r>
              <w:rPr>
                <w:rFonts w:ascii="Arial" w:cs="Arial" w:eastAsia="Arial" w:hAnsi="Arial"/>
                <w:sz w:val="12"/>
                <w:szCs w:val="12"/>
                <w:color w:val="auto"/>
                <w:w w:val="93"/>
              </w:rPr>
              <w:t>22.1%</w:t>
            </w:r>
          </w:p>
        </w:tc>
        <w:tc>
          <w:tcPr>
            <w:tcW w:w="900" w:type="dxa"/>
            <w:vAlign w:val="bottom"/>
            <w:gridSpan w:val="2"/>
          </w:tcPr>
          <w:p>
            <w:pPr>
              <w:jc w:val="center"/>
              <w:ind w:right="122"/>
              <w:spacing w:after="0" w:line="124" w:lineRule="exact"/>
              <w:rPr>
                <w:sz w:val="20"/>
                <w:szCs w:val="20"/>
                <w:color w:val="auto"/>
              </w:rPr>
            </w:pPr>
            <w:r>
              <w:rPr>
                <w:rFonts w:ascii="Arial" w:cs="Arial" w:eastAsia="Arial" w:hAnsi="Arial"/>
                <w:sz w:val="12"/>
                <w:szCs w:val="12"/>
                <w:color w:val="auto"/>
              </w:rPr>
              <w:t>9.3%</w:t>
            </w:r>
          </w:p>
        </w:tc>
        <w:tc>
          <w:tcPr>
            <w:tcW w:w="98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2"/>
                <w:szCs w:val="12"/>
                <w:color w:val="auto"/>
                <w:w w:val="94"/>
              </w:rPr>
              <w:t>8.3%</w:t>
            </w:r>
          </w:p>
        </w:tc>
        <w:tc>
          <w:tcPr>
            <w:tcW w:w="1020" w:type="dxa"/>
            <w:vAlign w:val="bottom"/>
          </w:tcPr>
          <w:p>
            <w:pPr>
              <w:jc w:val="right"/>
              <w:ind w:right="83"/>
              <w:spacing w:after="0" w:line="124" w:lineRule="exact"/>
              <w:rPr>
                <w:sz w:val="20"/>
                <w:szCs w:val="20"/>
                <w:color w:val="auto"/>
              </w:rPr>
            </w:pPr>
            <w:r>
              <w:rPr>
                <w:rFonts w:ascii="Arial" w:cs="Arial" w:eastAsia="Arial" w:hAnsi="Arial"/>
                <w:sz w:val="12"/>
                <w:szCs w:val="12"/>
                <w:color w:val="auto"/>
              </w:rPr>
              <w:t>-104 bps</w:t>
            </w:r>
          </w:p>
        </w:tc>
        <w:tc>
          <w:tcPr>
            <w:tcW w:w="62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2"/>
                <w:szCs w:val="12"/>
                <w:color w:val="auto"/>
              </w:rPr>
              <w:t>-1381 bps</w:t>
            </w:r>
          </w:p>
        </w:tc>
        <w:tc>
          <w:tcPr>
            <w:tcW w:w="1080" w:type="dxa"/>
            <w:vAlign w:val="bottom"/>
            <w:gridSpan w:val="2"/>
          </w:tcPr>
          <w:p>
            <w:pPr>
              <w:jc w:val="right"/>
              <w:ind w:right="148"/>
              <w:spacing w:after="0" w:line="124" w:lineRule="exact"/>
              <w:rPr>
                <w:sz w:val="20"/>
                <w:szCs w:val="20"/>
                <w:color w:val="auto"/>
              </w:rPr>
            </w:pPr>
            <w:r>
              <w:rPr>
                <w:rFonts w:ascii="Arial" w:cs="Arial" w:eastAsia="Arial" w:hAnsi="Arial"/>
                <w:sz w:val="12"/>
                <w:szCs w:val="12"/>
                <w:color w:val="auto"/>
              </w:rPr>
              <w:t>19.9%</w:t>
            </w:r>
          </w:p>
        </w:tc>
        <w:tc>
          <w:tcPr>
            <w:tcW w:w="74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2"/>
                <w:szCs w:val="12"/>
                <w:color w:val="auto"/>
              </w:rPr>
              <w:t>7.0%</w:t>
            </w:r>
          </w:p>
        </w:tc>
        <w:tc>
          <w:tcPr>
            <w:tcW w:w="112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2"/>
                <w:szCs w:val="12"/>
                <w:color w:val="auto"/>
                <w:w w:val="91"/>
              </w:rPr>
              <w:t>-1288</w:t>
            </w:r>
          </w:p>
        </w:tc>
        <w:tc>
          <w:tcPr>
            <w:tcW w:w="0" w:type="dxa"/>
            <w:vAlign w:val="bottom"/>
          </w:tcPr>
          <w:p>
            <w:pPr>
              <w:spacing w:after="0"/>
              <w:rPr>
                <w:sz w:val="1"/>
                <w:szCs w:val="1"/>
                <w:color w:val="auto"/>
              </w:rPr>
            </w:pPr>
          </w:p>
        </w:tc>
      </w:tr>
      <w:tr>
        <w:trPr>
          <w:trHeight w:val="142"/>
        </w:trPr>
        <w:tc>
          <w:tcPr>
            <w:tcW w:w="3680" w:type="dxa"/>
            <w:vAlign w:val="bottom"/>
            <w:tcBorders>
              <w:left w:val="single" w:sz="8" w:color="auto"/>
              <w:right w:val="single" w:sz="8" w:color="auto"/>
            </w:tcBorders>
          </w:tcPr>
          <w:p>
            <w:pPr>
              <w:ind w:left="20"/>
              <w:spacing w:after="0" w:line="136" w:lineRule="exact"/>
              <w:rPr>
                <w:sz w:val="20"/>
                <w:szCs w:val="20"/>
                <w:color w:val="auto"/>
              </w:rPr>
            </w:pPr>
            <w:r>
              <w:rPr>
                <w:rFonts w:ascii="Arial" w:cs="Arial" w:eastAsia="Arial" w:hAnsi="Arial"/>
                <w:sz w:val="12"/>
                <w:szCs w:val="12"/>
                <w:color w:val="auto"/>
              </w:rPr>
              <w:t>ROAE incl. Goowdill</w:t>
            </w:r>
          </w:p>
        </w:tc>
        <w:tc>
          <w:tcPr>
            <w:tcW w:w="1120" w:type="dxa"/>
            <w:vAlign w:val="bottom"/>
          </w:tcPr>
          <w:p>
            <w:pPr>
              <w:jc w:val="center"/>
              <w:ind w:right="103"/>
              <w:spacing w:after="0" w:line="136" w:lineRule="exact"/>
              <w:rPr>
                <w:sz w:val="20"/>
                <w:szCs w:val="20"/>
                <w:color w:val="auto"/>
              </w:rPr>
            </w:pPr>
            <w:r>
              <w:rPr>
                <w:rFonts w:ascii="Arial" w:cs="Arial" w:eastAsia="Arial" w:hAnsi="Arial"/>
                <w:sz w:val="12"/>
                <w:szCs w:val="12"/>
                <w:color w:val="auto"/>
                <w:w w:val="93"/>
              </w:rPr>
              <w:t>21.0%</w:t>
            </w:r>
          </w:p>
        </w:tc>
        <w:tc>
          <w:tcPr>
            <w:tcW w:w="900" w:type="dxa"/>
            <w:vAlign w:val="bottom"/>
            <w:gridSpan w:val="2"/>
          </w:tcPr>
          <w:p>
            <w:pPr>
              <w:jc w:val="center"/>
              <w:ind w:right="122"/>
              <w:spacing w:after="0" w:line="136" w:lineRule="exact"/>
              <w:rPr>
                <w:sz w:val="20"/>
                <w:szCs w:val="20"/>
                <w:color w:val="auto"/>
              </w:rPr>
            </w:pPr>
            <w:r>
              <w:rPr>
                <w:rFonts w:ascii="Arial" w:cs="Arial" w:eastAsia="Arial" w:hAnsi="Arial"/>
                <w:sz w:val="12"/>
                <w:szCs w:val="12"/>
                <w:color w:val="auto"/>
              </w:rPr>
              <w:t>8.9%</w:t>
            </w:r>
          </w:p>
        </w:tc>
        <w:tc>
          <w:tcPr>
            <w:tcW w:w="980" w:type="dxa"/>
            <w:vAlign w:val="bottom"/>
            <w:tcBorders>
              <w:right w:val="single" w:sz="8" w:color="auto"/>
            </w:tcBorders>
          </w:tcPr>
          <w:p>
            <w:pPr>
              <w:jc w:val="center"/>
              <w:spacing w:after="0" w:line="136" w:lineRule="exact"/>
              <w:rPr>
                <w:sz w:val="20"/>
                <w:szCs w:val="20"/>
                <w:color w:val="auto"/>
              </w:rPr>
            </w:pPr>
            <w:r>
              <w:rPr>
                <w:rFonts w:ascii="Arial" w:cs="Arial" w:eastAsia="Arial" w:hAnsi="Arial"/>
                <w:sz w:val="12"/>
                <w:szCs w:val="12"/>
                <w:color w:val="auto"/>
                <w:w w:val="94"/>
              </w:rPr>
              <w:t>7.9%</w:t>
            </w:r>
          </w:p>
        </w:tc>
        <w:tc>
          <w:tcPr>
            <w:tcW w:w="1020" w:type="dxa"/>
            <w:vAlign w:val="bottom"/>
          </w:tcPr>
          <w:p>
            <w:pPr>
              <w:jc w:val="right"/>
              <w:ind w:right="83"/>
              <w:spacing w:after="0" w:line="136" w:lineRule="exact"/>
              <w:rPr>
                <w:sz w:val="20"/>
                <w:szCs w:val="20"/>
                <w:color w:val="auto"/>
              </w:rPr>
            </w:pPr>
            <w:r>
              <w:rPr>
                <w:rFonts w:ascii="Arial" w:cs="Arial" w:eastAsia="Arial" w:hAnsi="Arial"/>
                <w:sz w:val="12"/>
                <w:szCs w:val="12"/>
                <w:color w:val="auto"/>
              </w:rPr>
              <w:t>-98 bps</w:t>
            </w:r>
          </w:p>
        </w:tc>
        <w:tc>
          <w:tcPr>
            <w:tcW w:w="620" w:type="dxa"/>
            <w:vAlign w:val="bottom"/>
            <w:tcBorders>
              <w:right w:val="single" w:sz="8" w:color="auto"/>
            </w:tcBorders>
          </w:tcPr>
          <w:p>
            <w:pPr>
              <w:jc w:val="right"/>
              <w:spacing w:after="0" w:line="136" w:lineRule="exact"/>
              <w:rPr>
                <w:sz w:val="20"/>
                <w:szCs w:val="20"/>
                <w:color w:val="auto"/>
              </w:rPr>
            </w:pPr>
            <w:r>
              <w:rPr>
                <w:rFonts w:ascii="Arial" w:cs="Arial" w:eastAsia="Arial" w:hAnsi="Arial"/>
                <w:sz w:val="12"/>
                <w:szCs w:val="12"/>
                <w:color w:val="auto"/>
              </w:rPr>
              <w:t>-1308 bps</w:t>
            </w:r>
          </w:p>
        </w:tc>
        <w:tc>
          <w:tcPr>
            <w:tcW w:w="1080" w:type="dxa"/>
            <w:vAlign w:val="bottom"/>
            <w:tcBorders>
              <w:bottom w:val="single" w:sz="8" w:color="auto"/>
            </w:tcBorders>
            <w:gridSpan w:val="2"/>
          </w:tcPr>
          <w:p>
            <w:pPr>
              <w:jc w:val="right"/>
              <w:ind w:right="148"/>
              <w:spacing w:after="0" w:line="136" w:lineRule="exact"/>
              <w:rPr>
                <w:sz w:val="20"/>
                <w:szCs w:val="20"/>
                <w:color w:val="auto"/>
              </w:rPr>
            </w:pPr>
            <w:r>
              <w:rPr>
                <w:rFonts w:ascii="Arial" w:cs="Arial" w:eastAsia="Arial" w:hAnsi="Arial"/>
                <w:sz w:val="12"/>
                <w:szCs w:val="12"/>
                <w:color w:val="auto"/>
              </w:rPr>
              <w:t>18.8%</w:t>
            </w:r>
          </w:p>
        </w:tc>
        <w:tc>
          <w:tcPr>
            <w:tcW w:w="740" w:type="dxa"/>
            <w:vAlign w:val="bottom"/>
            <w:tcBorders>
              <w:bottom w:val="single" w:sz="8" w:color="auto"/>
              <w:right w:val="single" w:sz="8" w:color="auto"/>
            </w:tcBorders>
          </w:tcPr>
          <w:p>
            <w:pPr>
              <w:jc w:val="right"/>
              <w:spacing w:after="0" w:line="136" w:lineRule="exact"/>
              <w:rPr>
                <w:sz w:val="20"/>
                <w:szCs w:val="20"/>
                <w:color w:val="auto"/>
              </w:rPr>
            </w:pPr>
            <w:r>
              <w:rPr>
                <w:rFonts w:ascii="Arial" w:cs="Arial" w:eastAsia="Arial" w:hAnsi="Arial"/>
                <w:sz w:val="12"/>
                <w:szCs w:val="12"/>
                <w:color w:val="auto"/>
              </w:rPr>
              <w:t>6.7%</w:t>
            </w:r>
          </w:p>
        </w:tc>
        <w:tc>
          <w:tcPr>
            <w:tcW w:w="1120" w:type="dxa"/>
            <w:vAlign w:val="bottom"/>
            <w:tcBorders>
              <w:bottom w:val="single" w:sz="8" w:color="auto"/>
              <w:right w:val="single" w:sz="8" w:color="auto"/>
            </w:tcBorders>
          </w:tcPr>
          <w:p>
            <w:pPr>
              <w:jc w:val="center"/>
              <w:spacing w:after="0" w:line="136" w:lineRule="exact"/>
              <w:rPr>
                <w:sz w:val="20"/>
                <w:szCs w:val="20"/>
                <w:color w:val="auto"/>
              </w:rPr>
            </w:pPr>
            <w:r>
              <w:rPr>
                <w:rFonts w:ascii="Arial" w:cs="Arial" w:eastAsia="Arial" w:hAnsi="Arial"/>
                <w:sz w:val="12"/>
                <w:szCs w:val="12"/>
                <w:color w:val="auto"/>
                <w:w w:val="91"/>
              </w:rPr>
              <w:t>-1216</w:t>
            </w:r>
          </w:p>
        </w:tc>
        <w:tc>
          <w:tcPr>
            <w:tcW w:w="0" w:type="dxa"/>
            <w:vAlign w:val="bottom"/>
          </w:tcPr>
          <w:p>
            <w:pPr>
              <w:spacing w:after="0"/>
              <w:rPr>
                <w:sz w:val="1"/>
                <w:szCs w:val="1"/>
                <w:color w:val="auto"/>
              </w:rPr>
            </w:pPr>
          </w:p>
        </w:tc>
      </w:tr>
      <w:tr>
        <w:trPr>
          <w:trHeight w:val="110"/>
        </w:trPr>
        <w:tc>
          <w:tcPr>
            <w:tcW w:w="3680" w:type="dxa"/>
            <w:vAlign w:val="bottom"/>
            <w:tcBorders>
              <w:left w:val="single" w:sz="8" w:color="auto"/>
              <w:right w:val="single" w:sz="8" w:color="auto"/>
            </w:tcBorders>
          </w:tcPr>
          <w:p>
            <w:pPr>
              <w:ind w:left="20"/>
              <w:spacing w:after="0" w:line="110" w:lineRule="exact"/>
              <w:rPr>
                <w:sz w:val="20"/>
                <w:szCs w:val="20"/>
                <w:color w:val="auto"/>
              </w:rPr>
            </w:pPr>
            <w:r>
              <w:rPr>
                <w:rFonts w:ascii="Arial" w:cs="Arial" w:eastAsia="Arial" w:hAnsi="Arial"/>
                <w:sz w:val="12"/>
                <w:szCs w:val="12"/>
                <w:color w:val="auto"/>
              </w:rPr>
              <w:t>L/D ratio</w:t>
            </w:r>
          </w:p>
        </w:tc>
        <w:tc>
          <w:tcPr>
            <w:tcW w:w="1120" w:type="dxa"/>
            <w:vAlign w:val="bottom"/>
          </w:tcPr>
          <w:p>
            <w:pPr>
              <w:jc w:val="center"/>
              <w:ind w:right="103"/>
              <w:spacing w:after="0" w:line="110" w:lineRule="exact"/>
              <w:rPr>
                <w:sz w:val="20"/>
                <w:szCs w:val="20"/>
                <w:color w:val="auto"/>
              </w:rPr>
            </w:pPr>
            <w:r>
              <w:rPr>
                <w:rFonts w:ascii="Arial" w:cs="Arial" w:eastAsia="Arial" w:hAnsi="Arial"/>
                <w:sz w:val="12"/>
                <w:szCs w:val="12"/>
                <w:color w:val="auto"/>
                <w:w w:val="98"/>
              </w:rPr>
              <w:t>154.9%</w:t>
            </w:r>
          </w:p>
        </w:tc>
        <w:tc>
          <w:tcPr>
            <w:tcW w:w="900" w:type="dxa"/>
            <w:vAlign w:val="bottom"/>
            <w:gridSpan w:val="2"/>
          </w:tcPr>
          <w:p>
            <w:pPr>
              <w:jc w:val="center"/>
              <w:ind w:right="122"/>
              <w:spacing w:after="0" w:line="110" w:lineRule="exact"/>
              <w:rPr>
                <w:sz w:val="20"/>
                <w:szCs w:val="20"/>
                <w:color w:val="auto"/>
              </w:rPr>
            </w:pPr>
            <w:r>
              <w:rPr>
                <w:rFonts w:ascii="Arial" w:cs="Arial" w:eastAsia="Arial" w:hAnsi="Arial"/>
                <w:sz w:val="12"/>
                <w:szCs w:val="12"/>
                <w:color w:val="auto"/>
                <w:w w:val="98"/>
              </w:rPr>
              <w:t>144.0%</w:t>
            </w:r>
          </w:p>
        </w:tc>
        <w:tc>
          <w:tcPr>
            <w:tcW w:w="980" w:type="dxa"/>
            <w:vAlign w:val="bottom"/>
            <w:tcBorders>
              <w:right w:val="single" w:sz="8" w:color="auto"/>
            </w:tcBorders>
          </w:tcPr>
          <w:p>
            <w:pPr>
              <w:jc w:val="center"/>
              <w:ind w:right="3"/>
              <w:spacing w:after="0" w:line="110" w:lineRule="exact"/>
              <w:rPr>
                <w:sz w:val="20"/>
                <w:szCs w:val="20"/>
                <w:color w:val="auto"/>
              </w:rPr>
            </w:pPr>
            <w:r>
              <w:rPr>
                <w:rFonts w:ascii="Arial" w:cs="Arial" w:eastAsia="Arial" w:hAnsi="Arial"/>
                <w:sz w:val="12"/>
                <w:szCs w:val="12"/>
                <w:color w:val="auto"/>
                <w:w w:val="98"/>
              </w:rPr>
              <w:t>135.1%</w:t>
            </w:r>
          </w:p>
        </w:tc>
        <w:tc>
          <w:tcPr>
            <w:tcW w:w="1020" w:type="dxa"/>
            <w:vAlign w:val="bottom"/>
          </w:tcPr>
          <w:p>
            <w:pPr>
              <w:jc w:val="right"/>
              <w:ind w:right="83"/>
              <w:spacing w:after="0" w:line="110" w:lineRule="exact"/>
              <w:rPr>
                <w:sz w:val="20"/>
                <w:szCs w:val="20"/>
                <w:color w:val="auto"/>
              </w:rPr>
            </w:pPr>
            <w:r>
              <w:rPr>
                <w:rFonts w:ascii="Arial" w:cs="Arial" w:eastAsia="Arial" w:hAnsi="Arial"/>
                <w:sz w:val="12"/>
                <w:szCs w:val="12"/>
                <w:color w:val="auto"/>
              </w:rPr>
              <w:t>-890 bps</w:t>
            </w:r>
          </w:p>
        </w:tc>
        <w:tc>
          <w:tcPr>
            <w:tcW w:w="620" w:type="dxa"/>
            <w:vAlign w:val="bottom"/>
            <w:tcBorders>
              <w:right w:val="single" w:sz="8" w:color="auto"/>
            </w:tcBorders>
          </w:tcPr>
          <w:p>
            <w:pPr>
              <w:jc w:val="right"/>
              <w:spacing w:after="0" w:line="110" w:lineRule="exact"/>
              <w:rPr>
                <w:sz w:val="20"/>
                <w:szCs w:val="20"/>
                <w:color w:val="auto"/>
              </w:rPr>
            </w:pPr>
            <w:r>
              <w:rPr>
                <w:rFonts w:ascii="Arial" w:cs="Arial" w:eastAsia="Arial" w:hAnsi="Arial"/>
                <w:sz w:val="12"/>
                <w:szCs w:val="12"/>
                <w:color w:val="auto"/>
              </w:rPr>
              <w:t>-1977 bps</w:t>
            </w: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3680" w:type="dxa"/>
            <w:vAlign w:val="bottom"/>
            <w:tcBorders>
              <w:left w:val="single" w:sz="8" w:color="auto"/>
              <w:right w:val="single" w:sz="8" w:color="auto"/>
            </w:tcBorders>
          </w:tcPr>
          <w:p>
            <w:pPr>
              <w:ind w:left="20"/>
              <w:spacing w:after="0" w:line="124" w:lineRule="exact"/>
              <w:rPr>
                <w:sz w:val="20"/>
                <w:szCs w:val="20"/>
                <w:color w:val="auto"/>
              </w:rPr>
            </w:pPr>
            <w:r>
              <w:rPr>
                <w:rFonts w:ascii="Arial" w:cs="Arial" w:eastAsia="Arial" w:hAnsi="Arial"/>
                <w:sz w:val="12"/>
                <w:szCs w:val="12"/>
                <w:color w:val="auto"/>
              </w:rPr>
              <w:t>IOL ratio</w:t>
            </w:r>
          </w:p>
        </w:tc>
        <w:tc>
          <w:tcPr>
            <w:tcW w:w="1120" w:type="dxa"/>
            <w:vAlign w:val="bottom"/>
          </w:tcPr>
          <w:p>
            <w:pPr>
              <w:jc w:val="center"/>
              <w:ind w:right="83"/>
              <w:spacing w:after="0" w:line="124" w:lineRule="exact"/>
              <w:rPr>
                <w:sz w:val="20"/>
                <w:szCs w:val="20"/>
                <w:color w:val="auto"/>
              </w:rPr>
            </w:pPr>
            <w:r>
              <w:rPr>
                <w:rFonts w:ascii="Arial" w:cs="Arial" w:eastAsia="Arial" w:hAnsi="Arial"/>
                <w:sz w:val="12"/>
                <w:szCs w:val="12"/>
                <w:color w:val="auto"/>
                <w:w w:val="94"/>
              </w:rPr>
              <w:t>6.6%</w:t>
            </w:r>
          </w:p>
        </w:tc>
        <w:tc>
          <w:tcPr>
            <w:tcW w:w="900" w:type="dxa"/>
            <w:vAlign w:val="bottom"/>
            <w:gridSpan w:val="2"/>
          </w:tcPr>
          <w:p>
            <w:pPr>
              <w:jc w:val="center"/>
              <w:ind w:right="122"/>
              <w:spacing w:after="0" w:line="124" w:lineRule="exact"/>
              <w:rPr>
                <w:sz w:val="20"/>
                <w:szCs w:val="20"/>
                <w:color w:val="auto"/>
              </w:rPr>
            </w:pPr>
            <w:r>
              <w:rPr>
                <w:rFonts w:ascii="Arial" w:cs="Arial" w:eastAsia="Arial" w:hAnsi="Arial"/>
                <w:sz w:val="12"/>
                <w:szCs w:val="12"/>
                <w:color w:val="auto"/>
              </w:rPr>
              <w:t>6.3%</w:t>
            </w:r>
          </w:p>
        </w:tc>
        <w:tc>
          <w:tcPr>
            <w:tcW w:w="98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2"/>
                <w:szCs w:val="12"/>
                <w:color w:val="auto"/>
                <w:w w:val="94"/>
              </w:rPr>
              <w:t>6.2%</w:t>
            </w:r>
          </w:p>
        </w:tc>
        <w:tc>
          <w:tcPr>
            <w:tcW w:w="1020" w:type="dxa"/>
            <w:vAlign w:val="bottom"/>
          </w:tcPr>
          <w:p>
            <w:pPr>
              <w:jc w:val="right"/>
              <w:ind w:right="83"/>
              <w:spacing w:after="0" w:line="124" w:lineRule="exact"/>
              <w:rPr>
                <w:sz w:val="20"/>
                <w:szCs w:val="20"/>
                <w:color w:val="auto"/>
              </w:rPr>
            </w:pPr>
            <w:r>
              <w:rPr>
                <w:rFonts w:ascii="Arial" w:cs="Arial" w:eastAsia="Arial" w:hAnsi="Arial"/>
                <w:sz w:val="12"/>
                <w:szCs w:val="12"/>
                <w:color w:val="auto"/>
              </w:rPr>
              <w:t>-2 bps</w:t>
            </w:r>
          </w:p>
        </w:tc>
        <w:tc>
          <w:tcPr>
            <w:tcW w:w="62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2"/>
                <w:szCs w:val="12"/>
                <w:color w:val="auto"/>
              </w:rPr>
              <w:t>-33 bps</w:t>
            </w:r>
          </w:p>
        </w:tc>
        <w:tc>
          <w:tcPr>
            <w:tcW w:w="7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680" w:type="dxa"/>
            <w:vAlign w:val="bottom"/>
            <w:tcBorders>
              <w:left w:val="single" w:sz="8" w:color="auto"/>
              <w:right w:val="single" w:sz="8" w:color="auto"/>
            </w:tcBorders>
          </w:tcPr>
          <w:p>
            <w:pPr>
              <w:ind w:left="20"/>
              <w:spacing w:after="0" w:line="124" w:lineRule="exact"/>
              <w:rPr>
                <w:sz w:val="20"/>
                <w:szCs w:val="20"/>
                <w:color w:val="auto"/>
              </w:rPr>
            </w:pPr>
            <w:r>
              <w:rPr>
                <w:rFonts w:ascii="Arial" w:cs="Arial" w:eastAsia="Arial" w:hAnsi="Arial"/>
                <w:sz w:val="12"/>
                <w:szCs w:val="12"/>
                <w:color w:val="auto"/>
              </w:rPr>
              <w:t>NPL ratio</w:t>
            </w:r>
          </w:p>
        </w:tc>
        <w:tc>
          <w:tcPr>
            <w:tcW w:w="1120" w:type="dxa"/>
            <w:vAlign w:val="bottom"/>
          </w:tcPr>
          <w:p>
            <w:pPr>
              <w:jc w:val="center"/>
              <w:ind w:right="83"/>
              <w:spacing w:after="0" w:line="124" w:lineRule="exact"/>
              <w:rPr>
                <w:sz w:val="20"/>
                <w:szCs w:val="20"/>
                <w:color w:val="auto"/>
              </w:rPr>
            </w:pPr>
            <w:r>
              <w:rPr>
                <w:rFonts w:ascii="Arial" w:cs="Arial" w:eastAsia="Arial" w:hAnsi="Arial"/>
                <w:sz w:val="12"/>
                <w:szCs w:val="12"/>
                <w:color w:val="auto"/>
                <w:w w:val="94"/>
              </w:rPr>
              <w:t>7.1%</w:t>
            </w:r>
          </w:p>
        </w:tc>
        <w:tc>
          <w:tcPr>
            <w:tcW w:w="900" w:type="dxa"/>
            <w:vAlign w:val="bottom"/>
            <w:gridSpan w:val="2"/>
          </w:tcPr>
          <w:p>
            <w:pPr>
              <w:jc w:val="center"/>
              <w:ind w:right="122"/>
              <w:spacing w:after="0" w:line="124" w:lineRule="exact"/>
              <w:rPr>
                <w:sz w:val="20"/>
                <w:szCs w:val="20"/>
                <w:color w:val="auto"/>
              </w:rPr>
            </w:pPr>
            <w:r>
              <w:rPr>
                <w:rFonts w:ascii="Arial" w:cs="Arial" w:eastAsia="Arial" w:hAnsi="Arial"/>
                <w:sz w:val="12"/>
                <w:szCs w:val="12"/>
                <w:color w:val="auto"/>
              </w:rPr>
              <w:t>6.9%</w:t>
            </w:r>
          </w:p>
        </w:tc>
        <w:tc>
          <w:tcPr>
            <w:tcW w:w="98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2"/>
                <w:szCs w:val="12"/>
                <w:color w:val="auto"/>
                <w:w w:val="94"/>
              </w:rPr>
              <w:t>6.9%</w:t>
            </w:r>
          </w:p>
        </w:tc>
        <w:tc>
          <w:tcPr>
            <w:tcW w:w="1020" w:type="dxa"/>
            <w:vAlign w:val="bottom"/>
          </w:tcPr>
          <w:p>
            <w:pPr>
              <w:jc w:val="right"/>
              <w:ind w:right="83"/>
              <w:spacing w:after="0" w:line="124" w:lineRule="exact"/>
              <w:rPr>
                <w:sz w:val="20"/>
                <w:szCs w:val="20"/>
                <w:color w:val="auto"/>
              </w:rPr>
            </w:pPr>
            <w:r>
              <w:rPr>
                <w:rFonts w:ascii="Arial" w:cs="Arial" w:eastAsia="Arial" w:hAnsi="Arial"/>
                <w:sz w:val="12"/>
                <w:szCs w:val="12"/>
                <w:color w:val="auto"/>
              </w:rPr>
              <w:t>4 bps</w:t>
            </w:r>
          </w:p>
        </w:tc>
        <w:tc>
          <w:tcPr>
            <w:tcW w:w="62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2"/>
                <w:szCs w:val="12"/>
                <w:color w:val="auto"/>
              </w:rPr>
              <w:t>-20 bps</w:t>
            </w:r>
          </w:p>
        </w:tc>
        <w:tc>
          <w:tcPr>
            <w:tcW w:w="7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3680" w:type="dxa"/>
            <w:vAlign w:val="bottom"/>
            <w:tcBorders>
              <w:left w:val="single" w:sz="8" w:color="auto"/>
              <w:right w:val="single" w:sz="8" w:color="auto"/>
            </w:tcBorders>
          </w:tcPr>
          <w:p>
            <w:pPr>
              <w:ind w:left="20"/>
              <w:spacing w:after="0" w:line="124" w:lineRule="exact"/>
              <w:rPr>
                <w:sz w:val="20"/>
                <w:szCs w:val="20"/>
                <w:color w:val="auto"/>
              </w:rPr>
            </w:pPr>
            <w:r>
              <w:rPr>
                <w:rFonts w:ascii="Arial" w:cs="Arial" w:eastAsia="Arial" w:hAnsi="Arial"/>
                <w:sz w:val="12"/>
                <w:szCs w:val="12"/>
                <w:color w:val="auto"/>
              </w:rPr>
              <w:t>Coverage of IOLs</w:t>
            </w:r>
          </w:p>
        </w:tc>
        <w:tc>
          <w:tcPr>
            <w:tcW w:w="1120" w:type="dxa"/>
            <w:vAlign w:val="bottom"/>
          </w:tcPr>
          <w:p>
            <w:pPr>
              <w:jc w:val="center"/>
              <w:ind w:right="83"/>
              <w:spacing w:after="0" w:line="124" w:lineRule="exact"/>
              <w:rPr>
                <w:sz w:val="20"/>
                <w:szCs w:val="20"/>
                <w:color w:val="auto"/>
              </w:rPr>
            </w:pPr>
            <w:r>
              <w:rPr>
                <w:rFonts w:ascii="Arial" w:cs="Arial" w:eastAsia="Arial" w:hAnsi="Arial"/>
                <w:sz w:val="12"/>
                <w:szCs w:val="12"/>
                <w:color w:val="auto"/>
                <w:w w:val="93"/>
              </w:rPr>
              <w:t>116.1%</w:t>
            </w:r>
          </w:p>
        </w:tc>
        <w:tc>
          <w:tcPr>
            <w:tcW w:w="900" w:type="dxa"/>
            <w:vAlign w:val="bottom"/>
            <w:gridSpan w:val="2"/>
          </w:tcPr>
          <w:p>
            <w:pPr>
              <w:jc w:val="center"/>
              <w:ind w:right="122"/>
              <w:spacing w:after="0" w:line="124" w:lineRule="exact"/>
              <w:rPr>
                <w:sz w:val="20"/>
                <w:szCs w:val="20"/>
                <w:color w:val="auto"/>
              </w:rPr>
            </w:pPr>
            <w:r>
              <w:rPr>
                <w:rFonts w:ascii="Arial" w:cs="Arial" w:eastAsia="Arial" w:hAnsi="Arial"/>
                <w:sz w:val="12"/>
                <w:szCs w:val="12"/>
                <w:color w:val="auto"/>
                <w:w w:val="98"/>
              </w:rPr>
              <w:t>122.8%</w:t>
            </w:r>
          </w:p>
        </w:tc>
        <w:tc>
          <w:tcPr>
            <w:tcW w:w="980" w:type="dxa"/>
            <w:vAlign w:val="bottom"/>
            <w:tcBorders>
              <w:right w:val="single" w:sz="8" w:color="auto"/>
            </w:tcBorders>
          </w:tcPr>
          <w:p>
            <w:pPr>
              <w:jc w:val="center"/>
              <w:ind w:right="3"/>
              <w:spacing w:after="0" w:line="124" w:lineRule="exact"/>
              <w:rPr>
                <w:sz w:val="20"/>
                <w:szCs w:val="20"/>
                <w:color w:val="auto"/>
              </w:rPr>
            </w:pPr>
            <w:r>
              <w:rPr>
                <w:rFonts w:ascii="Arial" w:cs="Arial" w:eastAsia="Arial" w:hAnsi="Arial"/>
                <w:sz w:val="12"/>
                <w:szCs w:val="12"/>
                <w:color w:val="auto"/>
                <w:w w:val="98"/>
              </w:rPr>
              <w:t>122.1%</w:t>
            </w:r>
          </w:p>
        </w:tc>
        <w:tc>
          <w:tcPr>
            <w:tcW w:w="1020" w:type="dxa"/>
            <w:vAlign w:val="bottom"/>
          </w:tcPr>
          <w:p>
            <w:pPr>
              <w:jc w:val="right"/>
              <w:ind w:right="83"/>
              <w:spacing w:after="0" w:line="124" w:lineRule="exact"/>
              <w:rPr>
                <w:sz w:val="20"/>
                <w:szCs w:val="20"/>
                <w:color w:val="auto"/>
              </w:rPr>
            </w:pPr>
            <w:r>
              <w:rPr>
                <w:rFonts w:ascii="Arial" w:cs="Arial" w:eastAsia="Arial" w:hAnsi="Arial"/>
                <w:sz w:val="12"/>
                <w:szCs w:val="12"/>
                <w:color w:val="auto"/>
              </w:rPr>
              <w:t>-74 bps</w:t>
            </w:r>
          </w:p>
        </w:tc>
        <w:tc>
          <w:tcPr>
            <w:tcW w:w="62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2"/>
                <w:szCs w:val="12"/>
                <w:color w:val="auto"/>
              </w:rPr>
              <w:t>599 bps</w:t>
            </w:r>
          </w:p>
        </w:tc>
        <w:tc>
          <w:tcPr>
            <w:tcW w:w="7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Coverage of NPLs</w:t>
            </w:r>
          </w:p>
        </w:tc>
        <w:tc>
          <w:tcPr>
            <w:tcW w:w="1120" w:type="dxa"/>
            <w:vAlign w:val="bottom"/>
            <w:tcBorders>
              <w:bottom w:val="single" w:sz="8" w:color="auto"/>
            </w:tcBorders>
          </w:tcPr>
          <w:p>
            <w:pPr>
              <w:jc w:val="center"/>
              <w:ind w:right="103"/>
              <w:spacing w:after="0"/>
              <w:rPr>
                <w:sz w:val="20"/>
                <w:szCs w:val="20"/>
                <w:color w:val="auto"/>
              </w:rPr>
            </w:pPr>
            <w:r>
              <w:rPr>
                <w:rFonts w:ascii="Arial" w:cs="Arial" w:eastAsia="Arial" w:hAnsi="Arial"/>
                <w:sz w:val="12"/>
                <w:szCs w:val="12"/>
                <w:color w:val="auto"/>
                <w:w w:val="98"/>
              </w:rPr>
              <w:t>106.8%</w:t>
            </w:r>
          </w:p>
        </w:tc>
        <w:tc>
          <w:tcPr>
            <w:tcW w:w="900" w:type="dxa"/>
            <w:vAlign w:val="bottom"/>
            <w:tcBorders>
              <w:bottom w:val="single" w:sz="8" w:color="auto"/>
            </w:tcBorders>
            <w:gridSpan w:val="2"/>
          </w:tcPr>
          <w:p>
            <w:pPr>
              <w:jc w:val="center"/>
              <w:ind w:right="122"/>
              <w:spacing w:after="0"/>
              <w:rPr>
                <w:sz w:val="20"/>
                <w:szCs w:val="20"/>
                <w:color w:val="auto"/>
              </w:rPr>
            </w:pPr>
            <w:r>
              <w:rPr>
                <w:rFonts w:ascii="Arial" w:cs="Arial" w:eastAsia="Arial" w:hAnsi="Arial"/>
                <w:sz w:val="12"/>
                <w:szCs w:val="12"/>
                <w:color w:val="auto"/>
                <w:w w:val="88"/>
              </w:rPr>
              <w:t>111.5%</w:t>
            </w:r>
          </w:p>
        </w:tc>
        <w:tc>
          <w:tcPr>
            <w:tcW w:w="980" w:type="dxa"/>
            <w:vAlign w:val="bottom"/>
            <w:tcBorders>
              <w:bottom w:val="single" w:sz="8" w:color="auto"/>
              <w:right w:val="single" w:sz="8" w:color="auto"/>
            </w:tcBorders>
          </w:tcPr>
          <w:p>
            <w:pPr>
              <w:jc w:val="center"/>
              <w:ind w:right="3"/>
              <w:spacing w:after="0"/>
              <w:rPr>
                <w:sz w:val="20"/>
                <w:szCs w:val="20"/>
                <w:color w:val="auto"/>
              </w:rPr>
            </w:pPr>
            <w:r>
              <w:rPr>
                <w:rFonts w:ascii="Arial" w:cs="Arial" w:eastAsia="Arial" w:hAnsi="Arial"/>
                <w:sz w:val="12"/>
                <w:szCs w:val="12"/>
                <w:color w:val="auto"/>
                <w:w w:val="98"/>
              </w:rPr>
              <w:t>109.8%</w:t>
            </w:r>
          </w:p>
        </w:tc>
        <w:tc>
          <w:tcPr>
            <w:tcW w:w="1020" w:type="dxa"/>
            <w:vAlign w:val="bottom"/>
            <w:tcBorders>
              <w:bottom w:val="single" w:sz="8" w:color="auto"/>
            </w:tcBorders>
          </w:tcPr>
          <w:p>
            <w:pPr>
              <w:jc w:val="right"/>
              <w:ind w:right="83"/>
              <w:spacing w:after="0"/>
              <w:rPr>
                <w:sz w:val="20"/>
                <w:szCs w:val="20"/>
                <w:color w:val="auto"/>
              </w:rPr>
            </w:pPr>
            <w:r>
              <w:rPr>
                <w:rFonts w:ascii="Arial" w:cs="Arial" w:eastAsia="Arial" w:hAnsi="Arial"/>
                <w:sz w:val="12"/>
                <w:szCs w:val="12"/>
                <w:color w:val="auto"/>
              </w:rPr>
              <w:t>-165 bps</w:t>
            </w:r>
          </w:p>
        </w:tc>
        <w:tc>
          <w:tcPr>
            <w:tcW w:w="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2"/>
                <w:szCs w:val="12"/>
                <w:color w:val="auto"/>
              </w:rPr>
              <w:t>302 bps</w:t>
            </w: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3680" w:type="dxa"/>
            <w:vAlign w:val="bottom"/>
            <w:tcBorders>
              <w:left w:val="single" w:sz="8" w:color="auto"/>
              <w:right w:val="single" w:sz="8" w:color="auto"/>
            </w:tcBorders>
          </w:tcPr>
          <w:p>
            <w:pPr>
              <w:ind w:left="20"/>
              <w:spacing w:after="0" w:line="104" w:lineRule="exact"/>
              <w:rPr>
                <w:sz w:val="20"/>
                <w:szCs w:val="20"/>
                <w:color w:val="auto"/>
              </w:rPr>
            </w:pPr>
            <w:r>
              <w:rPr>
                <w:rFonts w:ascii="Arial" w:cs="Arial" w:eastAsia="Arial" w:hAnsi="Arial"/>
                <w:sz w:val="8"/>
                <w:szCs w:val="8"/>
                <w:color w:val="auto"/>
              </w:rPr>
              <w:t xml:space="preserve">Branches </w:t>
            </w:r>
            <w:r>
              <w:rPr>
                <w:rFonts w:ascii="Arial" w:cs="Arial" w:eastAsia="Arial" w:hAnsi="Arial"/>
                <w:sz w:val="12"/>
                <w:szCs w:val="12"/>
                <w:color w:val="auto"/>
                <w:vertAlign w:val="superscript"/>
              </w:rPr>
              <w:t>(1)</w:t>
            </w:r>
          </w:p>
        </w:tc>
        <w:tc>
          <w:tcPr>
            <w:tcW w:w="1120" w:type="dxa"/>
            <w:vAlign w:val="bottom"/>
          </w:tcPr>
          <w:p>
            <w:pPr>
              <w:jc w:val="center"/>
              <w:ind w:right="103"/>
              <w:spacing w:after="0" w:line="104" w:lineRule="exact"/>
              <w:rPr>
                <w:sz w:val="20"/>
                <w:szCs w:val="20"/>
                <w:color w:val="auto"/>
              </w:rPr>
            </w:pPr>
            <w:r>
              <w:rPr>
                <w:rFonts w:ascii="Arial" w:cs="Arial" w:eastAsia="Arial" w:hAnsi="Arial"/>
                <w:sz w:val="12"/>
                <w:szCs w:val="12"/>
                <w:color w:val="auto"/>
                <w:w w:val="99"/>
              </w:rPr>
              <w:t>297</w:t>
            </w:r>
          </w:p>
        </w:tc>
        <w:tc>
          <w:tcPr>
            <w:tcW w:w="900" w:type="dxa"/>
            <w:vAlign w:val="bottom"/>
            <w:gridSpan w:val="2"/>
          </w:tcPr>
          <w:p>
            <w:pPr>
              <w:jc w:val="center"/>
              <w:ind w:right="122"/>
              <w:spacing w:after="0" w:line="104" w:lineRule="exact"/>
              <w:rPr>
                <w:sz w:val="20"/>
                <w:szCs w:val="20"/>
                <w:color w:val="auto"/>
              </w:rPr>
            </w:pPr>
            <w:r>
              <w:rPr>
                <w:rFonts w:ascii="Arial" w:cs="Arial" w:eastAsia="Arial" w:hAnsi="Arial"/>
                <w:sz w:val="12"/>
                <w:szCs w:val="12"/>
                <w:color w:val="auto"/>
                <w:w w:val="99"/>
              </w:rPr>
              <w:t>292</w:t>
            </w:r>
          </w:p>
        </w:tc>
        <w:tc>
          <w:tcPr>
            <w:tcW w:w="980" w:type="dxa"/>
            <w:vAlign w:val="bottom"/>
            <w:tcBorders>
              <w:right w:val="single" w:sz="8" w:color="auto"/>
            </w:tcBorders>
          </w:tcPr>
          <w:p>
            <w:pPr>
              <w:jc w:val="center"/>
              <w:ind w:right="3"/>
              <w:spacing w:after="0" w:line="104" w:lineRule="exact"/>
              <w:rPr>
                <w:sz w:val="20"/>
                <w:szCs w:val="20"/>
                <w:color w:val="auto"/>
              </w:rPr>
            </w:pPr>
            <w:r>
              <w:rPr>
                <w:rFonts w:ascii="Arial" w:cs="Arial" w:eastAsia="Arial" w:hAnsi="Arial"/>
                <w:sz w:val="12"/>
                <w:szCs w:val="12"/>
                <w:color w:val="auto"/>
                <w:w w:val="99"/>
              </w:rPr>
              <w:t>292</w:t>
            </w:r>
          </w:p>
        </w:tc>
        <w:tc>
          <w:tcPr>
            <w:tcW w:w="1020" w:type="dxa"/>
            <w:vAlign w:val="bottom"/>
          </w:tcPr>
          <w:p>
            <w:pPr>
              <w:jc w:val="right"/>
              <w:ind w:right="83"/>
              <w:spacing w:after="0" w:line="104" w:lineRule="exact"/>
              <w:rPr>
                <w:sz w:val="20"/>
                <w:szCs w:val="20"/>
                <w:color w:val="auto"/>
              </w:rPr>
            </w:pPr>
            <w:r>
              <w:rPr>
                <w:rFonts w:ascii="Arial" w:cs="Arial" w:eastAsia="Arial" w:hAnsi="Arial"/>
                <w:sz w:val="12"/>
                <w:szCs w:val="12"/>
                <w:color w:val="auto"/>
              </w:rPr>
              <w:t>-</w:t>
            </w:r>
          </w:p>
        </w:tc>
        <w:tc>
          <w:tcPr>
            <w:tcW w:w="620" w:type="dxa"/>
            <w:vAlign w:val="bottom"/>
            <w:tcBorders>
              <w:right w:val="single" w:sz="8" w:color="auto"/>
            </w:tcBorders>
          </w:tcPr>
          <w:p>
            <w:pPr>
              <w:jc w:val="right"/>
              <w:spacing w:after="0" w:line="104" w:lineRule="exact"/>
              <w:rPr>
                <w:sz w:val="20"/>
                <w:szCs w:val="20"/>
                <w:color w:val="auto"/>
              </w:rPr>
            </w:pPr>
            <w:r>
              <w:rPr>
                <w:rFonts w:ascii="Arial" w:cs="Arial" w:eastAsia="Arial" w:hAnsi="Arial"/>
                <w:sz w:val="12"/>
                <w:szCs w:val="12"/>
                <w:color w:val="auto"/>
              </w:rPr>
              <w:t>-5</w:t>
            </w:r>
          </w:p>
        </w:tc>
        <w:tc>
          <w:tcPr>
            <w:tcW w:w="700" w:type="dxa"/>
            <w:vAlign w:val="bottom"/>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6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2"/>
                <w:szCs w:val="12"/>
                <w:color w:val="auto"/>
              </w:rPr>
              <w:t>Employees</w:t>
            </w:r>
          </w:p>
        </w:tc>
        <w:tc>
          <w:tcPr>
            <w:tcW w:w="1120" w:type="dxa"/>
            <w:vAlign w:val="bottom"/>
            <w:tcBorders>
              <w:bottom w:val="single" w:sz="8" w:color="auto"/>
            </w:tcBorders>
          </w:tcPr>
          <w:p>
            <w:pPr>
              <w:jc w:val="center"/>
              <w:ind w:right="103"/>
              <w:spacing w:after="0"/>
              <w:rPr>
                <w:sz w:val="20"/>
                <w:szCs w:val="20"/>
                <w:color w:val="auto"/>
              </w:rPr>
            </w:pPr>
            <w:r>
              <w:rPr>
                <w:rFonts w:ascii="Arial" w:cs="Arial" w:eastAsia="Arial" w:hAnsi="Arial"/>
                <w:sz w:val="12"/>
                <w:szCs w:val="12"/>
                <w:color w:val="auto"/>
                <w:w w:val="93"/>
              </w:rPr>
              <w:t>9,596</w:t>
            </w:r>
          </w:p>
        </w:tc>
        <w:tc>
          <w:tcPr>
            <w:tcW w:w="900" w:type="dxa"/>
            <w:vAlign w:val="bottom"/>
            <w:tcBorders>
              <w:bottom w:val="single" w:sz="8" w:color="auto"/>
            </w:tcBorders>
            <w:gridSpan w:val="2"/>
          </w:tcPr>
          <w:p>
            <w:pPr>
              <w:jc w:val="center"/>
              <w:ind w:right="122"/>
              <w:spacing w:after="0"/>
              <w:rPr>
                <w:sz w:val="20"/>
                <w:szCs w:val="20"/>
                <w:color w:val="auto"/>
              </w:rPr>
            </w:pPr>
            <w:r>
              <w:rPr>
                <w:rFonts w:ascii="Arial" w:cs="Arial" w:eastAsia="Arial" w:hAnsi="Arial"/>
                <w:sz w:val="12"/>
                <w:szCs w:val="12"/>
                <w:color w:val="auto"/>
                <w:w w:val="97"/>
              </w:rPr>
              <w:t>10,094</w:t>
            </w:r>
          </w:p>
        </w:tc>
        <w:tc>
          <w:tcPr>
            <w:tcW w:w="980" w:type="dxa"/>
            <w:vAlign w:val="bottom"/>
            <w:tcBorders>
              <w:bottom w:val="single" w:sz="8" w:color="auto"/>
              <w:right w:val="single" w:sz="8" w:color="auto"/>
            </w:tcBorders>
          </w:tcPr>
          <w:p>
            <w:pPr>
              <w:jc w:val="center"/>
              <w:ind w:right="3"/>
              <w:spacing w:after="0"/>
              <w:rPr>
                <w:sz w:val="20"/>
                <w:szCs w:val="20"/>
                <w:color w:val="auto"/>
              </w:rPr>
            </w:pPr>
            <w:r>
              <w:rPr>
                <w:rFonts w:ascii="Arial" w:cs="Arial" w:eastAsia="Arial" w:hAnsi="Arial"/>
                <w:sz w:val="12"/>
                <w:szCs w:val="12"/>
                <w:color w:val="auto"/>
                <w:w w:val="93"/>
              </w:rPr>
              <w:t>9,940</w:t>
            </w:r>
          </w:p>
        </w:tc>
        <w:tc>
          <w:tcPr>
            <w:tcW w:w="1020" w:type="dxa"/>
            <w:vAlign w:val="bottom"/>
            <w:tcBorders>
              <w:bottom w:val="single" w:sz="8" w:color="auto"/>
            </w:tcBorders>
          </w:tcPr>
          <w:p>
            <w:pPr>
              <w:jc w:val="right"/>
              <w:ind w:right="83"/>
              <w:spacing w:after="0"/>
              <w:rPr>
                <w:sz w:val="20"/>
                <w:szCs w:val="20"/>
                <w:color w:val="auto"/>
              </w:rPr>
            </w:pPr>
            <w:r>
              <w:rPr>
                <w:rFonts w:ascii="Arial" w:cs="Arial" w:eastAsia="Arial" w:hAnsi="Arial"/>
                <w:sz w:val="12"/>
                <w:szCs w:val="12"/>
                <w:color w:val="auto"/>
              </w:rPr>
              <w:t>-154</w:t>
            </w:r>
          </w:p>
        </w:tc>
        <w:tc>
          <w:tcPr>
            <w:tcW w:w="6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2"/>
                <w:szCs w:val="12"/>
                <w:color w:val="auto"/>
              </w:rPr>
              <w:t>344</w:t>
            </w: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301" w:hanging="301"/>
        <w:spacing w:after="0"/>
        <w:tabs>
          <w:tab w:leader="none" w:pos="301" w:val="left"/>
        </w:tabs>
        <w:numPr>
          <w:ilvl w:val="0"/>
          <w:numId w:val="67"/>
        </w:numPr>
        <w:rPr>
          <w:rFonts w:ascii="Arial" w:cs="Arial" w:eastAsia="Arial" w:hAnsi="Arial"/>
          <w:sz w:val="11"/>
          <w:szCs w:val="11"/>
          <w:color w:val="auto"/>
        </w:rPr>
      </w:pPr>
      <w:r>
        <w:rPr>
          <w:rFonts w:ascii="Arial" w:cs="Arial" w:eastAsia="Arial" w:hAnsi="Arial"/>
          <w:sz w:val="11"/>
          <w:szCs w:val="11"/>
          <w:color w:val="auto"/>
        </w:rPr>
        <w:t>Includes Banco de la Nación branches.</w:t>
      </w:r>
    </w:p>
    <w:p>
      <w:pPr>
        <w:spacing w:after="0" w:line="315" w:lineRule="exact"/>
        <w:rPr>
          <w:sz w:val="20"/>
          <w:szCs w:val="20"/>
          <w:color w:val="auto"/>
        </w:rPr>
      </w:pPr>
    </w:p>
    <w:p>
      <w:pPr>
        <w:jc w:val="right"/>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43750" cy="1587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337" w:right="339" w:bottom="1440" w:gutter="0" w:footer="0" w:header="0"/>
        </w:sectPr>
      </w:pPr>
    </w:p>
    <w:bookmarkStart w:id="69" w:name="page70"/>
    <w:bookmarkEnd w:id="69"/>
    <w:p>
      <w:pPr>
        <w:ind w:left="2961"/>
        <w:spacing w:after="0"/>
        <w:tabs>
          <w:tab w:leader="none" w:pos="3141" w:val="left"/>
          <w:tab w:leader="none" w:pos="7701" w:val="left"/>
        </w:tabs>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202565</wp:posOffset>
            </wp:positionH>
            <wp:positionV relativeFrom="page">
              <wp:posOffset>88900</wp:posOffset>
            </wp:positionV>
            <wp:extent cx="7143750" cy="41592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3750" cy="415925"/>
                    </a:xfrm>
                    <a:prstGeom prst="rect">
                      <a:avLst/>
                    </a:prstGeom>
                    <a:noFill/>
                  </pic:spPr>
                </pic:pic>
              </a:graphicData>
            </a:graphic>
          </wp:anchor>
        </w:drawing>
        <w:t>|</w:t>
      </w:r>
      <w:r>
        <w:rPr>
          <w:sz w:val="20"/>
          <w:szCs w:val="20"/>
          <w:color w:val="auto"/>
        </w:rPr>
        <w:tab/>
      </w:r>
      <w:r>
        <w:rPr>
          <w:rFonts w:ascii="Arial" w:cs="Arial" w:eastAsia="Arial" w:hAnsi="Arial"/>
          <w:sz w:val="16"/>
          <w:szCs w:val="16"/>
          <w:b w:val="1"/>
          <w:bCs w:val="1"/>
          <w:color w:val="FFFFFF"/>
        </w:rPr>
        <w:t>Earnings Release 3Q / 2023</w:t>
      </w:r>
      <w:r>
        <w:rPr>
          <w:sz w:val="20"/>
          <w:szCs w:val="20"/>
          <w:color w:val="auto"/>
        </w:rPr>
        <w:tab/>
      </w:r>
      <w:r>
        <w:rPr>
          <w:rFonts w:ascii="Arial" w:cs="Arial" w:eastAsia="Arial" w:hAnsi="Arial"/>
          <w:sz w:val="18"/>
          <w:szCs w:val="18"/>
          <w:b w:val="1"/>
          <w:bCs w:val="1"/>
          <w:color w:val="E93CAC"/>
        </w:rPr>
        <w:t>Analysis of 3Q23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175260</wp:posOffset>
            </wp:positionV>
            <wp:extent cx="7143750" cy="2038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3750" cy="203835"/>
                    </a:xfrm>
                    <a:prstGeom prst="rect">
                      <a:avLst/>
                    </a:prstGeom>
                    <a:noFill/>
                  </pic:spPr>
                </pic:pic>
              </a:graphicData>
            </a:graphic>
          </wp:anchor>
        </w:drawing>
      </w:r>
    </w:p>
    <w:p>
      <w:pPr>
        <w:spacing w:after="0" w:line="275" w:lineRule="exact"/>
        <w:rPr>
          <w:sz w:val="20"/>
          <w:szCs w:val="20"/>
          <w:color w:val="auto"/>
        </w:rPr>
      </w:pPr>
    </w:p>
    <w:p>
      <w:pPr>
        <w:ind w:left="41"/>
        <w:spacing w:after="0"/>
        <w:rPr>
          <w:sz w:val="20"/>
          <w:szCs w:val="20"/>
          <w:color w:val="auto"/>
        </w:rPr>
      </w:pPr>
      <w:r>
        <w:rPr>
          <w:rFonts w:ascii="Arial" w:cs="Arial" w:eastAsia="Arial" w:hAnsi="Arial"/>
          <w:sz w:val="20"/>
          <w:szCs w:val="20"/>
          <w:b w:val="1"/>
          <w:bCs w:val="1"/>
          <w:color w:val="FFFFFF"/>
        </w:rPr>
        <w:t>12. Appendix</w:t>
      </w:r>
    </w:p>
    <w:p>
      <w:pPr>
        <w:spacing w:after="0" w:line="76"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12.6.7. Prima AFP</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Prima AFP</w:t>
      </w:r>
    </w:p>
    <w:p>
      <w:pPr>
        <w:jc w:val="center"/>
        <w:spacing w:after="0"/>
        <w:rPr>
          <w:sz w:val="20"/>
          <w:szCs w:val="20"/>
          <w:color w:val="auto"/>
        </w:rPr>
      </w:pPr>
      <w:r>
        <w:rPr>
          <w:rFonts w:ascii="Arial" w:cs="Arial" w:eastAsia="Arial" w:hAnsi="Arial"/>
          <w:sz w:val="15"/>
          <w:szCs w:val="15"/>
          <w:b w:val="1"/>
          <w:bCs w:val="1"/>
          <w:color w:val="auto"/>
        </w:rPr>
        <w:t>(S/ Thousands, NIIF)</w:t>
      </w:r>
    </w:p>
    <w:p>
      <w:pPr>
        <w:spacing w:after="0" w:line="164" w:lineRule="exact"/>
        <w:rPr>
          <w:sz w:val="20"/>
          <w:szCs w:val="20"/>
          <w:color w:val="auto"/>
        </w:rPr>
      </w:pPr>
    </w:p>
    <w:tbl>
      <w:tblPr>
        <w:tblLayout w:type="fixed"/>
        <w:tblInd w:w="11" w:type="dxa"/>
        <w:tblCellMar>
          <w:top w:w="0" w:type="dxa"/>
          <w:left w:w="0" w:type="dxa"/>
          <w:bottom w:w="0" w:type="dxa"/>
          <w:right w:w="0" w:type="dxa"/>
        </w:tblCellMar>
      </w:tblPr>
      <w:tr>
        <w:trPr>
          <w:trHeight w:val="161"/>
        </w:trPr>
        <w:tc>
          <w:tcPr>
            <w:tcW w:w="2940" w:type="dxa"/>
            <w:vAlign w:val="bottom"/>
            <w:tcBorders>
              <w:top w:val="single" w:sz="8" w:color="auto"/>
              <w:left w:val="single" w:sz="8" w:color="auto"/>
              <w:right w:val="single" w:sz="8" w:color="33CCCC"/>
            </w:tcBorders>
            <w:shd w:val="clear" w:color="auto" w:fill="33CCCC"/>
          </w:tcPr>
          <w:p>
            <w:pPr>
              <w:spacing w:after="0"/>
              <w:rPr>
                <w:sz w:val="13"/>
                <w:szCs w:val="13"/>
                <w:color w:val="auto"/>
              </w:rPr>
            </w:pPr>
          </w:p>
        </w:tc>
        <w:tc>
          <w:tcPr>
            <w:tcW w:w="880" w:type="dxa"/>
            <w:vAlign w:val="bottom"/>
            <w:tcBorders>
              <w:top w:val="single" w:sz="8" w:color="auto"/>
              <w:right w:val="single" w:sz="8" w:color="auto"/>
            </w:tcBorders>
            <w:shd w:val="clear" w:color="auto" w:fill="33CCCC"/>
          </w:tcPr>
          <w:p>
            <w:pPr>
              <w:spacing w:after="0"/>
              <w:rPr>
                <w:sz w:val="13"/>
                <w:szCs w:val="13"/>
                <w:color w:val="auto"/>
              </w:rPr>
            </w:pPr>
          </w:p>
        </w:tc>
        <w:tc>
          <w:tcPr>
            <w:tcW w:w="1440" w:type="dxa"/>
            <w:vAlign w:val="bottom"/>
            <w:tcBorders>
              <w:top w:val="single" w:sz="8" w:color="auto"/>
            </w:tcBorders>
            <w:shd w:val="clear" w:color="auto" w:fill="33CCCC"/>
          </w:tcPr>
          <w:p>
            <w:pPr>
              <w:spacing w:after="0"/>
              <w:rPr>
                <w:sz w:val="13"/>
                <w:szCs w:val="13"/>
                <w:color w:val="auto"/>
              </w:rPr>
            </w:pPr>
          </w:p>
        </w:tc>
        <w:tc>
          <w:tcPr>
            <w:tcW w:w="680" w:type="dxa"/>
            <w:vAlign w:val="bottom"/>
            <w:tcBorders>
              <w:top w:val="single" w:sz="8" w:color="auto"/>
            </w:tcBorders>
            <w:shd w:val="clear" w:color="auto" w:fill="33CCCC"/>
          </w:tcPr>
          <w:p>
            <w:pPr>
              <w:spacing w:after="0"/>
              <w:rPr>
                <w:sz w:val="13"/>
                <w:szCs w:val="13"/>
                <w:color w:val="auto"/>
              </w:rPr>
            </w:pPr>
          </w:p>
        </w:tc>
        <w:tc>
          <w:tcPr>
            <w:tcW w:w="1040" w:type="dxa"/>
            <w:vAlign w:val="bottom"/>
            <w:tcBorders>
              <w:top w:val="single" w:sz="8" w:color="auto"/>
            </w:tcBorders>
            <w:gridSpan w:val="2"/>
            <w:shd w:val="clear" w:color="auto" w:fill="33CCCC"/>
          </w:tcPr>
          <w:p>
            <w:pPr>
              <w:ind w:left="340"/>
              <w:spacing w:after="0"/>
              <w:rPr>
                <w:sz w:val="20"/>
                <w:szCs w:val="20"/>
                <w:color w:val="auto"/>
              </w:rPr>
            </w:pPr>
            <w:r>
              <w:rPr>
                <w:rFonts w:ascii="Arial" w:cs="Arial" w:eastAsia="Arial" w:hAnsi="Arial"/>
                <w:sz w:val="13"/>
                <w:szCs w:val="13"/>
                <w:b w:val="1"/>
                <w:bCs w:val="1"/>
                <w:color w:val="FFFFFF"/>
              </w:rPr>
              <w:t>As of</w:t>
            </w:r>
          </w:p>
        </w:tc>
        <w:tc>
          <w:tcPr>
            <w:tcW w:w="680" w:type="dxa"/>
            <w:vAlign w:val="bottom"/>
            <w:tcBorders>
              <w:top w:val="single" w:sz="8" w:color="auto"/>
            </w:tcBorders>
            <w:shd w:val="clear" w:color="auto" w:fill="33CCCC"/>
          </w:tcPr>
          <w:p>
            <w:pPr>
              <w:spacing w:after="0"/>
              <w:rPr>
                <w:sz w:val="13"/>
                <w:szCs w:val="13"/>
                <w:color w:val="auto"/>
              </w:rPr>
            </w:pPr>
          </w:p>
        </w:tc>
        <w:tc>
          <w:tcPr>
            <w:tcW w:w="820" w:type="dxa"/>
            <w:vAlign w:val="bottom"/>
            <w:tcBorders>
              <w:top w:val="single" w:sz="8" w:color="auto"/>
              <w:right w:val="single" w:sz="8" w:color="33CCCC"/>
            </w:tcBorders>
            <w:shd w:val="clear" w:color="auto" w:fill="33CCCC"/>
          </w:tcPr>
          <w:p>
            <w:pPr>
              <w:spacing w:after="0"/>
              <w:rPr>
                <w:sz w:val="13"/>
                <w:szCs w:val="13"/>
                <w:color w:val="auto"/>
              </w:rPr>
            </w:pPr>
          </w:p>
        </w:tc>
        <w:tc>
          <w:tcPr>
            <w:tcW w:w="160" w:type="dxa"/>
            <w:vAlign w:val="bottom"/>
            <w:tcBorders>
              <w:top w:val="single" w:sz="8" w:color="auto"/>
            </w:tcBorders>
            <w:shd w:val="clear" w:color="auto" w:fill="33CCCC"/>
          </w:tcPr>
          <w:p>
            <w:pPr>
              <w:spacing w:after="0"/>
              <w:rPr>
                <w:sz w:val="13"/>
                <w:szCs w:val="13"/>
                <w:color w:val="auto"/>
              </w:rPr>
            </w:pPr>
          </w:p>
        </w:tc>
        <w:tc>
          <w:tcPr>
            <w:tcW w:w="440" w:type="dxa"/>
            <w:vAlign w:val="bottom"/>
            <w:tcBorders>
              <w:top w:val="single" w:sz="8" w:color="auto"/>
              <w:right w:val="single" w:sz="8" w:color="auto"/>
            </w:tcBorders>
            <w:shd w:val="clear" w:color="auto" w:fill="33CCCC"/>
          </w:tcPr>
          <w:p>
            <w:pPr>
              <w:spacing w:after="0"/>
              <w:rPr>
                <w:sz w:val="13"/>
                <w:szCs w:val="13"/>
                <w:color w:val="auto"/>
              </w:rPr>
            </w:pPr>
          </w:p>
        </w:tc>
        <w:tc>
          <w:tcPr>
            <w:tcW w:w="360" w:type="dxa"/>
            <w:vAlign w:val="bottom"/>
            <w:tcBorders>
              <w:top w:val="single" w:sz="8" w:color="auto"/>
            </w:tcBorders>
            <w:shd w:val="clear" w:color="auto" w:fill="33CCCC"/>
          </w:tcPr>
          <w:p>
            <w:pPr>
              <w:spacing w:after="0"/>
              <w:rPr>
                <w:sz w:val="13"/>
                <w:szCs w:val="13"/>
                <w:color w:val="auto"/>
              </w:rPr>
            </w:pPr>
          </w:p>
        </w:tc>
        <w:tc>
          <w:tcPr>
            <w:tcW w:w="1820" w:type="dxa"/>
            <w:vAlign w:val="bottom"/>
            <w:tcBorders>
              <w:top w:val="single" w:sz="8" w:color="auto"/>
              <w:right w:val="single" w:sz="8" w:color="auto"/>
            </w:tcBorders>
            <w:gridSpan w:val="2"/>
            <w:shd w:val="clear" w:color="auto" w:fill="33CCCC"/>
          </w:tcPr>
          <w:p>
            <w:pPr>
              <w:ind w:left="400"/>
              <w:spacing w:after="0"/>
              <w:rPr>
                <w:sz w:val="20"/>
                <w:szCs w:val="20"/>
                <w:color w:val="auto"/>
              </w:rPr>
            </w:pPr>
            <w:r>
              <w:rPr>
                <w:rFonts w:ascii="Arial" w:cs="Arial" w:eastAsia="Arial" w:hAnsi="Arial"/>
                <w:sz w:val="13"/>
                <w:szCs w:val="13"/>
                <w:b w:val="1"/>
                <w:bCs w:val="1"/>
                <w:color w:val="FFFFFF"/>
              </w:rPr>
              <w:t>% change</w:t>
            </w:r>
          </w:p>
        </w:tc>
      </w:tr>
      <w:tr>
        <w:trPr>
          <w:trHeight w:val="148"/>
        </w:trPr>
        <w:tc>
          <w:tcPr>
            <w:tcW w:w="2940" w:type="dxa"/>
            <w:vAlign w:val="bottom"/>
            <w:tcBorders>
              <w:left w:val="single" w:sz="8" w:color="auto"/>
              <w:bottom w:val="single" w:sz="8" w:color="auto"/>
              <w:right w:val="single" w:sz="8" w:color="33CCCC"/>
            </w:tcBorders>
            <w:shd w:val="clear" w:color="auto" w:fill="33CCCC"/>
          </w:tcPr>
          <w:p>
            <w:pPr>
              <w:spacing w:after="0"/>
              <w:rPr>
                <w:sz w:val="12"/>
                <w:szCs w:val="12"/>
                <w:color w:val="auto"/>
              </w:rPr>
            </w:pPr>
          </w:p>
        </w:tc>
        <w:tc>
          <w:tcPr>
            <w:tcW w:w="880" w:type="dxa"/>
            <w:vAlign w:val="bottom"/>
            <w:tcBorders>
              <w:bottom w:val="single" w:sz="8" w:color="auto"/>
              <w:right w:val="single" w:sz="8" w:color="auto"/>
            </w:tcBorders>
            <w:shd w:val="clear" w:color="auto" w:fill="33CCCC"/>
          </w:tcPr>
          <w:p>
            <w:pPr>
              <w:spacing w:after="0"/>
              <w:rPr>
                <w:sz w:val="12"/>
                <w:szCs w:val="12"/>
                <w:color w:val="auto"/>
              </w:rPr>
            </w:pPr>
          </w:p>
        </w:tc>
        <w:tc>
          <w:tcPr>
            <w:tcW w:w="1440" w:type="dxa"/>
            <w:vAlign w:val="bottom"/>
            <w:tcBorders>
              <w:bottom w:val="single" w:sz="8" w:color="auto"/>
            </w:tcBorders>
            <w:shd w:val="clear" w:color="auto" w:fill="33CCCC"/>
          </w:tcPr>
          <w:p>
            <w:pPr>
              <w:jc w:val="right"/>
              <w:ind w:right="226"/>
              <w:spacing w:after="0" w:line="149" w:lineRule="exact"/>
              <w:rPr>
                <w:sz w:val="20"/>
                <w:szCs w:val="20"/>
                <w:color w:val="auto"/>
              </w:rPr>
            </w:pPr>
            <w:r>
              <w:rPr>
                <w:rFonts w:ascii="Arial" w:cs="Arial" w:eastAsia="Arial" w:hAnsi="Arial"/>
                <w:sz w:val="13"/>
                <w:szCs w:val="13"/>
                <w:b w:val="1"/>
                <w:bCs w:val="1"/>
                <w:color w:val="FFFFFF"/>
              </w:rPr>
              <w:t>Sep 22</w:t>
            </w:r>
          </w:p>
        </w:tc>
        <w:tc>
          <w:tcPr>
            <w:tcW w:w="680" w:type="dxa"/>
            <w:vAlign w:val="bottom"/>
            <w:tcBorders>
              <w:bottom w:val="single" w:sz="8" w:color="auto"/>
            </w:tcBorders>
            <w:shd w:val="clear" w:color="auto" w:fill="33CCCC"/>
          </w:tcPr>
          <w:p>
            <w:pPr>
              <w:spacing w:after="0"/>
              <w:rPr>
                <w:sz w:val="12"/>
                <w:szCs w:val="12"/>
                <w:color w:val="auto"/>
              </w:rPr>
            </w:pPr>
          </w:p>
        </w:tc>
        <w:tc>
          <w:tcPr>
            <w:tcW w:w="1040" w:type="dxa"/>
            <w:vAlign w:val="bottom"/>
            <w:tcBorders>
              <w:bottom w:val="single" w:sz="8" w:color="auto"/>
            </w:tcBorders>
            <w:gridSpan w:val="2"/>
            <w:shd w:val="clear" w:color="auto" w:fill="33CCCC"/>
          </w:tcPr>
          <w:p>
            <w:pPr>
              <w:jc w:val="center"/>
              <w:ind w:left="325"/>
              <w:spacing w:after="0" w:line="149" w:lineRule="exact"/>
              <w:rPr>
                <w:sz w:val="20"/>
                <w:szCs w:val="20"/>
                <w:color w:val="auto"/>
              </w:rPr>
            </w:pPr>
            <w:r>
              <w:rPr>
                <w:rFonts w:ascii="Arial" w:cs="Arial" w:eastAsia="Arial" w:hAnsi="Arial"/>
                <w:sz w:val="13"/>
                <w:szCs w:val="13"/>
                <w:b w:val="1"/>
                <w:bCs w:val="1"/>
                <w:color w:val="FFFFFF"/>
              </w:rPr>
              <w:t>Jun 23</w:t>
            </w:r>
          </w:p>
        </w:tc>
        <w:tc>
          <w:tcPr>
            <w:tcW w:w="680" w:type="dxa"/>
            <w:vAlign w:val="bottom"/>
            <w:tcBorders>
              <w:bottom w:val="single" w:sz="8" w:color="auto"/>
            </w:tcBorders>
            <w:shd w:val="clear" w:color="auto" w:fill="33CCCC"/>
          </w:tcPr>
          <w:p>
            <w:pPr>
              <w:spacing w:after="0"/>
              <w:rPr>
                <w:sz w:val="12"/>
                <w:szCs w:val="12"/>
                <w:color w:val="auto"/>
              </w:rPr>
            </w:pPr>
          </w:p>
        </w:tc>
        <w:tc>
          <w:tcPr>
            <w:tcW w:w="980" w:type="dxa"/>
            <w:vAlign w:val="bottom"/>
            <w:tcBorders>
              <w:bottom w:val="single" w:sz="8" w:color="auto"/>
            </w:tcBorders>
            <w:gridSpan w:val="2"/>
            <w:shd w:val="clear" w:color="auto" w:fill="33CCCC"/>
          </w:tcPr>
          <w:p>
            <w:pPr>
              <w:jc w:val="center"/>
              <w:ind w:left="286"/>
              <w:spacing w:after="0" w:line="149" w:lineRule="exact"/>
              <w:rPr>
                <w:sz w:val="20"/>
                <w:szCs w:val="20"/>
                <w:color w:val="auto"/>
              </w:rPr>
            </w:pPr>
            <w:r>
              <w:rPr>
                <w:rFonts w:ascii="Arial" w:cs="Arial" w:eastAsia="Arial" w:hAnsi="Arial"/>
                <w:sz w:val="13"/>
                <w:szCs w:val="13"/>
                <w:b w:val="1"/>
                <w:bCs w:val="1"/>
                <w:color w:val="FFFFFF"/>
              </w:rPr>
              <w:t>Sep 23</w:t>
            </w:r>
          </w:p>
        </w:tc>
        <w:tc>
          <w:tcPr>
            <w:tcW w:w="440" w:type="dxa"/>
            <w:vAlign w:val="bottom"/>
            <w:tcBorders>
              <w:bottom w:val="single" w:sz="8" w:color="auto"/>
              <w:right w:val="single" w:sz="8" w:color="auto"/>
            </w:tcBorders>
            <w:shd w:val="clear" w:color="auto" w:fill="33CCCC"/>
          </w:tcPr>
          <w:p>
            <w:pPr>
              <w:spacing w:after="0"/>
              <w:rPr>
                <w:sz w:val="12"/>
                <w:szCs w:val="12"/>
                <w:color w:val="auto"/>
              </w:rPr>
            </w:pPr>
          </w:p>
        </w:tc>
        <w:tc>
          <w:tcPr>
            <w:tcW w:w="360" w:type="dxa"/>
            <w:vAlign w:val="bottom"/>
            <w:tcBorders>
              <w:bottom w:val="single" w:sz="8" w:color="auto"/>
            </w:tcBorders>
            <w:shd w:val="clear" w:color="auto" w:fill="33CCCC"/>
          </w:tcPr>
          <w:p>
            <w:pPr>
              <w:spacing w:after="0"/>
              <w:rPr>
                <w:sz w:val="12"/>
                <w:szCs w:val="12"/>
                <w:color w:val="auto"/>
              </w:rPr>
            </w:pPr>
          </w:p>
        </w:tc>
        <w:tc>
          <w:tcPr>
            <w:tcW w:w="680" w:type="dxa"/>
            <w:vAlign w:val="bottom"/>
            <w:tcBorders>
              <w:bottom w:val="single" w:sz="8" w:color="auto"/>
              <w:right w:val="single" w:sz="8" w:color="33CCCC"/>
            </w:tcBorders>
            <w:shd w:val="clear" w:color="auto" w:fill="33CCCC"/>
          </w:tcPr>
          <w:p>
            <w:pPr>
              <w:jc w:val="right"/>
              <w:ind w:right="305"/>
              <w:spacing w:after="0" w:line="149" w:lineRule="exact"/>
              <w:rPr>
                <w:sz w:val="20"/>
                <w:szCs w:val="20"/>
                <w:color w:val="auto"/>
              </w:rPr>
            </w:pPr>
            <w:r>
              <w:rPr>
                <w:rFonts w:ascii="Arial" w:cs="Arial" w:eastAsia="Arial" w:hAnsi="Arial"/>
                <w:sz w:val="13"/>
                <w:szCs w:val="13"/>
                <w:b w:val="1"/>
                <w:bCs w:val="1"/>
                <w:color w:val="FFFFFF"/>
              </w:rPr>
              <w:t>QoQ</w:t>
            </w:r>
          </w:p>
        </w:tc>
        <w:tc>
          <w:tcPr>
            <w:tcW w:w="1140" w:type="dxa"/>
            <w:vAlign w:val="bottom"/>
            <w:tcBorders>
              <w:bottom w:val="single" w:sz="8" w:color="auto"/>
              <w:right w:val="single" w:sz="8" w:color="auto"/>
            </w:tcBorders>
            <w:shd w:val="clear" w:color="auto" w:fill="33CCCC"/>
          </w:tcPr>
          <w:p>
            <w:pPr>
              <w:ind w:left="440"/>
              <w:spacing w:after="0" w:line="149" w:lineRule="exact"/>
              <w:rPr>
                <w:sz w:val="20"/>
                <w:szCs w:val="20"/>
                <w:color w:val="auto"/>
              </w:rPr>
            </w:pPr>
            <w:r>
              <w:rPr>
                <w:rFonts w:ascii="Arial" w:cs="Arial" w:eastAsia="Arial" w:hAnsi="Arial"/>
                <w:sz w:val="13"/>
                <w:szCs w:val="13"/>
                <w:b w:val="1"/>
                <w:bCs w:val="1"/>
                <w:color w:val="FFFFFF"/>
              </w:rPr>
              <w:t>YoY</w:t>
            </w:r>
          </w:p>
        </w:tc>
      </w:tr>
      <w:tr>
        <w:trPr>
          <w:trHeight w:val="137"/>
        </w:trPr>
        <w:tc>
          <w:tcPr>
            <w:tcW w:w="2940" w:type="dxa"/>
            <w:vAlign w:val="bottom"/>
            <w:tcBorders>
              <w:left w:val="single" w:sz="8" w:color="auto"/>
            </w:tcBorders>
          </w:tcPr>
          <w:p>
            <w:pPr>
              <w:ind w:left="20"/>
              <w:spacing w:after="0" w:line="138" w:lineRule="exact"/>
              <w:rPr>
                <w:sz w:val="20"/>
                <w:szCs w:val="20"/>
                <w:color w:val="auto"/>
              </w:rPr>
            </w:pPr>
            <w:r>
              <w:rPr>
                <w:rFonts w:ascii="Arial" w:cs="Arial" w:eastAsia="Arial" w:hAnsi="Arial"/>
                <w:sz w:val="13"/>
                <w:szCs w:val="13"/>
                <w:color w:val="auto"/>
              </w:rPr>
              <w:t>Total assets</w:t>
            </w:r>
          </w:p>
        </w:tc>
        <w:tc>
          <w:tcPr>
            <w:tcW w:w="880" w:type="dxa"/>
            <w:vAlign w:val="bottom"/>
            <w:tcBorders>
              <w:right w:val="single" w:sz="8" w:color="auto"/>
            </w:tcBorders>
          </w:tcPr>
          <w:p>
            <w:pPr>
              <w:spacing w:after="0"/>
              <w:rPr>
                <w:sz w:val="11"/>
                <w:szCs w:val="11"/>
                <w:color w:val="auto"/>
              </w:rPr>
            </w:pPr>
          </w:p>
        </w:tc>
        <w:tc>
          <w:tcPr>
            <w:tcW w:w="1440" w:type="dxa"/>
            <w:vAlign w:val="bottom"/>
          </w:tcPr>
          <w:p>
            <w:pPr>
              <w:jc w:val="right"/>
              <w:ind w:right="186"/>
              <w:spacing w:after="0" w:line="138" w:lineRule="exact"/>
              <w:rPr>
                <w:sz w:val="20"/>
                <w:szCs w:val="20"/>
                <w:color w:val="auto"/>
              </w:rPr>
            </w:pPr>
            <w:r>
              <w:rPr>
                <w:rFonts w:ascii="Arial" w:cs="Arial" w:eastAsia="Arial" w:hAnsi="Arial"/>
                <w:sz w:val="13"/>
                <w:szCs w:val="13"/>
                <w:color w:val="auto"/>
              </w:rPr>
              <w:t>734,766</w:t>
            </w:r>
          </w:p>
        </w:tc>
        <w:tc>
          <w:tcPr>
            <w:tcW w:w="680" w:type="dxa"/>
            <w:vAlign w:val="bottom"/>
          </w:tcPr>
          <w:p>
            <w:pPr>
              <w:spacing w:after="0"/>
              <w:rPr>
                <w:sz w:val="11"/>
                <w:szCs w:val="11"/>
                <w:color w:val="auto"/>
              </w:rPr>
            </w:pPr>
          </w:p>
        </w:tc>
        <w:tc>
          <w:tcPr>
            <w:tcW w:w="1040" w:type="dxa"/>
            <w:vAlign w:val="bottom"/>
            <w:gridSpan w:val="2"/>
          </w:tcPr>
          <w:p>
            <w:pPr>
              <w:jc w:val="center"/>
              <w:ind w:left="345"/>
              <w:spacing w:after="0" w:line="138" w:lineRule="exact"/>
              <w:rPr>
                <w:sz w:val="20"/>
                <w:szCs w:val="20"/>
                <w:color w:val="auto"/>
              </w:rPr>
            </w:pPr>
            <w:r>
              <w:rPr>
                <w:rFonts w:ascii="Arial" w:cs="Arial" w:eastAsia="Arial" w:hAnsi="Arial"/>
                <w:sz w:val="13"/>
                <w:szCs w:val="13"/>
                <w:color w:val="auto"/>
              </w:rPr>
              <w:t>633,654</w:t>
            </w:r>
          </w:p>
        </w:tc>
        <w:tc>
          <w:tcPr>
            <w:tcW w:w="680" w:type="dxa"/>
            <w:vAlign w:val="bottom"/>
          </w:tcPr>
          <w:p>
            <w:pPr>
              <w:spacing w:after="0"/>
              <w:rPr>
                <w:sz w:val="11"/>
                <w:szCs w:val="11"/>
                <w:color w:val="auto"/>
              </w:rPr>
            </w:pPr>
          </w:p>
        </w:tc>
        <w:tc>
          <w:tcPr>
            <w:tcW w:w="980" w:type="dxa"/>
            <w:vAlign w:val="bottom"/>
            <w:gridSpan w:val="2"/>
          </w:tcPr>
          <w:p>
            <w:pPr>
              <w:jc w:val="center"/>
              <w:ind w:left="286"/>
              <w:spacing w:after="0" w:line="138" w:lineRule="exact"/>
              <w:rPr>
                <w:sz w:val="20"/>
                <w:szCs w:val="20"/>
                <w:color w:val="auto"/>
              </w:rPr>
            </w:pPr>
            <w:r>
              <w:rPr>
                <w:rFonts w:ascii="Arial" w:cs="Arial" w:eastAsia="Arial" w:hAnsi="Arial"/>
                <w:sz w:val="13"/>
                <w:szCs w:val="13"/>
                <w:color w:val="auto"/>
              </w:rPr>
              <w:t>684,835</w:t>
            </w:r>
          </w:p>
        </w:tc>
        <w:tc>
          <w:tcPr>
            <w:tcW w:w="440" w:type="dxa"/>
            <w:vAlign w:val="bottom"/>
            <w:tcBorders>
              <w:right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jc w:val="right"/>
              <w:ind w:right="305"/>
              <w:spacing w:after="0" w:line="138" w:lineRule="exact"/>
              <w:rPr>
                <w:sz w:val="20"/>
                <w:szCs w:val="20"/>
                <w:color w:val="auto"/>
              </w:rPr>
            </w:pPr>
            <w:r>
              <w:rPr>
                <w:rFonts w:ascii="Arial" w:cs="Arial" w:eastAsia="Arial" w:hAnsi="Arial"/>
                <w:sz w:val="13"/>
                <w:szCs w:val="13"/>
                <w:color w:val="auto"/>
              </w:rPr>
              <w:t>8.1%</w:t>
            </w:r>
          </w:p>
        </w:tc>
        <w:tc>
          <w:tcPr>
            <w:tcW w:w="114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3"/>
                <w:szCs w:val="13"/>
                <w:color w:val="auto"/>
                <w:w w:val="99"/>
              </w:rPr>
              <w:t>-6.8%</w:t>
            </w:r>
          </w:p>
        </w:tc>
      </w:tr>
      <w:tr>
        <w:trPr>
          <w:trHeight w:val="148"/>
        </w:trPr>
        <w:tc>
          <w:tcPr>
            <w:tcW w:w="294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3"/>
                <w:szCs w:val="13"/>
                <w:color w:val="auto"/>
              </w:rPr>
              <w:t>Total liabilities</w:t>
            </w:r>
          </w:p>
        </w:tc>
        <w:tc>
          <w:tcPr>
            <w:tcW w:w="880" w:type="dxa"/>
            <w:vAlign w:val="bottom"/>
            <w:tcBorders>
              <w:right w:val="single" w:sz="8" w:color="auto"/>
            </w:tcBorders>
          </w:tcPr>
          <w:p>
            <w:pPr>
              <w:spacing w:after="0"/>
              <w:rPr>
                <w:sz w:val="12"/>
                <w:szCs w:val="12"/>
                <w:color w:val="auto"/>
              </w:rPr>
            </w:pPr>
          </w:p>
        </w:tc>
        <w:tc>
          <w:tcPr>
            <w:tcW w:w="1440" w:type="dxa"/>
            <w:vAlign w:val="bottom"/>
          </w:tcPr>
          <w:p>
            <w:pPr>
              <w:jc w:val="right"/>
              <w:ind w:right="186"/>
              <w:spacing w:after="0" w:line="149" w:lineRule="exact"/>
              <w:rPr>
                <w:sz w:val="20"/>
                <w:szCs w:val="20"/>
                <w:color w:val="auto"/>
              </w:rPr>
            </w:pPr>
            <w:r>
              <w:rPr>
                <w:rFonts w:ascii="Arial" w:cs="Arial" w:eastAsia="Arial" w:hAnsi="Arial"/>
                <w:sz w:val="13"/>
                <w:szCs w:val="13"/>
                <w:color w:val="auto"/>
              </w:rPr>
              <w:t>278,345</w:t>
            </w:r>
          </w:p>
        </w:tc>
        <w:tc>
          <w:tcPr>
            <w:tcW w:w="680" w:type="dxa"/>
            <w:vAlign w:val="bottom"/>
          </w:tcPr>
          <w:p>
            <w:pPr>
              <w:spacing w:after="0"/>
              <w:rPr>
                <w:sz w:val="12"/>
                <w:szCs w:val="12"/>
                <w:color w:val="auto"/>
              </w:rPr>
            </w:pPr>
          </w:p>
        </w:tc>
        <w:tc>
          <w:tcPr>
            <w:tcW w:w="1040" w:type="dxa"/>
            <w:vAlign w:val="bottom"/>
            <w:gridSpan w:val="2"/>
          </w:tcPr>
          <w:p>
            <w:pPr>
              <w:jc w:val="center"/>
              <w:ind w:left="345"/>
              <w:spacing w:after="0" w:line="149" w:lineRule="exact"/>
              <w:rPr>
                <w:sz w:val="20"/>
                <w:szCs w:val="20"/>
                <w:color w:val="auto"/>
              </w:rPr>
            </w:pPr>
            <w:r>
              <w:rPr>
                <w:rFonts w:ascii="Arial" w:cs="Arial" w:eastAsia="Arial" w:hAnsi="Arial"/>
                <w:sz w:val="13"/>
                <w:szCs w:val="13"/>
                <w:color w:val="auto"/>
              </w:rPr>
              <w:t>205,962</w:t>
            </w:r>
          </w:p>
        </w:tc>
        <w:tc>
          <w:tcPr>
            <w:tcW w:w="680" w:type="dxa"/>
            <w:vAlign w:val="bottom"/>
          </w:tcPr>
          <w:p>
            <w:pPr>
              <w:spacing w:after="0"/>
              <w:rPr>
                <w:sz w:val="12"/>
                <w:szCs w:val="12"/>
                <w:color w:val="auto"/>
              </w:rPr>
            </w:pPr>
          </w:p>
        </w:tc>
        <w:tc>
          <w:tcPr>
            <w:tcW w:w="980" w:type="dxa"/>
            <w:vAlign w:val="bottom"/>
            <w:gridSpan w:val="2"/>
          </w:tcPr>
          <w:p>
            <w:pPr>
              <w:jc w:val="center"/>
              <w:ind w:left="286"/>
              <w:spacing w:after="0" w:line="149" w:lineRule="exact"/>
              <w:rPr>
                <w:sz w:val="20"/>
                <w:szCs w:val="20"/>
                <w:color w:val="auto"/>
              </w:rPr>
            </w:pPr>
            <w:r>
              <w:rPr>
                <w:rFonts w:ascii="Arial" w:cs="Arial" w:eastAsia="Arial" w:hAnsi="Arial"/>
                <w:sz w:val="13"/>
                <w:szCs w:val="13"/>
                <w:color w:val="auto"/>
              </w:rPr>
              <w:t>225,257</w:t>
            </w:r>
          </w:p>
        </w:tc>
        <w:tc>
          <w:tcPr>
            <w:tcW w:w="44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jc w:val="right"/>
              <w:ind w:right="305"/>
              <w:spacing w:after="0" w:line="149" w:lineRule="exact"/>
              <w:rPr>
                <w:sz w:val="20"/>
                <w:szCs w:val="20"/>
                <w:color w:val="auto"/>
              </w:rPr>
            </w:pPr>
            <w:r>
              <w:rPr>
                <w:rFonts w:ascii="Arial" w:cs="Arial" w:eastAsia="Arial" w:hAnsi="Arial"/>
                <w:sz w:val="13"/>
                <w:szCs w:val="13"/>
                <w:color w:val="auto"/>
              </w:rPr>
              <w:t>9.4%</w:t>
            </w:r>
          </w:p>
        </w:tc>
        <w:tc>
          <w:tcPr>
            <w:tcW w:w="11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3"/>
                <w:szCs w:val="13"/>
                <w:color w:val="auto"/>
              </w:rPr>
              <w:t>-19.1%</w:t>
            </w:r>
          </w:p>
        </w:tc>
      </w:tr>
      <w:tr>
        <w:trPr>
          <w:trHeight w:val="152"/>
        </w:trPr>
        <w:tc>
          <w:tcPr>
            <w:tcW w:w="29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Net shareholders’ equity (1)</w:t>
            </w:r>
          </w:p>
        </w:tc>
        <w:tc>
          <w:tcPr>
            <w:tcW w:w="880" w:type="dxa"/>
            <w:vAlign w:val="bottom"/>
            <w:tcBorders>
              <w:bottom w:val="single" w:sz="8" w:color="auto"/>
              <w:right w:val="single" w:sz="8" w:color="auto"/>
            </w:tcBorders>
          </w:tcPr>
          <w:p>
            <w:pPr>
              <w:spacing w:after="0"/>
              <w:rPr>
                <w:sz w:val="13"/>
                <w:szCs w:val="13"/>
                <w:color w:val="auto"/>
              </w:rPr>
            </w:pPr>
          </w:p>
        </w:tc>
        <w:tc>
          <w:tcPr>
            <w:tcW w:w="1440" w:type="dxa"/>
            <w:vAlign w:val="bottom"/>
            <w:tcBorders>
              <w:bottom w:val="single" w:sz="8" w:color="auto"/>
            </w:tcBorders>
          </w:tcPr>
          <w:p>
            <w:pPr>
              <w:jc w:val="right"/>
              <w:ind w:right="186"/>
              <w:spacing w:after="0"/>
              <w:rPr>
                <w:sz w:val="20"/>
                <w:szCs w:val="20"/>
                <w:color w:val="auto"/>
              </w:rPr>
            </w:pPr>
            <w:r>
              <w:rPr>
                <w:rFonts w:ascii="Arial" w:cs="Arial" w:eastAsia="Arial" w:hAnsi="Arial"/>
                <w:sz w:val="13"/>
                <w:szCs w:val="13"/>
                <w:color w:val="auto"/>
              </w:rPr>
              <w:t>456,421</w:t>
            </w:r>
          </w:p>
        </w:tc>
        <w:tc>
          <w:tcPr>
            <w:tcW w:w="6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center"/>
              <w:ind w:left="345"/>
              <w:spacing w:after="0"/>
              <w:rPr>
                <w:sz w:val="20"/>
                <w:szCs w:val="20"/>
                <w:color w:val="auto"/>
              </w:rPr>
            </w:pPr>
            <w:r>
              <w:rPr>
                <w:rFonts w:ascii="Arial" w:cs="Arial" w:eastAsia="Arial" w:hAnsi="Arial"/>
                <w:sz w:val="13"/>
                <w:szCs w:val="13"/>
                <w:color w:val="auto"/>
              </w:rPr>
              <w:t>427,692</w:t>
            </w:r>
          </w:p>
        </w:tc>
        <w:tc>
          <w:tcPr>
            <w:tcW w:w="6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center"/>
              <w:ind w:left="286"/>
              <w:spacing w:after="0"/>
              <w:rPr>
                <w:sz w:val="20"/>
                <w:szCs w:val="20"/>
                <w:color w:val="auto"/>
              </w:rPr>
            </w:pPr>
            <w:r>
              <w:rPr>
                <w:rFonts w:ascii="Arial" w:cs="Arial" w:eastAsia="Arial" w:hAnsi="Arial"/>
                <w:sz w:val="13"/>
                <w:szCs w:val="13"/>
                <w:color w:val="auto"/>
              </w:rPr>
              <w:t>459,578</w:t>
            </w:r>
          </w:p>
        </w:tc>
        <w:tc>
          <w:tcPr>
            <w:tcW w:w="440" w:type="dxa"/>
            <w:vAlign w:val="bottom"/>
            <w:tcBorders>
              <w:bottom w:val="single" w:sz="8" w:color="auto"/>
              <w:right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305"/>
              <w:spacing w:after="0"/>
              <w:rPr>
                <w:sz w:val="20"/>
                <w:szCs w:val="20"/>
                <w:color w:val="auto"/>
              </w:rPr>
            </w:pPr>
            <w:r>
              <w:rPr>
                <w:rFonts w:ascii="Arial" w:cs="Arial" w:eastAsia="Arial" w:hAnsi="Arial"/>
                <w:sz w:val="13"/>
                <w:szCs w:val="13"/>
                <w:color w:val="auto"/>
              </w:rPr>
              <w:t>7.5%</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0.7%</w:t>
            </w:r>
          </w:p>
        </w:tc>
      </w:tr>
      <w:tr>
        <w:trPr>
          <w:trHeight w:val="178"/>
        </w:trPr>
        <w:tc>
          <w:tcPr>
            <w:tcW w:w="29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89"/>
        </w:trPr>
        <w:tc>
          <w:tcPr>
            <w:tcW w:w="2940" w:type="dxa"/>
            <w:vAlign w:val="bottom"/>
            <w:tcBorders>
              <w:left w:val="single" w:sz="8" w:color="auto"/>
              <w:right w:val="single" w:sz="8" w:color="auto"/>
            </w:tcBorders>
            <w:shd w:val="clear" w:color="auto" w:fill="33CCCC"/>
          </w:tcPr>
          <w:p>
            <w:pPr>
              <w:spacing w:after="0"/>
              <w:rPr>
                <w:sz w:val="7"/>
                <w:szCs w:val="7"/>
                <w:color w:val="auto"/>
              </w:rPr>
            </w:pPr>
          </w:p>
        </w:tc>
        <w:tc>
          <w:tcPr>
            <w:tcW w:w="880" w:type="dxa"/>
            <w:vAlign w:val="bottom"/>
            <w:tcBorders>
              <w:right w:val="single" w:sz="8" w:color="33CCCC"/>
            </w:tcBorders>
            <w:shd w:val="clear" w:color="auto" w:fill="33CCCC"/>
          </w:tcPr>
          <w:p>
            <w:pPr>
              <w:spacing w:after="0"/>
              <w:rPr>
                <w:sz w:val="7"/>
                <w:szCs w:val="7"/>
                <w:color w:val="auto"/>
              </w:rPr>
            </w:pPr>
          </w:p>
        </w:tc>
        <w:tc>
          <w:tcPr>
            <w:tcW w:w="1440" w:type="dxa"/>
            <w:vAlign w:val="bottom"/>
            <w:shd w:val="clear" w:color="auto" w:fill="33CCCC"/>
          </w:tcPr>
          <w:p>
            <w:pPr>
              <w:jc w:val="right"/>
              <w:ind w:right="146"/>
              <w:spacing w:after="0" w:line="89" w:lineRule="exact"/>
              <w:rPr>
                <w:sz w:val="20"/>
                <w:szCs w:val="20"/>
                <w:color w:val="auto"/>
              </w:rPr>
            </w:pPr>
            <w:r>
              <w:rPr>
                <w:rFonts w:ascii="Arial" w:cs="Arial" w:eastAsia="Arial" w:hAnsi="Arial"/>
                <w:sz w:val="10"/>
                <w:szCs w:val="10"/>
                <w:b w:val="1"/>
                <w:bCs w:val="1"/>
                <w:color w:val="FFFFFF"/>
              </w:rPr>
              <w:t>Quarter</w:t>
            </w:r>
          </w:p>
        </w:tc>
        <w:tc>
          <w:tcPr>
            <w:tcW w:w="680" w:type="dxa"/>
            <w:vAlign w:val="bottom"/>
            <w:shd w:val="clear" w:color="auto" w:fill="33CCCC"/>
          </w:tcPr>
          <w:p>
            <w:pPr>
              <w:spacing w:after="0"/>
              <w:rPr>
                <w:sz w:val="7"/>
                <w:szCs w:val="7"/>
                <w:color w:val="auto"/>
              </w:rPr>
            </w:pPr>
          </w:p>
        </w:tc>
        <w:tc>
          <w:tcPr>
            <w:tcW w:w="920" w:type="dxa"/>
            <w:vAlign w:val="bottom"/>
            <w:tcBorders>
              <w:right w:val="single" w:sz="8" w:color="auto"/>
            </w:tcBorders>
            <w:shd w:val="clear" w:color="auto" w:fill="33CCCC"/>
          </w:tcPr>
          <w:p>
            <w:pPr>
              <w:spacing w:after="0"/>
              <w:rPr>
                <w:sz w:val="7"/>
                <w:szCs w:val="7"/>
                <w:color w:val="auto"/>
              </w:rPr>
            </w:pPr>
          </w:p>
        </w:tc>
        <w:tc>
          <w:tcPr>
            <w:tcW w:w="120" w:type="dxa"/>
            <w:vAlign w:val="bottom"/>
            <w:shd w:val="clear" w:color="auto" w:fill="33CCCC"/>
          </w:tcPr>
          <w:p>
            <w:pPr>
              <w:spacing w:after="0"/>
              <w:rPr>
                <w:sz w:val="7"/>
                <w:szCs w:val="7"/>
                <w:color w:val="auto"/>
              </w:rPr>
            </w:pPr>
          </w:p>
        </w:tc>
        <w:tc>
          <w:tcPr>
            <w:tcW w:w="1500" w:type="dxa"/>
            <w:vAlign w:val="bottom"/>
            <w:tcBorders>
              <w:right w:val="single" w:sz="8" w:color="auto"/>
            </w:tcBorders>
            <w:gridSpan w:val="2"/>
            <w:shd w:val="clear" w:color="auto" w:fill="33CCCC"/>
          </w:tcPr>
          <w:p>
            <w:pPr>
              <w:ind w:left="440"/>
              <w:spacing w:after="0" w:line="89" w:lineRule="exact"/>
              <w:rPr>
                <w:sz w:val="20"/>
                <w:szCs w:val="20"/>
                <w:color w:val="auto"/>
              </w:rPr>
            </w:pPr>
            <w:r>
              <w:rPr>
                <w:rFonts w:ascii="Arial" w:cs="Arial" w:eastAsia="Arial" w:hAnsi="Arial"/>
                <w:sz w:val="10"/>
                <w:szCs w:val="10"/>
                <w:b w:val="1"/>
                <w:bCs w:val="1"/>
                <w:color w:val="FFFFFF"/>
              </w:rPr>
              <w:t>% change</w:t>
            </w:r>
          </w:p>
        </w:tc>
        <w:tc>
          <w:tcPr>
            <w:tcW w:w="160" w:type="dxa"/>
            <w:vAlign w:val="bottom"/>
            <w:shd w:val="clear" w:color="auto" w:fill="33CCCC"/>
          </w:tcPr>
          <w:p>
            <w:pPr>
              <w:spacing w:after="0"/>
              <w:rPr>
                <w:sz w:val="7"/>
                <w:szCs w:val="7"/>
                <w:color w:val="auto"/>
              </w:rPr>
            </w:pPr>
          </w:p>
        </w:tc>
        <w:tc>
          <w:tcPr>
            <w:tcW w:w="440" w:type="dxa"/>
            <w:vAlign w:val="bottom"/>
            <w:tcBorders>
              <w:right w:val="single" w:sz="8" w:color="33CCCC"/>
            </w:tcBorders>
            <w:shd w:val="clear" w:color="auto" w:fill="33CCCC"/>
          </w:tcPr>
          <w:p>
            <w:pPr>
              <w:spacing w:after="0"/>
              <w:rPr>
                <w:sz w:val="7"/>
                <w:szCs w:val="7"/>
                <w:color w:val="auto"/>
              </w:rPr>
            </w:pPr>
          </w:p>
        </w:tc>
        <w:tc>
          <w:tcPr>
            <w:tcW w:w="360" w:type="dxa"/>
            <w:vAlign w:val="bottom"/>
            <w:shd w:val="clear" w:color="auto" w:fill="33CCCC"/>
          </w:tcPr>
          <w:p>
            <w:pPr>
              <w:jc w:val="right"/>
              <w:spacing w:after="0" w:line="89" w:lineRule="exact"/>
              <w:rPr>
                <w:sz w:val="20"/>
                <w:szCs w:val="20"/>
                <w:color w:val="auto"/>
              </w:rPr>
            </w:pPr>
            <w:r>
              <w:rPr>
                <w:rFonts w:ascii="Arial" w:cs="Arial" w:eastAsia="Arial" w:hAnsi="Arial"/>
                <w:sz w:val="10"/>
                <w:szCs w:val="10"/>
                <w:b w:val="1"/>
                <w:bCs w:val="1"/>
                <w:color w:val="FFFFFF"/>
              </w:rPr>
              <w:t>As of</w:t>
            </w:r>
          </w:p>
        </w:tc>
        <w:tc>
          <w:tcPr>
            <w:tcW w:w="680" w:type="dxa"/>
            <w:vAlign w:val="bottom"/>
            <w:tcBorders>
              <w:right w:val="single" w:sz="8" w:color="auto"/>
            </w:tcBorders>
            <w:shd w:val="clear" w:color="auto" w:fill="33CCCC"/>
          </w:tcPr>
          <w:p>
            <w:pPr>
              <w:spacing w:after="0"/>
              <w:rPr>
                <w:sz w:val="7"/>
                <w:szCs w:val="7"/>
                <w:color w:val="auto"/>
              </w:rPr>
            </w:pPr>
          </w:p>
        </w:tc>
        <w:tc>
          <w:tcPr>
            <w:tcW w:w="1140" w:type="dxa"/>
            <w:vAlign w:val="bottom"/>
            <w:tcBorders>
              <w:right w:val="single" w:sz="8" w:color="auto"/>
            </w:tcBorders>
            <w:shd w:val="clear" w:color="auto" w:fill="33CCCC"/>
          </w:tcPr>
          <w:p>
            <w:pPr>
              <w:jc w:val="center"/>
              <w:spacing w:after="0" w:line="89" w:lineRule="exact"/>
              <w:rPr>
                <w:sz w:val="20"/>
                <w:szCs w:val="20"/>
                <w:color w:val="auto"/>
              </w:rPr>
            </w:pPr>
            <w:r>
              <w:rPr>
                <w:rFonts w:ascii="Arial" w:cs="Arial" w:eastAsia="Arial" w:hAnsi="Arial"/>
                <w:sz w:val="10"/>
                <w:szCs w:val="10"/>
                <w:b w:val="1"/>
                <w:bCs w:val="1"/>
                <w:color w:val="FFFFFF"/>
                <w:w w:val="98"/>
              </w:rPr>
              <w:t>% change</w:t>
            </w:r>
          </w:p>
        </w:tc>
      </w:tr>
      <w:tr>
        <w:trPr>
          <w:trHeight w:val="120"/>
        </w:trPr>
        <w:tc>
          <w:tcPr>
            <w:tcW w:w="2940" w:type="dxa"/>
            <w:vAlign w:val="bottom"/>
            <w:tcBorders>
              <w:left w:val="single" w:sz="8" w:color="auto"/>
              <w:bottom w:val="single" w:sz="8" w:color="auto"/>
              <w:right w:val="single" w:sz="8" w:color="auto"/>
            </w:tcBorders>
            <w:shd w:val="clear" w:color="auto" w:fill="33CCCC"/>
          </w:tcPr>
          <w:p>
            <w:pPr>
              <w:ind w:left="20"/>
              <w:spacing w:after="0" w:line="114" w:lineRule="exact"/>
              <w:rPr>
                <w:sz w:val="20"/>
                <w:szCs w:val="20"/>
                <w:color w:val="auto"/>
              </w:rPr>
            </w:pPr>
            <w:r>
              <w:rPr>
                <w:rFonts w:ascii="Arial" w:cs="Arial" w:eastAsia="Arial" w:hAnsi="Arial"/>
                <w:sz w:val="10"/>
                <w:szCs w:val="10"/>
                <w:color w:val="33CCCC"/>
              </w:rPr>
              <w:t>Back to index</w:t>
            </w:r>
          </w:p>
        </w:tc>
        <w:tc>
          <w:tcPr>
            <w:tcW w:w="880" w:type="dxa"/>
            <w:vAlign w:val="bottom"/>
            <w:tcBorders>
              <w:bottom w:val="single" w:sz="8" w:color="auto"/>
              <w:right w:val="single" w:sz="8" w:color="33CCCC"/>
            </w:tcBorders>
            <w:shd w:val="clear" w:color="auto" w:fill="33CCCC"/>
          </w:tcPr>
          <w:p>
            <w:pPr>
              <w:ind w:left="600"/>
              <w:spacing w:after="0" w:line="114" w:lineRule="exact"/>
              <w:rPr>
                <w:sz w:val="20"/>
                <w:szCs w:val="20"/>
                <w:color w:val="auto"/>
              </w:rPr>
            </w:pPr>
            <w:r>
              <w:rPr>
                <w:rFonts w:ascii="Arial" w:cs="Arial" w:eastAsia="Arial" w:hAnsi="Arial"/>
                <w:sz w:val="10"/>
                <w:szCs w:val="10"/>
                <w:b w:val="1"/>
                <w:bCs w:val="1"/>
                <w:color w:val="FFFFFF"/>
                <w:w w:val="97"/>
              </w:rPr>
              <w:t>3Q22</w:t>
            </w:r>
          </w:p>
        </w:tc>
        <w:tc>
          <w:tcPr>
            <w:tcW w:w="1440" w:type="dxa"/>
            <w:vAlign w:val="bottom"/>
            <w:tcBorders>
              <w:bottom w:val="single" w:sz="8" w:color="auto"/>
            </w:tcBorders>
            <w:shd w:val="clear" w:color="auto" w:fill="33CCCC"/>
          </w:tcPr>
          <w:p>
            <w:pPr>
              <w:jc w:val="right"/>
              <w:ind w:right="26"/>
              <w:spacing w:after="0" w:line="114" w:lineRule="exact"/>
              <w:rPr>
                <w:sz w:val="20"/>
                <w:szCs w:val="20"/>
                <w:color w:val="auto"/>
              </w:rPr>
            </w:pPr>
            <w:r>
              <w:rPr>
                <w:rFonts w:ascii="Arial" w:cs="Arial" w:eastAsia="Arial" w:hAnsi="Arial"/>
                <w:sz w:val="10"/>
                <w:szCs w:val="10"/>
                <w:b w:val="1"/>
                <w:bCs w:val="1"/>
                <w:color w:val="FFFFFF"/>
              </w:rPr>
              <w:t>2Q23</w:t>
            </w:r>
          </w:p>
        </w:tc>
        <w:tc>
          <w:tcPr>
            <w:tcW w:w="680" w:type="dxa"/>
            <w:vAlign w:val="bottom"/>
            <w:tcBorders>
              <w:bottom w:val="single" w:sz="8" w:color="auto"/>
            </w:tcBorders>
            <w:shd w:val="clear" w:color="auto" w:fill="33CCCC"/>
          </w:tcPr>
          <w:p>
            <w:pPr>
              <w:spacing w:after="0"/>
              <w:rPr>
                <w:sz w:val="10"/>
                <w:szCs w:val="10"/>
                <w:color w:val="auto"/>
              </w:rPr>
            </w:pPr>
          </w:p>
        </w:tc>
        <w:tc>
          <w:tcPr>
            <w:tcW w:w="920" w:type="dxa"/>
            <w:vAlign w:val="bottom"/>
            <w:tcBorders>
              <w:bottom w:val="single" w:sz="8" w:color="auto"/>
              <w:right w:val="single" w:sz="8" w:color="auto"/>
            </w:tcBorders>
            <w:shd w:val="clear" w:color="auto" w:fill="33CCCC"/>
          </w:tcPr>
          <w:p>
            <w:pPr>
              <w:jc w:val="right"/>
              <w:ind w:right="405"/>
              <w:spacing w:after="0" w:line="114" w:lineRule="exact"/>
              <w:rPr>
                <w:sz w:val="20"/>
                <w:szCs w:val="20"/>
                <w:color w:val="auto"/>
              </w:rPr>
            </w:pPr>
            <w:r>
              <w:rPr>
                <w:rFonts w:ascii="Arial" w:cs="Arial" w:eastAsia="Arial" w:hAnsi="Arial"/>
                <w:sz w:val="10"/>
                <w:szCs w:val="10"/>
                <w:b w:val="1"/>
                <w:bCs w:val="1"/>
                <w:color w:val="FFFFFF"/>
              </w:rPr>
              <w:t>3Q23</w:t>
            </w:r>
          </w:p>
        </w:tc>
        <w:tc>
          <w:tcPr>
            <w:tcW w:w="120" w:type="dxa"/>
            <w:vAlign w:val="bottom"/>
            <w:tcBorders>
              <w:bottom w:val="single" w:sz="8" w:color="auto"/>
            </w:tcBorders>
            <w:shd w:val="clear" w:color="auto" w:fill="33CCCC"/>
          </w:tcPr>
          <w:p>
            <w:pPr>
              <w:spacing w:after="0"/>
              <w:rPr>
                <w:sz w:val="10"/>
                <w:szCs w:val="10"/>
                <w:color w:val="auto"/>
              </w:rPr>
            </w:pPr>
          </w:p>
        </w:tc>
        <w:tc>
          <w:tcPr>
            <w:tcW w:w="680" w:type="dxa"/>
            <w:vAlign w:val="bottom"/>
            <w:tcBorders>
              <w:bottom w:val="single" w:sz="8" w:color="auto"/>
            </w:tcBorders>
            <w:shd w:val="clear" w:color="auto" w:fill="33CCCC"/>
          </w:tcPr>
          <w:p>
            <w:pPr>
              <w:jc w:val="center"/>
              <w:ind w:right="91"/>
              <w:spacing w:after="0" w:line="114" w:lineRule="exact"/>
              <w:rPr>
                <w:sz w:val="20"/>
                <w:szCs w:val="20"/>
                <w:color w:val="auto"/>
              </w:rPr>
            </w:pPr>
            <w:r>
              <w:rPr>
                <w:rFonts w:ascii="Arial" w:cs="Arial" w:eastAsia="Arial" w:hAnsi="Arial"/>
                <w:sz w:val="10"/>
                <w:szCs w:val="10"/>
                <w:b w:val="1"/>
                <w:bCs w:val="1"/>
                <w:color w:val="FFFFFF"/>
              </w:rPr>
              <w:t>QoQ</w:t>
            </w:r>
          </w:p>
        </w:tc>
        <w:tc>
          <w:tcPr>
            <w:tcW w:w="820" w:type="dxa"/>
            <w:vAlign w:val="bottom"/>
            <w:tcBorders>
              <w:bottom w:val="single" w:sz="8" w:color="auto"/>
              <w:right w:val="single" w:sz="8" w:color="auto"/>
            </w:tcBorders>
            <w:shd w:val="clear" w:color="auto" w:fill="33CCCC"/>
          </w:tcPr>
          <w:p>
            <w:pPr>
              <w:jc w:val="center"/>
              <w:spacing w:after="0" w:line="114" w:lineRule="exact"/>
              <w:rPr>
                <w:sz w:val="20"/>
                <w:szCs w:val="20"/>
                <w:color w:val="auto"/>
              </w:rPr>
            </w:pPr>
            <w:r>
              <w:rPr>
                <w:rFonts w:ascii="Arial" w:cs="Arial" w:eastAsia="Arial" w:hAnsi="Arial"/>
                <w:sz w:val="10"/>
                <w:szCs w:val="10"/>
                <w:b w:val="1"/>
                <w:bCs w:val="1"/>
                <w:color w:val="FFFFFF"/>
              </w:rPr>
              <w:t>YoY</w:t>
            </w:r>
          </w:p>
        </w:tc>
        <w:tc>
          <w:tcPr>
            <w:tcW w:w="160" w:type="dxa"/>
            <w:vAlign w:val="bottom"/>
            <w:tcBorders>
              <w:bottom w:val="single" w:sz="8" w:color="auto"/>
            </w:tcBorders>
            <w:shd w:val="clear" w:color="auto" w:fill="33CCCC"/>
          </w:tcPr>
          <w:p>
            <w:pPr>
              <w:spacing w:after="0"/>
              <w:rPr>
                <w:sz w:val="10"/>
                <w:szCs w:val="10"/>
                <w:color w:val="auto"/>
              </w:rPr>
            </w:pPr>
          </w:p>
        </w:tc>
        <w:tc>
          <w:tcPr>
            <w:tcW w:w="800" w:type="dxa"/>
            <w:vAlign w:val="bottom"/>
            <w:tcBorders>
              <w:bottom w:val="single" w:sz="8" w:color="auto"/>
            </w:tcBorders>
            <w:gridSpan w:val="2"/>
            <w:shd w:val="clear" w:color="auto" w:fill="33CCCC"/>
          </w:tcPr>
          <w:p>
            <w:pPr>
              <w:jc w:val="right"/>
              <w:ind w:right="351"/>
              <w:spacing w:after="0" w:line="114" w:lineRule="exact"/>
              <w:rPr>
                <w:sz w:val="20"/>
                <w:szCs w:val="20"/>
                <w:color w:val="auto"/>
              </w:rPr>
            </w:pPr>
            <w:r>
              <w:rPr>
                <w:rFonts w:ascii="Arial" w:cs="Arial" w:eastAsia="Arial" w:hAnsi="Arial"/>
                <w:sz w:val="10"/>
                <w:szCs w:val="10"/>
                <w:b w:val="1"/>
                <w:bCs w:val="1"/>
                <w:color w:val="FFFFFF"/>
              </w:rPr>
              <w:t>Sep 22</w:t>
            </w:r>
          </w:p>
        </w:tc>
        <w:tc>
          <w:tcPr>
            <w:tcW w:w="680" w:type="dxa"/>
            <w:vAlign w:val="bottom"/>
            <w:tcBorders>
              <w:bottom w:val="single" w:sz="8" w:color="auto"/>
              <w:right w:val="single" w:sz="8" w:color="auto"/>
            </w:tcBorders>
            <w:shd w:val="clear" w:color="auto" w:fill="33CCCC"/>
          </w:tcPr>
          <w:p>
            <w:pPr>
              <w:jc w:val="right"/>
              <w:ind w:right="205"/>
              <w:spacing w:after="0" w:line="114" w:lineRule="exact"/>
              <w:rPr>
                <w:sz w:val="20"/>
                <w:szCs w:val="20"/>
                <w:color w:val="auto"/>
              </w:rPr>
            </w:pPr>
            <w:r>
              <w:rPr>
                <w:rFonts w:ascii="Arial" w:cs="Arial" w:eastAsia="Arial" w:hAnsi="Arial"/>
                <w:sz w:val="10"/>
                <w:szCs w:val="10"/>
                <w:b w:val="1"/>
                <w:bCs w:val="1"/>
                <w:color w:val="FFFFFF"/>
              </w:rPr>
              <w:t>Sep 23</w:t>
            </w:r>
          </w:p>
        </w:tc>
        <w:tc>
          <w:tcPr>
            <w:tcW w:w="1140" w:type="dxa"/>
            <w:vAlign w:val="bottom"/>
            <w:tcBorders>
              <w:bottom w:val="single" w:sz="8" w:color="auto"/>
              <w:right w:val="single" w:sz="8" w:color="auto"/>
            </w:tcBorders>
            <w:shd w:val="clear" w:color="auto" w:fill="33CCCC"/>
          </w:tcPr>
          <w:p>
            <w:pPr>
              <w:jc w:val="center"/>
              <w:spacing w:after="0" w:line="114" w:lineRule="exact"/>
              <w:rPr>
                <w:sz w:val="20"/>
                <w:szCs w:val="20"/>
                <w:color w:val="auto"/>
              </w:rPr>
            </w:pPr>
            <w:r>
              <w:rPr>
                <w:rFonts w:ascii="Arial" w:cs="Arial" w:eastAsia="Arial" w:hAnsi="Arial"/>
                <w:sz w:val="10"/>
                <w:szCs w:val="10"/>
                <w:b w:val="1"/>
                <w:bCs w:val="1"/>
                <w:color w:val="FFFFFF"/>
                <w:w w:val="98"/>
              </w:rPr>
              <w:t>Sep 23 / Sep 22</w:t>
            </w:r>
          </w:p>
        </w:tc>
      </w:tr>
      <w:tr>
        <w:trPr>
          <w:trHeight w:val="101"/>
        </w:trPr>
        <w:tc>
          <w:tcPr>
            <w:tcW w:w="2940" w:type="dxa"/>
            <w:vAlign w:val="bottom"/>
            <w:tcBorders>
              <w:left w:val="single" w:sz="8" w:color="auto"/>
              <w:right w:val="single" w:sz="8" w:color="auto"/>
            </w:tcBorders>
          </w:tcPr>
          <w:p>
            <w:pPr>
              <w:ind w:left="20"/>
              <w:spacing w:after="0" w:line="101" w:lineRule="exact"/>
              <w:rPr>
                <w:sz w:val="20"/>
                <w:szCs w:val="20"/>
                <w:color w:val="auto"/>
              </w:rPr>
            </w:pPr>
            <w:r>
              <w:rPr>
                <w:rFonts w:ascii="Arial" w:cs="Arial" w:eastAsia="Arial" w:hAnsi="Arial"/>
                <w:sz w:val="10"/>
                <w:szCs w:val="10"/>
                <w:color w:val="auto"/>
              </w:rPr>
              <w:t>Income from commissions</w:t>
            </w:r>
          </w:p>
        </w:tc>
        <w:tc>
          <w:tcPr>
            <w:tcW w:w="880" w:type="dxa"/>
            <w:vAlign w:val="bottom"/>
          </w:tcPr>
          <w:p>
            <w:pPr>
              <w:spacing w:after="0"/>
              <w:rPr>
                <w:sz w:val="8"/>
                <w:szCs w:val="8"/>
                <w:color w:val="auto"/>
              </w:rPr>
            </w:pPr>
          </w:p>
        </w:tc>
        <w:tc>
          <w:tcPr>
            <w:tcW w:w="1440" w:type="dxa"/>
            <w:vAlign w:val="bottom"/>
          </w:tcPr>
          <w:p>
            <w:pPr>
              <w:jc w:val="right"/>
              <w:ind w:right="846"/>
              <w:spacing w:after="0" w:line="101" w:lineRule="exact"/>
              <w:rPr>
                <w:sz w:val="20"/>
                <w:szCs w:val="20"/>
                <w:color w:val="auto"/>
              </w:rPr>
            </w:pPr>
            <w:r>
              <w:rPr>
                <w:rFonts w:ascii="Arial" w:cs="Arial" w:eastAsia="Arial" w:hAnsi="Arial"/>
                <w:sz w:val="10"/>
                <w:szCs w:val="10"/>
                <w:color w:val="auto"/>
              </w:rPr>
              <w:t>93,922</w:t>
            </w:r>
          </w:p>
        </w:tc>
        <w:tc>
          <w:tcPr>
            <w:tcW w:w="680" w:type="dxa"/>
            <w:vAlign w:val="bottom"/>
          </w:tcPr>
          <w:p>
            <w:pPr>
              <w:jc w:val="right"/>
              <w:ind w:right="151"/>
              <w:spacing w:after="0" w:line="101" w:lineRule="exact"/>
              <w:rPr>
                <w:sz w:val="20"/>
                <w:szCs w:val="20"/>
                <w:color w:val="auto"/>
              </w:rPr>
            </w:pPr>
            <w:r>
              <w:rPr>
                <w:rFonts w:ascii="Arial" w:cs="Arial" w:eastAsia="Arial" w:hAnsi="Arial"/>
                <w:sz w:val="10"/>
                <w:szCs w:val="10"/>
                <w:color w:val="auto"/>
              </w:rPr>
              <w:t>88,459</w:t>
            </w:r>
          </w:p>
        </w:tc>
        <w:tc>
          <w:tcPr>
            <w:tcW w:w="920" w:type="dxa"/>
            <w:vAlign w:val="bottom"/>
            <w:tcBorders>
              <w:right w:val="single" w:sz="8" w:color="auto"/>
            </w:tcBorders>
          </w:tcPr>
          <w:p>
            <w:pPr>
              <w:jc w:val="right"/>
              <w:spacing w:after="0" w:line="101" w:lineRule="exact"/>
              <w:rPr>
                <w:sz w:val="20"/>
                <w:szCs w:val="20"/>
                <w:color w:val="auto"/>
              </w:rPr>
            </w:pPr>
            <w:r>
              <w:rPr>
                <w:rFonts w:ascii="Arial" w:cs="Arial" w:eastAsia="Arial" w:hAnsi="Arial"/>
                <w:sz w:val="10"/>
                <w:szCs w:val="10"/>
                <w:color w:val="auto"/>
              </w:rPr>
              <w:t>85,495</w:t>
            </w:r>
          </w:p>
        </w:tc>
        <w:tc>
          <w:tcPr>
            <w:tcW w:w="120" w:type="dxa"/>
            <w:vAlign w:val="bottom"/>
          </w:tcPr>
          <w:p>
            <w:pPr>
              <w:spacing w:after="0"/>
              <w:rPr>
                <w:sz w:val="8"/>
                <w:szCs w:val="8"/>
                <w:color w:val="auto"/>
              </w:rPr>
            </w:pPr>
          </w:p>
        </w:tc>
        <w:tc>
          <w:tcPr>
            <w:tcW w:w="680" w:type="dxa"/>
            <w:vAlign w:val="bottom"/>
          </w:tcPr>
          <w:p>
            <w:pPr>
              <w:jc w:val="center"/>
              <w:ind w:right="91"/>
              <w:spacing w:after="0" w:line="101" w:lineRule="exact"/>
              <w:rPr>
                <w:sz w:val="20"/>
                <w:szCs w:val="20"/>
                <w:color w:val="auto"/>
              </w:rPr>
            </w:pPr>
            <w:r>
              <w:rPr>
                <w:rFonts w:ascii="Arial" w:cs="Arial" w:eastAsia="Arial" w:hAnsi="Arial"/>
                <w:sz w:val="10"/>
                <w:szCs w:val="10"/>
                <w:color w:val="auto"/>
                <w:w w:val="99"/>
              </w:rPr>
              <w:t>-3.4%</w:t>
            </w:r>
          </w:p>
        </w:tc>
        <w:tc>
          <w:tcPr>
            <w:tcW w:w="820" w:type="dxa"/>
            <w:vAlign w:val="bottom"/>
            <w:tcBorders>
              <w:right w:val="single" w:sz="8" w:color="auto"/>
            </w:tcBorders>
          </w:tcPr>
          <w:p>
            <w:pPr>
              <w:jc w:val="center"/>
              <w:spacing w:after="0" w:line="101" w:lineRule="exact"/>
              <w:rPr>
                <w:sz w:val="20"/>
                <w:szCs w:val="20"/>
                <w:color w:val="auto"/>
              </w:rPr>
            </w:pPr>
            <w:r>
              <w:rPr>
                <w:rFonts w:ascii="Arial" w:cs="Arial" w:eastAsia="Arial" w:hAnsi="Arial"/>
                <w:sz w:val="10"/>
                <w:szCs w:val="10"/>
                <w:color w:val="auto"/>
                <w:w w:val="91"/>
              </w:rPr>
              <w:t>-9.0%</w:t>
            </w:r>
          </w:p>
        </w:tc>
        <w:tc>
          <w:tcPr>
            <w:tcW w:w="160" w:type="dxa"/>
            <w:vAlign w:val="bottom"/>
          </w:tcPr>
          <w:p>
            <w:pPr>
              <w:spacing w:after="0"/>
              <w:rPr>
                <w:sz w:val="8"/>
                <w:szCs w:val="8"/>
                <w:color w:val="auto"/>
              </w:rPr>
            </w:pPr>
          </w:p>
        </w:tc>
        <w:tc>
          <w:tcPr>
            <w:tcW w:w="800" w:type="dxa"/>
            <w:vAlign w:val="bottom"/>
            <w:gridSpan w:val="2"/>
          </w:tcPr>
          <w:p>
            <w:pPr>
              <w:jc w:val="right"/>
              <w:ind w:right="111"/>
              <w:spacing w:after="0" w:line="101" w:lineRule="exact"/>
              <w:rPr>
                <w:sz w:val="20"/>
                <w:szCs w:val="20"/>
                <w:color w:val="auto"/>
              </w:rPr>
            </w:pPr>
            <w:r>
              <w:rPr>
                <w:rFonts w:ascii="Arial" w:cs="Arial" w:eastAsia="Arial" w:hAnsi="Arial"/>
                <w:sz w:val="10"/>
                <w:szCs w:val="10"/>
                <w:color w:val="auto"/>
              </w:rPr>
              <w:t>285,863</w:t>
            </w:r>
          </w:p>
        </w:tc>
        <w:tc>
          <w:tcPr>
            <w:tcW w:w="680" w:type="dxa"/>
            <w:vAlign w:val="bottom"/>
            <w:tcBorders>
              <w:right w:val="single" w:sz="8" w:color="auto"/>
            </w:tcBorders>
          </w:tcPr>
          <w:p>
            <w:pPr>
              <w:jc w:val="right"/>
              <w:spacing w:after="0" w:line="101" w:lineRule="exact"/>
              <w:rPr>
                <w:sz w:val="20"/>
                <w:szCs w:val="20"/>
                <w:color w:val="auto"/>
              </w:rPr>
            </w:pPr>
            <w:r>
              <w:rPr>
                <w:rFonts w:ascii="Arial" w:cs="Arial" w:eastAsia="Arial" w:hAnsi="Arial"/>
                <w:sz w:val="10"/>
                <w:szCs w:val="10"/>
                <w:color w:val="auto"/>
              </w:rPr>
              <w:t>263,485</w:t>
            </w:r>
          </w:p>
        </w:tc>
        <w:tc>
          <w:tcPr>
            <w:tcW w:w="1140" w:type="dxa"/>
            <w:vAlign w:val="bottom"/>
            <w:tcBorders>
              <w:right w:val="single" w:sz="8" w:color="auto"/>
            </w:tcBorders>
          </w:tcPr>
          <w:p>
            <w:pPr>
              <w:jc w:val="center"/>
              <w:spacing w:after="0" w:line="101" w:lineRule="exact"/>
              <w:rPr>
                <w:sz w:val="20"/>
                <w:szCs w:val="20"/>
                <w:color w:val="auto"/>
              </w:rPr>
            </w:pPr>
            <w:r>
              <w:rPr>
                <w:rFonts w:ascii="Arial" w:cs="Arial" w:eastAsia="Arial" w:hAnsi="Arial"/>
                <w:sz w:val="10"/>
                <w:szCs w:val="10"/>
                <w:color w:val="auto"/>
                <w:w w:val="99"/>
              </w:rPr>
              <w:t>-7.8%</w:t>
            </w:r>
          </w:p>
        </w:tc>
      </w:tr>
      <w:tr>
        <w:trPr>
          <w:trHeight w:val="111"/>
        </w:trPr>
        <w:tc>
          <w:tcPr>
            <w:tcW w:w="2940" w:type="dxa"/>
            <w:vAlign w:val="bottom"/>
            <w:tcBorders>
              <w:left w:val="single" w:sz="8" w:color="auto"/>
              <w:right w:val="single" w:sz="8" w:color="auto"/>
            </w:tcBorders>
          </w:tcPr>
          <w:p>
            <w:pPr>
              <w:ind w:left="20"/>
              <w:spacing w:after="0" w:line="112" w:lineRule="exact"/>
              <w:rPr>
                <w:sz w:val="20"/>
                <w:szCs w:val="20"/>
                <w:color w:val="auto"/>
              </w:rPr>
            </w:pPr>
            <w:r>
              <w:rPr>
                <w:rFonts w:ascii="Arial" w:cs="Arial" w:eastAsia="Arial" w:hAnsi="Arial"/>
                <w:sz w:val="10"/>
                <w:szCs w:val="10"/>
                <w:color w:val="auto"/>
              </w:rPr>
              <w:t>Administrative and sale expenses</w:t>
            </w:r>
          </w:p>
        </w:tc>
        <w:tc>
          <w:tcPr>
            <w:tcW w:w="880" w:type="dxa"/>
            <w:vAlign w:val="bottom"/>
          </w:tcPr>
          <w:p>
            <w:pPr>
              <w:spacing w:after="0"/>
              <w:rPr>
                <w:sz w:val="9"/>
                <w:szCs w:val="9"/>
                <w:color w:val="auto"/>
              </w:rPr>
            </w:pPr>
          </w:p>
        </w:tc>
        <w:tc>
          <w:tcPr>
            <w:tcW w:w="1440" w:type="dxa"/>
            <w:vAlign w:val="bottom"/>
          </w:tcPr>
          <w:p>
            <w:pPr>
              <w:jc w:val="right"/>
              <w:ind w:right="846"/>
              <w:spacing w:after="0" w:line="112" w:lineRule="exact"/>
              <w:rPr>
                <w:sz w:val="20"/>
                <w:szCs w:val="20"/>
                <w:color w:val="auto"/>
              </w:rPr>
            </w:pPr>
            <w:r>
              <w:rPr>
                <w:rFonts w:ascii="Arial" w:cs="Arial" w:eastAsia="Arial" w:hAnsi="Arial"/>
                <w:sz w:val="10"/>
                <w:szCs w:val="10"/>
                <w:color w:val="auto"/>
              </w:rPr>
              <w:t>(40,561)</w:t>
            </w:r>
          </w:p>
        </w:tc>
        <w:tc>
          <w:tcPr>
            <w:tcW w:w="680" w:type="dxa"/>
            <w:vAlign w:val="bottom"/>
          </w:tcPr>
          <w:p>
            <w:pPr>
              <w:jc w:val="right"/>
              <w:ind w:right="151"/>
              <w:spacing w:after="0" w:line="112" w:lineRule="exact"/>
              <w:rPr>
                <w:sz w:val="20"/>
                <w:szCs w:val="20"/>
                <w:color w:val="auto"/>
              </w:rPr>
            </w:pPr>
            <w:r>
              <w:rPr>
                <w:rFonts w:ascii="Arial" w:cs="Arial" w:eastAsia="Arial" w:hAnsi="Arial"/>
                <w:sz w:val="10"/>
                <w:szCs w:val="10"/>
                <w:color w:val="auto"/>
              </w:rPr>
              <w:t>(38,279)</w:t>
            </w:r>
          </w:p>
        </w:tc>
        <w:tc>
          <w:tcPr>
            <w:tcW w:w="920" w:type="dxa"/>
            <w:vAlign w:val="bottom"/>
            <w:tcBorders>
              <w:right w:val="single" w:sz="8" w:color="auto"/>
            </w:tcBorders>
          </w:tcPr>
          <w:p>
            <w:pPr>
              <w:jc w:val="right"/>
              <w:spacing w:after="0" w:line="112" w:lineRule="exact"/>
              <w:rPr>
                <w:sz w:val="20"/>
                <w:szCs w:val="20"/>
                <w:color w:val="auto"/>
              </w:rPr>
            </w:pPr>
            <w:r>
              <w:rPr>
                <w:rFonts w:ascii="Arial" w:cs="Arial" w:eastAsia="Arial" w:hAnsi="Arial"/>
                <w:sz w:val="10"/>
                <w:szCs w:val="10"/>
                <w:color w:val="auto"/>
              </w:rPr>
              <w:t>(37,756)</w:t>
            </w:r>
          </w:p>
        </w:tc>
        <w:tc>
          <w:tcPr>
            <w:tcW w:w="120" w:type="dxa"/>
            <w:vAlign w:val="bottom"/>
          </w:tcPr>
          <w:p>
            <w:pPr>
              <w:spacing w:after="0"/>
              <w:rPr>
                <w:sz w:val="9"/>
                <w:szCs w:val="9"/>
                <w:color w:val="auto"/>
              </w:rPr>
            </w:pPr>
          </w:p>
        </w:tc>
        <w:tc>
          <w:tcPr>
            <w:tcW w:w="680" w:type="dxa"/>
            <w:vAlign w:val="bottom"/>
          </w:tcPr>
          <w:p>
            <w:pPr>
              <w:jc w:val="center"/>
              <w:ind w:right="91"/>
              <w:spacing w:after="0" w:line="112" w:lineRule="exact"/>
              <w:rPr>
                <w:sz w:val="20"/>
                <w:szCs w:val="20"/>
                <w:color w:val="auto"/>
              </w:rPr>
            </w:pPr>
            <w:r>
              <w:rPr>
                <w:rFonts w:ascii="Arial" w:cs="Arial" w:eastAsia="Arial" w:hAnsi="Arial"/>
                <w:sz w:val="10"/>
                <w:szCs w:val="10"/>
                <w:color w:val="auto"/>
                <w:w w:val="99"/>
              </w:rPr>
              <w:t>-1.4%</w:t>
            </w:r>
          </w:p>
        </w:tc>
        <w:tc>
          <w:tcPr>
            <w:tcW w:w="820" w:type="dxa"/>
            <w:vAlign w:val="bottom"/>
            <w:tcBorders>
              <w:right w:val="single" w:sz="8" w:color="auto"/>
            </w:tcBorders>
          </w:tcPr>
          <w:p>
            <w:pPr>
              <w:jc w:val="center"/>
              <w:spacing w:after="0" w:line="112" w:lineRule="exact"/>
              <w:rPr>
                <w:sz w:val="20"/>
                <w:szCs w:val="20"/>
                <w:color w:val="auto"/>
              </w:rPr>
            </w:pPr>
            <w:r>
              <w:rPr>
                <w:rFonts w:ascii="Arial" w:cs="Arial" w:eastAsia="Arial" w:hAnsi="Arial"/>
                <w:sz w:val="10"/>
                <w:szCs w:val="10"/>
                <w:color w:val="auto"/>
                <w:w w:val="91"/>
              </w:rPr>
              <w:t>-6.9%</w:t>
            </w:r>
          </w:p>
        </w:tc>
        <w:tc>
          <w:tcPr>
            <w:tcW w:w="160" w:type="dxa"/>
            <w:vAlign w:val="bottom"/>
          </w:tcPr>
          <w:p>
            <w:pPr>
              <w:spacing w:after="0"/>
              <w:rPr>
                <w:sz w:val="9"/>
                <w:szCs w:val="9"/>
                <w:color w:val="auto"/>
              </w:rPr>
            </w:pPr>
          </w:p>
        </w:tc>
        <w:tc>
          <w:tcPr>
            <w:tcW w:w="800" w:type="dxa"/>
            <w:vAlign w:val="bottom"/>
            <w:gridSpan w:val="2"/>
          </w:tcPr>
          <w:p>
            <w:pPr>
              <w:jc w:val="right"/>
              <w:ind w:right="111"/>
              <w:spacing w:after="0" w:line="112" w:lineRule="exact"/>
              <w:rPr>
                <w:sz w:val="20"/>
                <w:szCs w:val="20"/>
                <w:color w:val="auto"/>
              </w:rPr>
            </w:pPr>
            <w:r>
              <w:rPr>
                <w:rFonts w:ascii="Arial" w:cs="Arial" w:eastAsia="Arial" w:hAnsi="Arial"/>
                <w:sz w:val="10"/>
                <w:szCs w:val="10"/>
                <w:color w:val="auto"/>
              </w:rPr>
              <w:t>(130,147)</w:t>
            </w:r>
          </w:p>
        </w:tc>
        <w:tc>
          <w:tcPr>
            <w:tcW w:w="680" w:type="dxa"/>
            <w:vAlign w:val="bottom"/>
            <w:tcBorders>
              <w:right w:val="single" w:sz="8" w:color="auto"/>
            </w:tcBorders>
          </w:tcPr>
          <w:p>
            <w:pPr>
              <w:jc w:val="right"/>
              <w:spacing w:after="0" w:line="112" w:lineRule="exact"/>
              <w:rPr>
                <w:sz w:val="20"/>
                <w:szCs w:val="20"/>
                <w:color w:val="auto"/>
              </w:rPr>
            </w:pPr>
            <w:r>
              <w:rPr>
                <w:rFonts w:ascii="Arial" w:cs="Arial" w:eastAsia="Arial" w:hAnsi="Arial"/>
                <w:sz w:val="10"/>
                <w:szCs w:val="10"/>
                <w:color w:val="auto"/>
              </w:rPr>
              <w:t>(115,021)</w:t>
            </w:r>
          </w:p>
        </w:tc>
        <w:tc>
          <w:tcPr>
            <w:tcW w:w="1140" w:type="dxa"/>
            <w:vAlign w:val="bottom"/>
            <w:tcBorders>
              <w:right w:val="single" w:sz="8" w:color="auto"/>
            </w:tcBorders>
          </w:tcPr>
          <w:p>
            <w:pPr>
              <w:jc w:val="center"/>
              <w:spacing w:after="0" w:line="112" w:lineRule="exact"/>
              <w:rPr>
                <w:sz w:val="20"/>
                <w:szCs w:val="20"/>
                <w:color w:val="auto"/>
              </w:rPr>
            </w:pPr>
            <w:r>
              <w:rPr>
                <w:rFonts w:ascii="Arial" w:cs="Arial" w:eastAsia="Arial" w:hAnsi="Arial"/>
                <w:sz w:val="10"/>
                <w:szCs w:val="10"/>
                <w:color w:val="auto"/>
                <w:w w:val="94"/>
              </w:rPr>
              <w:t>-11.6%</w:t>
            </w:r>
          </w:p>
        </w:tc>
      </w:tr>
      <w:tr>
        <w:trPr>
          <w:trHeight w:val="105"/>
        </w:trPr>
        <w:tc>
          <w:tcPr>
            <w:tcW w:w="2940" w:type="dxa"/>
            <w:vAlign w:val="bottom"/>
            <w:tcBorders>
              <w:left w:val="single" w:sz="8" w:color="auto"/>
              <w:right w:val="single" w:sz="8" w:color="auto"/>
            </w:tcBorders>
          </w:tcPr>
          <w:p>
            <w:pPr>
              <w:ind w:left="20"/>
              <w:spacing w:after="0" w:line="105" w:lineRule="exact"/>
              <w:rPr>
                <w:sz w:val="20"/>
                <w:szCs w:val="20"/>
                <w:color w:val="auto"/>
              </w:rPr>
            </w:pPr>
            <w:r>
              <w:rPr>
                <w:rFonts w:ascii="Arial" w:cs="Arial" w:eastAsia="Arial" w:hAnsi="Arial"/>
                <w:sz w:val="10"/>
                <w:szCs w:val="10"/>
                <w:color w:val="auto"/>
              </w:rPr>
              <w:t>Depreciation and amortization</w:t>
            </w:r>
          </w:p>
        </w:tc>
        <w:tc>
          <w:tcPr>
            <w:tcW w:w="880" w:type="dxa"/>
            <w:vAlign w:val="bottom"/>
          </w:tcPr>
          <w:p>
            <w:pPr>
              <w:spacing w:after="0"/>
              <w:rPr>
                <w:sz w:val="9"/>
                <w:szCs w:val="9"/>
                <w:color w:val="auto"/>
              </w:rPr>
            </w:pPr>
          </w:p>
        </w:tc>
        <w:tc>
          <w:tcPr>
            <w:tcW w:w="1440" w:type="dxa"/>
            <w:vAlign w:val="bottom"/>
          </w:tcPr>
          <w:p>
            <w:pPr>
              <w:jc w:val="right"/>
              <w:ind w:right="846"/>
              <w:spacing w:after="0" w:line="105" w:lineRule="exact"/>
              <w:rPr>
                <w:sz w:val="20"/>
                <w:szCs w:val="20"/>
                <w:color w:val="auto"/>
              </w:rPr>
            </w:pPr>
            <w:r>
              <w:rPr>
                <w:rFonts w:ascii="Arial" w:cs="Arial" w:eastAsia="Arial" w:hAnsi="Arial"/>
                <w:sz w:val="10"/>
                <w:szCs w:val="10"/>
                <w:color w:val="auto"/>
              </w:rPr>
              <w:t>(6,449)</w:t>
            </w:r>
          </w:p>
        </w:tc>
        <w:tc>
          <w:tcPr>
            <w:tcW w:w="680" w:type="dxa"/>
            <w:vAlign w:val="bottom"/>
          </w:tcPr>
          <w:p>
            <w:pPr>
              <w:jc w:val="right"/>
              <w:ind w:right="151"/>
              <w:spacing w:after="0" w:line="105" w:lineRule="exact"/>
              <w:rPr>
                <w:sz w:val="20"/>
                <w:szCs w:val="20"/>
                <w:color w:val="auto"/>
              </w:rPr>
            </w:pPr>
            <w:r>
              <w:rPr>
                <w:rFonts w:ascii="Arial" w:cs="Arial" w:eastAsia="Arial" w:hAnsi="Arial"/>
                <w:sz w:val="10"/>
                <w:szCs w:val="10"/>
                <w:color w:val="auto"/>
              </w:rPr>
              <w:t>(6,262)</w:t>
            </w:r>
          </w:p>
        </w:tc>
        <w:tc>
          <w:tcPr>
            <w:tcW w:w="920" w:type="dxa"/>
            <w:vAlign w:val="bottom"/>
            <w:tcBorders>
              <w:right w:val="single" w:sz="8" w:color="auto"/>
            </w:tcBorders>
          </w:tcPr>
          <w:p>
            <w:pPr>
              <w:jc w:val="right"/>
              <w:spacing w:after="0" w:line="105" w:lineRule="exact"/>
              <w:rPr>
                <w:sz w:val="20"/>
                <w:szCs w:val="20"/>
                <w:color w:val="auto"/>
              </w:rPr>
            </w:pPr>
            <w:r>
              <w:rPr>
                <w:rFonts w:ascii="Arial" w:cs="Arial" w:eastAsia="Arial" w:hAnsi="Arial"/>
                <w:sz w:val="10"/>
                <w:szCs w:val="10"/>
                <w:color w:val="auto"/>
              </w:rPr>
              <w:t>(6,429)</w:t>
            </w:r>
          </w:p>
        </w:tc>
        <w:tc>
          <w:tcPr>
            <w:tcW w:w="120" w:type="dxa"/>
            <w:vAlign w:val="bottom"/>
          </w:tcPr>
          <w:p>
            <w:pPr>
              <w:spacing w:after="0"/>
              <w:rPr>
                <w:sz w:val="9"/>
                <w:szCs w:val="9"/>
                <w:color w:val="auto"/>
              </w:rPr>
            </w:pPr>
          </w:p>
        </w:tc>
        <w:tc>
          <w:tcPr>
            <w:tcW w:w="680" w:type="dxa"/>
            <w:vAlign w:val="bottom"/>
          </w:tcPr>
          <w:p>
            <w:pPr>
              <w:jc w:val="center"/>
              <w:ind w:right="91"/>
              <w:spacing w:after="0" w:line="105" w:lineRule="exact"/>
              <w:rPr>
                <w:sz w:val="20"/>
                <w:szCs w:val="20"/>
                <w:color w:val="auto"/>
              </w:rPr>
            </w:pPr>
            <w:r>
              <w:rPr>
                <w:rFonts w:ascii="Arial" w:cs="Arial" w:eastAsia="Arial" w:hAnsi="Arial"/>
                <w:sz w:val="10"/>
                <w:szCs w:val="10"/>
                <w:color w:val="auto"/>
                <w:w w:val="96"/>
              </w:rPr>
              <w:t>2.7%</w:t>
            </w:r>
          </w:p>
        </w:tc>
        <w:tc>
          <w:tcPr>
            <w:tcW w:w="820" w:type="dxa"/>
            <w:vAlign w:val="bottom"/>
            <w:tcBorders>
              <w:right w:val="single" w:sz="8" w:color="auto"/>
            </w:tcBorders>
          </w:tcPr>
          <w:p>
            <w:pPr>
              <w:jc w:val="center"/>
              <w:spacing w:after="0" w:line="105" w:lineRule="exact"/>
              <w:rPr>
                <w:sz w:val="20"/>
                <w:szCs w:val="20"/>
                <w:color w:val="auto"/>
              </w:rPr>
            </w:pPr>
            <w:r>
              <w:rPr>
                <w:rFonts w:ascii="Arial" w:cs="Arial" w:eastAsia="Arial" w:hAnsi="Arial"/>
                <w:sz w:val="10"/>
                <w:szCs w:val="10"/>
                <w:color w:val="auto"/>
                <w:w w:val="91"/>
              </w:rPr>
              <w:t>-0.3%</w:t>
            </w:r>
          </w:p>
        </w:tc>
        <w:tc>
          <w:tcPr>
            <w:tcW w:w="160" w:type="dxa"/>
            <w:vAlign w:val="bottom"/>
          </w:tcPr>
          <w:p>
            <w:pPr>
              <w:spacing w:after="0"/>
              <w:rPr>
                <w:sz w:val="9"/>
                <w:szCs w:val="9"/>
                <w:color w:val="auto"/>
              </w:rPr>
            </w:pPr>
          </w:p>
        </w:tc>
        <w:tc>
          <w:tcPr>
            <w:tcW w:w="800" w:type="dxa"/>
            <w:vAlign w:val="bottom"/>
            <w:gridSpan w:val="2"/>
          </w:tcPr>
          <w:p>
            <w:pPr>
              <w:jc w:val="right"/>
              <w:ind w:right="111"/>
              <w:spacing w:after="0" w:line="105" w:lineRule="exact"/>
              <w:rPr>
                <w:sz w:val="20"/>
                <w:szCs w:val="20"/>
                <w:color w:val="auto"/>
              </w:rPr>
            </w:pPr>
            <w:r>
              <w:rPr>
                <w:rFonts w:ascii="Arial" w:cs="Arial" w:eastAsia="Arial" w:hAnsi="Arial"/>
                <w:sz w:val="10"/>
                <w:szCs w:val="10"/>
                <w:color w:val="auto"/>
              </w:rPr>
              <w:t>(18,910)</w:t>
            </w:r>
          </w:p>
        </w:tc>
        <w:tc>
          <w:tcPr>
            <w:tcW w:w="680" w:type="dxa"/>
            <w:vAlign w:val="bottom"/>
            <w:tcBorders>
              <w:right w:val="single" w:sz="8" w:color="auto"/>
            </w:tcBorders>
          </w:tcPr>
          <w:p>
            <w:pPr>
              <w:jc w:val="right"/>
              <w:spacing w:after="0" w:line="105" w:lineRule="exact"/>
              <w:rPr>
                <w:sz w:val="20"/>
                <w:szCs w:val="20"/>
                <w:color w:val="auto"/>
              </w:rPr>
            </w:pPr>
            <w:r>
              <w:rPr>
                <w:rFonts w:ascii="Arial" w:cs="Arial" w:eastAsia="Arial" w:hAnsi="Arial"/>
                <w:sz w:val="10"/>
                <w:szCs w:val="10"/>
                <w:color w:val="auto"/>
              </w:rPr>
              <w:t>(18,884)</w:t>
            </w:r>
          </w:p>
        </w:tc>
        <w:tc>
          <w:tcPr>
            <w:tcW w:w="1140" w:type="dxa"/>
            <w:vAlign w:val="bottom"/>
            <w:tcBorders>
              <w:right w:val="single" w:sz="8" w:color="auto"/>
            </w:tcBorders>
          </w:tcPr>
          <w:p>
            <w:pPr>
              <w:jc w:val="center"/>
              <w:spacing w:after="0" w:line="105" w:lineRule="exact"/>
              <w:rPr>
                <w:sz w:val="20"/>
                <w:szCs w:val="20"/>
                <w:color w:val="auto"/>
              </w:rPr>
            </w:pPr>
            <w:r>
              <w:rPr>
                <w:rFonts w:ascii="Arial" w:cs="Arial" w:eastAsia="Arial" w:hAnsi="Arial"/>
                <w:sz w:val="10"/>
                <w:szCs w:val="10"/>
                <w:color w:val="auto"/>
                <w:w w:val="99"/>
              </w:rPr>
              <w:t>-0.1%</w:t>
            </w:r>
          </w:p>
        </w:tc>
      </w:tr>
      <w:tr>
        <w:trPr>
          <w:trHeight w:val="117"/>
        </w:trPr>
        <w:tc>
          <w:tcPr>
            <w:tcW w:w="2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b w:val="1"/>
                <w:bCs w:val="1"/>
                <w:color w:val="auto"/>
              </w:rPr>
              <w:t>Operating income</w:t>
            </w:r>
          </w:p>
        </w:tc>
        <w:tc>
          <w:tcPr>
            <w:tcW w:w="880" w:type="dxa"/>
            <w:vAlign w:val="bottom"/>
          </w:tcPr>
          <w:p>
            <w:pPr>
              <w:spacing w:after="0"/>
              <w:rPr>
                <w:sz w:val="10"/>
                <w:szCs w:val="10"/>
                <w:color w:val="auto"/>
              </w:rPr>
            </w:pPr>
          </w:p>
        </w:tc>
        <w:tc>
          <w:tcPr>
            <w:tcW w:w="1440" w:type="dxa"/>
            <w:vAlign w:val="bottom"/>
          </w:tcPr>
          <w:p>
            <w:pPr>
              <w:jc w:val="right"/>
              <w:ind w:right="846"/>
              <w:spacing w:after="0"/>
              <w:rPr>
                <w:sz w:val="20"/>
                <w:szCs w:val="20"/>
                <w:color w:val="auto"/>
              </w:rPr>
            </w:pPr>
            <w:r>
              <w:rPr>
                <w:rFonts w:ascii="Arial" w:cs="Arial" w:eastAsia="Arial" w:hAnsi="Arial"/>
                <w:sz w:val="10"/>
                <w:szCs w:val="10"/>
                <w:b w:val="1"/>
                <w:bCs w:val="1"/>
                <w:color w:val="auto"/>
              </w:rPr>
              <w:t>46,913</w:t>
            </w:r>
          </w:p>
        </w:tc>
        <w:tc>
          <w:tcPr>
            <w:tcW w:w="680" w:type="dxa"/>
            <w:vAlign w:val="bottom"/>
          </w:tcPr>
          <w:p>
            <w:pPr>
              <w:jc w:val="right"/>
              <w:ind w:right="151"/>
              <w:spacing w:after="0"/>
              <w:rPr>
                <w:sz w:val="20"/>
                <w:szCs w:val="20"/>
                <w:color w:val="auto"/>
              </w:rPr>
            </w:pPr>
            <w:r>
              <w:rPr>
                <w:rFonts w:ascii="Arial" w:cs="Arial" w:eastAsia="Arial" w:hAnsi="Arial"/>
                <w:sz w:val="10"/>
                <w:szCs w:val="10"/>
                <w:b w:val="1"/>
                <w:bCs w:val="1"/>
                <w:color w:val="auto"/>
              </w:rPr>
              <w:t>43,918</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0"/>
                <w:szCs w:val="10"/>
                <w:b w:val="1"/>
                <w:bCs w:val="1"/>
                <w:color w:val="auto"/>
              </w:rPr>
              <w:t>41,310</w:t>
            </w:r>
          </w:p>
        </w:tc>
        <w:tc>
          <w:tcPr>
            <w:tcW w:w="120" w:type="dxa"/>
            <w:vAlign w:val="bottom"/>
          </w:tcPr>
          <w:p>
            <w:pPr>
              <w:spacing w:after="0"/>
              <w:rPr>
                <w:sz w:val="10"/>
                <w:szCs w:val="10"/>
                <w:color w:val="auto"/>
              </w:rPr>
            </w:pPr>
          </w:p>
        </w:tc>
        <w:tc>
          <w:tcPr>
            <w:tcW w:w="680" w:type="dxa"/>
            <w:vAlign w:val="bottom"/>
          </w:tcPr>
          <w:p>
            <w:pPr>
              <w:jc w:val="center"/>
              <w:ind w:right="91"/>
              <w:spacing w:after="0"/>
              <w:rPr>
                <w:sz w:val="20"/>
                <w:szCs w:val="20"/>
                <w:color w:val="auto"/>
              </w:rPr>
            </w:pPr>
            <w:r>
              <w:rPr>
                <w:rFonts w:ascii="Arial" w:cs="Arial" w:eastAsia="Arial" w:hAnsi="Arial"/>
                <w:sz w:val="10"/>
                <w:szCs w:val="10"/>
                <w:b w:val="1"/>
                <w:bCs w:val="1"/>
                <w:color w:val="auto"/>
                <w:w w:val="99"/>
              </w:rPr>
              <w:t>-5.9%</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rPr>
              <w:t>-11.9%</w:t>
            </w:r>
          </w:p>
        </w:tc>
        <w:tc>
          <w:tcPr>
            <w:tcW w:w="160" w:type="dxa"/>
            <w:vAlign w:val="bottom"/>
          </w:tcPr>
          <w:p>
            <w:pPr>
              <w:spacing w:after="0"/>
              <w:rPr>
                <w:sz w:val="10"/>
                <w:szCs w:val="10"/>
                <w:color w:val="auto"/>
              </w:rPr>
            </w:pPr>
          </w:p>
        </w:tc>
        <w:tc>
          <w:tcPr>
            <w:tcW w:w="800" w:type="dxa"/>
            <w:vAlign w:val="bottom"/>
            <w:gridSpan w:val="2"/>
          </w:tcPr>
          <w:p>
            <w:pPr>
              <w:jc w:val="right"/>
              <w:ind w:right="111"/>
              <w:spacing w:after="0"/>
              <w:rPr>
                <w:sz w:val="20"/>
                <w:szCs w:val="20"/>
                <w:color w:val="auto"/>
              </w:rPr>
            </w:pPr>
            <w:r>
              <w:rPr>
                <w:rFonts w:ascii="Arial" w:cs="Arial" w:eastAsia="Arial" w:hAnsi="Arial"/>
                <w:sz w:val="10"/>
                <w:szCs w:val="10"/>
                <w:b w:val="1"/>
                <w:bCs w:val="1"/>
                <w:color w:val="auto"/>
              </w:rPr>
              <w:t>136,807</w:t>
            </w: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0"/>
                <w:szCs w:val="10"/>
                <w:b w:val="1"/>
                <w:bCs w:val="1"/>
                <w:color w:val="auto"/>
              </w:rPr>
              <w:t>129,580</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99"/>
              </w:rPr>
              <w:t>-5.3%</w:t>
            </w:r>
          </w:p>
        </w:tc>
      </w:tr>
      <w:tr>
        <w:trPr>
          <w:trHeight w:val="111"/>
        </w:trPr>
        <w:tc>
          <w:tcPr>
            <w:tcW w:w="2940" w:type="dxa"/>
            <w:vAlign w:val="bottom"/>
            <w:tcBorders>
              <w:left w:val="single" w:sz="8" w:color="auto"/>
              <w:right w:val="single" w:sz="8" w:color="auto"/>
            </w:tcBorders>
          </w:tcPr>
          <w:p>
            <w:pPr>
              <w:ind w:left="20"/>
              <w:spacing w:after="0" w:line="112" w:lineRule="exact"/>
              <w:rPr>
                <w:sz w:val="20"/>
                <w:szCs w:val="20"/>
                <w:color w:val="auto"/>
              </w:rPr>
            </w:pPr>
            <w:r>
              <w:rPr>
                <w:rFonts w:ascii="Arial" w:cs="Arial" w:eastAsia="Arial" w:hAnsi="Arial"/>
                <w:sz w:val="10"/>
                <w:szCs w:val="10"/>
                <w:color w:val="auto"/>
              </w:rPr>
              <w:t>Other income and expenses, net (profitability of lace)*</w:t>
            </w:r>
          </w:p>
        </w:tc>
        <w:tc>
          <w:tcPr>
            <w:tcW w:w="880" w:type="dxa"/>
            <w:vAlign w:val="bottom"/>
          </w:tcPr>
          <w:p>
            <w:pPr>
              <w:spacing w:after="0"/>
              <w:rPr>
                <w:sz w:val="9"/>
                <w:szCs w:val="9"/>
                <w:color w:val="auto"/>
              </w:rPr>
            </w:pPr>
          </w:p>
        </w:tc>
        <w:tc>
          <w:tcPr>
            <w:tcW w:w="1440" w:type="dxa"/>
            <w:vAlign w:val="bottom"/>
          </w:tcPr>
          <w:p>
            <w:pPr>
              <w:jc w:val="right"/>
              <w:ind w:right="846"/>
              <w:spacing w:after="0" w:line="112" w:lineRule="exact"/>
              <w:rPr>
                <w:sz w:val="20"/>
                <w:szCs w:val="20"/>
                <w:color w:val="auto"/>
              </w:rPr>
            </w:pPr>
            <w:r>
              <w:rPr>
                <w:rFonts w:ascii="Arial" w:cs="Arial" w:eastAsia="Arial" w:hAnsi="Arial"/>
                <w:sz w:val="10"/>
                <w:szCs w:val="10"/>
                <w:color w:val="auto"/>
              </w:rPr>
              <w:t>(1,469)</w:t>
            </w:r>
          </w:p>
        </w:tc>
        <w:tc>
          <w:tcPr>
            <w:tcW w:w="680" w:type="dxa"/>
            <w:vAlign w:val="bottom"/>
          </w:tcPr>
          <w:p>
            <w:pPr>
              <w:jc w:val="right"/>
              <w:ind w:right="151"/>
              <w:spacing w:after="0" w:line="112" w:lineRule="exact"/>
              <w:rPr>
                <w:sz w:val="20"/>
                <w:szCs w:val="20"/>
                <w:color w:val="auto"/>
              </w:rPr>
            </w:pPr>
            <w:r>
              <w:rPr>
                <w:rFonts w:ascii="Arial" w:cs="Arial" w:eastAsia="Arial" w:hAnsi="Arial"/>
                <w:sz w:val="10"/>
                <w:szCs w:val="10"/>
                <w:color w:val="auto"/>
              </w:rPr>
              <w:t>6,685</w:t>
            </w:r>
          </w:p>
        </w:tc>
        <w:tc>
          <w:tcPr>
            <w:tcW w:w="920" w:type="dxa"/>
            <w:vAlign w:val="bottom"/>
            <w:tcBorders>
              <w:right w:val="single" w:sz="8" w:color="auto"/>
            </w:tcBorders>
          </w:tcPr>
          <w:p>
            <w:pPr>
              <w:jc w:val="right"/>
              <w:spacing w:after="0" w:line="112" w:lineRule="exact"/>
              <w:rPr>
                <w:sz w:val="20"/>
                <w:szCs w:val="20"/>
                <w:color w:val="auto"/>
              </w:rPr>
            </w:pPr>
            <w:r>
              <w:rPr>
                <w:rFonts w:ascii="Arial" w:cs="Arial" w:eastAsia="Arial" w:hAnsi="Arial"/>
                <w:sz w:val="10"/>
                <w:szCs w:val="10"/>
                <w:color w:val="auto"/>
              </w:rPr>
              <w:t>4,315</w:t>
            </w:r>
          </w:p>
        </w:tc>
        <w:tc>
          <w:tcPr>
            <w:tcW w:w="120" w:type="dxa"/>
            <w:vAlign w:val="bottom"/>
          </w:tcPr>
          <w:p>
            <w:pPr>
              <w:spacing w:after="0"/>
              <w:rPr>
                <w:sz w:val="9"/>
                <w:szCs w:val="9"/>
                <w:color w:val="auto"/>
              </w:rPr>
            </w:pPr>
          </w:p>
        </w:tc>
        <w:tc>
          <w:tcPr>
            <w:tcW w:w="680" w:type="dxa"/>
            <w:vAlign w:val="bottom"/>
          </w:tcPr>
          <w:p>
            <w:pPr>
              <w:jc w:val="center"/>
              <w:ind w:right="91"/>
              <w:spacing w:after="0" w:line="112" w:lineRule="exact"/>
              <w:rPr>
                <w:sz w:val="20"/>
                <w:szCs w:val="20"/>
                <w:color w:val="auto"/>
              </w:rPr>
            </w:pPr>
            <w:r>
              <w:rPr>
                <w:rFonts w:ascii="Arial" w:cs="Arial" w:eastAsia="Arial" w:hAnsi="Arial"/>
                <w:sz w:val="10"/>
                <w:szCs w:val="10"/>
                <w:color w:val="auto"/>
                <w:w w:val="94"/>
              </w:rPr>
              <w:t>-35.5%</w:t>
            </w:r>
          </w:p>
        </w:tc>
        <w:tc>
          <w:tcPr>
            <w:tcW w:w="820" w:type="dxa"/>
            <w:vAlign w:val="bottom"/>
            <w:tcBorders>
              <w:right w:val="single" w:sz="8" w:color="auto"/>
            </w:tcBorders>
          </w:tcPr>
          <w:p>
            <w:pPr>
              <w:jc w:val="center"/>
              <w:spacing w:after="0" w:line="112" w:lineRule="exact"/>
              <w:rPr>
                <w:sz w:val="20"/>
                <w:szCs w:val="20"/>
                <w:color w:val="auto"/>
              </w:rPr>
            </w:pPr>
            <w:r>
              <w:rPr>
                <w:rFonts w:ascii="Arial" w:cs="Arial" w:eastAsia="Arial" w:hAnsi="Arial"/>
                <w:sz w:val="10"/>
                <w:szCs w:val="10"/>
                <w:color w:val="auto"/>
                <w:w w:val="96"/>
              </w:rPr>
              <w:t>-393.6%</w:t>
            </w:r>
          </w:p>
        </w:tc>
        <w:tc>
          <w:tcPr>
            <w:tcW w:w="160" w:type="dxa"/>
            <w:vAlign w:val="bottom"/>
          </w:tcPr>
          <w:p>
            <w:pPr>
              <w:spacing w:after="0"/>
              <w:rPr>
                <w:sz w:val="9"/>
                <w:szCs w:val="9"/>
                <w:color w:val="auto"/>
              </w:rPr>
            </w:pPr>
          </w:p>
        </w:tc>
        <w:tc>
          <w:tcPr>
            <w:tcW w:w="800" w:type="dxa"/>
            <w:vAlign w:val="bottom"/>
            <w:gridSpan w:val="2"/>
          </w:tcPr>
          <w:p>
            <w:pPr>
              <w:jc w:val="right"/>
              <w:ind w:right="111"/>
              <w:spacing w:after="0" w:line="112" w:lineRule="exact"/>
              <w:rPr>
                <w:sz w:val="20"/>
                <w:szCs w:val="20"/>
                <w:color w:val="auto"/>
              </w:rPr>
            </w:pPr>
            <w:r>
              <w:rPr>
                <w:rFonts w:ascii="Arial" w:cs="Arial" w:eastAsia="Arial" w:hAnsi="Arial"/>
                <w:sz w:val="10"/>
                <w:szCs w:val="10"/>
                <w:color w:val="auto"/>
              </w:rPr>
              <w:t>(23,255)</w:t>
            </w:r>
          </w:p>
        </w:tc>
        <w:tc>
          <w:tcPr>
            <w:tcW w:w="680" w:type="dxa"/>
            <w:vAlign w:val="bottom"/>
            <w:tcBorders>
              <w:right w:val="single" w:sz="8" w:color="auto"/>
            </w:tcBorders>
          </w:tcPr>
          <w:p>
            <w:pPr>
              <w:jc w:val="right"/>
              <w:spacing w:after="0" w:line="112" w:lineRule="exact"/>
              <w:rPr>
                <w:sz w:val="20"/>
                <w:szCs w:val="20"/>
                <w:color w:val="auto"/>
              </w:rPr>
            </w:pPr>
            <w:r>
              <w:rPr>
                <w:rFonts w:ascii="Arial" w:cs="Arial" w:eastAsia="Arial" w:hAnsi="Arial"/>
                <w:sz w:val="10"/>
                <w:szCs w:val="10"/>
                <w:color w:val="auto"/>
              </w:rPr>
              <w:t>19,741</w:t>
            </w:r>
          </w:p>
        </w:tc>
        <w:tc>
          <w:tcPr>
            <w:tcW w:w="1140" w:type="dxa"/>
            <w:vAlign w:val="bottom"/>
            <w:tcBorders>
              <w:right w:val="single" w:sz="8" w:color="auto"/>
            </w:tcBorders>
          </w:tcPr>
          <w:p>
            <w:pPr>
              <w:jc w:val="center"/>
              <w:spacing w:after="0" w:line="112" w:lineRule="exact"/>
              <w:rPr>
                <w:sz w:val="20"/>
                <w:szCs w:val="20"/>
                <w:color w:val="auto"/>
              </w:rPr>
            </w:pPr>
            <w:r>
              <w:rPr>
                <w:rFonts w:ascii="Arial" w:cs="Arial" w:eastAsia="Arial" w:hAnsi="Arial"/>
                <w:sz w:val="10"/>
                <w:szCs w:val="10"/>
                <w:color w:val="auto"/>
                <w:w w:val="96"/>
              </w:rPr>
              <w:t>-184.9%</w:t>
            </w:r>
          </w:p>
        </w:tc>
      </w:tr>
      <w:tr>
        <w:trPr>
          <w:trHeight w:val="105"/>
        </w:trPr>
        <w:tc>
          <w:tcPr>
            <w:tcW w:w="2940" w:type="dxa"/>
            <w:vAlign w:val="bottom"/>
            <w:tcBorders>
              <w:left w:val="single" w:sz="8" w:color="auto"/>
              <w:right w:val="single" w:sz="8" w:color="auto"/>
            </w:tcBorders>
          </w:tcPr>
          <w:p>
            <w:pPr>
              <w:ind w:left="20"/>
              <w:spacing w:after="0" w:line="105" w:lineRule="exact"/>
              <w:rPr>
                <w:sz w:val="20"/>
                <w:szCs w:val="20"/>
                <w:color w:val="auto"/>
              </w:rPr>
            </w:pPr>
            <w:r>
              <w:rPr>
                <w:rFonts w:ascii="Arial" w:cs="Arial" w:eastAsia="Arial" w:hAnsi="Arial"/>
                <w:sz w:val="10"/>
                <w:szCs w:val="10"/>
                <w:color w:val="auto"/>
              </w:rPr>
              <w:t>Income tax</w:t>
            </w:r>
          </w:p>
        </w:tc>
        <w:tc>
          <w:tcPr>
            <w:tcW w:w="880" w:type="dxa"/>
            <w:vAlign w:val="bottom"/>
          </w:tcPr>
          <w:p>
            <w:pPr>
              <w:spacing w:after="0"/>
              <w:rPr>
                <w:sz w:val="9"/>
                <w:szCs w:val="9"/>
                <w:color w:val="auto"/>
              </w:rPr>
            </w:pPr>
          </w:p>
        </w:tc>
        <w:tc>
          <w:tcPr>
            <w:tcW w:w="1440" w:type="dxa"/>
            <w:vAlign w:val="bottom"/>
          </w:tcPr>
          <w:p>
            <w:pPr>
              <w:jc w:val="right"/>
              <w:ind w:right="846"/>
              <w:spacing w:after="0" w:line="105" w:lineRule="exact"/>
              <w:rPr>
                <w:sz w:val="20"/>
                <w:szCs w:val="20"/>
                <w:color w:val="auto"/>
              </w:rPr>
            </w:pPr>
            <w:r>
              <w:rPr>
                <w:rFonts w:ascii="Arial" w:cs="Arial" w:eastAsia="Arial" w:hAnsi="Arial"/>
                <w:sz w:val="10"/>
                <w:szCs w:val="10"/>
                <w:color w:val="auto"/>
              </w:rPr>
              <w:t>(14,762)</w:t>
            </w:r>
          </w:p>
        </w:tc>
        <w:tc>
          <w:tcPr>
            <w:tcW w:w="680" w:type="dxa"/>
            <w:vAlign w:val="bottom"/>
          </w:tcPr>
          <w:p>
            <w:pPr>
              <w:jc w:val="right"/>
              <w:ind w:right="151"/>
              <w:spacing w:after="0" w:line="105" w:lineRule="exact"/>
              <w:rPr>
                <w:sz w:val="20"/>
                <w:szCs w:val="20"/>
                <w:color w:val="auto"/>
              </w:rPr>
            </w:pPr>
            <w:r>
              <w:rPr>
                <w:rFonts w:ascii="Arial" w:cs="Arial" w:eastAsia="Arial" w:hAnsi="Arial"/>
                <w:sz w:val="10"/>
                <w:szCs w:val="10"/>
                <w:color w:val="auto"/>
              </w:rPr>
              <w:t>(13,499)</w:t>
            </w:r>
          </w:p>
        </w:tc>
        <w:tc>
          <w:tcPr>
            <w:tcW w:w="920" w:type="dxa"/>
            <w:vAlign w:val="bottom"/>
            <w:tcBorders>
              <w:right w:val="single" w:sz="8" w:color="auto"/>
            </w:tcBorders>
          </w:tcPr>
          <w:p>
            <w:pPr>
              <w:jc w:val="right"/>
              <w:spacing w:after="0" w:line="105" w:lineRule="exact"/>
              <w:rPr>
                <w:sz w:val="20"/>
                <w:szCs w:val="20"/>
                <w:color w:val="auto"/>
              </w:rPr>
            </w:pPr>
            <w:r>
              <w:rPr>
                <w:rFonts w:ascii="Arial" w:cs="Arial" w:eastAsia="Arial" w:hAnsi="Arial"/>
                <w:sz w:val="10"/>
                <w:szCs w:val="10"/>
                <w:color w:val="auto"/>
              </w:rPr>
              <w:t>(13,031)</w:t>
            </w:r>
          </w:p>
        </w:tc>
        <w:tc>
          <w:tcPr>
            <w:tcW w:w="120" w:type="dxa"/>
            <w:vAlign w:val="bottom"/>
          </w:tcPr>
          <w:p>
            <w:pPr>
              <w:spacing w:after="0"/>
              <w:rPr>
                <w:sz w:val="9"/>
                <w:szCs w:val="9"/>
                <w:color w:val="auto"/>
              </w:rPr>
            </w:pPr>
          </w:p>
        </w:tc>
        <w:tc>
          <w:tcPr>
            <w:tcW w:w="680" w:type="dxa"/>
            <w:vAlign w:val="bottom"/>
          </w:tcPr>
          <w:p>
            <w:pPr>
              <w:jc w:val="center"/>
              <w:ind w:right="91"/>
              <w:spacing w:after="0" w:line="105" w:lineRule="exact"/>
              <w:rPr>
                <w:sz w:val="20"/>
                <w:szCs w:val="20"/>
                <w:color w:val="auto"/>
              </w:rPr>
            </w:pPr>
            <w:r>
              <w:rPr>
                <w:rFonts w:ascii="Arial" w:cs="Arial" w:eastAsia="Arial" w:hAnsi="Arial"/>
                <w:sz w:val="10"/>
                <w:szCs w:val="10"/>
                <w:color w:val="auto"/>
                <w:w w:val="99"/>
              </w:rPr>
              <w:t>-3.5%</w:t>
            </w:r>
          </w:p>
        </w:tc>
        <w:tc>
          <w:tcPr>
            <w:tcW w:w="820" w:type="dxa"/>
            <w:vAlign w:val="bottom"/>
            <w:tcBorders>
              <w:right w:val="single" w:sz="8" w:color="auto"/>
            </w:tcBorders>
          </w:tcPr>
          <w:p>
            <w:pPr>
              <w:jc w:val="center"/>
              <w:spacing w:after="0" w:line="105" w:lineRule="exact"/>
              <w:rPr>
                <w:sz w:val="20"/>
                <w:szCs w:val="20"/>
                <w:color w:val="auto"/>
              </w:rPr>
            </w:pPr>
            <w:r>
              <w:rPr>
                <w:rFonts w:ascii="Arial" w:cs="Arial" w:eastAsia="Arial" w:hAnsi="Arial"/>
                <w:sz w:val="10"/>
                <w:szCs w:val="10"/>
                <w:color w:val="auto"/>
              </w:rPr>
              <w:t>-11.7%</w:t>
            </w:r>
          </w:p>
        </w:tc>
        <w:tc>
          <w:tcPr>
            <w:tcW w:w="160" w:type="dxa"/>
            <w:vAlign w:val="bottom"/>
          </w:tcPr>
          <w:p>
            <w:pPr>
              <w:spacing w:after="0"/>
              <w:rPr>
                <w:sz w:val="9"/>
                <w:szCs w:val="9"/>
                <w:color w:val="auto"/>
              </w:rPr>
            </w:pPr>
          </w:p>
        </w:tc>
        <w:tc>
          <w:tcPr>
            <w:tcW w:w="800" w:type="dxa"/>
            <w:vAlign w:val="bottom"/>
            <w:gridSpan w:val="2"/>
          </w:tcPr>
          <w:p>
            <w:pPr>
              <w:jc w:val="right"/>
              <w:ind w:right="111"/>
              <w:spacing w:after="0" w:line="105" w:lineRule="exact"/>
              <w:rPr>
                <w:sz w:val="20"/>
                <w:szCs w:val="20"/>
                <w:color w:val="auto"/>
              </w:rPr>
            </w:pPr>
            <w:r>
              <w:rPr>
                <w:rFonts w:ascii="Arial" w:cs="Arial" w:eastAsia="Arial" w:hAnsi="Arial"/>
                <w:sz w:val="10"/>
                <w:szCs w:val="10"/>
                <w:color w:val="auto"/>
              </w:rPr>
              <w:t>(43,457)</w:t>
            </w:r>
          </w:p>
        </w:tc>
        <w:tc>
          <w:tcPr>
            <w:tcW w:w="680" w:type="dxa"/>
            <w:vAlign w:val="bottom"/>
            <w:tcBorders>
              <w:right w:val="single" w:sz="8" w:color="auto"/>
            </w:tcBorders>
          </w:tcPr>
          <w:p>
            <w:pPr>
              <w:jc w:val="right"/>
              <w:spacing w:after="0" w:line="105" w:lineRule="exact"/>
              <w:rPr>
                <w:sz w:val="20"/>
                <w:szCs w:val="20"/>
                <w:color w:val="auto"/>
              </w:rPr>
            </w:pPr>
            <w:r>
              <w:rPr>
                <w:rFonts w:ascii="Arial" w:cs="Arial" w:eastAsia="Arial" w:hAnsi="Arial"/>
                <w:sz w:val="10"/>
                <w:szCs w:val="10"/>
                <w:color w:val="auto"/>
              </w:rPr>
              <w:t>(39,825)</w:t>
            </w:r>
          </w:p>
        </w:tc>
        <w:tc>
          <w:tcPr>
            <w:tcW w:w="1140" w:type="dxa"/>
            <w:vAlign w:val="bottom"/>
            <w:tcBorders>
              <w:right w:val="single" w:sz="8" w:color="auto"/>
            </w:tcBorders>
          </w:tcPr>
          <w:p>
            <w:pPr>
              <w:jc w:val="center"/>
              <w:spacing w:after="0" w:line="105" w:lineRule="exact"/>
              <w:rPr>
                <w:sz w:val="20"/>
                <w:szCs w:val="20"/>
                <w:color w:val="auto"/>
              </w:rPr>
            </w:pPr>
            <w:r>
              <w:rPr>
                <w:rFonts w:ascii="Arial" w:cs="Arial" w:eastAsia="Arial" w:hAnsi="Arial"/>
                <w:sz w:val="10"/>
                <w:szCs w:val="10"/>
                <w:color w:val="auto"/>
                <w:w w:val="99"/>
              </w:rPr>
              <w:t>-8.4%</w:t>
            </w:r>
          </w:p>
        </w:tc>
      </w:tr>
      <w:tr>
        <w:trPr>
          <w:trHeight w:val="117"/>
        </w:trPr>
        <w:tc>
          <w:tcPr>
            <w:tcW w:w="2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0"/>
                <w:szCs w:val="10"/>
                <w:b w:val="1"/>
                <w:bCs w:val="1"/>
                <w:color w:val="auto"/>
              </w:rPr>
              <w:t>Net income before translation results</w:t>
            </w:r>
          </w:p>
        </w:tc>
        <w:tc>
          <w:tcPr>
            <w:tcW w:w="880" w:type="dxa"/>
            <w:vAlign w:val="bottom"/>
          </w:tcPr>
          <w:p>
            <w:pPr>
              <w:spacing w:after="0"/>
              <w:rPr>
                <w:sz w:val="10"/>
                <w:szCs w:val="10"/>
                <w:color w:val="auto"/>
              </w:rPr>
            </w:pPr>
          </w:p>
        </w:tc>
        <w:tc>
          <w:tcPr>
            <w:tcW w:w="1440" w:type="dxa"/>
            <w:vAlign w:val="bottom"/>
          </w:tcPr>
          <w:p>
            <w:pPr>
              <w:jc w:val="right"/>
              <w:ind w:right="846"/>
              <w:spacing w:after="0"/>
              <w:rPr>
                <w:sz w:val="20"/>
                <w:szCs w:val="20"/>
                <w:color w:val="auto"/>
              </w:rPr>
            </w:pPr>
            <w:r>
              <w:rPr>
                <w:rFonts w:ascii="Arial" w:cs="Arial" w:eastAsia="Arial" w:hAnsi="Arial"/>
                <w:sz w:val="10"/>
                <w:szCs w:val="10"/>
                <w:b w:val="1"/>
                <w:bCs w:val="1"/>
                <w:color w:val="auto"/>
              </w:rPr>
              <w:t>30,681</w:t>
            </w:r>
          </w:p>
        </w:tc>
        <w:tc>
          <w:tcPr>
            <w:tcW w:w="680" w:type="dxa"/>
            <w:vAlign w:val="bottom"/>
          </w:tcPr>
          <w:p>
            <w:pPr>
              <w:jc w:val="right"/>
              <w:ind w:right="151"/>
              <w:spacing w:after="0"/>
              <w:rPr>
                <w:sz w:val="20"/>
                <w:szCs w:val="20"/>
                <w:color w:val="auto"/>
              </w:rPr>
            </w:pPr>
            <w:r>
              <w:rPr>
                <w:rFonts w:ascii="Arial" w:cs="Arial" w:eastAsia="Arial" w:hAnsi="Arial"/>
                <w:sz w:val="10"/>
                <w:szCs w:val="10"/>
                <w:b w:val="1"/>
                <w:bCs w:val="1"/>
                <w:color w:val="auto"/>
              </w:rPr>
              <w:t>37,104</w:t>
            </w:r>
          </w:p>
        </w:tc>
        <w:tc>
          <w:tcPr>
            <w:tcW w:w="920" w:type="dxa"/>
            <w:vAlign w:val="bottom"/>
            <w:tcBorders>
              <w:right w:val="single" w:sz="8" w:color="auto"/>
            </w:tcBorders>
          </w:tcPr>
          <w:p>
            <w:pPr>
              <w:jc w:val="right"/>
              <w:spacing w:after="0"/>
              <w:rPr>
                <w:sz w:val="20"/>
                <w:szCs w:val="20"/>
                <w:color w:val="auto"/>
              </w:rPr>
            </w:pPr>
            <w:r>
              <w:rPr>
                <w:rFonts w:ascii="Arial" w:cs="Arial" w:eastAsia="Arial" w:hAnsi="Arial"/>
                <w:sz w:val="10"/>
                <w:szCs w:val="10"/>
                <w:b w:val="1"/>
                <w:bCs w:val="1"/>
                <w:color w:val="auto"/>
              </w:rPr>
              <w:t>32,593</w:t>
            </w:r>
          </w:p>
        </w:tc>
        <w:tc>
          <w:tcPr>
            <w:tcW w:w="120" w:type="dxa"/>
            <w:vAlign w:val="bottom"/>
          </w:tcPr>
          <w:p>
            <w:pPr>
              <w:spacing w:after="0"/>
              <w:rPr>
                <w:sz w:val="10"/>
                <w:szCs w:val="10"/>
                <w:color w:val="auto"/>
              </w:rPr>
            </w:pPr>
          </w:p>
        </w:tc>
        <w:tc>
          <w:tcPr>
            <w:tcW w:w="680" w:type="dxa"/>
            <w:vAlign w:val="bottom"/>
          </w:tcPr>
          <w:p>
            <w:pPr>
              <w:jc w:val="center"/>
              <w:ind w:right="91"/>
              <w:spacing w:after="0"/>
              <w:rPr>
                <w:sz w:val="20"/>
                <w:szCs w:val="20"/>
                <w:color w:val="auto"/>
              </w:rPr>
            </w:pPr>
            <w:r>
              <w:rPr>
                <w:rFonts w:ascii="Arial" w:cs="Arial" w:eastAsia="Arial" w:hAnsi="Arial"/>
                <w:sz w:val="10"/>
                <w:szCs w:val="10"/>
                <w:b w:val="1"/>
                <w:bCs w:val="1"/>
                <w:color w:val="auto"/>
                <w:w w:val="94"/>
              </w:rPr>
              <w:t>-12.2%</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rPr>
              <w:t>6.2%</w:t>
            </w:r>
          </w:p>
        </w:tc>
        <w:tc>
          <w:tcPr>
            <w:tcW w:w="160" w:type="dxa"/>
            <w:vAlign w:val="bottom"/>
          </w:tcPr>
          <w:p>
            <w:pPr>
              <w:spacing w:after="0"/>
              <w:rPr>
                <w:sz w:val="10"/>
                <w:szCs w:val="10"/>
                <w:color w:val="auto"/>
              </w:rPr>
            </w:pPr>
          </w:p>
        </w:tc>
        <w:tc>
          <w:tcPr>
            <w:tcW w:w="800" w:type="dxa"/>
            <w:vAlign w:val="bottom"/>
            <w:gridSpan w:val="2"/>
          </w:tcPr>
          <w:p>
            <w:pPr>
              <w:jc w:val="right"/>
              <w:ind w:right="111"/>
              <w:spacing w:after="0"/>
              <w:rPr>
                <w:sz w:val="20"/>
                <w:szCs w:val="20"/>
                <w:color w:val="auto"/>
              </w:rPr>
            </w:pPr>
            <w:r>
              <w:rPr>
                <w:rFonts w:ascii="Arial" w:cs="Arial" w:eastAsia="Arial" w:hAnsi="Arial"/>
                <w:sz w:val="10"/>
                <w:szCs w:val="10"/>
                <w:b w:val="1"/>
                <w:bCs w:val="1"/>
                <w:color w:val="auto"/>
              </w:rPr>
              <w:t>70,095</w:t>
            </w: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0"/>
                <w:szCs w:val="10"/>
                <w:b w:val="1"/>
                <w:bCs w:val="1"/>
                <w:color w:val="auto"/>
              </w:rPr>
              <w:t>109,496</w:t>
            </w:r>
          </w:p>
        </w:tc>
        <w:tc>
          <w:tcPr>
            <w:tcW w:w="1140" w:type="dxa"/>
            <w:vAlign w:val="bottom"/>
            <w:tcBorders>
              <w:right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56.2%</w:t>
            </w:r>
          </w:p>
        </w:tc>
      </w:tr>
      <w:tr>
        <w:trPr>
          <w:trHeight w:val="105"/>
        </w:trPr>
        <w:tc>
          <w:tcPr>
            <w:tcW w:w="2940" w:type="dxa"/>
            <w:vAlign w:val="bottom"/>
            <w:tcBorders>
              <w:left w:val="single" w:sz="8" w:color="auto"/>
              <w:right w:val="single" w:sz="8" w:color="auto"/>
            </w:tcBorders>
          </w:tcPr>
          <w:p>
            <w:pPr>
              <w:ind w:left="20"/>
              <w:spacing w:after="0" w:line="105" w:lineRule="exact"/>
              <w:rPr>
                <w:sz w:val="20"/>
                <w:szCs w:val="20"/>
                <w:color w:val="auto"/>
              </w:rPr>
            </w:pPr>
            <w:r>
              <w:rPr>
                <w:rFonts w:ascii="Arial" w:cs="Arial" w:eastAsia="Arial" w:hAnsi="Arial"/>
                <w:sz w:val="10"/>
                <w:szCs w:val="10"/>
                <w:color w:val="auto"/>
              </w:rPr>
              <w:t>Translations results</w:t>
            </w:r>
          </w:p>
        </w:tc>
        <w:tc>
          <w:tcPr>
            <w:tcW w:w="880" w:type="dxa"/>
            <w:vAlign w:val="bottom"/>
          </w:tcPr>
          <w:p>
            <w:pPr>
              <w:spacing w:after="0"/>
              <w:rPr>
                <w:sz w:val="9"/>
                <w:szCs w:val="9"/>
                <w:color w:val="auto"/>
              </w:rPr>
            </w:pPr>
          </w:p>
        </w:tc>
        <w:tc>
          <w:tcPr>
            <w:tcW w:w="1440" w:type="dxa"/>
            <w:vAlign w:val="bottom"/>
          </w:tcPr>
          <w:p>
            <w:pPr>
              <w:jc w:val="right"/>
              <w:ind w:right="846"/>
              <w:spacing w:after="0" w:line="105" w:lineRule="exact"/>
              <w:rPr>
                <w:sz w:val="20"/>
                <w:szCs w:val="20"/>
                <w:color w:val="auto"/>
              </w:rPr>
            </w:pPr>
            <w:r>
              <w:rPr>
                <w:rFonts w:ascii="Arial" w:cs="Arial" w:eastAsia="Arial" w:hAnsi="Arial"/>
                <w:sz w:val="10"/>
                <w:szCs w:val="10"/>
                <w:color w:val="auto"/>
              </w:rPr>
              <w:t>49</w:t>
            </w:r>
          </w:p>
        </w:tc>
        <w:tc>
          <w:tcPr>
            <w:tcW w:w="680" w:type="dxa"/>
            <w:vAlign w:val="bottom"/>
          </w:tcPr>
          <w:p>
            <w:pPr>
              <w:jc w:val="right"/>
              <w:ind w:right="151"/>
              <w:spacing w:after="0" w:line="105" w:lineRule="exact"/>
              <w:rPr>
                <w:sz w:val="20"/>
                <w:szCs w:val="20"/>
                <w:color w:val="auto"/>
              </w:rPr>
            </w:pPr>
            <w:r>
              <w:rPr>
                <w:rFonts w:ascii="Arial" w:cs="Arial" w:eastAsia="Arial" w:hAnsi="Arial"/>
                <w:sz w:val="10"/>
                <w:szCs w:val="10"/>
                <w:color w:val="auto"/>
              </w:rPr>
              <w:t>310</w:t>
            </w:r>
          </w:p>
        </w:tc>
        <w:tc>
          <w:tcPr>
            <w:tcW w:w="920" w:type="dxa"/>
            <w:vAlign w:val="bottom"/>
            <w:tcBorders>
              <w:right w:val="single" w:sz="8" w:color="auto"/>
            </w:tcBorders>
          </w:tcPr>
          <w:p>
            <w:pPr>
              <w:jc w:val="right"/>
              <w:spacing w:after="0" w:line="105" w:lineRule="exact"/>
              <w:rPr>
                <w:sz w:val="20"/>
                <w:szCs w:val="20"/>
                <w:color w:val="auto"/>
              </w:rPr>
            </w:pPr>
            <w:r>
              <w:rPr>
                <w:rFonts w:ascii="Arial" w:cs="Arial" w:eastAsia="Arial" w:hAnsi="Arial"/>
                <w:sz w:val="10"/>
                <w:szCs w:val="10"/>
                <w:color w:val="auto"/>
              </w:rPr>
              <w:t>(596)</w:t>
            </w:r>
          </w:p>
        </w:tc>
        <w:tc>
          <w:tcPr>
            <w:tcW w:w="120" w:type="dxa"/>
            <w:vAlign w:val="bottom"/>
          </w:tcPr>
          <w:p>
            <w:pPr>
              <w:spacing w:after="0"/>
              <w:rPr>
                <w:sz w:val="9"/>
                <w:szCs w:val="9"/>
                <w:color w:val="auto"/>
              </w:rPr>
            </w:pPr>
          </w:p>
        </w:tc>
        <w:tc>
          <w:tcPr>
            <w:tcW w:w="680" w:type="dxa"/>
            <w:vAlign w:val="bottom"/>
          </w:tcPr>
          <w:p>
            <w:pPr>
              <w:jc w:val="center"/>
              <w:ind w:right="91"/>
              <w:spacing w:after="0" w:line="105" w:lineRule="exact"/>
              <w:rPr>
                <w:sz w:val="20"/>
                <w:szCs w:val="20"/>
                <w:color w:val="auto"/>
              </w:rPr>
            </w:pPr>
            <w:r>
              <w:rPr>
                <w:rFonts w:ascii="Arial" w:cs="Arial" w:eastAsia="Arial" w:hAnsi="Arial"/>
                <w:sz w:val="10"/>
                <w:szCs w:val="10"/>
                <w:color w:val="auto"/>
              </w:rPr>
              <w:t>-292.2%</w:t>
            </w:r>
          </w:p>
        </w:tc>
        <w:tc>
          <w:tcPr>
            <w:tcW w:w="820" w:type="dxa"/>
            <w:vAlign w:val="bottom"/>
            <w:tcBorders>
              <w:right w:val="single" w:sz="8" w:color="auto"/>
            </w:tcBorders>
          </w:tcPr>
          <w:p>
            <w:pPr>
              <w:jc w:val="center"/>
              <w:spacing w:after="0" w:line="105" w:lineRule="exact"/>
              <w:rPr>
                <w:sz w:val="20"/>
                <w:szCs w:val="20"/>
                <w:color w:val="auto"/>
              </w:rPr>
            </w:pPr>
            <w:r>
              <w:rPr>
                <w:rFonts w:ascii="Arial" w:cs="Arial" w:eastAsia="Arial" w:hAnsi="Arial"/>
                <w:sz w:val="10"/>
                <w:szCs w:val="10"/>
                <w:color w:val="auto"/>
              </w:rPr>
              <w:t>-1308.2%</w:t>
            </w:r>
          </w:p>
        </w:tc>
        <w:tc>
          <w:tcPr>
            <w:tcW w:w="160" w:type="dxa"/>
            <w:vAlign w:val="bottom"/>
          </w:tcPr>
          <w:p>
            <w:pPr>
              <w:spacing w:after="0"/>
              <w:rPr>
                <w:sz w:val="9"/>
                <w:szCs w:val="9"/>
                <w:color w:val="auto"/>
              </w:rPr>
            </w:pPr>
          </w:p>
        </w:tc>
        <w:tc>
          <w:tcPr>
            <w:tcW w:w="800" w:type="dxa"/>
            <w:vAlign w:val="bottom"/>
            <w:gridSpan w:val="2"/>
          </w:tcPr>
          <w:p>
            <w:pPr>
              <w:jc w:val="right"/>
              <w:ind w:right="111"/>
              <w:spacing w:after="0" w:line="105" w:lineRule="exact"/>
              <w:rPr>
                <w:sz w:val="20"/>
                <w:szCs w:val="20"/>
                <w:color w:val="auto"/>
              </w:rPr>
            </w:pPr>
            <w:r>
              <w:rPr>
                <w:rFonts w:ascii="Arial" w:cs="Arial" w:eastAsia="Arial" w:hAnsi="Arial"/>
                <w:sz w:val="10"/>
                <w:szCs w:val="10"/>
                <w:color w:val="auto"/>
              </w:rPr>
              <w:t>(838)</w:t>
            </w:r>
          </w:p>
        </w:tc>
        <w:tc>
          <w:tcPr>
            <w:tcW w:w="680" w:type="dxa"/>
            <w:vAlign w:val="bottom"/>
            <w:tcBorders>
              <w:right w:val="single" w:sz="8" w:color="auto"/>
            </w:tcBorders>
          </w:tcPr>
          <w:p>
            <w:pPr>
              <w:jc w:val="right"/>
              <w:spacing w:after="0" w:line="105" w:lineRule="exact"/>
              <w:rPr>
                <w:sz w:val="20"/>
                <w:szCs w:val="20"/>
                <w:color w:val="auto"/>
              </w:rPr>
            </w:pPr>
            <w:r>
              <w:rPr>
                <w:rFonts w:ascii="Arial" w:cs="Arial" w:eastAsia="Arial" w:hAnsi="Arial"/>
                <w:sz w:val="10"/>
                <w:szCs w:val="10"/>
                <w:color w:val="auto"/>
              </w:rPr>
              <w:t>(327)</w:t>
            </w:r>
          </w:p>
        </w:tc>
        <w:tc>
          <w:tcPr>
            <w:tcW w:w="1140" w:type="dxa"/>
            <w:vAlign w:val="bottom"/>
            <w:tcBorders>
              <w:right w:val="single" w:sz="8" w:color="auto"/>
            </w:tcBorders>
          </w:tcPr>
          <w:p>
            <w:pPr>
              <w:jc w:val="center"/>
              <w:spacing w:after="0" w:line="105" w:lineRule="exact"/>
              <w:rPr>
                <w:sz w:val="20"/>
                <w:szCs w:val="20"/>
                <w:color w:val="auto"/>
              </w:rPr>
            </w:pPr>
            <w:r>
              <w:rPr>
                <w:rFonts w:ascii="Arial" w:cs="Arial" w:eastAsia="Arial" w:hAnsi="Arial"/>
                <w:sz w:val="10"/>
                <w:szCs w:val="10"/>
                <w:color w:val="auto"/>
              </w:rPr>
              <w:t>-61.0%</w:t>
            </w:r>
          </w:p>
        </w:tc>
      </w:tr>
      <w:tr>
        <w:trPr>
          <w:trHeight w:val="126"/>
        </w:trPr>
        <w:tc>
          <w:tcPr>
            <w:tcW w:w="2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0"/>
                <w:szCs w:val="10"/>
                <w:b w:val="1"/>
                <w:bCs w:val="1"/>
                <w:color w:val="auto"/>
              </w:rPr>
              <w:t>Net income</w:t>
            </w:r>
          </w:p>
        </w:tc>
        <w:tc>
          <w:tcPr>
            <w:tcW w:w="88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jc w:val="right"/>
              <w:ind w:right="846"/>
              <w:spacing w:after="0"/>
              <w:rPr>
                <w:sz w:val="20"/>
                <w:szCs w:val="20"/>
                <w:color w:val="auto"/>
              </w:rPr>
            </w:pPr>
            <w:r>
              <w:rPr>
                <w:rFonts w:ascii="Arial" w:cs="Arial" w:eastAsia="Arial" w:hAnsi="Arial"/>
                <w:sz w:val="10"/>
                <w:szCs w:val="10"/>
                <w:b w:val="1"/>
                <w:bCs w:val="1"/>
                <w:color w:val="auto"/>
              </w:rPr>
              <w:t>30,730</w:t>
            </w:r>
          </w:p>
        </w:tc>
        <w:tc>
          <w:tcPr>
            <w:tcW w:w="680" w:type="dxa"/>
            <w:vAlign w:val="bottom"/>
            <w:tcBorders>
              <w:bottom w:val="single" w:sz="8" w:color="auto"/>
            </w:tcBorders>
          </w:tcPr>
          <w:p>
            <w:pPr>
              <w:jc w:val="right"/>
              <w:ind w:right="151"/>
              <w:spacing w:after="0"/>
              <w:rPr>
                <w:sz w:val="20"/>
                <w:szCs w:val="20"/>
                <w:color w:val="auto"/>
              </w:rPr>
            </w:pPr>
            <w:r>
              <w:rPr>
                <w:rFonts w:ascii="Arial" w:cs="Arial" w:eastAsia="Arial" w:hAnsi="Arial"/>
                <w:sz w:val="10"/>
                <w:szCs w:val="10"/>
                <w:b w:val="1"/>
                <w:bCs w:val="1"/>
                <w:color w:val="auto"/>
              </w:rPr>
              <w:t>37,414</w:t>
            </w:r>
          </w:p>
        </w:tc>
        <w:tc>
          <w:tcPr>
            <w:tcW w:w="9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0"/>
                <w:szCs w:val="10"/>
                <w:b w:val="1"/>
                <w:bCs w:val="1"/>
                <w:color w:val="auto"/>
              </w:rPr>
              <w:t>31,998</w:t>
            </w: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center"/>
              <w:ind w:right="91"/>
              <w:spacing w:after="0"/>
              <w:rPr>
                <w:sz w:val="20"/>
                <w:szCs w:val="20"/>
                <w:color w:val="auto"/>
              </w:rPr>
            </w:pPr>
            <w:r>
              <w:rPr>
                <w:rFonts w:ascii="Arial" w:cs="Arial" w:eastAsia="Arial" w:hAnsi="Arial"/>
                <w:sz w:val="10"/>
                <w:szCs w:val="10"/>
                <w:b w:val="1"/>
                <w:bCs w:val="1"/>
                <w:color w:val="auto"/>
                <w:w w:val="94"/>
              </w:rPr>
              <w:t>-14.5%</w:t>
            </w:r>
          </w:p>
        </w:tc>
        <w:tc>
          <w:tcPr>
            <w:tcW w:w="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rPr>
              <w:t>4.1%</w:t>
            </w:r>
          </w:p>
        </w:tc>
        <w:tc>
          <w:tcPr>
            <w:tcW w:w="1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gridSpan w:val="2"/>
          </w:tcPr>
          <w:p>
            <w:pPr>
              <w:jc w:val="right"/>
              <w:ind w:right="111"/>
              <w:spacing w:after="0"/>
              <w:rPr>
                <w:sz w:val="20"/>
                <w:szCs w:val="20"/>
                <w:color w:val="auto"/>
              </w:rPr>
            </w:pPr>
            <w:r>
              <w:rPr>
                <w:rFonts w:ascii="Arial" w:cs="Arial" w:eastAsia="Arial" w:hAnsi="Arial"/>
                <w:sz w:val="10"/>
                <w:szCs w:val="10"/>
                <w:b w:val="1"/>
                <w:bCs w:val="1"/>
                <w:color w:val="auto"/>
              </w:rPr>
              <w:t>69,257</w:t>
            </w:r>
          </w:p>
        </w:tc>
        <w:tc>
          <w:tcPr>
            <w:tcW w:w="6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0"/>
                <w:szCs w:val="10"/>
                <w:b w:val="1"/>
                <w:bCs w:val="1"/>
                <w:color w:val="auto"/>
              </w:rPr>
              <w:t>109,169</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0"/>
                <w:szCs w:val="10"/>
                <w:b w:val="1"/>
                <w:bCs w:val="1"/>
                <w:color w:val="auto"/>
                <w:w w:val="98"/>
              </w:rPr>
              <w:t>57.6%</w:t>
            </w:r>
          </w:p>
        </w:tc>
      </w:tr>
      <w:tr>
        <w:trPr>
          <w:trHeight w:val="104"/>
        </w:trPr>
        <w:tc>
          <w:tcPr>
            <w:tcW w:w="2940" w:type="dxa"/>
            <w:vAlign w:val="bottom"/>
            <w:tcBorders>
              <w:left w:val="single" w:sz="8" w:color="auto"/>
              <w:bottom w:val="single" w:sz="8" w:color="auto"/>
              <w:right w:val="single" w:sz="8" w:color="auto"/>
            </w:tcBorders>
          </w:tcPr>
          <w:p>
            <w:pPr>
              <w:ind w:left="20"/>
              <w:spacing w:after="0" w:line="104" w:lineRule="exact"/>
              <w:rPr>
                <w:sz w:val="20"/>
                <w:szCs w:val="20"/>
                <w:color w:val="auto"/>
              </w:rPr>
            </w:pPr>
            <w:r>
              <w:rPr>
                <w:rFonts w:ascii="Arial" w:cs="Arial" w:eastAsia="Arial" w:hAnsi="Arial"/>
                <w:sz w:val="8"/>
                <w:szCs w:val="8"/>
                <w:b w:val="1"/>
                <w:bCs w:val="1"/>
                <w:color w:val="auto"/>
              </w:rPr>
              <w:t xml:space="preserve">ROAE </w:t>
            </w:r>
            <w:r>
              <w:rPr>
                <w:rFonts w:ascii="Arial" w:cs="Arial" w:eastAsia="Arial" w:hAnsi="Arial"/>
                <w:sz w:val="12"/>
                <w:szCs w:val="12"/>
                <w:b w:val="1"/>
                <w:bCs w:val="1"/>
                <w:color w:val="auto"/>
                <w:vertAlign w:val="superscript"/>
              </w:rPr>
              <w:t>(1)</w:t>
            </w:r>
          </w:p>
        </w:tc>
        <w:tc>
          <w:tcPr>
            <w:tcW w:w="88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jc w:val="right"/>
              <w:ind w:right="846"/>
              <w:spacing w:after="0" w:line="104" w:lineRule="exact"/>
              <w:rPr>
                <w:sz w:val="20"/>
                <w:szCs w:val="20"/>
                <w:color w:val="auto"/>
              </w:rPr>
            </w:pPr>
            <w:r>
              <w:rPr>
                <w:rFonts w:ascii="Arial" w:cs="Arial" w:eastAsia="Arial" w:hAnsi="Arial"/>
                <w:sz w:val="10"/>
                <w:szCs w:val="10"/>
                <w:b w:val="1"/>
                <w:bCs w:val="1"/>
                <w:color w:val="auto"/>
              </w:rPr>
              <w:t>27.9%</w:t>
            </w:r>
          </w:p>
        </w:tc>
        <w:tc>
          <w:tcPr>
            <w:tcW w:w="680" w:type="dxa"/>
            <w:vAlign w:val="bottom"/>
            <w:tcBorders>
              <w:bottom w:val="single" w:sz="8" w:color="auto"/>
            </w:tcBorders>
          </w:tcPr>
          <w:p>
            <w:pPr>
              <w:jc w:val="right"/>
              <w:ind w:right="151"/>
              <w:spacing w:after="0" w:line="104" w:lineRule="exact"/>
              <w:rPr>
                <w:sz w:val="20"/>
                <w:szCs w:val="20"/>
                <w:color w:val="auto"/>
              </w:rPr>
            </w:pPr>
            <w:r>
              <w:rPr>
                <w:rFonts w:ascii="Arial" w:cs="Arial" w:eastAsia="Arial" w:hAnsi="Arial"/>
                <w:sz w:val="10"/>
                <w:szCs w:val="10"/>
                <w:b w:val="1"/>
                <w:bCs w:val="1"/>
                <w:color w:val="auto"/>
              </w:rPr>
              <w:t>36.6%</w:t>
            </w:r>
          </w:p>
        </w:tc>
        <w:tc>
          <w:tcPr>
            <w:tcW w:w="920" w:type="dxa"/>
            <w:vAlign w:val="bottom"/>
            <w:tcBorders>
              <w:bottom w:val="single" w:sz="8" w:color="auto"/>
              <w:right w:val="single" w:sz="8" w:color="auto"/>
            </w:tcBorders>
          </w:tcPr>
          <w:p>
            <w:pPr>
              <w:jc w:val="right"/>
              <w:spacing w:after="0" w:line="104" w:lineRule="exact"/>
              <w:rPr>
                <w:sz w:val="20"/>
                <w:szCs w:val="20"/>
                <w:color w:val="auto"/>
              </w:rPr>
            </w:pPr>
            <w:r>
              <w:rPr>
                <w:rFonts w:ascii="Arial" w:cs="Arial" w:eastAsia="Arial" w:hAnsi="Arial"/>
                <w:sz w:val="10"/>
                <w:szCs w:val="10"/>
                <w:b w:val="1"/>
                <w:bCs w:val="1"/>
                <w:color w:val="auto"/>
              </w:rPr>
              <w:t>28.9%</w:t>
            </w: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center"/>
              <w:ind w:right="71"/>
              <w:spacing w:after="0" w:line="104" w:lineRule="exact"/>
              <w:rPr>
                <w:sz w:val="20"/>
                <w:szCs w:val="20"/>
                <w:color w:val="auto"/>
              </w:rPr>
            </w:pPr>
            <w:r>
              <w:rPr>
                <w:rFonts w:ascii="Arial" w:cs="Arial" w:eastAsia="Arial" w:hAnsi="Arial"/>
                <w:sz w:val="10"/>
                <w:szCs w:val="10"/>
                <w:b w:val="1"/>
                <w:bCs w:val="1"/>
                <w:color w:val="auto"/>
                <w:w w:val="98"/>
              </w:rPr>
              <w:t>-775 pbs</w:t>
            </w:r>
          </w:p>
        </w:tc>
        <w:tc>
          <w:tcPr>
            <w:tcW w:w="820" w:type="dxa"/>
            <w:vAlign w:val="bottom"/>
            <w:tcBorders>
              <w:bottom w:val="single" w:sz="8" w:color="auto"/>
              <w:right w:val="single" w:sz="8" w:color="auto"/>
            </w:tcBorders>
          </w:tcPr>
          <w:p>
            <w:pPr>
              <w:jc w:val="center"/>
              <w:spacing w:after="0" w:line="104" w:lineRule="exact"/>
              <w:rPr>
                <w:sz w:val="20"/>
                <w:szCs w:val="20"/>
                <w:color w:val="auto"/>
              </w:rPr>
            </w:pPr>
            <w:r>
              <w:rPr>
                <w:rFonts w:ascii="Arial" w:cs="Arial" w:eastAsia="Arial" w:hAnsi="Arial"/>
                <w:sz w:val="10"/>
                <w:szCs w:val="10"/>
                <w:b w:val="1"/>
                <w:bCs w:val="1"/>
                <w:color w:val="auto"/>
              </w:rPr>
              <w:t>98 pbs</w:t>
            </w:r>
          </w:p>
        </w:tc>
        <w:tc>
          <w:tcPr>
            <w:tcW w:w="1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gridSpan w:val="2"/>
          </w:tcPr>
          <w:p>
            <w:pPr>
              <w:jc w:val="right"/>
              <w:ind w:right="111"/>
              <w:spacing w:after="0" w:line="104" w:lineRule="exact"/>
              <w:rPr>
                <w:sz w:val="20"/>
                <w:szCs w:val="20"/>
                <w:color w:val="auto"/>
              </w:rPr>
            </w:pPr>
            <w:r>
              <w:rPr>
                <w:rFonts w:ascii="Arial" w:cs="Arial" w:eastAsia="Arial" w:hAnsi="Arial"/>
                <w:sz w:val="10"/>
                <w:szCs w:val="10"/>
                <w:b w:val="1"/>
                <w:bCs w:val="1"/>
                <w:color w:val="auto"/>
              </w:rPr>
              <w:t>17.9%</w:t>
            </w:r>
          </w:p>
        </w:tc>
        <w:tc>
          <w:tcPr>
            <w:tcW w:w="680" w:type="dxa"/>
            <w:vAlign w:val="bottom"/>
            <w:tcBorders>
              <w:bottom w:val="single" w:sz="8" w:color="auto"/>
              <w:right w:val="single" w:sz="8" w:color="auto"/>
            </w:tcBorders>
          </w:tcPr>
          <w:p>
            <w:pPr>
              <w:jc w:val="right"/>
              <w:spacing w:after="0" w:line="104" w:lineRule="exact"/>
              <w:rPr>
                <w:sz w:val="20"/>
                <w:szCs w:val="20"/>
                <w:color w:val="auto"/>
              </w:rPr>
            </w:pPr>
            <w:r>
              <w:rPr>
                <w:rFonts w:ascii="Arial" w:cs="Arial" w:eastAsia="Arial" w:hAnsi="Arial"/>
                <w:sz w:val="10"/>
                <w:szCs w:val="10"/>
                <w:b w:val="1"/>
                <w:bCs w:val="1"/>
                <w:color w:val="auto"/>
              </w:rPr>
              <w:t>30.4%</w:t>
            </w:r>
          </w:p>
        </w:tc>
        <w:tc>
          <w:tcPr>
            <w:tcW w:w="1140" w:type="dxa"/>
            <w:vAlign w:val="bottom"/>
            <w:tcBorders>
              <w:bottom w:val="single" w:sz="8" w:color="auto"/>
              <w:right w:val="single" w:sz="8" w:color="auto"/>
            </w:tcBorders>
          </w:tcPr>
          <w:p>
            <w:pPr>
              <w:jc w:val="center"/>
              <w:spacing w:after="0" w:line="104" w:lineRule="exact"/>
              <w:rPr>
                <w:sz w:val="20"/>
                <w:szCs w:val="20"/>
                <w:color w:val="auto"/>
              </w:rPr>
            </w:pPr>
            <w:r>
              <w:rPr>
                <w:rFonts w:ascii="Arial" w:cs="Arial" w:eastAsia="Arial" w:hAnsi="Arial"/>
                <w:sz w:val="10"/>
                <w:szCs w:val="10"/>
                <w:b w:val="1"/>
                <w:bCs w:val="1"/>
                <w:color w:val="auto"/>
                <w:w w:val="98"/>
              </w:rPr>
              <w:t>1253 pbs</w:t>
            </w:r>
          </w:p>
        </w:tc>
      </w:tr>
    </w:tbl>
    <w:p>
      <w:pPr>
        <w:ind w:left="301" w:hanging="301"/>
        <w:spacing w:after="0"/>
        <w:tabs>
          <w:tab w:leader="none" w:pos="301" w:val="left"/>
        </w:tabs>
        <w:numPr>
          <w:ilvl w:val="0"/>
          <w:numId w:val="68"/>
        </w:numPr>
        <w:rPr>
          <w:rFonts w:ascii="Arial" w:cs="Arial" w:eastAsia="Arial" w:hAnsi="Arial"/>
          <w:sz w:val="11"/>
          <w:szCs w:val="11"/>
          <w:color w:val="auto"/>
        </w:rPr>
      </w:pPr>
      <w:r>
        <w:rPr>
          <w:rFonts w:ascii="Arial" w:cs="Arial" w:eastAsia="Arial" w:hAnsi="Arial"/>
          <w:sz w:val="11"/>
          <w:szCs w:val="11"/>
          <w:color w:val="auto"/>
        </w:rPr>
        <w:t>The net profitability of lace and mutual funds is being presented net of taxes, for which the retroactive change was made (it was presented gross before)</w:t>
      </w:r>
    </w:p>
    <w:p>
      <w:pPr>
        <w:spacing w:after="0" w:line="4" w:lineRule="exact"/>
        <w:rPr>
          <w:sz w:val="20"/>
          <w:szCs w:val="20"/>
          <w:color w:val="auto"/>
        </w:rPr>
      </w:pPr>
    </w:p>
    <w:p>
      <w:pPr>
        <w:ind w:left="301" w:hanging="301"/>
        <w:spacing w:after="0"/>
        <w:tabs>
          <w:tab w:leader="none" w:pos="301" w:val="left"/>
        </w:tabs>
        <w:numPr>
          <w:ilvl w:val="0"/>
          <w:numId w:val="69"/>
        </w:numPr>
        <w:rPr>
          <w:rFonts w:ascii="Arial" w:cs="Arial" w:eastAsia="Arial" w:hAnsi="Arial"/>
          <w:sz w:val="11"/>
          <w:szCs w:val="11"/>
          <w:color w:val="auto"/>
        </w:rPr>
      </w:pPr>
      <w:r>
        <w:rPr>
          <w:rFonts w:ascii="Arial" w:cs="Arial" w:eastAsia="Arial" w:hAnsi="Arial"/>
          <w:sz w:val="11"/>
          <w:szCs w:val="11"/>
          <w:color w:val="auto"/>
        </w:rPr>
        <w:t>Net shareholders’ equity includes unrealized gains from Prima’s investment portfolio.</w:t>
      </w:r>
    </w:p>
    <w:p>
      <w:pPr>
        <w:spacing w:after="0" w:line="167"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Funds under management</w:t>
      </w:r>
    </w:p>
    <w:p>
      <w:pPr>
        <w:spacing w:after="0" w:line="188" w:lineRule="exact"/>
        <w:rPr>
          <w:sz w:val="20"/>
          <w:szCs w:val="20"/>
          <w:color w:val="auto"/>
        </w:rPr>
      </w:pPr>
    </w:p>
    <w:tbl>
      <w:tblPr>
        <w:tblLayout w:type="fixed"/>
        <w:tblInd w:w="451" w:type="dxa"/>
        <w:tblCellMar>
          <w:top w:w="0" w:type="dxa"/>
          <w:left w:w="0" w:type="dxa"/>
          <w:bottom w:w="0" w:type="dxa"/>
          <w:right w:w="0" w:type="dxa"/>
        </w:tblCellMar>
      </w:tblPr>
      <w:tr>
        <w:trPr>
          <w:trHeight w:val="198"/>
        </w:trPr>
        <w:tc>
          <w:tcPr>
            <w:tcW w:w="2740" w:type="dxa"/>
            <w:vAlign w:val="bottom"/>
            <w:tcBorders>
              <w:top w:val="single" w:sz="8" w:color="auto"/>
              <w:left w:val="single" w:sz="8" w:color="auto"/>
              <w:bottom w:val="single" w:sz="8" w:color="auto"/>
              <w:right w:val="single" w:sz="8" w:color="auto"/>
            </w:tcBorders>
            <w:shd w:val="clear" w:color="auto" w:fill="33CCCC"/>
          </w:tcPr>
          <w:p>
            <w:pPr>
              <w:ind w:left="20"/>
              <w:spacing w:after="0"/>
              <w:rPr>
                <w:sz w:val="20"/>
                <w:szCs w:val="20"/>
                <w:color w:val="auto"/>
              </w:rPr>
            </w:pPr>
            <w:r>
              <w:rPr>
                <w:rFonts w:ascii="Arial" w:cs="Arial" w:eastAsia="Arial" w:hAnsi="Arial"/>
                <w:sz w:val="16"/>
                <w:szCs w:val="16"/>
                <w:b w:val="1"/>
                <w:bCs w:val="1"/>
                <w:color w:val="FFFFFF"/>
              </w:rPr>
              <w:t>Funds under management</w:t>
            </w:r>
          </w:p>
        </w:tc>
        <w:tc>
          <w:tcPr>
            <w:tcW w:w="1840" w:type="dxa"/>
            <w:vAlign w:val="bottom"/>
            <w:tcBorders>
              <w:top w:val="single" w:sz="8" w:color="auto"/>
              <w:bottom w:val="single" w:sz="8" w:color="auto"/>
            </w:tcBorders>
            <w:shd w:val="clear" w:color="auto" w:fill="33CCCC"/>
          </w:tcPr>
          <w:p>
            <w:pPr>
              <w:jc w:val="right"/>
              <w:ind w:right="718"/>
              <w:spacing w:after="0"/>
              <w:rPr>
                <w:sz w:val="20"/>
                <w:szCs w:val="20"/>
                <w:color w:val="auto"/>
              </w:rPr>
            </w:pPr>
            <w:r>
              <w:rPr>
                <w:rFonts w:ascii="Arial" w:cs="Arial" w:eastAsia="Arial" w:hAnsi="Arial"/>
                <w:sz w:val="16"/>
                <w:szCs w:val="16"/>
                <w:b w:val="1"/>
                <w:bCs w:val="1"/>
                <w:color w:val="FFFFFF"/>
              </w:rPr>
              <w:t>Jun 23</w:t>
            </w:r>
          </w:p>
        </w:tc>
        <w:tc>
          <w:tcPr>
            <w:tcW w:w="1400" w:type="dxa"/>
            <w:vAlign w:val="bottom"/>
            <w:tcBorders>
              <w:top w:val="single" w:sz="8" w:color="auto"/>
              <w:bottom w:val="single" w:sz="8" w:color="auto"/>
              <w:right w:val="single" w:sz="8" w:color="auto"/>
            </w:tcBorders>
            <w:shd w:val="clear" w:color="auto" w:fill="33CCCC"/>
          </w:tcPr>
          <w:p>
            <w:pPr>
              <w:ind w:left="240"/>
              <w:spacing w:after="0"/>
              <w:rPr>
                <w:sz w:val="20"/>
                <w:szCs w:val="20"/>
                <w:color w:val="auto"/>
              </w:rPr>
            </w:pPr>
            <w:r>
              <w:rPr>
                <w:rFonts w:ascii="Arial" w:cs="Arial" w:eastAsia="Arial" w:hAnsi="Arial"/>
                <w:sz w:val="16"/>
                <w:szCs w:val="16"/>
                <w:b w:val="1"/>
                <w:bCs w:val="1"/>
                <w:color w:val="FFFFFF"/>
              </w:rPr>
              <w:t>% share</w:t>
            </w:r>
          </w:p>
        </w:tc>
        <w:tc>
          <w:tcPr>
            <w:tcW w:w="1420" w:type="dxa"/>
            <w:vAlign w:val="bottom"/>
            <w:tcBorders>
              <w:top w:val="single" w:sz="8" w:color="auto"/>
              <w:bottom w:val="single" w:sz="8" w:color="auto"/>
            </w:tcBorders>
            <w:shd w:val="clear" w:color="auto" w:fill="33CCCC"/>
          </w:tcPr>
          <w:p>
            <w:pPr>
              <w:ind w:left="500"/>
              <w:spacing w:after="0"/>
              <w:rPr>
                <w:sz w:val="20"/>
                <w:szCs w:val="20"/>
                <w:color w:val="auto"/>
              </w:rPr>
            </w:pPr>
            <w:r>
              <w:rPr>
                <w:rFonts w:ascii="Arial" w:cs="Arial" w:eastAsia="Arial" w:hAnsi="Arial"/>
                <w:sz w:val="16"/>
                <w:szCs w:val="16"/>
                <w:b w:val="1"/>
                <w:bCs w:val="1"/>
                <w:color w:val="FFFFFF"/>
              </w:rPr>
              <w:t>Sep 23</w:t>
            </w:r>
          </w:p>
        </w:tc>
        <w:tc>
          <w:tcPr>
            <w:tcW w:w="1260" w:type="dxa"/>
            <w:vAlign w:val="bottom"/>
            <w:tcBorders>
              <w:top w:val="single" w:sz="8" w:color="auto"/>
              <w:bottom w:val="single" w:sz="8" w:color="auto"/>
              <w:right w:val="single" w:sz="8" w:color="auto"/>
            </w:tcBorders>
            <w:shd w:val="clear" w:color="auto" w:fill="33CCCC"/>
          </w:tcPr>
          <w:p>
            <w:pPr>
              <w:ind w:left="380"/>
              <w:spacing w:after="0"/>
              <w:rPr>
                <w:sz w:val="20"/>
                <w:szCs w:val="20"/>
                <w:color w:val="auto"/>
              </w:rPr>
            </w:pPr>
            <w:r>
              <w:rPr>
                <w:rFonts w:ascii="Arial" w:cs="Arial" w:eastAsia="Arial" w:hAnsi="Arial"/>
                <w:sz w:val="16"/>
                <w:szCs w:val="16"/>
                <w:b w:val="1"/>
                <w:bCs w:val="1"/>
                <w:color w:val="FFFFFF"/>
              </w:rPr>
              <w:t>% share</w:t>
            </w:r>
          </w:p>
        </w:tc>
      </w:tr>
      <w:tr>
        <w:trPr>
          <w:trHeight w:val="165"/>
        </w:trPr>
        <w:tc>
          <w:tcPr>
            <w:tcW w:w="2740" w:type="dxa"/>
            <w:vAlign w:val="bottom"/>
            <w:tcBorders>
              <w:left w:val="single" w:sz="8" w:color="auto"/>
              <w:right w:val="single" w:sz="8" w:color="auto"/>
            </w:tcBorders>
          </w:tcPr>
          <w:p>
            <w:pPr>
              <w:ind w:left="20"/>
              <w:spacing w:after="0" w:line="165" w:lineRule="exact"/>
              <w:rPr>
                <w:sz w:val="20"/>
                <w:szCs w:val="20"/>
                <w:color w:val="auto"/>
              </w:rPr>
            </w:pPr>
            <w:r>
              <w:rPr>
                <w:rFonts w:ascii="Arial" w:cs="Arial" w:eastAsia="Arial" w:hAnsi="Arial"/>
                <w:sz w:val="16"/>
                <w:szCs w:val="16"/>
                <w:color w:val="auto"/>
              </w:rPr>
              <w:t>Fund 0</w:t>
            </w:r>
          </w:p>
        </w:tc>
        <w:tc>
          <w:tcPr>
            <w:tcW w:w="1840" w:type="dxa"/>
            <w:vAlign w:val="bottom"/>
          </w:tcPr>
          <w:p>
            <w:pPr>
              <w:jc w:val="right"/>
              <w:ind w:right="158"/>
              <w:spacing w:after="0" w:line="165" w:lineRule="exact"/>
              <w:rPr>
                <w:sz w:val="20"/>
                <w:szCs w:val="20"/>
                <w:color w:val="auto"/>
              </w:rPr>
            </w:pPr>
            <w:r>
              <w:rPr>
                <w:rFonts w:ascii="Arial" w:cs="Arial" w:eastAsia="Arial" w:hAnsi="Arial"/>
                <w:sz w:val="16"/>
                <w:szCs w:val="16"/>
                <w:color w:val="auto"/>
              </w:rPr>
              <w:t>1,440</w:t>
            </w:r>
          </w:p>
        </w:tc>
        <w:tc>
          <w:tcPr>
            <w:tcW w:w="1400" w:type="dxa"/>
            <w:vAlign w:val="bottom"/>
            <w:tcBorders>
              <w:right w:val="single" w:sz="8" w:color="auto"/>
            </w:tcBorders>
          </w:tcPr>
          <w:p>
            <w:pPr>
              <w:jc w:val="center"/>
              <w:ind w:right="198"/>
              <w:spacing w:after="0" w:line="165" w:lineRule="exact"/>
              <w:rPr>
                <w:sz w:val="20"/>
                <w:szCs w:val="20"/>
                <w:color w:val="auto"/>
              </w:rPr>
            </w:pPr>
            <w:r>
              <w:rPr>
                <w:rFonts w:ascii="Arial" w:cs="Arial" w:eastAsia="Arial" w:hAnsi="Arial"/>
                <w:sz w:val="16"/>
                <w:szCs w:val="16"/>
                <w:color w:val="auto"/>
                <w:w w:val="98"/>
              </w:rPr>
              <w:t>4.2%</w:t>
            </w:r>
          </w:p>
        </w:tc>
        <w:tc>
          <w:tcPr>
            <w:tcW w:w="1420" w:type="dxa"/>
            <w:vAlign w:val="bottom"/>
          </w:tcPr>
          <w:p>
            <w:pPr>
              <w:jc w:val="center"/>
              <w:ind w:left="38"/>
              <w:spacing w:after="0" w:line="165" w:lineRule="exact"/>
              <w:rPr>
                <w:sz w:val="20"/>
                <w:szCs w:val="20"/>
                <w:color w:val="auto"/>
              </w:rPr>
            </w:pPr>
            <w:r>
              <w:rPr>
                <w:rFonts w:ascii="Arial" w:cs="Arial" w:eastAsia="Arial" w:hAnsi="Arial"/>
                <w:sz w:val="16"/>
                <w:szCs w:val="16"/>
                <w:color w:val="auto"/>
              </w:rPr>
              <w:t>1,483</w:t>
            </w:r>
          </w:p>
        </w:tc>
        <w:tc>
          <w:tcPr>
            <w:tcW w:w="1260" w:type="dxa"/>
            <w:vAlign w:val="bottom"/>
            <w:tcBorders>
              <w:right w:val="single" w:sz="8" w:color="auto"/>
            </w:tcBorders>
          </w:tcPr>
          <w:p>
            <w:pPr>
              <w:jc w:val="center"/>
              <w:ind w:left="38"/>
              <w:spacing w:after="0" w:line="165" w:lineRule="exact"/>
              <w:rPr>
                <w:sz w:val="20"/>
                <w:szCs w:val="20"/>
                <w:color w:val="auto"/>
              </w:rPr>
            </w:pPr>
            <w:r>
              <w:rPr>
                <w:rFonts w:ascii="Arial" w:cs="Arial" w:eastAsia="Arial" w:hAnsi="Arial"/>
                <w:sz w:val="16"/>
                <w:szCs w:val="16"/>
                <w:color w:val="auto"/>
              </w:rPr>
              <w:t>4.3%</w:t>
            </w:r>
          </w:p>
        </w:tc>
      </w:tr>
      <w:tr>
        <w:trPr>
          <w:trHeight w:val="185"/>
        </w:trPr>
        <w:tc>
          <w:tcPr>
            <w:tcW w:w="27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Fund 1</w:t>
            </w:r>
          </w:p>
        </w:tc>
        <w:tc>
          <w:tcPr>
            <w:tcW w:w="1840" w:type="dxa"/>
            <w:vAlign w:val="bottom"/>
          </w:tcPr>
          <w:p>
            <w:pPr>
              <w:jc w:val="right"/>
              <w:ind w:right="158"/>
              <w:spacing w:after="0"/>
              <w:rPr>
                <w:sz w:val="20"/>
                <w:szCs w:val="20"/>
                <w:color w:val="auto"/>
              </w:rPr>
            </w:pPr>
            <w:r>
              <w:rPr>
                <w:rFonts w:ascii="Arial" w:cs="Arial" w:eastAsia="Arial" w:hAnsi="Arial"/>
                <w:sz w:val="16"/>
                <w:szCs w:val="16"/>
                <w:color w:val="auto"/>
              </w:rPr>
              <w:t>5,848</w:t>
            </w:r>
          </w:p>
        </w:tc>
        <w:tc>
          <w:tcPr>
            <w:tcW w:w="1400" w:type="dxa"/>
            <w:vAlign w:val="bottom"/>
            <w:tcBorders>
              <w:right w:val="single" w:sz="8" w:color="auto"/>
            </w:tcBorders>
          </w:tcPr>
          <w:p>
            <w:pPr>
              <w:jc w:val="center"/>
              <w:ind w:right="198"/>
              <w:spacing w:after="0"/>
              <w:rPr>
                <w:sz w:val="20"/>
                <w:szCs w:val="20"/>
                <w:color w:val="auto"/>
              </w:rPr>
            </w:pPr>
            <w:r>
              <w:rPr>
                <w:rFonts w:ascii="Arial" w:cs="Arial" w:eastAsia="Arial" w:hAnsi="Arial"/>
                <w:sz w:val="16"/>
                <w:szCs w:val="16"/>
                <w:color w:val="auto"/>
              </w:rPr>
              <w:t>17.3%</w:t>
            </w:r>
          </w:p>
        </w:tc>
        <w:tc>
          <w:tcPr>
            <w:tcW w:w="1420" w:type="dxa"/>
            <w:vAlign w:val="bottom"/>
          </w:tcPr>
          <w:p>
            <w:pPr>
              <w:jc w:val="center"/>
              <w:ind w:left="38"/>
              <w:spacing w:after="0"/>
              <w:rPr>
                <w:sz w:val="20"/>
                <w:szCs w:val="20"/>
                <w:color w:val="auto"/>
              </w:rPr>
            </w:pPr>
            <w:r>
              <w:rPr>
                <w:rFonts w:ascii="Arial" w:cs="Arial" w:eastAsia="Arial" w:hAnsi="Arial"/>
                <w:sz w:val="16"/>
                <w:szCs w:val="16"/>
                <w:color w:val="auto"/>
              </w:rPr>
              <w:t>5,899</w:t>
            </w:r>
          </w:p>
        </w:tc>
        <w:tc>
          <w:tcPr>
            <w:tcW w:w="1260" w:type="dxa"/>
            <w:vAlign w:val="bottom"/>
            <w:tcBorders>
              <w:right w:val="single" w:sz="8" w:color="auto"/>
            </w:tcBorders>
          </w:tcPr>
          <w:p>
            <w:pPr>
              <w:jc w:val="center"/>
              <w:ind w:left="38"/>
              <w:spacing w:after="0"/>
              <w:rPr>
                <w:sz w:val="20"/>
                <w:szCs w:val="20"/>
                <w:color w:val="auto"/>
              </w:rPr>
            </w:pPr>
            <w:r>
              <w:rPr>
                <w:rFonts w:ascii="Arial" w:cs="Arial" w:eastAsia="Arial" w:hAnsi="Arial"/>
                <w:sz w:val="16"/>
                <w:szCs w:val="16"/>
                <w:color w:val="auto"/>
              </w:rPr>
              <w:t>17.0%</w:t>
            </w:r>
          </w:p>
        </w:tc>
      </w:tr>
      <w:tr>
        <w:trPr>
          <w:trHeight w:val="185"/>
        </w:trPr>
        <w:tc>
          <w:tcPr>
            <w:tcW w:w="27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Fund 2</w:t>
            </w:r>
          </w:p>
        </w:tc>
        <w:tc>
          <w:tcPr>
            <w:tcW w:w="1840" w:type="dxa"/>
            <w:vAlign w:val="bottom"/>
          </w:tcPr>
          <w:p>
            <w:pPr>
              <w:jc w:val="right"/>
              <w:ind w:right="158"/>
              <w:spacing w:after="0"/>
              <w:rPr>
                <w:sz w:val="20"/>
                <w:szCs w:val="20"/>
                <w:color w:val="auto"/>
              </w:rPr>
            </w:pPr>
            <w:r>
              <w:rPr>
                <w:rFonts w:ascii="Arial" w:cs="Arial" w:eastAsia="Arial" w:hAnsi="Arial"/>
                <w:sz w:val="16"/>
                <w:szCs w:val="16"/>
                <w:color w:val="auto"/>
              </w:rPr>
              <w:t>23,007</w:t>
            </w:r>
          </w:p>
        </w:tc>
        <w:tc>
          <w:tcPr>
            <w:tcW w:w="1400" w:type="dxa"/>
            <w:vAlign w:val="bottom"/>
            <w:tcBorders>
              <w:right w:val="single" w:sz="8" w:color="auto"/>
            </w:tcBorders>
          </w:tcPr>
          <w:p>
            <w:pPr>
              <w:jc w:val="center"/>
              <w:ind w:right="198"/>
              <w:spacing w:after="0"/>
              <w:rPr>
                <w:sz w:val="20"/>
                <w:szCs w:val="20"/>
                <w:color w:val="auto"/>
              </w:rPr>
            </w:pPr>
            <w:r>
              <w:rPr>
                <w:rFonts w:ascii="Arial" w:cs="Arial" w:eastAsia="Arial" w:hAnsi="Arial"/>
                <w:sz w:val="16"/>
                <w:szCs w:val="16"/>
                <w:color w:val="auto"/>
              </w:rPr>
              <w:t>67.9%</w:t>
            </w:r>
          </w:p>
        </w:tc>
        <w:tc>
          <w:tcPr>
            <w:tcW w:w="1420" w:type="dxa"/>
            <w:vAlign w:val="bottom"/>
          </w:tcPr>
          <w:p>
            <w:pPr>
              <w:jc w:val="center"/>
              <w:ind w:left="38"/>
              <w:spacing w:after="0"/>
              <w:rPr>
                <w:sz w:val="20"/>
                <w:szCs w:val="20"/>
                <w:color w:val="auto"/>
              </w:rPr>
            </w:pPr>
            <w:r>
              <w:rPr>
                <w:rFonts w:ascii="Arial" w:cs="Arial" w:eastAsia="Arial" w:hAnsi="Arial"/>
                <w:sz w:val="16"/>
                <w:szCs w:val="16"/>
                <w:color w:val="auto"/>
              </w:rPr>
              <w:t>23,644</w:t>
            </w:r>
          </w:p>
        </w:tc>
        <w:tc>
          <w:tcPr>
            <w:tcW w:w="1260" w:type="dxa"/>
            <w:vAlign w:val="bottom"/>
            <w:tcBorders>
              <w:right w:val="single" w:sz="8" w:color="auto"/>
            </w:tcBorders>
          </w:tcPr>
          <w:p>
            <w:pPr>
              <w:jc w:val="center"/>
              <w:ind w:left="38"/>
              <w:spacing w:after="0"/>
              <w:rPr>
                <w:sz w:val="20"/>
                <w:szCs w:val="20"/>
                <w:color w:val="auto"/>
              </w:rPr>
            </w:pPr>
            <w:r>
              <w:rPr>
                <w:rFonts w:ascii="Arial" w:cs="Arial" w:eastAsia="Arial" w:hAnsi="Arial"/>
                <w:sz w:val="16"/>
                <w:szCs w:val="16"/>
                <w:color w:val="auto"/>
              </w:rPr>
              <w:t>68.2%</w:t>
            </w:r>
          </w:p>
        </w:tc>
      </w:tr>
      <w:tr>
        <w:trPr>
          <w:trHeight w:val="198"/>
        </w:trPr>
        <w:tc>
          <w:tcPr>
            <w:tcW w:w="27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Fund 3</w:t>
            </w:r>
          </w:p>
        </w:tc>
        <w:tc>
          <w:tcPr>
            <w:tcW w:w="1840" w:type="dxa"/>
            <w:vAlign w:val="bottom"/>
            <w:tcBorders>
              <w:bottom w:val="single" w:sz="8" w:color="auto"/>
            </w:tcBorders>
          </w:tcPr>
          <w:p>
            <w:pPr>
              <w:jc w:val="right"/>
              <w:ind w:right="158"/>
              <w:spacing w:after="0"/>
              <w:rPr>
                <w:sz w:val="20"/>
                <w:szCs w:val="20"/>
                <w:color w:val="auto"/>
              </w:rPr>
            </w:pPr>
            <w:r>
              <w:rPr>
                <w:rFonts w:ascii="Arial" w:cs="Arial" w:eastAsia="Arial" w:hAnsi="Arial"/>
                <w:sz w:val="16"/>
                <w:szCs w:val="16"/>
                <w:color w:val="auto"/>
              </w:rPr>
              <w:t>3,598</w:t>
            </w:r>
          </w:p>
        </w:tc>
        <w:tc>
          <w:tcPr>
            <w:tcW w:w="1400" w:type="dxa"/>
            <w:vAlign w:val="bottom"/>
            <w:tcBorders>
              <w:bottom w:val="single" w:sz="8" w:color="auto"/>
              <w:right w:val="single" w:sz="8" w:color="auto"/>
            </w:tcBorders>
          </w:tcPr>
          <w:p>
            <w:pPr>
              <w:jc w:val="center"/>
              <w:ind w:right="198"/>
              <w:spacing w:after="0"/>
              <w:rPr>
                <w:sz w:val="20"/>
                <w:szCs w:val="20"/>
                <w:color w:val="auto"/>
              </w:rPr>
            </w:pPr>
            <w:r>
              <w:rPr>
                <w:rFonts w:ascii="Arial" w:cs="Arial" w:eastAsia="Arial" w:hAnsi="Arial"/>
                <w:sz w:val="16"/>
                <w:szCs w:val="16"/>
                <w:color w:val="auto"/>
              </w:rPr>
              <w:t>10.6%</w:t>
            </w:r>
          </w:p>
        </w:tc>
        <w:tc>
          <w:tcPr>
            <w:tcW w:w="1420" w:type="dxa"/>
            <w:vAlign w:val="bottom"/>
            <w:tcBorders>
              <w:bottom w:val="single" w:sz="8" w:color="auto"/>
            </w:tcBorders>
          </w:tcPr>
          <w:p>
            <w:pPr>
              <w:jc w:val="center"/>
              <w:ind w:left="38"/>
              <w:spacing w:after="0"/>
              <w:rPr>
                <w:sz w:val="20"/>
                <w:szCs w:val="20"/>
                <w:color w:val="auto"/>
              </w:rPr>
            </w:pPr>
            <w:r>
              <w:rPr>
                <w:rFonts w:ascii="Arial" w:cs="Arial" w:eastAsia="Arial" w:hAnsi="Arial"/>
                <w:sz w:val="16"/>
                <w:szCs w:val="16"/>
                <w:color w:val="auto"/>
              </w:rPr>
              <w:t>3,629</w:t>
            </w:r>
          </w:p>
        </w:tc>
        <w:tc>
          <w:tcPr>
            <w:tcW w:w="1260" w:type="dxa"/>
            <w:vAlign w:val="bottom"/>
            <w:tcBorders>
              <w:bottom w:val="single" w:sz="8" w:color="auto"/>
              <w:right w:val="single" w:sz="8" w:color="auto"/>
            </w:tcBorders>
          </w:tcPr>
          <w:p>
            <w:pPr>
              <w:jc w:val="center"/>
              <w:ind w:left="38"/>
              <w:spacing w:after="0"/>
              <w:rPr>
                <w:sz w:val="20"/>
                <w:szCs w:val="20"/>
                <w:color w:val="auto"/>
              </w:rPr>
            </w:pPr>
            <w:r>
              <w:rPr>
                <w:rFonts w:ascii="Arial" w:cs="Arial" w:eastAsia="Arial" w:hAnsi="Arial"/>
                <w:sz w:val="16"/>
                <w:szCs w:val="16"/>
                <w:color w:val="auto"/>
              </w:rPr>
              <w:t>10.5%</w:t>
            </w:r>
          </w:p>
        </w:tc>
      </w:tr>
      <w:tr>
        <w:trPr>
          <w:trHeight w:val="178"/>
        </w:trPr>
        <w:tc>
          <w:tcPr>
            <w:tcW w:w="2740" w:type="dxa"/>
            <w:vAlign w:val="bottom"/>
            <w:tcBorders>
              <w:left w:val="single" w:sz="8" w:color="auto"/>
              <w:bottom w:val="single" w:sz="8" w:color="auto"/>
              <w:right w:val="single" w:sz="8" w:color="auto"/>
            </w:tcBorders>
          </w:tcPr>
          <w:p>
            <w:pPr>
              <w:ind w:left="20"/>
              <w:spacing w:after="0" w:line="178" w:lineRule="exact"/>
              <w:rPr>
                <w:sz w:val="20"/>
                <w:szCs w:val="20"/>
                <w:color w:val="auto"/>
              </w:rPr>
            </w:pPr>
            <w:r>
              <w:rPr>
                <w:rFonts w:ascii="Arial" w:cs="Arial" w:eastAsia="Arial" w:hAnsi="Arial"/>
                <w:sz w:val="16"/>
                <w:szCs w:val="16"/>
                <w:color w:val="auto"/>
              </w:rPr>
              <w:t>Total S/ Millions</w:t>
            </w:r>
          </w:p>
        </w:tc>
        <w:tc>
          <w:tcPr>
            <w:tcW w:w="1840" w:type="dxa"/>
            <w:vAlign w:val="bottom"/>
            <w:tcBorders>
              <w:bottom w:val="single" w:sz="8" w:color="auto"/>
            </w:tcBorders>
          </w:tcPr>
          <w:p>
            <w:pPr>
              <w:jc w:val="right"/>
              <w:ind w:right="158"/>
              <w:spacing w:after="0" w:line="178" w:lineRule="exact"/>
              <w:rPr>
                <w:sz w:val="20"/>
                <w:szCs w:val="20"/>
                <w:color w:val="auto"/>
              </w:rPr>
            </w:pPr>
            <w:r>
              <w:rPr>
                <w:rFonts w:ascii="Arial" w:cs="Arial" w:eastAsia="Arial" w:hAnsi="Arial"/>
                <w:sz w:val="16"/>
                <w:szCs w:val="16"/>
                <w:color w:val="auto"/>
              </w:rPr>
              <w:t>33,893</w:t>
            </w:r>
          </w:p>
        </w:tc>
        <w:tc>
          <w:tcPr>
            <w:tcW w:w="1400" w:type="dxa"/>
            <w:vAlign w:val="bottom"/>
            <w:tcBorders>
              <w:bottom w:val="single" w:sz="8" w:color="auto"/>
              <w:right w:val="single" w:sz="8" w:color="auto"/>
            </w:tcBorders>
          </w:tcPr>
          <w:p>
            <w:pPr>
              <w:jc w:val="center"/>
              <w:ind w:right="198"/>
              <w:spacing w:after="0" w:line="178" w:lineRule="exact"/>
              <w:rPr>
                <w:sz w:val="20"/>
                <w:szCs w:val="20"/>
                <w:color w:val="auto"/>
              </w:rPr>
            </w:pPr>
            <w:r>
              <w:rPr>
                <w:rFonts w:ascii="Arial" w:cs="Arial" w:eastAsia="Arial" w:hAnsi="Arial"/>
                <w:sz w:val="16"/>
                <w:szCs w:val="16"/>
                <w:color w:val="auto"/>
              </w:rPr>
              <w:t>100.00%</w:t>
            </w:r>
          </w:p>
        </w:tc>
        <w:tc>
          <w:tcPr>
            <w:tcW w:w="1420" w:type="dxa"/>
            <w:vAlign w:val="bottom"/>
            <w:tcBorders>
              <w:bottom w:val="single" w:sz="8" w:color="auto"/>
            </w:tcBorders>
          </w:tcPr>
          <w:p>
            <w:pPr>
              <w:jc w:val="center"/>
              <w:ind w:left="38"/>
              <w:spacing w:after="0" w:line="178" w:lineRule="exact"/>
              <w:rPr>
                <w:sz w:val="20"/>
                <w:szCs w:val="20"/>
                <w:color w:val="auto"/>
              </w:rPr>
            </w:pPr>
            <w:r>
              <w:rPr>
                <w:rFonts w:ascii="Arial" w:cs="Arial" w:eastAsia="Arial" w:hAnsi="Arial"/>
                <w:sz w:val="16"/>
                <w:szCs w:val="16"/>
                <w:color w:val="auto"/>
              </w:rPr>
              <w:t>34,655</w:t>
            </w:r>
          </w:p>
        </w:tc>
        <w:tc>
          <w:tcPr>
            <w:tcW w:w="1260" w:type="dxa"/>
            <w:vAlign w:val="bottom"/>
            <w:tcBorders>
              <w:bottom w:val="single" w:sz="8" w:color="auto"/>
              <w:right w:val="single" w:sz="8" w:color="auto"/>
            </w:tcBorders>
          </w:tcPr>
          <w:p>
            <w:pPr>
              <w:jc w:val="center"/>
              <w:ind w:left="38"/>
              <w:spacing w:after="0" w:line="178" w:lineRule="exact"/>
              <w:rPr>
                <w:sz w:val="20"/>
                <w:szCs w:val="20"/>
                <w:color w:val="auto"/>
              </w:rPr>
            </w:pPr>
            <w:r>
              <w:rPr>
                <w:rFonts w:ascii="Arial" w:cs="Arial" w:eastAsia="Arial" w:hAnsi="Arial"/>
                <w:sz w:val="16"/>
                <w:szCs w:val="16"/>
                <w:color w:val="auto"/>
              </w:rPr>
              <w:t>100.00%</w:t>
            </w:r>
          </w:p>
        </w:tc>
      </w:tr>
    </w:tbl>
    <w:p>
      <w:pPr>
        <w:ind w:left="1"/>
        <w:spacing w:after="0"/>
        <w:rPr>
          <w:sz w:val="20"/>
          <w:szCs w:val="20"/>
          <w:color w:val="auto"/>
        </w:rPr>
      </w:pPr>
      <w:r>
        <w:rPr>
          <w:rFonts w:ascii="Arial" w:cs="Arial" w:eastAsia="Arial" w:hAnsi="Arial"/>
          <w:sz w:val="11"/>
          <w:szCs w:val="11"/>
          <w:i w:val="1"/>
          <w:iCs w:val="1"/>
          <w:color w:val="auto"/>
        </w:rPr>
        <w:t>Source: SBS.</w:t>
      </w:r>
    </w:p>
    <w:p>
      <w:pPr>
        <w:spacing w:after="0" w:line="149"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Nominal profitability over the last 12 months</w:t>
      </w:r>
    </w:p>
    <w:p>
      <w:pPr>
        <w:spacing w:after="0" w:line="175" w:lineRule="exact"/>
        <w:rPr>
          <w:sz w:val="20"/>
          <w:szCs w:val="20"/>
          <w:color w:val="auto"/>
        </w:rPr>
      </w:pPr>
    </w:p>
    <w:tbl>
      <w:tblPr>
        <w:tblLayout w:type="fixed"/>
        <w:tblInd w:w="751" w:type="dxa"/>
        <w:tblCellMar>
          <w:top w:w="0" w:type="dxa"/>
          <w:left w:w="0" w:type="dxa"/>
          <w:bottom w:w="0" w:type="dxa"/>
          <w:right w:w="0" w:type="dxa"/>
        </w:tblCellMar>
      </w:tblPr>
      <w:tr>
        <w:trPr>
          <w:trHeight w:val="210"/>
        </w:trPr>
        <w:tc>
          <w:tcPr>
            <w:tcW w:w="2100" w:type="dxa"/>
            <w:vAlign w:val="bottom"/>
            <w:tcBorders>
              <w:bottom w:val="single" w:sz="8" w:color="auto"/>
              <w:right w:val="single" w:sz="8" w:color="auto"/>
            </w:tcBorders>
          </w:tcPr>
          <w:p>
            <w:pPr>
              <w:spacing w:after="0"/>
              <w:rPr>
                <w:sz w:val="18"/>
                <w:szCs w:val="18"/>
                <w:color w:val="auto"/>
              </w:rPr>
            </w:pPr>
          </w:p>
        </w:tc>
        <w:tc>
          <w:tcPr>
            <w:tcW w:w="2120" w:type="dxa"/>
            <w:vAlign w:val="bottom"/>
            <w:tcBorders>
              <w:top w:val="single" w:sz="8" w:color="auto"/>
              <w:bottom w:val="single" w:sz="8" w:color="auto"/>
              <w:right w:val="single" w:sz="8" w:color="auto"/>
            </w:tcBorders>
            <w:shd w:val="clear" w:color="auto" w:fill="33CCCC"/>
          </w:tcPr>
          <w:p>
            <w:pPr>
              <w:ind w:left="280"/>
              <w:spacing w:after="0"/>
              <w:rPr>
                <w:sz w:val="20"/>
                <w:szCs w:val="20"/>
                <w:color w:val="auto"/>
              </w:rPr>
            </w:pPr>
            <w:r>
              <w:rPr>
                <w:rFonts w:ascii="Arial" w:cs="Arial" w:eastAsia="Arial" w:hAnsi="Arial"/>
                <w:sz w:val="18"/>
                <w:szCs w:val="18"/>
                <w:b w:val="1"/>
                <w:bCs w:val="1"/>
                <w:color w:val="FFFFFF"/>
              </w:rPr>
              <w:t>Jun 23 / Jun 22(1)</w:t>
            </w:r>
          </w:p>
        </w:tc>
        <w:tc>
          <w:tcPr>
            <w:tcW w:w="2100" w:type="dxa"/>
            <w:vAlign w:val="bottom"/>
            <w:tcBorders>
              <w:top w:val="single" w:sz="8" w:color="auto"/>
              <w:bottom w:val="single" w:sz="8" w:color="auto"/>
              <w:right w:val="single" w:sz="8" w:color="auto"/>
            </w:tcBorders>
            <w:shd w:val="clear" w:color="auto" w:fill="33CCCC"/>
          </w:tcPr>
          <w:p>
            <w:pPr>
              <w:ind w:left="260"/>
              <w:spacing w:after="0"/>
              <w:rPr>
                <w:sz w:val="20"/>
                <w:szCs w:val="20"/>
                <w:color w:val="auto"/>
              </w:rPr>
            </w:pPr>
            <w:r>
              <w:rPr>
                <w:rFonts w:ascii="Arial" w:cs="Arial" w:eastAsia="Arial" w:hAnsi="Arial"/>
                <w:sz w:val="18"/>
                <w:szCs w:val="18"/>
                <w:b w:val="1"/>
                <w:bCs w:val="1"/>
                <w:color w:val="FFFFFF"/>
              </w:rPr>
              <w:t>Sep 23 / Sep 22(1)</w:t>
            </w:r>
          </w:p>
        </w:tc>
      </w:tr>
      <w:tr>
        <w:trPr>
          <w:trHeight w:val="175"/>
        </w:trPr>
        <w:tc>
          <w:tcPr>
            <w:tcW w:w="2100" w:type="dxa"/>
            <w:vAlign w:val="bottom"/>
            <w:tcBorders>
              <w:left w:val="single" w:sz="8" w:color="auto"/>
              <w:right w:val="single" w:sz="8" w:color="auto"/>
            </w:tcBorders>
          </w:tcPr>
          <w:p>
            <w:pPr>
              <w:ind w:left="20"/>
              <w:spacing w:after="0" w:line="175" w:lineRule="exact"/>
              <w:rPr>
                <w:sz w:val="20"/>
                <w:szCs w:val="20"/>
                <w:color w:val="auto"/>
              </w:rPr>
            </w:pPr>
            <w:r>
              <w:rPr>
                <w:rFonts w:ascii="Arial" w:cs="Arial" w:eastAsia="Arial" w:hAnsi="Arial"/>
                <w:sz w:val="18"/>
                <w:szCs w:val="18"/>
                <w:color w:val="auto"/>
              </w:rPr>
              <w:t>Fund 0</w:t>
            </w:r>
          </w:p>
        </w:tc>
        <w:tc>
          <w:tcPr>
            <w:tcW w:w="2120" w:type="dxa"/>
            <w:vAlign w:val="bottom"/>
            <w:tcBorders>
              <w:right w:val="single" w:sz="8" w:color="auto"/>
            </w:tcBorders>
          </w:tcPr>
          <w:p>
            <w:pPr>
              <w:jc w:val="center"/>
              <w:spacing w:after="0" w:line="175" w:lineRule="exact"/>
              <w:rPr>
                <w:sz w:val="20"/>
                <w:szCs w:val="20"/>
                <w:color w:val="auto"/>
              </w:rPr>
            </w:pPr>
            <w:r>
              <w:rPr>
                <w:rFonts w:ascii="Arial" w:cs="Arial" w:eastAsia="Arial" w:hAnsi="Arial"/>
                <w:sz w:val="18"/>
                <w:szCs w:val="18"/>
                <w:color w:val="auto"/>
              </w:rPr>
              <w:t>7.2%</w:t>
            </w:r>
          </w:p>
        </w:tc>
        <w:tc>
          <w:tcPr>
            <w:tcW w:w="2100" w:type="dxa"/>
            <w:vAlign w:val="bottom"/>
            <w:tcBorders>
              <w:right w:val="single" w:sz="8" w:color="auto"/>
            </w:tcBorders>
          </w:tcPr>
          <w:p>
            <w:pPr>
              <w:jc w:val="center"/>
              <w:spacing w:after="0" w:line="175" w:lineRule="exact"/>
              <w:rPr>
                <w:sz w:val="20"/>
                <w:szCs w:val="20"/>
                <w:color w:val="auto"/>
              </w:rPr>
            </w:pPr>
            <w:r>
              <w:rPr>
                <w:rFonts w:ascii="Arial" w:cs="Arial" w:eastAsia="Arial" w:hAnsi="Arial"/>
                <w:sz w:val="18"/>
                <w:szCs w:val="18"/>
                <w:color w:val="auto"/>
              </w:rPr>
              <w:t>7.8%</w:t>
            </w:r>
          </w:p>
        </w:tc>
      </w:tr>
      <w:tr>
        <w:trPr>
          <w:trHeight w:val="198"/>
        </w:trPr>
        <w:tc>
          <w:tcPr>
            <w:tcW w:w="2100" w:type="dxa"/>
            <w:vAlign w:val="bottom"/>
            <w:tcBorders>
              <w:left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color w:val="auto"/>
              </w:rPr>
              <w:t>Fund 1</w:t>
            </w:r>
          </w:p>
        </w:tc>
        <w:tc>
          <w:tcPr>
            <w:tcW w:w="2120" w:type="dxa"/>
            <w:vAlign w:val="bottom"/>
            <w:tcBorders>
              <w:right w:val="single" w:sz="8" w:color="auto"/>
            </w:tcBorders>
          </w:tcPr>
          <w:p>
            <w:pPr>
              <w:jc w:val="center"/>
              <w:spacing w:after="0" w:line="198" w:lineRule="exact"/>
              <w:rPr>
                <w:sz w:val="20"/>
                <w:szCs w:val="20"/>
                <w:color w:val="auto"/>
              </w:rPr>
            </w:pPr>
            <w:r>
              <w:rPr>
                <w:rFonts w:ascii="Arial" w:cs="Arial" w:eastAsia="Arial" w:hAnsi="Arial"/>
                <w:sz w:val="18"/>
                <w:szCs w:val="18"/>
                <w:color w:val="auto"/>
                <w:w w:val="97"/>
              </w:rPr>
              <w:t>12.5%</w:t>
            </w:r>
          </w:p>
        </w:tc>
        <w:tc>
          <w:tcPr>
            <w:tcW w:w="2100" w:type="dxa"/>
            <w:vAlign w:val="bottom"/>
            <w:tcBorders>
              <w:right w:val="single" w:sz="8" w:color="auto"/>
            </w:tcBorders>
          </w:tcPr>
          <w:p>
            <w:pPr>
              <w:jc w:val="center"/>
              <w:spacing w:after="0" w:line="198" w:lineRule="exact"/>
              <w:rPr>
                <w:sz w:val="20"/>
                <w:szCs w:val="20"/>
                <w:color w:val="auto"/>
              </w:rPr>
            </w:pPr>
            <w:r>
              <w:rPr>
                <w:rFonts w:ascii="Arial" w:cs="Arial" w:eastAsia="Arial" w:hAnsi="Arial"/>
                <w:sz w:val="18"/>
                <w:szCs w:val="18"/>
                <w:color w:val="auto"/>
                <w:w w:val="97"/>
              </w:rPr>
              <w:t>14.3%</w:t>
            </w:r>
          </w:p>
        </w:tc>
      </w:tr>
      <w:tr>
        <w:trPr>
          <w:trHeight w:val="198"/>
        </w:trPr>
        <w:tc>
          <w:tcPr>
            <w:tcW w:w="2100" w:type="dxa"/>
            <w:vAlign w:val="bottom"/>
            <w:tcBorders>
              <w:left w:val="single" w:sz="8" w:color="auto"/>
              <w:right w:val="single" w:sz="8" w:color="auto"/>
            </w:tcBorders>
          </w:tcPr>
          <w:p>
            <w:pPr>
              <w:ind w:left="20"/>
              <w:spacing w:after="0" w:line="198" w:lineRule="exact"/>
              <w:rPr>
                <w:sz w:val="20"/>
                <w:szCs w:val="20"/>
                <w:color w:val="auto"/>
              </w:rPr>
            </w:pPr>
            <w:r>
              <w:rPr>
                <w:rFonts w:ascii="Arial" w:cs="Arial" w:eastAsia="Arial" w:hAnsi="Arial"/>
                <w:sz w:val="18"/>
                <w:szCs w:val="18"/>
                <w:color w:val="auto"/>
              </w:rPr>
              <w:t>Fund 2</w:t>
            </w:r>
          </w:p>
        </w:tc>
        <w:tc>
          <w:tcPr>
            <w:tcW w:w="2120" w:type="dxa"/>
            <w:vAlign w:val="bottom"/>
            <w:tcBorders>
              <w:right w:val="single" w:sz="8" w:color="auto"/>
            </w:tcBorders>
          </w:tcPr>
          <w:p>
            <w:pPr>
              <w:jc w:val="center"/>
              <w:spacing w:after="0" w:line="198" w:lineRule="exact"/>
              <w:rPr>
                <w:sz w:val="20"/>
                <w:szCs w:val="20"/>
                <w:color w:val="auto"/>
              </w:rPr>
            </w:pPr>
            <w:r>
              <w:rPr>
                <w:rFonts w:ascii="Arial" w:cs="Arial" w:eastAsia="Arial" w:hAnsi="Arial"/>
                <w:sz w:val="18"/>
                <w:szCs w:val="18"/>
                <w:color w:val="auto"/>
              </w:rPr>
              <w:t>7.8%</w:t>
            </w:r>
          </w:p>
        </w:tc>
        <w:tc>
          <w:tcPr>
            <w:tcW w:w="2100" w:type="dxa"/>
            <w:vAlign w:val="bottom"/>
            <w:tcBorders>
              <w:right w:val="single" w:sz="8" w:color="auto"/>
            </w:tcBorders>
          </w:tcPr>
          <w:p>
            <w:pPr>
              <w:jc w:val="center"/>
              <w:spacing w:after="0" w:line="198" w:lineRule="exact"/>
              <w:rPr>
                <w:sz w:val="20"/>
                <w:szCs w:val="20"/>
                <w:color w:val="auto"/>
              </w:rPr>
            </w:pPr>
            <w:r>
              <w:rPr>
                <w:rFonts w:ascii="Arial" w:cs="Arial" w:eastAsia="Arial" w:hAnsi="Arial"/>
                <w:sz w:val="18"/>
                <w:szCs w:val="18"/>
                <w:color w:val="auto"/>
                <w:w w:val="97"/>
              </w:rPr>
              <w:t>10.2%</w:t>
            </w:r>
          </w:p>
        </w:tc>
      </w:tr>
      <w:tr>
        <w:trPr>
          <w:trHeight w:val="213"/>
        </w:trPr>
        <w:tc>
          <w:tcPr>
            <w:tcW w:w="21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Fund 3</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0.1%</w:t>
            </w:r>
          </w:p>
        </w:tc>
        <w:tc>
          <w:tcPr>
            <w:tcW w:w="2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3.0%</w:t>
            </w:r>
          </w:p>
        </w:tc>
      </w:tr>
    </w:tbl>
    <w:p>
      <w:pPr>
        <w:ind w:left="241" w:hanging="241"/>
        <w:spacing w:after="0"/>
        <w:tabs>
          <w:tab w:leader="none" w:pos="241" w:val="left"/>
        </w:tabs>
        <w:numPr>
          <w:ilvl w:val="0"/>
          <w:numId w:val="70"/>
        </w:numPr>
        <w:rPr>
          <w:rFonts w:ascii="Arial" w:cs="Arial" w:eastAsia="Arial" w:hAnsi="Arial"/>
          <w:sz w:val="11"/>
          <w:szCs w:val="11"/>
          <w:color w:val="auto"/>
        </w:rPr>
      </w:pPr>
      <w:r>
        <w:rPr>
          <w:rFonts w:ascii="Arial" w:cs="Arial" w:eastAsia="Arial" w:hAnsi="Arial"/>
          <w:sz w:val="11"/>
          <w:szCs w:val="11"/>
          <w:color w:val="auto"/>
        </w:rPr>
        <w:t>Information available until August.</w:t>
      </w:r>
    </w:p>
    <w:p>
      <w:pPr>
        <w:spacing w:after="0" w:line="149"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AFP commissions</w:t>
      </w:r>
    </w:p>
    <w:p>
      <w:pPr>
        <w:spacing w:after="0" w:line="188" w:lineRule="exact"/>
        <w:rPr>
          <w:sz w:val="20"/>
          <w:szCs w:val="20"/>
          <w:color w:val="auto"/>
        </w:rPr>
      </w:pPr>
    </w:p>
    <w:tbl>
      <w:tblPr>
        <w:tblLayout w:type="fixed"/>
        <w:tblInd w:w="11" w:type="dxa"/>
        <w:tblCellMar>
          <w:top w:w="0" w:type="dxa"/>
          <w:left w:w="0" w:type="dxa"/>
          <w:bottom w:w="0" w:type="dxa"/>
          <w:right w:w="0" w:type="dxa"/>
        </w:tblCellMar>
      </w:tblPr>
      <w:tr>
        <w:trPr>
          <w:trHeight w:val="136"/>
        </w:trPr>
        <w:tc>
          <w:tcPr>
            <w:tcW w:w="2320" w:type="dxa"/>
            <w:vAlign w:val="bottom"/>
            <w:tcBorders>
              <w:top w:val="single" w:sz="8" w:color="auto"/>
              <w:left w:val="single" w:sz="8" w:color="auto"/>
              <w:bottom w:val="single" w:sz="8" w:color="auto"/>
            </w:tcBorders>
            <w:shd w:val="clear" w:color="auto" w:fill="33CCCC"/>
          </w:tcPr>
          <w:p>
            <w:pPr>
              <w:ind w:left="20"/>
              <w:spacing w:after="0"/>
              <w:rPr>
                <w:sz w:val="20"/>
                <w:szCs w:val="20"/>
                <w:color w:val="auto"/>
              </w:rPr>
            </w:pPr>
            <w:r>
              <w:rPr>
                <w:rFonts w:ascii="Arial" w:cs="Arial" w:eastAsia="Arial" w:hAnsi="Arial"/>
                <w:sz w:val="11"/>
                <w:szCs w:val="11"/>
                <w:b w:val="1"/>
                <w:bCs w:val="1"/>
                <w:color w:val="FFFFFF"/>
              </w:rPr>
              <w:t>Fee based on flow</w:t>
            </w:r>
          </w:p>
        </w:tc>
        <w:tc>
          <w:tcPr>
            <w:tcW w:w="420" w:type="dxa"/>
            <w:vAlign w:val="bottom"/>
            <w:tcBorders>
              <w:top w:val="single" w:sz="8" w:color="auto"/>
              <w:bottom w:val="single" w:sz="8" w:color="auto"/>
              <w:right w:val="single" w:sz="8" w:color="auto"/>
            </w:tcBorders>
            <w:shd w:val="clear" w:color="auto" w:fill="33CCCC"/>
          </w:tcPr>
          <w:p>
            <w:pPr>
              <w:jc w:val="right"/>
              <w:ind w:right="6"/>
              <w:spacing w:after="0"/>
              <w:rPr>
                <w:sz w:val="20"/>
                <w:szCs w:val="20"/>
                <w:color w:val="auto"/>
              </w:rPr>
            </w:pPr>
            <w:r>
              <w:rPr>
                <w:rFonts w:ascii="Arial" w:cs="Arial" w:eastAsia="Arial" w:hAnsi="Arial"/>
                <w:sz w:val="11"/>
                <w:szCs w:val="11"/>
                <w:color w:val="FFFFFF"/>
              </w:rPr>
              <w:t>1.60%</w:t>
            </w:r>
          </w:p>
        </w:tc>
        <w:tc>
          <w:tcPr>
            <w:tcW w:w="3340" w:type="dxa"/>
            <w:vAlign w:val="bottom"/>
            <w:tcBorders>
              <w:top w:val="single" w:sz="8" w:color="auto"/>
              <w:bottom w:val="single" w:sz="8" w:color="auto"/>
            </w:tcBorders>
            <w:gridSpan w:val="2"/>
            <w:shd w:val="clear" w:color="auto" w:fill="33CCCC"/>
          </w:tcPr>
          <w:p>
            <w:pPr>
              <w:jc w:val="right"/>
              <w:ind w:right="974"/>
              <w:spacing w:after="0"/>
              <w:rPr>
                <w:sz w:val="20"/>
                <w:szCs w:val="20"/>
                <w:color w:val="auto"/>
              </w:rPr>
            </w:pPr>
            <w:r>
              <w:rPr>
                <w:rFonts w:ascii="Arial" w:cs="Arial" w:eastAsia="Arial" w:hAnsi="Arial"/>
                <w:sz w:val="11"/>
                <w:szCs w:val="11"/>
                <w:color w:val="FFFFFF"/>
              </w:rPr>
              <w:t>Applied to the affiliates’ monthly remuneration.</w:t>
            </w:r>
          </w:p>
        </w:tc>
        <w:tc>
          <w:tcPr>
            <w:tcW w:w="1060" w:type="dxa"/>
            <w:vAlign w:val="bottom"/>
            <w:tcBorders>
              <w:top w:val="single" w:sz="8" w:color="auto"/>
              <w:bottom w:val="single" w:sz="8" w:color="auto"/>
              <w:right w:val="single" w:sz="8" w:color="33CCCC"/>
            </w:tcBorders>
            <w:shd w:val="clear" w:color="auto" w:fill="33CCCC"/>
          </w:tcPr>
          <w:p>
            <w:pPr>
              <w:spacing w:after="0"/>
              <w:rPr>
                <w:sz w:val="11"/>
                <w:szCs w:val="11"/>
                <w:color w:val="auto"/>
              </w:rPr>
            </w:pPr>
          </w:p>
        </w:tc>
        <w:tc>
          <w:tcPr>
            <w:tcW w:w="280" w:type="dxa"/>
            <w:vAlign w:val="bottom"/>
            <w:tcBorders>
              <w:top w:val="single" w:sz="8" w:color="auto"/>
              <w:bottom w:val="single" w:sz="8" w:color="auto"/>
            </w:tcBorders>
            <w:shd w:val="clear" w:color="auto" w:fill="33CCCC"/>
          </w:tcPr>
          <w:p>
            <w:pPr>
              <w:spacing w:after="0"/>
              <w:rPr>
                <w:sz w:val="11"/>
                <w:szCs w:val="11"/>
                <w:color w:val="auto"/>
              </w:rPr>
            </w:pPr>
          </w:p>
        </w:tc>
        <w:tc>
          <w:tcPr>
            <w:tcW w:w="460" w:type="dxa"/>
            <w:vAlign w:val="bottom"/>
            <w:tcBorders>
              <w:top w:val="single" w:sz="8" w:color="auto"/>
              <w:bottom w:val="single" w:sz="8" w:color="auto"/>
              <w:right w:val="single" w:sz="8" w:color="auto"/>
            </w:tcBorders>
            <w:shd w:val="clear" w:color="auto" w:fill="33CCCC"/>
          </w:tcPr>
          <w:p>
            <w:pPr>
              <w:spacing w:after="0"/>
              <w:rPr>
                <w:sz w:val="11"/>
                <w:szCs w:val="11"/>
                <w:color w:val="auto"/>
              </w:rPr>
            </w:pPr>
          </w:p>
        </w:tc>
        <w:tc>
          <w:tcPr>
            <w:tcW w:w="3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06"/>
        </w:trPr>
        <w:tc>
          <w:tcPr>
            <w:tcW w:w="2320" w:type="dxa"/>
            <w:vAlign w:val="bottom"/>
            <w:tcBorders>
              <w:left w:val="single" w:sz="8" w:color="auto"/>
            </w:tcBorders>
          </w:tcPr>
          <w:p>
            <w:pPr>
              <w:ind w:left="20"/>
              <w:spacing w:after="0" w:line="106" w:lineRule="exact"/>
              <w:rPr>
                <w:sz w:val="20"/>
                <w:szCs w:val="20"/>
                <w:color w:val="auto"/>
              </w:rPr>
            </w:pPr>
            <w:r>
              <w:rPr>
                <w:rFonts w:ascii="Arial" w:cs="Arial" w:eastAsia="Arial" w:hAnsi="Arial"/>
                <w:sz w:val="11"/>
                <w:szCs w:val="11"/>
                <w:b w:val="1"/>
                <w:bCs w:val="1"/>
                <w:color w:val="auto"/>
              </w:rPr>
              <w:t>Mixed fee</w:t>
            </w:r>
          </w:p>
        </w:tc>
        <w:tc>
          <w:tcPr>
            <w:tcW w:w="420" w:type="dxa"/>
            <w:vAlign w:val="bottom"/>
            <w:tcBorders>
              <w:right w:val="single" w:sz="8" w:color="auto"/>
            </w:tcBorders>
          </w:tcPr>
          <w:p>
            <w:pPr>
              <w:spacing w:after="0"/>
              <w:rPr>
                <w:sz w:val="9"/>
                <w:szCs w:val="9"/>
                <w:color w:val="auto"/>
              </w:rPr>
            </w:pPr>
          </w:p>
        </w:tc>
        <w:tc>
          <w:tcPr>
            <w:tcW w:w="18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Borders>
              <w:right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980" w:type="dxa"/>
            <w:vAlign w:val="bottom"/>
          </w:tcPr>
          <w:p>
            <w:pPr>
              <w:spacing w:after="0"/>
              <w:rPr>
                <w:sz w:val="9"/>
                <w:szCs w:val="9"/>
                <w:color w:val="auto"/>
              </w:rPr>
            </w:pPr>
          </w:p>
        </w:tc>
        <w:tc>
          <w:tcPr>
            <w:tcW w:w="900" w:type="dxa"/>
            <w:vAlign w:val="bottom"/>
          </w:tcPr>
          <w:p>
            <w:pPr>
              <w:spacing w:after="0"/>
              <w:rPr>
                <w:sz w:val="9"/>
                <w:szCs w:val="9"/>
                <w:color w:val="auto"/>
              </w:rPr>
            </w:pPr>
          </w:p>
        </w:tc>
      </w:tr>
      <w:tr>
        <w:trPr>
          <w:trHeight w:val="128"/>
        </w:trPr>
        <w:tc>
          <w:tcPr>
            <w:tcW w:w="2320" w:type="dxa"/>
            <w:vAlign w:val="bottom"/>
            <w:tcBorders>
              <w:left w:val="single" w:sz="8" w:color="auto"/>
            </w:tcBorders>
          </w:tcPr>
          <w:p>
            <w:pPr>
              <w:ind w:left="20"/>
              <w:spacing w:after="0"/>
              <w:rPr>
                <w:sz w:val="20"/>
                <w:szCs w:val="20"/>
                <w:color w:val="auto"/>
              </w:rPr>
            </w:pPr>
            <w:r>
              <w:rPr>
                <w:rFonts w:ascii="Arial" w:cs="Arial" w:eastAsia="Arial" w:hAnsi="Arial"/>
                <w:sz w:val="11"/>
                <w:szCs w:val="11"/>
                <w:b w:val="1"/>
                <w:bCs w:val="1"/>
                <w:color w:val="auto"/>
              </w:rPr>
              <w:t>Flow</w:t>
            </w:r>
          </w:p>
        </w:tc>
        <w:tc>
          <w:tcPr>
            <w:tcW w:w="420" w:type="dxa"/>
            <w:vAlign w:val="bottom"/>
            <w:tcBorders>
              <w:right w:val="single" w:sz="8" w:color="auto"/>
            </w:tcBorders>
          </w:tcPr>
          <w:p>
            <w:pPr>
              <w:jc w:val="right"/>
              <w:ind w:right="6"/>
              <w:spacing w:after="0"/>
              <w:rPr>
                <w:sz w:val="20"/>
                <w:szCs w:val="20"/>
                <w:color w:val="auto"/>
              </w:rPr>
            </w:pPr>
            <w:r>
              <w:rPr>
                <w:rFonts w:ascii="Arial" w:cs="Arial" w:eastAsia="Arial" w:hAnsi="Arial"/>
                <w:sz w:val="11"/>
                <w:szCs w:val="11"/>
                <w:color w:val="auto"/>
              </w:rPr>
              <w:t>0.18%</w:t>
            </w:r>
          </w:p>
        </w:tc>
        <w:tc>
          <w:tcPr>
            <w:tcW w:w="4680" w:type="dxa"/>
            <w:vAlign w:val="bottom"/>
            <w:gridSpan w:val="4"/>
          </w:tcPr>
          <w:p>
            <w:pPr>
              <w:jc w:val="center"/>
              <w:ind w:left="338"/>
              <w:spacing w:after="0"/>
              <w:rPr>
                <w:sz w:val="20"/>
                <w:szCs w:val="20"/>
                <w:color w:val="auto"/>
              </w:rPr>
            </w:pPr>
            <w:r>
              <w:rPr>
                <w:rFonts w:ascii="Arial" w:cs="Arial" w:eastAsia="Arial" w:hAnsi="Arial"/>
                <w:sz w:val="11"/>
                <w:szCs w:val="11"/>
                <w:color w:val="auto"/>
                <w:w w:val="97"/>
              </w:rPr>
              <w:t>Applied to the affiliates’ monthly remuneration since June 2017. Feb 17- may 17 =0.87%.</w:t>
            </w:r>
          </w:p>
        </w:tc>
        <w:tc>
          <w:tcPr>
            <w:tcW w:w="460" w:type="dxa"/>
            <w:vAlign w:val="bottom"/>
            <w:tcBorders>
              <w:right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24"/>
        </w:trPr>
        <w:tc>
          <w:tcPr>
            <w:tcW w:w="2320" w:type="dxa"/>
            <w:vAlign w:val="bottom"/>
            <w:tcBorders>
              <w:left w:val="single" w:sz="8" w:color="auto"/>
            </w:tcBorders>
          </w:tcPr>
          <w:p>
            <w:pPr>
              <w:ind w:left="20"/>
              <w:spacing w:after="0" w:line="124" w:lineRule="exact"/>
              <w:rPr>
                <w:sz w:val="20"/>
                <w:szCs w:val="20"/>
                <w:color w:val="auto"/>
              </w:rPr>
            </w:pPr>
            <w:r>
              <w:rPr>
                <w:rFonts w:ascii="Arial" w:cs="Arial" w:eastAsia="Arial" w:hAnsi="Arial"/>
                <w:sz w:val="11"/>
                <w:szCs w:val="11"/>
                <w:color w:val="auto"/>
              </w:rPr>
              <w:t>Balance</w:t>
            </w:r>
          </w:p>
        </w:tc>
        <w:tc>
          <w:tcPr>
            <w:tcW w:w="420" w:type="dxa"/>
            <w:vAlign w:val="bottom"/>
            <w:tcBorders>
              <w:right w:val="single" w:sz="8" w:color="auto"/>
            </w:tcBorders>
          </w:tcPr>
          <w:p>
            <w:pPr>
              <w:jc w:val="right"/>
              <w:ind w:right="6"/>
              <w:spacing w:after="0" w:line="124" w:lineRule="exact"/>
              <w:rPr>
                <w:sz w:val="20"/>
                <w:szCs w:val="20"/>
                <w:color w:val="auto"/>
              </w:rPr>
            </w:pPr>
            <w:r>
              <w:rPr>
                <w:rFonts w:ascii="Arial" w:cs="Arial" w:eastAsia="Arial" w:hAnsi="Arial"/>
                <w:sz w:val="11"/>
                <w:szCs w:val="11"/>
                <w:color w:val="auto"/>
              </w:rPr>
              <w:t>1.25%</w:t>
            </w:r>
          </w:p>
        </w:tc>
        <w:tc>
          <w:tcPr>
            <w:tcW w:w="5140" w:type="dxa"/>
            <w:vAlign w:val="bottom"/>
            <w:tcBorders>
              <w:right w:val="single" w:sz="8" w:color="auto"/>
            </w:tcBorders>
            <w:gridSpan w:val="5"/>
          </w:tcPr>
          <w:p>
            <w:pPr>
              <w:jc w:val="center"/>
              <w:spacing w:after="0" w:line="124" w:lineRule="exact"/>
              <w:rPr>
                <w:sz w:val="20"/>
                <w:szCs w:val="20"/>
                <w:color w:val="auto"/>
              </w:rPr>
            </w:pPr>
            <w:r>
              <w:rPr>
                <w:rFonts w:ascii="Arial" w:cs="Arial" w:eastAsia="Arial" w:hAnsi="Arial"/>
                <w:sz w:val="11"/>
                <w:szCs w:val="11"/>
                <w:color w:val="auto"/>
                <w:w w:val="97"/>
              </w:rPr>
              <w:t>Applies annualy to the new balance since February 2013 for new affiliates to the system and beginning on</w:t>
            </w:r>
          </w:p>
        </w:tc>
        <w:tc>
          <w:tcPr>
            <w:tcW w:w="3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130"/>
        </w:trPr>
        <w:tc>
          <w:tcPr>
            <w:tcW w:w="2320" w:type="dxa"/>
            <w:vAlign w:val="bottom"/>
            <w:tcBorders>
              <w:left w:val="single" w:sz="8" w:color="auto"/>
              <w:bottom w:val="single" w:sz="8" w:color="auto"/>
            </w:tcBorders>
          </w:tcPr>
          <w:p>
            <w:pPr>
              <w:spacing w:after="0"/>
              <w:rPr>
                <w:sz w:val="11"/>
                <w:szCs w:val="11"/>
                <w:color w:val="auto"/>
              </w:rPr>
            </w:pPr>
          </w:p>
        </w:tc>
        <w:tc>
          <w:tcPr>
            <w:tcW w:w="420" w:type="dxa"/>
            <w:vAlign w:val="bottom"/>
            <w:tcBorders>
              <w:bottom w:val="single" w:sz="8" w:color="auto"/>
              <w:right w:val="single" w:sz="8" w:color="auto"/>
            </w:tcBorders>
          </w:tcPr>
          <w:p>
            <w:pPr>
              <w:spacing w:after="0"/>
              <w:rPr>
                <w:sz w:val="11"/>
                <w:szCs w:val="11"/>
                <w:color w:val="auto"/>
              </w:rPr>
            </w:pPr>
          </w:p>
        </w:tc>
        <w:tc>
          <w:tcPr>
            <w:tcW w:w="4680" w:type="dxa"/>
            <w:vAlign w:val="bottom"/>
            <w:tcBorders>
              <w:bottom w:val="single" w:sz="8" w:color="auto"/>
            </w:tcBorders>
            <w:gridSpan w:val="4"/>
          </w:tcPr>
          <w:p>
            <w:pPr>
              <w:jc w:val="center"/>
              <w:ind w:left="338"/>
              <w:spacing w:after="0"/>
              <w:rPr>
                <w:sz w:val="20"/>
                <w:szCs w:val="20"/>
                <w:color w:val="auto"/>
              </w:rPr>
            </w:pPr>
            <w:r>
              <w:rPr>
                <w:rFonts w:ascii="Arial" w:cs="Arial" w:eastAsia="Arial" w:hAnsi="Arial"/>
                <w:sz w:val="11"/>
                <w:szCs w:val="11"/>
                <w:color w:val="auto"/>
                <w:w w:val="96"/>
              </w:rPr>
              <w:t>June 2013 for old affiliates who have chosen this commission scheme.</w:t>
            </w:r>
          </w:p>
        </w:tc>
        <w:tc>
          <w:tcPr>
            <w:tcW w:w="460" w:type="dxa"/>
            <w:vAlign w:val="bottom"/>
            <w:tcBorders>
              <w:bottom w:val="single" w:sz="8" w:color="auto"/>
              <w:right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222"/>
        </w:trPr>
        <w:tc>
          <w:tcPr>
            <w:tcW w:w="2320" w:type="dxa"/>
            <w:vAlign w:val="bottom"/>
          </w:tcPr>
          <w:p>
            <w:pPr>
              <w:spacing w:after="0"/>
              <w:rPr>
                <w:sz w:val="20"/>
                <w:szCs w:val="20"/>
                <w:color w:val="auto"/>
              </w:rPr>
            </w:pPr>
            <w:r>
              <w:rPr>
                <w:rFonts w:ascii="Arial" w:cs="Arial" w:eastAsia="Arial" w:hAnsi="Arial"/>
                <w:sz w:val="16"/>
                <w:szCs w:val="16"/>
                <w:b w:val="1"/>
                <w:bCs w:val="1"/>
                <w:color w:val="auto"/>
              </w:rPr>
              <w:t>Main indicators</w:t>
            </w:r>
          </w:p>
        </w:tc>
        <w:tc>
          <w:tcPr>
            <w:tcW w:w="4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154"/>
        </w:trPr>
        <w:tc>
          <w:tcPr>
            <w:tcW w:w="23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r>
      <w:tr>
        <w:trPr>
          <w:trHeight w:val="129"/>
        </w:trPr>
        <w:tc>
          <w:tcPr>
            <w:tcW w:w="2320" w:type="dxa"/>
            <w:vAlign w:val="bottom"/>
            <w:tcBorders>
              <w:left w:val="single" w:sz="8" w:color="auto"/>
            </w:tcBorders>
            <w:shd w:val="clear" w:color="auto" w:fill="33CCCC"/>
          </w:tcPr>
          <w:p>
            <w:pPr>
              <w:ind w:left="20"/>
              <w:spacing w:after="0" w:line="129" w:lineRule="exact"/>
              <w:rPr>
                <w:sz w:val="20"/>
                <w:szCs w:val="20"/>
                <w:color w:val="auto"/>
              </w:rPr>
            </w:pPr>
            <w:r>
              <w:rPr>
                <w:rFonts w:ascii="Arial" w:cs="Arial" w:eastAsia="Arial" w:hAnsi="Arial"/>
                <w:sz w:val="13"/>
                <w:szCs w:val="13"/>
                <w:b w:val="1"/>
                <w:bCs w:val="1"/>
                <w:color w:val="FFFFFF"/>
              </w:rPr>
              <w:t>Main indicators and market share</w:t>
            </w:r>
          </w:p>
        </w:tc>
        <w:tc>
          <w:tcPr>
            <w:tcW w:w="420" w:type="dxa"/>
            <w:vAlign w:val="bottom"/>
            <w:tcBorders>
              <w:right w:val="single" w:sz="8" w:color="auto"/>
            </w:tcBorders>
            <w:shd w:val="clear" w:color="auto" w:fill="33CCCC"/>
          </w:tcPr>
          <w:p>
            <w:pPr>
              <w:spacing w:after="0"/>
              <w:rPr>
                <w:sz w:val="11"/>
                <w:szCs w:val="11"/>
                <w:color w:val="auto"/>
              </w:rPr>
            </w:pPr>
          </w:p>
        </w:tc>
        <w:tc>
          <w:tcPr>
            <w:tcW w:w="1840" w:type="dxa"/>
            <w:vAlign w:val="bottom"/>
            <w:shd w:val="clear" w:color="auto" w:fill="33CCCC"/>
          </w:tcPr>
          <w:p>
            <w:pPr>
              <w:ind w:left="620"/>
              <w:spacing w:after="0" w:line="129" w:lineRule="exact"/>
              <w:rPr>
                <w:sz w:val="20"/>
                <w:szCs w:val="20"/>
                <w:color w:val="auto"/>
              </w:rPr>
            </w:pPr>
            <w:r>
              <w:rPr>
                <w:rFonts w:ascii="Arial" w:cs="Arial" w:eastAsia="Arial" w:hAnsi="Arial"/>
                <w:sz w:val="13"/>
                <w:szCs w:val="13"/>
                <w:b w:val="1"/>
                <w:bCs w:val="1"/>
                <w:color w:val="FFFFFF"/>
              </w:rPr>
              <w:t>Prima</w:t>
            </w:r>
          </w:p>
        </w:tc>
        <w:tc>
          <w:tcPr>
            <w:tcW w:w="1500" w:type="dxa"/>
            <w:vAlign w:val="bottom"/>
            <w:shd w:val="clear" w:color="auto" w:fill="33CCCC"/>
          </w:tcPr>
          <w:p>
            <w:pPr>
              <w:jc w:val="right"/>
              <w:ind w:right="674"/>
              <w:spacing w:after="0" w:line="129" w:lineRule="exact"/>
              <w:rPr>
                <w:sz w:val="20"/>
                <w:szCs w:val="20"/>
                <w:color w:val="auto"/>
              </w:rPr>
            </w:pPr>
            <w:r>
              <w:rPr>
                <w:rFonts w:ascii="Arial" w:cs="Arial" w:eastAsia="Arial" w:hAnsi="Arial"/>
                <w:sz w:val="13"/>
                <w:szCs w:val="13"/>
                <w:b w:val="1"/>
                <w:bCs w:val="1"/>
                <w:color w:val="FFFFFF"/>
              </w:rPr>
              <w:t>System</w:t>
            </w:r>
          </w:p>
        </w:tc>
        <w:tc>
          <w:tcPr>
            <w:tcW w:w="1060" w:type="dxa"/>
            <w:vAlign w:val="bottom"/>
            <w:tcBorders>
              <w:right w:val="single" w:sz="8" w:color="auto"/>
            </w:tcBorders>
            <w:shd w:val="clear" w:color="auto" w:fill="33CCCC"/>
          </w:tcPr>
          <w:p>
            <w:pPr>
              <w:jc w:val="right"/>
              <w:ind w:right="294"/>
              <w:spacing w:after="0" w:line="129" w:lineRule="exact"/>
              <w:rPr>
                <w:sz w:val="20"/>
                <w:szCs w:val="20"/>
                <w:color w:val="auto"/>
              </w:rPr>
            </w:pPr>
            <w:r>
              <w:rPr>
                <w:rFonts w:ascii="Arial" w:cs="Arial" w:eastAsia="Arial" w:hAnsi="Arial"/>
                <w:sz w:val="13"/>
                <w:szCs w:val="13"/>
                <w:b w:val="1"/>
                <w:bCs w:val="1"/>
                <w:color w:val="FFFFFF"/>
              </w:rPr>
              <w:t>% share</w:t>
            </w:r>
          </w:p>
        </w:tc>
        <w:tc>
          <w:tcPr>
            <w:tcW w:w="280" w:type="dxa"/>
            <w:vAlign w:val="bottom"/>
            <w:shd w:val="clear" w:color="auto" w:fill="33CCCC"/>
          </w:tcPr>
          <w:p>
            <w:pPr>
              <w:spacing w:after="0"/>
              <w:rPr>
                <w:sz w:val="11"/>
                <w:szCs w:val="11"/>
                <w:color w:val="auto"/>
              </w:rPr>
            </w:pPr>
          </w:p>
        </w:tc>
        <w:tc>
          <w:tcPr>
            <w:tcW w:w="840" w:type="dxa"/>
            <w:vAlign w:val="bottom"/>
            <w:gridSpan w:val="2"/>
            <w:shd w:val="clear" w:color="auto" w:fill="33CCCC"/>
          </w:tcPr>
          <w:p>
            <w:pPr>
              <w:ind w:left="40"/>
              <w:spacing w:after="0" w:line="129" w:lineRule="exact"/>
              <w:rPr>
                <w:sz w:val="20"/>
                <w:szCs w:val="20"/>
                <w:color w:val="auto"/>
              </w:rPr>
            </w:pPr>
            <w:r>
              <w:rPr>
                <w:rFonts w:ascii="Arial" w:cs="Arial" w:eastAsia="Arial" w:hAnsi="Arial"/>
                <w:sz w:val="13"/>
                <w:szCs w:val="13"/>
                <w:b w:val="1"/>
                <w:bCs w:val="1"/>
                <w:color w:val="FFFFFF"/>
              </w:rPr>
              <w:t>Prima</w:t>
            </w:r>
          </w:p>
        </w:tc>
        <w:tc>
          <w:tcPr>
            <w:tcW w:w="980" w:type="dxa"/>
            <w:vAlign w:val="bottom"/>
            <w:shd w:val="clear" w:color="auto" w:fill="33CCCC"/>
          </w:tcPr>
          <w:p>
            <w:pPr>
              <w:jc w:val="right"/>
              <w:ind w:right="314"/>
              <w:spacing w:after="0" w:line="129" w:lineRule="exact"/>
              <w:rPr>
                <w:sz w:val="20"/>
                <w:szCs w:val="20"/>
                <w:color w:val="auto"/>
              </w:rPr>
            </w:pPr>
            <w:r>
              <w:rPr>
                <w:rFonts w:ascii="Arial" w:cs="Arial" w:eastAsia="Arial" w:hAnsi="Arial"/>
                <w:sz w:val="13"/>
                <w:szCs w:val="13"/>
                <w:b w:val="1"/>
                <w:bCs w:val="1"/>
                <w:color w:val="FFFFFF"/>
              </w:rPr>
              <w:t>System</w:t>
            </w:r>
          </w:p>
        </w:tc>
        <w:tc>
          <w:tcPr>
            <w:tcW w:w="900" w:type="dxa"/>
            <w:vAlign w:val="bottom"/>
            <w:tcBorders>
              <w:right w:val="single" w:sz="8" w:color="auto"/>
            </w:tcBorders>
            <w:shd w:val="clear" w:color="auto" w:fill="33CCCC"/>
          </w:tcPr>
          <w:p>
            <w:pPr>
              <w:jc w:val="right"/>
              <w:ind w:right="194"/>
              <w:spacing w:after="0" w:line="129" w:lineRule="exact"/>
              <w:rPr>
                <w:sz w:val="20"/>
                <w:szCs w:val="20"/>
                <w:color w:val="auto"/>
              </w:rPr>
            </w:pPr>
            <w:r>
              <w:rPr>
                <w:rFonts w:ascii="Arial" w:cs="Arial" w:eastAsia="Arial" w:hAnsi="Arial"/>
                <w:sz w:val="13"/>
                <w:szCs w:val="13"/>
                <w:b w:val="1"/>
                <w:bCs w:val="1"/>
                <w:color w:val="FFFFFF"/>
              </w:rPr>
              <w:t>% share</w:t>
            </w:r>
          </w:p>
        </w:tc>
      </w:tr>
      <w:tr>
        <w:trPr>
          <w:trHeight w:val="160"/>
        </w:trPr>
        <w:tc>
          <w:tcPr>
            <w:tcW w:w="2320" w:type="dxa"/>
            <w:vAlign w:val="bottom"/>
            <w:tcBorders>
              <w:left w:val="single" w:sz="8" w:color="auto"/>
              <w:bottom w:val="single" w:sz="8" w:color="auto"/>
            </w:tcBorders>
            <w:shd w:val="clear" w:color="auto" w:fill="33CCCC"/>
          </w:tcPr>
          <w:p>
            <w:pPr>
              <w:spacing w:after="0"/>
              <w:rPr>
                <w:sz w:val="13"/>
                <w:szCs w:val="13"/>
                <w:color w:val="auto"/>
              </w:rPr>
            </w:pPr>
          </w:p>
        </w:tc>
        <w:tc>
          <w:tcPr>
            <w:tcW w:w="420" w:type="dxa"/>
            <w:vAlign w:val="bottom"/>
            <w:tcBorders>
              <w:bottom w:val="single" w:sz="8" w:color="auto"/>
              <w:right w:val="single" w:sz="8" w:color="auto"/>
            </w:tcBorders>
            <w:shd w:val="clear" w:color="auto" w:fill="33CCCC"/>
          </w:tcPr>
          <w:p>
            <w:pPr>
              <w:spacing w:after="0"/>
              <w:rPr>
                <w:sz w:val="13"/>
                <w:szCs w:val="13"/>
                <w:color w:val="auto"/>
              </w:rPr>
            </w:pPr>
          </w:p>
        </w:tc>
        <w:tc>
          <w:tcPr>
            <w:tcW w:w="1840" w:type="dxa"/>
            <w:vAlign w:val="bottom"/>
            <w:tcBorders>
              <w:bottom w:val="single" w:sz="8" w:color="auto"/>
            </w:tcBorders>
            <w:shd w:val="clear" w:color="auto" w:fill="33CCCC"/>
          </w:tcPr>
          <w:p>
            <w:pPr>
              <w:ind w:left="620"/>
              <w:spacing w:after="0"/>
              <w:rPr>
                <w:sz w:val="20"/>
                <w:szCs w:val="20"/>
                <w:color w:val="auto"/>
              </w:rPr>
            </w:pPr>
            <w:r>
              <w:rPr>
                <w:rFonts w:ascii="Arial" w:cs="Arial" w:eastAsia="Arial" w:hAnsi="Arial"/>
                <w:sz w:val="13"/>
                <w:szCs w:val="13"/>
                <w:b w:val="1"/>
                <w:bCs w:val="1"/>
                <w:color w:val="FFFFFF"/>
              </w:rPr>
              <w:t>2Q23</w:t>
            </w:r>
          </w:p>
        </w:tc>
        <w:tc>
          <w:tcPr>
            <w:tcW w:w="1500" w:type="dxa"/>
            <w:vAlign w:val="bottom"/>
            <w:tcBorders>
              <w:bottom w:val="single" w:sz="8" w:color="auto"/>
            </w:tcBorders>
            <w:shd w:val="clear" w:color="auto" w:fill="33CCCC"/>
          </w:tcPr>
          <w:p>
            <w:pPr>
              <w:jc w:val="right"/>
              <w:ind w:right="754"/>
              <w:spacing w:after="0"/>
              <w:rPr>
                <w:sz w:val="20"/>
                <w:szCs w:val="20"/>
                <w:color w:val="auto"/>
              </w:rPr>
            </w:pPr>
            <w:r>
              <w:rPr>
                <w:rFonts w:ascii="Arial" w:cs="Arial" w:eastAsia="Arial" w:hAnsi="Arial"/>
                <w:sz w:val="13"/>
                <w:szCs w:val="13"/>
                <w:b w:val="1"/>
                <w:bCs w:val="1"/>
                <w:color w:val="FFFFFF"/>
              </w:rPr>
              <w:t>2Q23</w:t>
            </w:r>
          </w:p>
        </w:tc>
        <w:tc>
          <w:tcPr>
            <w:tcW w:w="1060" w:type="dxa"/>
            <w:vAlign w:val="bottom"/>
            <w:tcBorders>
              <w:bottom w:val="single" w:sz="8" w:color="auto"/>
              <w:right w:val="single" w:sz="8" w:color="auto"/>
            </w:tcBorders>
            <w:shd w:val="clear" w:color="auto" w:fill="33CCCC"/>
          </w:tcPr>
          <w:p>
            <w:pPr>
              <w:jc w:val="right"/>
              <w:ind w:right="414"/>
              <w:spacing w:after="0"/>
              <w:rPr>
                <w:sz w:val="20"/>
                <w:szCs w:val="20"/>
                <w:color w:val="auto"/>
              </w:rPr>
            </w:pPr>
            <w:r>
              <w:rPr>
                <w:rFonts w:ascii="Arial" w:cs="Arial" w:eastAsia="Arial" w:hAnsi="Arial"/>
                <w:sz w:val="13"/>
                <w:szCs w:val="13"/>
                <w:b w:val="1"/>
                <w:bCs w:val="1"/>
                <w:color w:val="FFFFFF"/>
              </w:rPr>
              <w:t>2Q23</w:t>
            </w:r>
          </w:p>
        </w:tc>
        <w:tc>
          <w:tcPr>
            <w:tcW w:w="280" w:type="dxa"/>
            <w:vAlign w:val="bottom"/>
            <w:tcBorders>
              <w:bottom w:val="single" w:sz="8" w:color="auto"/>
            </w:tcBorders>
            <w:shd w:val="clear" w:color="auto" w:fill="33CCCC"/>
          </w:tcPr>
          <w:p>
            <w:pPr>
              <w:spacing w:after="0"/>
              <w:rPr>
                <w:sz w:val="13"/>
                <w:szCs w:val="13"/>
                <w:color w:val="auto"/>
              </w:rPr>
            </w:pPr>
          </w:p>
        </w:tc>
        <w:tc>
          <w:tcPr>
            <w:tcW w:w="840" w:type="dxa"/>
            <w:vAlign w:val="bottom"/>
            <w:tcBorders>
              <w:bottom w:val="single" w:sz="8" w:color="auto"/>
            </w:tcBorders>
            <w:gridSpan w:val="2"/>
            <w:shd w:val="clear" w:color="auto" w:fill="33CCCC"/>
          </w:tcPr>
          <w:p>
            <w:pPr>
              <w:ind w:left="40"/>
              <w:spacing w:after="0"/>
              <w:rPr>
                <w:sz w:val="20"/>
                <w:szCs w:val="20"/>
                <w:color w:val="auto"/>
              </w:rPr>
            </w:pPr>
            <w:r>
              <w:rPr>
                <w:rFonts w:ascii="Arial" w:cs="Arial" w:eastAsia="Arial" w:hAnsi="Arial"/>
                <w:sz w:val="13"/>
                <w:szCs w:val="13"/>
                <w:b w:val="1"/>
                <w:bCs w:val="1"/>
                <w:color w:val="FFFFFF"/>
              </w:rPr>
              <w:t>3Q23</w:t>
            </w:r>
          </w:p>
        </w:tc>
        <w:tc>
          <w:tcPr>
            <w:tcW w:w="980" w:type="dxa"/>
            <w:vAlign w:val="bottom"/>
            <w:tcBorders>
              <w:bottom w:val="single" w:sz="8" w:color="auto"/>
            </w:tcBorders>
            <w:shd w:val="clear" w:color="auto" w:fill="33CCCC"/>
          </w:tcPr>
          <w:p>
            <w:pPr>
              <w:jc w:val="right"/>
              <w:ind w:right="394"/>
              <w:spacing w:after="0"/>
              <w:rPr>
                <w:sz w:val="20"/>
                <w:szCs w:val="20"/>
                <w:color w:val="auto"/>
              </w:rPr>
            </w:pPr>
            <w:r>
              <w:rPr>
                <w:rFonts w:ascii="Arial" w:cs="Arial" w:eastAsia="Arial" w:hAnsi="Arial"/>
                <w:sz w:val="13"/>
                <w:szCs w:val="13"/>
                <w:b w:val="1"/>
                <w:bCs w:val="1"/>
                <w:color w:val="FFFFFF"/>
              </w:rPr>
              <w:t>3Q23</w:t>
            </w:r>
          </w:p>
        </w:tc>
        <w:tc>
          <w:tcPr>
            <w:tcW w:w="900" w:type="dxa"/>
            <w:vAlign w:val="bottom"/>
            <w:tcBorders>
              <w:bottom w:val="single" w:sz="8" w:color="auto"/>
              <w:right w:val="single" w:sz="8" w:color="auto"/>
            </w:tcBorders>
            <w:shd w:val="clear" w:color="auto" w:fill="33CCCC"/>
          </w:tcPr>
          <w:p>
            <w:pPr>
              <w:jc w:val="right"/>
              <w:ind w:right="294"/>
              <w:spacing w:after="0"/>
              <w:rPr>
                <w:sz w:val="20"/>
                <w:szCs w:val="20"/>
                <w:color w:val="auto"/>
              </w:rPr>
            </w:pPr>
            <w:r>
              <w:rPr>
                <w:rFonts w:ascii="Arial" w:cs="Arial" w:eastAsia="Arial" w:hAnsi="Arial"/>
                <w:sz w:val="13"/>
                <w:szCs w:val="13"/>
                <w:b w:val="1"/>
                <w:bCs w:val="1"/>
                <w:color w:val="FFFFFF"/>
              </w:rPr>
              <w:t>3Q23</w:t>
            </w:r>
          </w:p>
        </w:tc>
      </w:tr>
      <w:tr>
        <w:trPr>
          <w:trHeight w:val="137"/>
        </w:trPr>
        <w:tc>
          <w:tcPr>
            <w:tcW w:w="2320" w:type="dxa"/>
            <w:vAlign w:val="bottom"/>
            <w:tcBorders>
              <w:left w:val="single" w:sz="8" w:color="auto"/>
            </w:tcBorders>
          </w:tcPr>
          <w:p>
            <w:pPr>
              <w:ind w:left="20"/>
              <w:spacing w:after="0" w:line="138" w:lineRule="exact"/>
              <w:rPr>
                <w:sz w:val="20"/>
                <w:szCs w:val="20"/>
                <w:color w:val="auto"/>
              </w:rPr>
            </w:pPr>
            <w:r>
              <w:rPr>
                <w:rFonts w:ascii="Arial" w:cs="Arial" w:eastAsia="Arial" w:hAnsi="Arial"/>
                <w:sz w:val="13"/>
                <w:szCs w:val="13"/>
                <w:color w:val="auto"/>
              </w:rPr>
              <w:t>Affiliates</w:t>
            </w:r>
          </w:p>
        </w:tc>
        <w:tc>
          <w:tcPr>
            <w:tcW w:w="420" w:type="dxa"/>
            <w:vAlign w:val="bottom"/>
            <w:tcBorders>
              <w:right w:val="single" w:sz="8" w:color="auto"/>
            </w:tcBorders>
          </w:tcPr>
          <w:p>
            <w:pPr>
              <w:spacing w:after="0"/>
              <w:rPr>
                <w:sz w:val="11"/>
                <w:szCs w:val="11"/>
                <w:color w:val="auto"/>
              </w:rPr>
            </w:pPr>
          </w:p>
        </w:tc>
        <w:tc>
          <w:tcPr>
            <w:tcW w:w="1840" w:type="dxa"/>
            <w:vAlign w:val="bottom"/>
          </w:tcPr>
          <w:p>
            <w:pPr>
              <w:jc w:val="right"/>
              <w:ind w:right="218"/>
              <w:spacing w:after="0" w:line="138" w:lineRule="exact"/>
              <w:rPr>
                <w:sz w:val="20"/>
                <w:szCs w:val="20"/>
                <w:color w:val="auto"/>
              </w:rPr>
            </w:pPr>
            <w:r>
              <w:rPr>
                <w:rFonts w:ascii="Arial" w:cs="Arial" w:eastAsia="Arial" w:hAnsi="Arial"/>
                <w:sz w:val="13"/>
                <w:szCs w:val="13"/>
                <w:color w:val="auto"/>
              </w:rPr>
              <w:t>2,341,661</w:t>
            </w:r>
          </w:p>
        </w:tc>
        <w:tc>
          <w:tcPr>
            <w:tcW w:w="1500" w:type="dxa"/>
            <w:vAlign w:val="bottom"/>
          </w:tcPr>
          <w:p>
            <w:pPr>
              <w:jc w:val="right"/>
              <w:ind w:right="134"/>
              <w:spacing w:after="0" w:line="138" w:lineRule="exact"/>
              <w:rPr>
                <w:sz w:val="20"/>
                <w:szCs w:val="20"/>
                <w:color w:val="auto"/>
              </w:rPr>
            </w:pPr>
            <w:r>
              <w:rPr>
                <w:rFonts w:ascii="Arial" w:cs="Arial" w:eastAsia="Arial" w:hAnsi="Arial"/>
                <w:sz w:val="13"/>
                <w:szCs w:val="13"/>
                <w:color w:val="auto"/>
              </w:rPr>
              <w:t>9,063,654</w:t>
            </w:r>
          </w:p>
        </w:tc>
        <w:tc>
          <w:tcPr>
            <w:tcW w:w="1060" w:type="dxa"/>
            <w:vAlign w:val="bottom"/>
            <w:tcBorders>
              <w:right w:val="single" w:sz="8" w:color="auto"/>
            </w:tcBorders>
          </w:tcPr>
          <w:p>
            <w:pPr>
              <w:jc w:val="right"/>
              <w:spacing w:after="0" w:line="138" w:lineRule="exact"/>
              <w:rPr>
                <w:sz w:val="20"/>
                <w:szCs w:val="20"/>
                <w:color w:val="auto"/>
              </w:rPr>
            </w:pPr>
            <w:r>
              <w:rPr>
                <w:rFonts w:ascii="Arial" w:cs="Arial" w:eastAsia="Arial" w:hAnsi="Arial"/>
                <w:sz w:val="13"/>
                <w:szCs w:val="13"/>
                <w:color w:val="auto"/>
              </w:rPr>
              <w:t>25.8%</w:t>
            </w:r>
          </w:p>
        </w:tc>
        <w:tc>
          <w:tcPr>
            <w:tcW w:w="280" w:type="dxa"/>
            <w:vAlign w:val="bottom"/>
          </w:tcPr>
          <w:p>
            <w:pPr>
              <w:spacing w:after="0"/>
              <w:rPr>
                <w:sz w:val="11"/>
                <w:szCs w:val="11"/>
                <w:color w:val="auto"/>
              </w:rPr>
            </w:pPr>
          </w:p>
        </w:tc>
        <w:tc>
          <w:tcPr>
            <w:tcW w:w="840" w:type="dxa"/>
            <w:vAlign w:val="bottom"/>
            <w:gridSpan w:val="2"/>
          </w:tcPr>
          <w:p>
            <w:pPr>
              <w:jc w:val="right"/>
              <w:ind w:right="160"/>
              <w:spacing w:after="0" w:line="138" w:lineRule="exact"/>
              <w:rPr>
                <w:sz w:val="20"/>
                <w:szCs w:val="20"/>
                <w:color w:val="auto"/>
              </w:rPr>
            </w:pPr>
            <w:r>
              <w:rPr>
                <w:rFonts w:ascii="Arial" w:cs="Arial" w:eastAsia="Arial" w:hAnsi="Arial"/>
                <w:sz w:val="13"/>
                <w:szCs w:val="13"/>
                <w:color w:val="auto"/>
              </w:rPr>
              <w:t>2,342,210</w:t>
            </w:r>
          </w:p>
        </w:tc>
        <w:tc>
          <w:tcPr>
            <w:tcW w:w="980" w:type="dxa"/>
            <w:vAlign w:val="bottom"/>
          </w:tcPr>
          <w:p>
            <w:pPr>
              <w:jc w:val="right"/>
              <w:ind w:right="54"/>
              <w:spacing w:after="0" w:line="138" w:lineRule="exact"/>
              <w:rPr>
                <w:sz w:val="20"/>
                <w:szCs w:val="20"/>
                <w:color w:val="auto"/>
              </w:rPr>
            </w:pPr>
            <w:r>
              <w:rPr>
                <w:rFonts w:ascii="Arial" w:cs="Arial" w:eastAsia="Arial" w:hAnsi="Arial"/>
                <w:sz w:val="13"/>
                <w:szCs w:val="13"/>
                <w:color w:val="auto"/>
              </w:rPr>
              <w:t>9,183,319</w:t>
            </w:r>
          </w:p>
        </w:tc>
        <w:tc>
          <w:tcPr>
            <w:tcW w:w="900" w:type="dxa"/>
            <w:vAlign w:val="bottom"/>
            <w:tcBorders>
              <w:right w:val="single" w:sz="8" w:color="auto"/>
            </w:tcBorders>
          </w:tcPr>
          <w:p>
            <w:pPr>
              <w:jc w:val="right"/>
              <w:spacing w:after="0" w:line="138" w:lineRule="exact"/>
              <w:rPr>
                <w:sz w:val="20"/>
                <w:szCs w:val="20"/>
                <w:color w:val="auto"/>
              </w:rPr>
            </w:pPr>
            <w:r>
              <w:rPr>
                <w:rFonts w:ascii="Arial" w:cs="Arial" w:eastAsia="Arial" w:hAnsi="Arial"/>
                <w:sz w:val="13"/>
                <w:szCs w:val="13"/>
                <w:color w:val="auto"/>
              </w:rPr>
              <w:t>25.5%</w:t>
            </w:r>
          </w:p>
        </w:tc>
      </w:tr>
      <w:tr>
        <w:trPr>
          <w:trHeight w:val="148"/>
        </w:trPr>
        <w:tc>
          <w:tcPr>
            <w:tcW w:w="232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3"/>
                <w:szCs w:val="13"/>
                <w:color w:val="auto"/>
              </w:rPr>
              <w:t>New affiliations (1)</w:t>
            </w:r>
          </w:p>
        </w:tc>
        <w:tc>
          <w:tcPr>
            <w:tcW w:w="420" w:type="dxa"/>
            <w:vAlign w:val="bottom"/>
            <w:tcBorders>
              <w:right w:val="single" w:sz="8" w:color="auto"/>
            </w:tcBorders>
          </w:tcPr>
          <w:p>
            <w:pPr>
              <w:spacing w:after="0"/>
              <w:rPr>
                <w:sz w:val="12"/>
                <w:szCs w:val="12"/>
                <w:color w:val="auto"/>
              </w:rPr>
            </w:pPr>
          </w:p>
        </w:tc>
        <w:tc>
          <w:tcPr>
            <w:tcW w:w="1840" w:type="dxa"/>
            <w:vAlign w:val="bottom"/>
          </w:tcPr>
          <w:p>
            <w:pPr>
              <w:jc w:val="right"/>
              <w:ind w:right="218"/>
              <w:spacing w:after="0" w:line="149" w:lineRule="exact"/>
              <w:rPr>
                <w:sz w:val="20"/>
                <w:szCs w:val="20"/>
                <w:color w:val="auto"/>
              </w:rPr>
            </w:pPr>
            <w:r>
              <w:rPr>
                <w:rFonts w:ascii="Arial" w:cs="Arial" w:eastAsia="Arial" w:hAnsi="Arial"/>
                <w:sz w:val="13"/>
                <w:szCs w:val="13"/>
                <w:color w:val="auto"/>
              </w:rPr>
              <w:t>-</w:t>
            </w:r>
          </w:p>
        </w:tc>
        <w:tc>
          <w:tcPr>
            <w:tcW w:w="1500" w:type="dxa"/>
            <w:vAlign w:val="bottom"/>
          </w:tcPr>
          <w:p>
            <w:pPr>
              <w:jc w:val="right"/>
              <w:ind w:right="134"/>
              <w:spacing w:after="0" w:line="149" w:lineRule="exact"/>
              <w:rPr>
                <w:sz w:val="20"/>
                <w:szCs w:val="20"/>
                <w:color w:val="auto"/>
              </w:rPr>
            </w:pPr>
            <w:r>
              <w:rPr>
                <w:rFonts w:ascii="Arial" w:cs="Arial" w:eastAsia="Arial" w:hAnsi="Arial"/>
                <w:sz w:val="13"/>
                <w:szCs w:val="13"/>
                <w:color w:val="auto"/>
              </w:rPr>
              <w:t>118,899</w:t>
            </w:r>
          </w:p>
        </w:tc>
        <w:tc>
          <w:tcPr>
            <w:tcW w:w="106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3"/>
                <w:szCs w:val="13"/>
                <w:color w:val="auto"/>
              </w:rPr>
              <w:t>0.0%</w:t>
            </w:r>
          </w:p>
        </w:tc>
        <w:tc>
          <w:tcPr>
            <w:tcW w:w="28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3"/>
                <w:szCs w:val="13"/>
                <w:color w:val="auto"/>
              </w:rPr>
              <w:t>-</w:t>
            </w:r>
          </w:p>
        </w:tc>
        <w:tc>
          <w:tcPr>
            <w:tcW w:w="980" w:type="dxa"/>
            <w:vAlign w:val="bottom"/>
          </w:tcPr>
          <w:p>
            <w:pPr>
              <w:jc w:val="right"/>
              <w:ind w:right="54"/>
              <w:spacing w:after="0" w:line="149" w:lineRule="exact"/>
              <w:rPr>
                <w:sz w:val="20"/>
                <w:szCs w:val="20"/>
                <w:color w:val="auto"/>
              </w:rPr>
            </w:pPr>
            <w:r>
              <w:rPr>
                <w:rFonts w:ascii="Arial" w:cs="Arial" w:eastAsia="Arial" w:hAnsi="Arial"/>
                <w:sz w:val="13"/>
                <w:szCs w:val="13"/>
                <w:color w:val="auto"/>
              </w:rPr>
              <w:t>123,295</w:t>
            </w:r>
          </w:p>
        </w:tc>
        <w:tc>
          <w:tcPr>
            <w:tcW w:w="90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3"/>
                <w:szCs w:val="13"/>
                <w:color w:val="auto"/>
              </w:rPr>
              <w:t>0.0%</w:t>
            </w:r>
          </w:p>
        </w:tc>
      </w:tr>
      <w:tr>
        <w:trPr>
          <w:trHeight w:val="148"/>
        </w:trPr>
        <w:tc>
          <w:tcPr>
            <w:tcW w:w="232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3"/>
                <w:szCs w:val="13"/>
                <w:color w:val="auto"/>
              </w:rPr>
              <w:t>Funds under management (S/ Millions)</w:t>
            </w:r>
          </w:p>
        </w:tc>
        <w:tc>
          <w:tcPr>
            <w:tcW w:w="420" w:type="dxa"/>
            <w:vAlign w:val="bottom"/>
            <w:tcBorders>
              <w:right w:val="single" w:sz="8" w:color="auto"/>
            </w:tcBorders>
          </w:tcPr>
          <w:p>
            <w:pPr>
              <w:spacing w:after="0"/>
              <w:rPr>
                <w:sz w:val="12"/>
                <w:szCs w:val="12"/>
                <w:color w:val="auto"/>
              </w:rPr>
            </w:pPr>
          </w:p>
        </w:tc>
        <w:tc>
          <w:tcPr>
            <w:tcW w:w="1840" w:type="dxa"/>
            <w:vAlign w:val="bottom"/>
          </w:tcPr>
          <w:p>
            <w:pPr>
              <w:jc w:val="right"/>
              <w:ind w:right="218"/>
              <w:spacing w:after="0" w:line="149" w:lineRule="exact"/>
              <w:rPr>
                <w:sz w:val="20"/>
                <w:szCs w:val="20"/>
                <w:color w:val="auto"/>
              </w:rPr>
            </w:pPr>
            <w:r>
              <w:rPr>
                <w:rFonts w:ascii="Arial" w:cs="Arial" w:eastAsia="Arial" w:hAnsi="Arial"/>
                <w:sz w:val="13"/>
                <w:szCs w:val="13"/>
                <w:color w:val="auto"/>
              </w:rPr>
              <w:t>33,893</w:t>
            </w:r>
          </w:p>
        </w:tc>
        <w:tc>
          <w:tcPr>
            <w:tcW w:w="1500" w:type="dxa"/>
            <w:vAlign w:val="bottom"/>
          </w:tcPr>
          <w:p>
            <w:pPr>
              <w:jc w:val="right"/>
              <w:ind w:right="134"/>
              <w:spacing w:after="0" w:line="149" w:lineRule="exact"/>
              <w:rPr>
                <w:sz w:val="20"/>
                <w:szCs w:val="20"/>
                <w:color w:val="auto"/>
              </w:rPr>
            </w:pPr>
            <w:r>
              <w:rPr>
                <w:rFonts w:ascii="Arial" w:cs="Arial" w:eastAsia="Arial" w:hAnsi="Arial"/>
                <w:sz w:val="13"/>
                <w:szCs w:val="13"/>
                <w:color w:val="auto"/>
              </w:rPr>
              <w:t>112,828</w:t>
            </w:r>
          </w:p>
        </w:tc>
        <w:tc>
          <w:tcPr>
            <w:tcW w:w="106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3"/>
                <w:szCs w:val="13"/>
                <w:color w:val="auto"/>
              </w:rPr>
              <w:t>30.0%</w:t>
            </w:r>
          </w:p>
        </w:tc>
        <w:tc>
          <w:tcPr>
            <w:tcW w:w="28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3"/>
                <w:szCs w:val="13"/>
                <w:color w:val="auto"/>
              </w:rPr>
              <w:t>34,655</w:t>
            </w:r>
          </w:p>
        </w:tc>
        <w:tc>
          <w:tcPr>
            <w:tcW w:w="980" w:type="dxa"/>
            <w:vAlign w:val="bottom"/>
          </w:tcPr>
          <w:p>
            <w:pPr>
              <w:jc w:val="right"/>
              <w:ind w:right="54"/>
              <w:spacing w:after="0" w:line="149" w:lineRule="exact"/>
              <w:rPr>
                <w:sz w:val="20"/>
                <w:szCs w:val="20"/>
                <w:color w:val="auto"/>
              </w:rPr>
            </w:pPr>
            <w:r>
              <w:rPr>
                <w:rFonts w:ascii="Arial" w:cs="Arial" w:eastAsia="Arial" w:hAnsi="Arial"/>
                <w:sz w:val="13"/>
                <w:szCs w:val="13"/>
                <w:color w:val="auto"/>
              </w:rPr>
              <w:t>115,565</w:t>
            </w:r>
          </w:p>
        </w:tc>
        <w:tc>
          <w:tcPr>
            <w:tcW w:w="90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3"/>
                <w:szCs w:val="13"/>
                <w:color w:val="auto"/>
              </w:rPr>
              <w:t>30.0%</w:t>
            </w:r>
          </w:p>
        </w:tc>
      </w:tr>
      <w:tr>
        <w:trPr>
          <w:trHeight w:val="148"/>
        </w:trPr>
        <w:tc>
          <w:tcPr>
            <w:tcW w:w="232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3"/>
                <w:szCs w:val="13"/>
                <w:color w:val="auto"/>
              </w:rPr>
              <w:t>Collections (S/ Millions)</w:t>
            </w:r>
          </w:p>
        </w:tc>
        <w:tc>
          <w:tcPr>
            <w:tcW w:w="420" w:type="dxa"/>
            <w:vAlign w:val="bottom"/>
            <w:tcBorders>
              <w:right w:val="single" w:sz="8" w:color="auto"/>
            </w:tcBorders>
          </w:tcPr>
          <w:p>
            <w:pPr>
              <w:spacing w:after="0"/>
              <w:rPr>
                <w:sz w:val="12"/>
                <w:szCs w:val="12"/>
                <w:color w:val="auto"/>
              </w:rPr>
            </w:pPr>
          </w:p>
        </w:tc>
        <w:tc>
          <w:tcPr>
            <w:tcW w:w="1840" w:type="dxa"/>
            <w:vAlign w:val="bottom"/>
          </w:tcPr>
          <w:p>
            <w:pPr>
              <w:jc w:val="right"/>
              <w:ind w:right="218"/>
              <w:spacing w:after="0" w:line="149" w:lineRule="exact"/>
              <w:rPr>
                <w:sz w:val="20"/>
                <w:szCs w:val="20"/>
                <w:color w:val="auto"/>
              </w:rPr>
            </w:pPr>
            <w:r>
              <w:rPr>
                <w:rFonts w:ascii="Arial" w:cs="Arial" w:eastAsia="Arial" w:hAnsi="Arial"/>
                <w:sz w:val="13"/>
                <w:szCs w:val="13"/>
                <w:color w:val="auto"/>
              </w:rPr>
              <w:t>995</w:t>
            </w:r>
          </w:p>
        </w:tc>
        <w:tc>
          <w:tcPr>
            <w:tcW w:w="1500" w:type="dxa"/>
            <w:vAlign w:val="bottom"/>
          </w:tcPr>
          <w:p>
            <w:pPr>
              <w:jc w:val="right"/>
              <w:ind w:right="134"/>
              <w:spacing w:after="0" w:line="149" w:lineRule="exact"/>
              <w:rPr>
                <w:sz w:val="20"/>
                <w:szCs w:val="20"/>
                <w:color w:val="auto"/>
              </w:rPr>
            </w:pPr>
            <w:r>
              <w:rPr>
                <w:rFonts w:ascii="Arial" w:cs="Arial" w:eastAsia="Arial" w:hAnsi="Arial"/>
                <w:sz w:val="13"/>
                <w:szCs w:val="13"/>
                <w:color w:val="auto"/>
              </w:rPr>
              <w:t>3,708</w:t>
            </w:r>
          </w:p>
        </w:tc>
        <w:tc>
          <w:tcPr>
            <w:tcW w:w="106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3"/>
                <w:szCs w:val="13"/>
                <w:color w:val="auto"/>
              </w:rPr>
              <w:t>26.8%</w:t>
            </w:r>
          </w:p>
        </w:tc>
        <w:tc>
          <w:tcPr>
            <w:tcW w:w="28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3"/>
                <w:szCs w:val="13"/>
                <w:color w:val="auto"/>
              </w:rPr>
              <w:t>997</w:t>
            </w:r>
          </w:p>
        </w:tc>
        <w:tc>
          <w:tcPr>
            <w:tcW w:w="980" w:type="dxa"/>
            <w:vAlign w:val="bottom"/>
          </w:tcPr>
          <w:p>
            <w:pPr>
              <w:jc w:val="right"/>
              <w:ind w:right="54"/>
              <w:spacing w:after="0" w:line="149" w:lineRule="exact"/>
              <w:rPr>
                <w:sz w:val="20"/>
                <w:szCs w:val="20"/>
                <w:color w:val="auto"/>
              </w:rPr>
            </w:pPr>
            <w:r>
              <w:rPr>
                <w:rFonts w:ascii="Arial" w:cs="Arial" w:eastAsia="Arial" w:hAnsi="Arial"/>
                <w:sz w:val="13"/>
                <w:szCs w:val="13"/>
                <w:color w:val="auto"/>
              </w:rPr>
              <w:t>3,690</w:t>
            </w:r>
          </w:p>
        </w:tc>
        <w:tc>
          <w:tcPr>
            <w:tcW w:w="90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3"/>
                <w:szCs w:val="13"/>
                <w:color w:val="auto"/>
              </w:rPr>
              <w:t>27.0%</w:t>
            </w:r>
          </w:p>
        </w:tc>
      </w:tr>
      <w:tr>
        <w:trPr>
          <w:trHeight w:val="148"/>
        </w:trPr>
        <w:tc>
          <w:tcPr>
            <w:tcW w:w="2320" w:type="dxa"/>
            <w:vAlign w:val="bottom"/>
            <w:tcBorders>
              <w:left w:val="single" w:sz="8" w:color="auto"/>
            </w:tcBorders>
          </w:tcPr>
          <w:p>
            <w:pPr>
              <w:ind w:left="20"/>
              <w:spacing w:after="0" w:line="149" w:lineRule="exact"/>
              <w:rPr>
                <w:sz w:val="20"/>
                <w:szCs w:val="20"/>
                <w:color w:val="auto"/>
              </w:rPr>
            </w:pPr>
            <w:r>
              <w:rPr>
                <w:rFonts w:ascii="Arial" w:cs="Arial" w:eastAsia="Arial" w:hAnsi="Arial"/>
                <w:sz w:val="13"/>
                <w:szCs w:val="13"/>
                <w:color w:val="auto"/>
              </w:rPr>
              <w:t>Voluntary contributions (S/ Millions) (2)</w:t>
            </w:r>
          </w:p>
        </w:tc>
        <w:tc>
          <w:tcPr>
            <w:tcW w:w="420" w:type="dxa"/>
            <w:vAlign w:val="bottom"/>
            <w:tcBorders>
              <w:right w:val="single" w:sz="8" w:color="auto"/>
            </w:tcBorders>
          </w:tcPr>
          <w:p>
            <w:pPr>
              <w:spacing w:after="0"/>
              <w:rPr>
                <w:sz w:val="12"/>
                <w:szCs w:val="12"/>
                <w:color w:val="auto"/>
              </w:rPr>
            </w:pPr>
          </w:p>
        </w:tc>
        <w:tc>
          <w:tcPr>
            <w:tcW w:w="1840" w:type="dxa"/>
            <w:vAlign w:val="bottom"/>
          </w:tcPr>
          <w:p>
            <w:pPr>
              <w:jc w:val="right"/>
              <w:ind w:right="218"/>
              <w:spacing w:after="0" w:line="149" w:lineRule="exact"/>
              <w:rPr>
                <w:sz w:val="20"/>
                <w:szCs w:val="20"/>
                <w:color w:val="auto"/>
              </w:rPr>
            </w:pPr>
            <w:r>
              <w:rPr>
                <w:rFonts w:ascii="Arial" w:cs="Arial" w:eastAsia="Arial" w:hAnsi="Arial"/>
                <w:sz w:val="13"/>
                <w:szCs w:val="13"/>
                <w:color w:val="auto"/>
              </w:rPr>
              <w:t>794</w:t>
            </w:r>
          </w:p>
        </w:tc>
        <w:tc>
          <w:tcPr>
            <w:tcW w:w="1500" w:type="dxa"/>
            <w:vAlign w:val="bottom"/>
          </w:tcPr>
          <w:p>
            <w:pPr>
              <w:jc w:val="right"/>
              <w:ind w:right="134"/>
              <w:spacing w:after="0" w:line="149" w:lineRule="exact"/>
              <w:rPr>
                <w:sz w:val="20"/>
                <w:szCs w:val="20"/>
                <w:color w:val="auto"/>
              </w:rPr>
            </w:pPr>
            <w:r>
              <w:rPr>
                <w:rFonts w:ascii="Arial" w:cs="Arial" w:eastAsia="Arial" w:hAnsi="Arial"/>
                <w:sz w:val="13"/>
                <w:szCs w:val="13"/>
                <w:color w:val="auto"/>
              </w:rPr>
              <w:t>1,984</w:t>
            </w:r>
          </w:p>
        </w:tc>
        <w:tc>
          <w:tcPr>
            <w:tcW w:w="106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3"/>
                <w:szCs w:val="13"/>
                <w:color w:val="auto"/>
              </w:rPr>
              <w:t>40.0%</w:t>
            </w:r>
          </w:p>
        </w:tc>
        <w:tc>
          <w:tcPr>
            <w:tcW w:w="28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3"/>
                <w:szCs w:val="13"/>
                <w:color w:val="auto"/>
              </w:rPr>
              <w:t>814</w:t>
            </w:r>
          </w:p>
        </w:tc>
        <w:tc>
          <w:tcPr>
            <w:tcW w:w="980" w:type="dxa"/>
            <w:vAlign w:val="bottom"/>
          </w:tcPr>
          <w:p>
            <w:pPr>
              <w:jc w:val="right"/>
              <w:ind w:right="54"/>
              <w:spacing w:after="0" w:line="149" w:lineRule="exact"/>
              <w:rPr>
                <w:sz w:val="20"/>
                <w:szCs w:val="20"/>
                <w:color w:val="auto"/>
              </w:rPr>
            </w:pPr>
            <w:r>
              <w:rPr>
                <w:rFonts w:ascii="Arial" w:cs="Arial" w:eastAsia="Arial" w:hAnsi="Arial"/>
                <w:sz w:val="13"/>
                <w:szCs w:val="13"/>
                <w:color w:val="auto"/>
              </w:rPr>
              <w:t>2,009</w:t>
            </w:r>
          </w:p>
        </w:tc>
        <w:tc>
          <w:tcPr>
            <w:tcW w:w="90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3"/>
                <w:szCs w:val="13"/>
                <w:color w:val="auto"/>
              </w:rPr>
              <w:t>40.5%</w:t>
            </w:r>
          </w:p>
        </w:tc>
      </w:tr>
      <w:tr>
        <w:trPr>
          <w:trHeight w:val="152"/>
        </w:trPr>
        <w:tc>
          <w:tcPr>
            <w:tcW w:w="232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RAM Flow (S/ Millions) (3)</w:t>
            </w:r>
          </w:p>
        </w:tc>
        <w:tc>
          <w:tcPr>
            <w:tcW w:w="420" w:type="dxa"/>
            <w:vAlign w:val="bottom"/>
            <w:tcBorders>
              <w:bottom w:val="single" w:sz="8" w:color="auto"/>
              <w:right w:val="single" w:sz="8" w:color="auto"/>
            </w:tcBorders>
          </w:tcPr>
          <w:p>
            <w:pPr>
              <w:spacing w:after="0"/>
              <w:rPr>
                <w:sz w:val="13"/>
                <w:szCs w:val="13"/>
                <w:color w:val="auto"/>
              </w:rPr>
            </w:pPr>
          </w:p>
        </w:tc>
        <w:tc>
          <w:tcPr>
            <w:tcW w:w="1840" w:type="dxa"/>
            <w:vAlign w:val="bottom"/>
            <w:tcBorders>
              <w:bottom w:val="single" w:sz="8" w:color="auto"/>
            </w:tcBorders>
          </w:tcPr>
          <w:p>
            <w:pPr>
              <w:jc w:val="right"/>
              <w:ind w:right="218"/>
              <w:spacing w:after="0"/>
              <w:rPr>
                <w:sz w:val="20"/>
                <w:szCs w:val="20"/>
                <w:color w:val="auto"/>
              </w:rPr>
            </w:pPr>
            <w:r>
              <w:rPr>
                <w:rFonts w:ascii="Arial" w:cs="Arial" w:eastAsia="Arial" w:hAnsi="Arial"/>
                <w:sz w:val="13"/>
                <w:szCs w:val="13"/>
                <w:color w:val="auto"/>
              </w:rPr>
              <w:t>1,463</w:t>
            </w:r>
          </w:p>
        </w:tc>
        <w:tc>
          <w:tcPr>
            <w:tcW w:w="1500" w:type="dxa"/>
            <w:vAlign w:val="bottom"/>
            <w:tcBorders>
              <w:bottom w:val="single" w:sz="8" w:color="auto"/>
            </w:tcBorders>
          </w:tcPr>
          <w:p>
            <w:pPr>
              <w:jc w:val="right"/>
              <w:ind w:right="134"/>
              <w:spacing w:after="0"/>
              <w:rPr>
                <w:sz w:val="20"/>
                <w:szCs w:val="20"/>
                <w:color w:val="auto"/>
              </w:rPr>
            </w:pPr>
            <w:r>
              <w:rPr>
                <w:rFonts w:ascii="Arial" w:cs="Arial" w:eastAsia="Arial" w:hAnsi="Arial"/>
                <w:sz w:val="13"/>
                <w:szCs w:val="13"/>
                <w:color w:val="auto"/>
              </w:rPr>
              <w:t>4,818</w:t>
            </w:r>
          </w:p>
        </w:tc>
        <w:tc>
          <w:tcPr>
            <w:tcW w:w="10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30.4%</w:t>
            </w: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3"/>
                <w:szCs w:val="13"/>
                <w:color w:val="auto"/>
              </w:rPr>
              <w:t>1,383</w:t>
            </w:r>
          </w:p>
        </w:tc>
        <w:tc>
          <w:tcPr>
            <w:tcW w:w="980" w:type="dxa"/>
            <w:vAlign w:val="bottom"/>
            <w:tcBorders>
              <w:bottom w:val="single" w:sz="8" w:color="auto"/>
            </w:tcBorders>
          </w:tcPr>
          <w:p>
            <w:pPr>
              <w:jc w:val="right"/>
              <w:ind w:right="54"/>
              <w:spacing w:after="0"/>
              <w:rPr>
                <w:sz w:val="20"/>
                <w:szCs w:val="20"/>
                <w:color w:val="auto"/>
              </w:rPr>
            </w:pPr>
            <w:r>
              <w:rPr>
                <w:rFonts w:ascii="Arial" w:cs="Arial" w:eastAsia="Arial" w:hAnsi="Arial"/>
                <w:sz w:val="13"/>
                <w:szCs w:val="13"/>
                <w:color w:val="auto"/>
              </w:rPr>
              <w:t>4,571</w:t>
            </w:r>
          </w:p>
        </w:tc>
        <w:tc>
          <w:tcPr>
            <w:tcW w:w="9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color w:val="auto"/>
              </w:rPr>
              <w:t>30.3%</w:t>
            </w:r>
          </w:p>
        </w:tc>
      </w:tr>
    </w:tbl>
    <w:p>
      <w:pPr>
        <w:ind w:left="1"/>
        <w:spacing w:after="0"/>
        <w:rPr>
          <w:sz w:val="20"/>
          <w:szCs w:val="20"/>
          <w:color w:val="auto"/>
        </w:rPr>
      </w:pPr>
      <w:r>
        <w:rPr>
          <w:rFonts w:ascii="Arial" w:cs="Arial" w:eastAsia="Arial" w:hAnsi="Arial"/>
          <w:sz w:val="11"/>
          <w:szCs w:val="11"/>
          <w:color w:val="auto"/>
        </w:rPr>
        <w:t>Source: SBS</w:t>
      </w:r>
    </w:p>
    <w:p>
      <w:pPr>
        <w:spacing w:after="0" w:line="4" w:lineRule="exact"/>
        <w:rPr>
          <w:sz w:val="20"/>
          <w:szCs w:val="20"/>
          <w:color w:val="auto"/>
        </w:rPr>
      </w:pPr>
    </w:p>
    <w:p>
      <w:pPr>
        <w:ind w:left="241" w:hanging="241"/>
        <w:spacing w:after="0"/>
        <w:tabs>
          <w:tab w:leader="none" w:pos="241" w:val="left"/>
        </w:tabs>
        <w:numPr>
          <w:ilvl w:val="0"/>
          <w:numId w:val="71"/>
        </w:numPr>
        <w:rPr>
          <w:rFonts w:ascii="Arial" w:cs="Arial" w:eastAsia="Arial" w:hAnsi="Arial"/>
          <w:sz w:val="11"/>
          <w:szCs w:val="11"/>
          <w:color w:val="auto"/>
        </w:rPr>
      </w:pPr>
      <w:r>
        <w:rPr>
          <w:rFonts w:ascii="Arial" w:cs="Arial" w:eastAsia="Arial" w:hAnsi="Arial"/>
          <w:sz w:val="11"/>
          <w:szCs w:val="11"/>
          <w:color w:val="auto"/>
        </w:rPr>
        <w:t>As of June 2019, another AFP has the exclusivity of affiliations.</w:t>
      </w:r>
    </w:p>
    <w:p>
      <w:pPr>
        <w:spacing w:after="0" w:line="4" w:lineRule="exact"/>
        <w:rPr>
          <w:rFonts w:ascii="Arial" w:cs="Arial" w:eastAsia="Arial" w:hAnsi="Arial"/>
          <w:sz w:val="11"/>
          <w:szCs w:val="11"/>
          <w:color w:val="auto"/>
        </w:rPr>
      </w:pPr>
    </w:p>
    <w:p>
      <w:pPr>
        <w:ind w:left="241" w:hanging="241"/>
        <w:spacing w:after="0" w:line="234" w:lineRule="auto"/>
        <w:tabs>
          <w:tab w:leader="none" w:pos="241" w:val="left"/>
        </w:tabs>
        <w:numPr>
          <w:ilvl w:val="0"/>
          <w:numId w:val="71"/>
        </w:numPr>
        <w:rPr>
          <w:rFonts w:ascii="Arial" w:cs="Arial" w:eastAsia="Arial" w:hAnsi="Arial"/>
          <w:sz w:val="11"/>
          <w:szCs w:val="11"/>
          <w:color w:val="auto"/>
        </w:rPr>
      </w:pPr>
      <w:r>
        <w:rPr>
          <w:rFonts w:ascii="Arial" w:cs="Arial" w:eastAsia="Arial" w:hAnsi="Arial"/>
          <w:sz w:val="11"/>
          <w:szCs w:val="11"/>
          <w:color w:val="auto"/>
        </w:rPr>
        <w:t>Information available until Feb 2023.</w:t>
      </w:r>
    </w:p>
    <w:p>
      <w:pPr>
        <w:ind w:left="241" w:hanging="241"/>
        <w:spacing w:after="0"/>
        <w:tabs>
          <w:tab w:leader="none" w:pos="241" w:val="left"/>
        </w:tabs>
        <w:numPr>
          <w:ilvl w:val="0"/>
          <w:numId w:val="71"/>
        </w:numPr>
        <w:rPr>
          <w:rFonts w:ascii="Arial" w:cs="Arial" w:eastAsia="Arial" w:hAnsi="Arial"/>
          <w:sz w:val="11"/>
          <w:szCs w:val="11"/>
          <w:color w:val="auto"/>
        </w:rPr>
      </w:pPr>
      <w:r>
        <w:rPr>
          <w:rFonts w:ascii="Arial" w:cs="Arial" w:eastAsia="Arial" w:hAnsi="Arial"/>
          <w:sz w:val="11"/>
          <w:szCs w:val="11"/>
          <w:color w:val="auto"/>
        </w:rPr>
        <w:t>Prima AFP estimate: Average of aggregated income for flow during the last 4 months.</w:t>
      </w:r>
    </w:p>
    <w:p>
      <w:pPr>
        <w:spacing w:after="0" w:line="31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43750" cy="1587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337" w:right="339" w:bottom="1440" w:gutter="0" w:footer="0" w:header="0"/>
        </w:sectPr>
      </w:pPr>
    </w:p>
    <w:bookmarkStart w:id="70" w:name="page71"/>
    <w:bookmarkEnd w:id="70"/>
    <w:p>
      <w:pPr>
        <w:ind w:left="2961"/>
        <w:spacing w:after="0"/>
        <w:tabs>
          <w:tab w:leader="none" w:pos="3141" w:val="left"/>
          <w:tab w:leader="none" w:pos="7701" w:val="left"/>
        </w:tabs>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202565</wp:posOffset>
            </wp:positionH>
            <wp:positionV relativeFrom="page">
              <wp:posOffset>88900</wp:posOffset>
            </wp:positionV>
            <wp:extent cx="7143750" cy="41592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3750" cy="415925"/>
                    </a:xfrm>
                    <a:prstGeom prst="rect">
                      <a:avLst/>
                    </a:prstGeom>
                    <a:noFill/>
                  </pic:spPr>
                </pic:pic>
              </a:graphicData>
            </a:graphic>
          </wp:anchor>
        </w:drawing>
        <w:t>|</w:t>
      </w:r>
      <w:r>
        <w:rPr>
          <w:sz w:val="20"/>
          <w:szCs w:val="20"/>
          <w:color w:val="auto"/>
        </w:rPr>
        <w:tab/>
      </w:r>
      <w:r>
        <w:rPr>
          <w:rFonts w:ascii="Arial" w:cs="Arial" w:eastAsia="Arial" w:hAnsi="Arial"/>
          <w:sz w:val="16"/>
          <w:szCs w:val="16"/>
          <w:b w:val="1"/>
          <w:bCs w:val="1"/>
          <w:color w:val="FFFFFF"/>
        </w:rPr>
        <w:t>Earnings Release 3Q / 2023</w:t>
      </w:r>
      <w:r>
        <w:rPr>
          <w:sz w:val="20"/>
          <w:szCs w:val="20"/>
          <w:color w:val="auto"/>
        </w:rPr>
        <w:tab/>
      </w:r>
      <w:r>
        <w:rPr>
          <w:rFonts w:ascii="Arial" w:cs="Arial" w:eastAsia="Arial" w:hAnsi="Arial"/>
          <w:sz w:val="18"/>
          <w:szCs w:val="18"/>
          <w:b w:val="1"/>
          <w:bCs w:val="1"/>
          <w:color w:val="E93CAC"/>
        </w:rPr>
        <w:t>Analysis of 3Q23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159385</wp:posOffset>
            </wp:positionV>
            <wp:extent cx="7143750" cy="2038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3750" cy="203835"/>
                    </a:xfrm>
                    <a:prstGeom prst="rect">
                      <a:avLst/>
                    </a:prstGeom>
                    <a:noFill/>
                  </pic:spPr>
                </pic:pic>
              </a:graphicData>
            </a:graphic>
          </wp:anchor>
        </w:drawing>
      </w:r>
    </w:p>
    <w:p>
      <w:pPr>
        <w:spacing w:after="0" w:line="251" w:lineRule="exact"/>
        <w:rPr>
          <w:sz w:val="20"/>
          <w:szCs w:val="20"/>
          <w:color w:val="auto"/>
        </w:rPr>
      </w:pPr>
    </w:p>
    <w:p>
      <w:pPr>
        <w:ind w:left="41"/>
        <w:spacing w:after="0"/>
        <w:rPr>
          <w:sz w:val="20"/>
          <w:szCs w:val="20"/>
          <w:color w:val="auto"/>
        </w:rPr>
      </w:pPr>
      <w:r>
        <w:rPr>
          <w:rFonts w:ascii="Arial" w:cs="Arial" w:eastAsia="Arial" w:hAnsi="Arial"/>
          <w:sz w:val="20"/>
          <w:szCs w:val="20"/>
          <w:b w:val="1"/>
          <w:bCs w:val="1"/>
          <w:color w:val="FFFFFF"/>
        </w:rPr>
        <w:t>12. Appendix</w:t>
      </w:r>
    </w:p>
    <w:p>
      <w:pPr>
        <w:spacing w:after="0" w:line="76"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12.6.8. Grupo Pacifico</w:t>
      </w:r>
    </w:p>
    <w:p>
      <w:pPr>
        <w:spacing w:after="0" w:line="10" w:lineRule="exact"/>
        <w:rPr>
          <w:sz w:val="20"/>
          <w:szCs w:val="20"/>
          <w:color w:val="auto"/>
        </w:rPr>
      </w:pPr>
    </w:p>
    <w:p>
      <w:pPr>
        <w:ind w:left="4841"/>
        <w:spacing w:after="0"/>
        <w:rPr>
          <w:sz w:val="20"/>
          <w:szCs w:val="20"/>
          <w:color w:val="auto"/>
        </w:rPr>
      </w:pPr>
      <w:r>
        <w:rPr>
          <w:rFonts w:ascii="Arial" w:cs="Arial" w:eastAsia="Arial" w:hAnsi="Arial"/>
          <w:sz w:val="18"/>
          <w:szCs w:val="18"/>
          <w:b w:val="1"/>
          <w:bCs w:val="1"/>
          <w:color w:val="auto"/>
        </w:rPr>
        <w:t>GRUPO PACIFICO</w:t>
      </w:r>
    </w:p>
    <w:p>
      <w:pPr>
        <w:ind w:left="4861"/>
        <w:spacing w:after="0"/>
        <w:rPr>
          <w:sz w:val="20"/>
          <w:szCs w:val="20"/>
          <w:color w:val="auto"/>
        </w:rPr>
      </w:pPr>
      <w:r>
        <w:rPr>
          <w:rFonts w:ascii="Arial" w:cs="Arial" w:eastAsia="Arial" w:hAnsi="Arial"/>
          <w:sz w:val="18"/>
          <w:szCs w:val="18"/>
          <w:b w:val="1"/>
          <w:bCs w:val="1"/>
          <w:color w:val="auto"/>
        </w:rPr>
        <w:t>(S/ in thousands )</w:t>
      </w:r>
    </w:p>
    <w:p>
      <w:pPr>
        <w:spacing w:after="0" w:line="147" w:lineRule="exact"/>
        <w:rPr>
          <w:sz w:val="20"/>
          <w:szCs w:val="20"/>
          <w:color w:val="auto"/>
        </w:rPr>
      </w:pPr>
    </w:p>
    <w:tbl>
      <w:tblPr>
        <w:tblLayout w:type="fixed"/>
        <w:tblInd w:w="11" w:type="dxa"/>
        <w:tblCellMar>
          <w:top w:w="0" w:type="dxa"/>
          <w:left w:w="0" w:type="dxa"/>
          <w:bottom w:w="0" w:type="dxa"/>
          <w:right w:w="0" w:type="dxa"/>
        </w:tblCellMar>
      </w:tblPr>
      <w:tr>
        <w:trPr>
          <w:trHeight w:val="161"/>
        </w:trPr>
        <w:tc>
          <w:tcPr>
            <w:tcW w:w="3060" w:type="dxa"/>
            <w:vAlign w:val="bottom"/>
            <w:tcBorders>
              <w:right w:val="single" w:sz="8" w:color="auto"/>
            </w:tcBorders>
          </w:tcPr>
          <w:p>
            <w:pPr>
              <w:spacing w:after="0"/>
              <w:rPr>
                <w:sz w:val="14"/>
                <w:szCs w:val="14"/>
                <w:color w:val="auto"/>
              </w:rPr>
            </w:pPr>
          </w:p>
        </w:tc>
        <w:tc>
          <w:tcPr>
            <w:tcW w:w="1140" w:type="dxa"/>
            <w:vAlign w:val="bottom"/>
            <w:tcBorders>
              <w:top w:val="single" w:sz="8" w:color="auto"/>
            </w:tcBorders>
            <w:shd w:val="clear" w:color="auto" w:fill="33CCCC"/>
          </w:tcPr>
          <w:p>
            <w:pPr>
              <w:spacing w:after="0"/>
              <w:rPr>
                <w:sz w:val="14"/>
                <w:szCs w:val="14"/>
                <w:color w:val="auto"/>
              </w:rPr>
            </w:pPr>
          </w:p>
        </w:tc>
        <w:tc>
          <w:tcPr>
            <w:tcW w:w="1020" w:type="dxa"/>
            <w:vAlign w:val="bottom"/>
            <w:tcBorders>
              <w:top w:val="single" w:sz="8" w:color="auto"/>
            </w:tcBorders>
            <w:shd w:val="clear" w:color="auto" w:fill="33CCCC"/>
          </w:tcPr>
          <w:p>
            <w:pPr>
              <w:jc w:val="right"/>
              <w:ind w:right="486"/>
              <w:spacing w:after="0"/>
              <w:rPr>
                <w:sz w:val="20"/>
                <w:szCs w:val="20"/>
                <w:color w:val="auto"/>
              </w:rPr>
            </w:pPr>
            <w:r>
              <w:rPr>
                <w:rFonts w:ascii="Arial" w:cs="Arial" w:eastAsia="Arial" w:hAnsi="Arial"/>
                <w:sz w:val="11"/>
                <w:szCs w:val="11"/>
                <w:b w:val="1"/>
                <w:bCs w:val="1"/>
                <w:color w:val="FFFFFF"/>
              </w:rPr>
              <w:t>As of</w:t>
            </w:r>
          </w:p>
        </w:tc>
        <w:tc>
          <w:tcPr>
            <w:tcW w:w="860" w:type="dxa"/>
            <w:vAlign w:val="bottom"/>
            <w:tcBorders>
              <w:top w:val="single" w:sz="8" w:color="auto"/>
              <w:right w:val="single" w:sz="8" w:color="auto"/>
            </w:tcBorders>
            <w:shd w:val="clear" w:color="auto" w:fill="33CCCC"/>
          </w:tcPr>
          <w:p>
            <w:pPr>
              <w:spacing w:after="0"/>
              <w:rPr>
                <w:sz w:val="14"/>
                <w:szCs w:val="14"/>
                <w:color w:val="auto"/>
              </w:rPr>
            </w:pPr>
          </w:p>
        </w:tc>
        <w:tc>
          <w:tcPr>
            <w:tcW w:w="680" w:type="dxa"/>
            <w:vAlign w:val="bottom"/>
            <w:tcBorders>
              <w:top w:val="single" w:sz="8" w:color="auto"/>
            </w:tcBorders>
            <w:shd w:val="clear" w:color="auto" w:fill="33CCCC"/>
          </w:tcPr>
          <w:p>
            <w:pPr>
              <w:spacing w:after="0"/>
              <w:rPr>
                <w:sz w:val="14"/>
                <w:szCs w:val="14"/>
                <w:color w:val="auto"/>
              </w:rPr>
            </w:pPr>
          </w:p>
        </w:tc>
        <w:tc>
          <w:tcPr>
            <w:tcW w:w="1340" w:type="dxa"/>
            <w:vAlign w:val="bottom"/>
            <w:tcBorders>
              <w:top w:val="single" w:sz="8" w:color="auto"/>
              <w:right w:val="single" w:sz="8" w:color="auto"/>
            </w:tcBorders>
            <w:shd w:val="clear" w:color="auto" w:fill="33CCCC"/>
          </w:tcPr>
          <w:p>
            <w:pPr>
              <w:ind w:left="60"/>
              <w:spacing w:after="0"/>
              <w:rPr>
                <w:sz w:val="20"/>
                <w:szCs w:val="20"/>
                <w:color w:val="auto"/>
              </w:rPr>
            </w:pPr>
            <w:r>
              <w:rPr>
                <w:rFonts w:ascii="Arial" w:cs="Arial" w:eastAsia="Arial" w:hAnsi="Arial"/>
                <w:sz w:val="11"/>
                <w:szCs w:val="11"/>
                <w:b w:val="1"/>
                <w:bCs w:val="1"/>
                <w:color w:val="FFFFFF"/>
              </w:rPr>
              <w:t>% Change</w:t>
            </w:r>
          </w:p>
        </w:tc>
      </w:tr>
      <w:tr>
        <w:trPr>
          <w:trHeight w:val="197"/>
        </w:trPr>
        <w:tc>
          <w:tcPr>
            <w:tcW w:w="3060" w:type="dxa"/>
            <w:vAlign w:val="bottom"/>
            <w:tcBorders>
              <w:right w:val="single" w:sz="8" w:color="auto"/>
            </w:tcBorders>
          </w:tcPr>
          <w:p>
            <w:pPr>
              <w:spacing w:after="0"/>
              <w:rPr>
                <w:sz w:val="17"/>
                <w:szCs w:val="17"/>
                <w:color w:val="auto"/>
              </w:rPr>
            </w:pPr>
          </w:p>
        </w:tc>
        <w:tc>
          <w:tcPr>
            <w:tcW w:w="1140" w:type="dxa"/>
            <w:vAlign w:val="bottom"/>
            <w:tcBorders>
              <w:bottom w:val="single" w:sz="8" w:color="33CCCC"/>
            </w:tcBorders>
            <w:shd w:val="clear" w:color="auto" w:fill="33CCCC"/>
          </w:tcPr>
          <w:p>
            <w:pPr>
              <w:jc w:val="right"/>
              <w:ind w:right="426"/>
              <w:spacing w:after="0"/>
              <w:rPr>
                <w:sz w:val="20"/>
                <w:szCs w:val="20"/>
                <w:color w:val="auto"/>
              </w:rPr>
            </w:pPr>
            <w:r>
              <w:rPr>
                <w:rFonts w:ascii="Arial" w:cs="Arial" w:eastAsia="Arial" w:hAnsi="Arial"/>
                <w:sz w:val="11"/>
                <w:szCs w:val="11"/>
                <w:b w:val="1"/>
                <w:bCs w:val="1"/>
                <w:color w:val="FFFFFF"/>
              </w:rPr>
              <w:t>Sep 22</w:t>
            </w:r>
          </w:p>
        </w:tc>
        <w:tc>
          <w:tcPr>
            <w:tcW w:w="1020" w:type="dxa"/>
            <w:vAlign w:val="bottom"/>
            <w:tcBorders>
              <w:bottom w:val="single" w:sz="8" w:color="33CCCC"/>
            </w:tcBorders>
            <w:shd w:val="clear" w:color="auto" w:fill="33CCCC"/>
          </w:tcPr>
          <w:p>
            <w:pPr>
              <w:jc w:val="right"/>
              <w:ind w:right="446"/>
              <w:spacing w:after="0"/>
              <w:rPr>
                <w:sz w:val="20"/>
                <w:szCs w:val="20"/>
                <w:color w:val="auto"/>
              </w:rPr>
            </w:pPr>
            <w:r>
              <w:rPr>
                <w:rFonts w:ascii="Arial" w:cs="Arial" w:eastAsia="Arial" w:hAnsi="Arial"/>
                <w:sz w:val="11"/>
                <w:szCs w:val="11"/>
                <w:b w:val="1"/>
                <w:bCs w:val="1"/>
                <w:color w:val="FFFFFF"/>
              </w:rPr>
              <w:t>Jun 23</w:t>
            </w:r>
          </w:p>
        </w:tc>
        <w:tc>
          <w:tcPr>
            <w:tcW w:w="860" w:type="dxa"/>
            <w:vAlign w:val="bottom"/>
            <w:tcBorders>
              <w:bottom w:val="single" w:sz="8" w:color="33CCCC"/>
              <w:right w:val="single" w:sz="8" w:color="auto"/>
            </w:tcBorders>
            <w:shd w:val="clear" w:color="auto" w:fill="33CCCC"/>
          </w:tcPr>
          <w:p>
            <w:pPr>
              <w:jc w:val="right"/>
              <w:ind w:right="306"/>
              <w:spacing w:after="0"/>
              <w:rPr>
                <w:sz w:val="20"/>
                <w:szCs w:val="20"/>
                <w:color w:val="auto"/>
              </w:rPr>
            </w:pPr>
            <w:r>
              <w:rPr>
                <w:rFonts w:ascii="Arial" w:cs="Arial" w:eastAsia="Arial" w:hAnsi="Arial"/>
                <w:sz w:val="11"/>
                <w:szCs w:val="11"/>
                <w:b w:val="1"/>
                <w:bCs w:val="1"/>
                <w:color w:val="FFFFFF"/>
              </w:rPr>
              <w:t>Sep 23</w:t>
            </w:r>
          </w:p>
        </w:tc>
        <w:tc>
          <w:tcPr>
            <w:tcW w:w="680" w:type="dxa"/>
            <w:vAlign w:val="bottom"/>
            <w:tcBorders>
              <w:bottom w:val="single" w:sz="8" w:color="33CCCC"/>
            </w:tcBorders>
            <w:shd w:val="clear" w:color="auto" w:fill="33CCCC"/>
          </w:tcPr>
          <w:p>
            <w:pPr>
              <w:ind w:left="380"/>
              <w:spacing w:after="0"/>
              <w:rPr>
                <w:sz w:val="20"/>
                <w:szCs w:val="20"/>
                <w:color w:val="auto"/>
              </w:rPr>
            </w:pPr>
            <w:r>
              <w:rPr>
                <w:rFonts w:ascii="Arial" w:cs="Arial" w:eastAsia="Arial" w:hAnsi="Arial"/>
                <w:sz w:val="11"/>
                <w:szCs w:val="11"/>
                <w:b w:val="1"/>
                <w:bCs w:val="1"/>
                <w:color w:val="FFFFFF"/>
              </w:rPr>
              <w:t>QoQ</w:t>
            </w:r>
          </w:p>
        </w:tc>
        <w:tc>
          <w:tcPr>
            <w:tcW w:w="1340" w:type="dxa"/>
            <w:vAlign w:val="bottom"/>
            <w:tcBorders>
              <w:bottom w:val="single" w:sz="8" w:color="33CCCC"/>
              <w:right w:val="single" w:sz="8" w:color="auto"/>
            </w:tcBorders>
            <w:shd w:val="clear" w:color="auto" w:fill="33CCCC"/>
          </w:tcPr>
          <w:p>
            <w:pPr>
              <w:ind w:left="720"/>
              <w:spacing w:after="0"/>
              <w:rPr>
                <w:sz w:val="20"/>
                <w:szCs w:val="20"/>
                <w:color w:val="auto"/>
              </w:rPr>
            </w:pPr>
            <w:r>
              <w:rPr>
                <w:rFonts w:ascii="Arial" w:cs="Arial" w:eastAsia="Arial" w:hAnsi="Arial"/>
                <w:sz w:val="11"/>
                <w:szCs w:val="11"/>
                <w:b w:val="1"/>
                <w:bCs w:val="1"/>
                <w:color w:val="FFFFFF"/>
              </w:rPr>
              <w:t>YoY</w:t>
            </w:r>
          </w:p>
        </w:tc>
      </w:tr>
      <w:tr>
        <w:trPr>
          <w:trHeight w:val="129"/>
        </w:trPr>
        <w:tc>
          <w:tcPr>
            <w:tcW w:w="306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Total Assets</w:t>
            </w:r>
          </w:p>
        </w:tc>
        <w:tc>
          <w:tcPr>
            <w:tcW w:w="1140" w:type="dxa"/>
            <w:vAlign w:val="bottom"/>
            <w:tcBorders>
              <w:top w:val="single" w:sz="8" w:color="auto"/>
            </w:tcBorders>
          </w:tcPr>
          <w:p>
            <w:pPr>
              <w:jc w:val="right"/>
              <w:ind w:right="106"/>
              <w:spacing w:after="0"/>
              <w:rPr>
                <w:sz w:val="20"/>
                <w:szCs w:val="20"/>
                <w:color w:val="auto"/>
              </w:rPr>
            </w:pPr>
            <w:r>
              <w:rPr>
                <w:rFonts w:ascii="Arial" w:cs="Arial" w:eastAsia="Arial" w:hAnsi="Arial"/>
                <w:sz w:val="11"/>
                <w:szCs w:val="11"/>
                <w:color w:val="auto"/>
              </w:rPr>
              <w:t>14,134,050</w:t>
            </w:r>
          </w:p>
        </w:tc>
        <w:tc>
          <w:tcPr>
            <w:tcW w:w="1020" w:type="dxa"/>
            <w:vAlign w:val="bottom"/>
            <w:tcBorders>
              <w:top w:val="single" w:sz="8" w:color="auto"/>
            </w:tcBorders>
          </w:tcPr>
          <w:p>
            <w:pPr>
              <w:jc w:val="right"/>
              <w:ind w:right="126"/>
              <w:spacing w:after="0"/>
              <w:rPr>
                <w:sz w:val="20"/>
                <w:szCs w:val="20"/>
                <w:color w:val="auto"/>
              </w:rPr>
            </w:pPr>
            <w:r>
              <w:rPr>
                <w:rFonts w:ascii="Arial" w:cs="Arial" w:eastAsia="Arial" w:hAnsi="Arial"/>
                <w:sz w:val="11"/>
                <w:szCs w:val="11"/>
                <w:color w:val="auto"/>
              </w:rPr>
              <w:t>15,402,511</w:t>
            </w:r>
          </w:p>
        </w:tc>
        <w:tc>
          <w:tcPr>
            <w:tcW w:w="86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15,796,121</w:t>
            </w:r>
          </w:p>
        </w:tc>
        <w:tc>
          <w:tcPr>
            <w:tcW w:w="680" w:type="dxa"/>
            <w:vAlign w:val="bottom"/>
            <w:tcBorders>
              <w:top w:val="single" w:sz="8" w:color="auto"/>
            </w:tcBorders>
          </w:tcPr>
          <w:p>
            <w:pPr>
              <w:ind w:left="360"/>
              <w:spacing w:after="0"/>
              <w:rPr>
                <w:sz w:val="20"/>
                <w:szCs w:val="20"/>
                <w:color w:val="auto"/>
              </w:rPr>
            </w:pPr>
            <w:r>
              <w:rPr>
                <w:rFonts w:ascii="Arial" w:cs="Arial" w:eastAsia="Arial" w:hAnsi="Arial"/>
                <w:sz w:val="11"/>
                <w:szCs w:val="11"/>
                <w:color w:val="auto"/>
              </w:rPr>
              <w:t>2.6%</w:t>
            </w:r>
          </w:p>
        </w:tc>
        <w:tc>
          <w:tcPr>
            <w:tcW w:w="1340" w:type="dxa"/>
            <w:vAlign w:val="bottom"/>
            <w:tcBorders>
              <w:top w:val="single" w:sz="8" w:color="auto"/>
              <w:right w:val="single" w:sz="8" w:color="auto"/>
            </w:tcBorders>
          </w:tcPr>
          <w:p>
            <w:pPr>
              <w:jc w:val="center"/>
              <w:ind w:left="226"/>
              <w:spacing w:after="0"/>
              <w:rPr>
                <w:sz w:val="20"/>
                <w:szCs w:val="20"/>
                <w:color w:val="auto"/>
              </w:rPr>
            </w:pPr>
            <w:r>
              <w:rPr>
                <w:rFonts w:ascii="Arial" w:cs="Arial" w:eastAsia="Arial" w:hAnsi="Arial"/>
                <w:sz w:val="11"/>
                <w:szCs w:val="11"/>
                <w:color w:val="auto"/>
                <w:w w:val="96"/>
              </w:rPr>
              <w:t>11.8%</w:t>
            </w:r>
          </w:p>
        </w:tc>
      </w:tr>
      <w:tr>
        <w:trPr>
          <w:trHeight w:val="155"/>
        </w:trPr>
        <w:tc>
          <w:tcPr>
            <w:tcW w:w="3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Investment on Securities (1)</w:t>
            </w:r>
          </w:p>
        </w:tc>
        <w:tc>
          <w:tcPr>
            <w:tcW w:w="1140" w:type="dxa"/>
            <w:vAlign w:val="bottom"/>
          </w:tcPr>
          <w:p>
            <w:pPr>
              <w:jc w:val="right"/>
              <w:ind w:right="106"/>
              <w:spacing w:after="0"/>
              <w:rPr>
                <w:sz w:val="20"/>
                <w:szCs w:val="20"/>
                <w:color w:val="auto"/>
              </w:rPr>
            </w:pPr>
            <w:r>
              <w:rPr>
                <w:rFonts w:ascii="Arial" w:cs="Arial" w:eastAsia="Arial" w:hAnsi="Arial"/>
                <w:sz w:val="11"/>
                <w:szCs w:val="11"/>
                <w:color w:val="auto"/>
              </w:rPr>
              <w:t>11,776,123</w:t>
            </w:r>
          </w:p>
        </w:tc>
        <w:tc>
          <w:tcPr>
            <w:tcW w:w="1020" w:type="dxa"/>
            <w:vAlign w:val="bottom"/>
          </w:tcPr>
          <w:p>
            <w:pPr>
              <w:jc w:val="right"/>
              <w:ind w:right="126"/>
              <w:spacing w:after="0"/>
              <w:rPr>
                <w:sz w:val="20"/>
                <w:szCs w:val="20"/>
                <w:color w:val="auto"/>
              </w:rPr>
            </w:pPr>
            <w:r>
              <w:rPr>
                <w:rFonts w:ascii="Arial" w:cs="Arial" w:eastAsia="Arial" w:hAnsi="Arial"/>
                <w:sz w:val="11"/>
                <w:szCs w:val="11"/>
                <w:color w:val="auto"/>
              </w:rPr>
              <w:t>13,020,928</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13,429,862</w:t>
            </w:r>
          </w:p>
        </w:tc>
        <w:tc>
          <w:tcPr>
            <w:tcW w:w="680" w:type="dxa"/>
            <w:vAlign w:val="bottom"/>
          </w:tcPr>
          <w:p>
            <w:pPr>
              <w:ind w:left="360"/>
              <w:spacing w:after="0"/>
              <w:rPr>
                <w:sz w:val="20"/>
                <w:szCs w:val="20"/>
                <w:color w:val="auto"/>
              </w:rPr>
            </w:pPr>
            <w:r>
              <w:rPr>
                <w:rFonts w:ascii="Arial" w:cs="Arial" w:eastAsia="Arial" w:hAnsi="Arial"/>
                <w:sz w:val="11"/>
                <w:szCs w:val="11"/>
                <w:color w:val="auto"/>
              </w:rPr>
              <w:t>3.1%</w:t>
            </w:r>
          </w:p>
        </w:tc>
        <w:tc>
          <w:tcPr>
            <w:tcW w:w="1340" w:type="dxa"/>
            <w:vAlign w:val="bottom"/>
            <w:tcBorders>
              <w:right w:val="single" w:sz="8" w:color="auto"/>
            </w:tcBorders>
          </w:tcPr>
          <w:p>
            <w:pPr>
              <w:jc w:val="center"/>
              <w:ind w:left="226"/>
              <w:spacing w:after="0"/>
              <w:rPr>
                <w:sz w:val="20"/>
                <w:szCs w:val="20"/>
                <w:color w:val="auto"/>
              </w:rPr>
            </w:pPr>
            <w:r>
              <w:rPr>
                <w:rFonts w:ascii="Arial" w:cs="Arial" w:eastAsia="Arial" w:hAnsi="Arial"/>
                <w:sz w:val="11"/>
                <w:szCs w:val="11"/>
                <w:color w:val="auto"/>
                <w:w w:val="96"/>
              </w:rPr>
              <w:t>14.0%</w:t>
            </w:r>
          </w:p>
        </w:tc>
      </w:tr>
      <w:tr>
        <w:trPr>
          <w:trHeight w:val="173"/>
        </w:trPr>
        <w:tc>
          <w:tcPr>
            <w:tcW w:w="3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Total Liabilities</w:t>
            </w:r>
          </w:p>
        </w:tc>
        <w:tc>
          <w:tcPr>
            <w:tcW w:w="1140" w:type="dxa"/>
            <w:vAlign w:val="bottom"/>
          </w:tcPr>
          <w:p>
            <w:pPr>
              <w:jc w:val="right"/>
              <w:ind w:right="106"/>
              <w:spacing w:after="0"/>
              <w:rPr>
                <w:sz w:val="20"/>
                <w:szCs w:val="20"/>
                <w:color w:val="auto"/>
              </w:rPr>
            </w:pPr>
            <w:r>
              <w:rPr>
                <w:rFonts w:ascii="Arial" w:cs="Arial" w:eastAsia="Arial" w:hAnsi="Arial"/>
                <w:sz w:val="11"/>
                <w:szCs w:val="11"/>
                <w:color w:val="auto"/>
              </w:rPr>
              <w:t>11,829,292</w:t>
            </w:r>
          </w:p>
        </w:tc>
        <w:tc>
          <w:tcPr>
            <w:tcW w:w="1020" w:type="dxa"/>
            <w:vAlign w:val="bottom"/>
          </w:tcPr>
          <w:p>
            <w:pPr>
              <w:jc w:val="right"/>
              <w:ind w:right="126"/>
              <w:spacing w:after="0"/>
              <w:rPr>
                <w:sz w:val="20"/>
                <w:szCs w:val="20"/>
                <w:color w:val="auto"/>
              </w:rPr>
            </w:pPr>
            <w:r>
              <w:rPr>
                <w:rFonts w:ascii="Arial" w:cs="Arial" w:eastAsia="Arial" w:hAnsi="Arial"/>
                <w:sz w:val="11"/>
                <w:szCs w:val="11"/>
                <w:color w:val="auto"/>
              </w:rPr>
              <w:t>12,693,382</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12,822,135</w:t>
            </w:r>
          </w:p>
        </w:tc>
        <w:tc>
          <w:tcPr>
            <w:tcW w:w="680" w:type="dxa"/>
            <w:vAlign w:val="bottom"/>
          </w:tcPr>
          <w:p>
            <w:pPr>
              <w:ind w:left="360"/>
              <w:spacing w:after="0"/>
              <w:rPr>
                <w:sz w:val="20"/>
                <w:szCs w:val="20"/>
                <w:color w:val="auto"/>
              </w:rPr>
            </w:pPr>
            <w:r>
              <w:rPr>
                <w:rFonts w:ascii="Arial" w:cs="Arial" w:eastAsia="Arial" w:hAnsi="Arial"/>
                <w:sz w:val="11"/>
                <w:szCs w:val="11"/>
                <w:color w:val="auto"/>
              </w:rPr>
              <w:t>1.0%</w:t>
            </w:r>
          </w:p>
        </w:tc>
        <w:tc>
          <w:tcPr>
            <w:tcW w:w="1340" w:type="dxa"/>
            <w:vAlign w:val="bottom"/>
            <w:tcBorders>
              <w:right w:val="single" w:sz="8" w:color="auto"/>
            </w:tcBorders>
          </w:tcPr>
          <w:p>
            <w:pPr>
              <w:jc w:val="center"/>
              <w:ind w:left="246"/>
              <w:spacing w:after="0"/>
              <w:rPr>
                <w:sz w:val="20"/>
                <w:szCs w:val="20"/>
                <w:color w:val="auto"/>
              </w:rPr>
            </w:pPr>
            <w:r>
              <w:rPr>
                <w:rFonts w:ascii="Arial" w:cs="Arial" w:eastAsia="Arial" w:hAnsi="Arial"/>
                <w:sz w:val="11"/>
                <w:szCs w:val="11"/>
                <w:color w:val="auto"/>
                <w:w w:val="95"/>
              </w:rPr>
              <w:t>8.4%</w:t>
            </w:r>
          </w:p>
        </w:tc>
      </w:tr>
      <w:tr>
        <w:trPr>
          <w:trHeight w:val="173"/>
        </w:trPr>
        <w:tc>
          <w:tcPr>
            <w:tcW w:w="306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Net Equity</w:t>
            </w:r>
          </w:p>
        </w:tc>
        <w:tc>
          <w:tcPr>
            <w:tcW w:w="1140" w:type="dxa"/>
            <w:vAlign w:val="bottom"/>
          </w:tcPr>
          <w:p>
            <w:pPr>
              <w:jc w:val="right"/>
              <w:ind w:right="106"/>
              <w:spacing w:after="0"/>
              <w:rPr>
                <w:sz w:val="20"/>
                <w:szCs w:val="20"/>
                <w:color w:val="auto"/>
              </w:rPr>
            </w:pPr>
            <w:r>
              <w:rPr>
                <w:rFonts w:ascii="Arial" w:cs="Arial" w:eastAsia="Arial" w:hAnsi="Arial"/>
                <w:sz w:val="11"/>
                <w:szCs w:val="11"/>
                <w:color w:val="auto"/>
              </w:rPr>
              <w:t>2,304,758</w:t>
            </w:r>
          </w:p>
        </w:tc>
        <w:tc>
          <w:tcPr>
            <w:tcW w:w="1020" w:type="dxa"/>
            <w:vAlign w:val="bottom"/>
          </w:tcPr>
          <w:p>
            <w:pPr>
              <w:jc w:val="right"/>
              <w:ind w:right="126"/>
              <w:spacing w:after="0"/>
              <w:rPr>
                <w:sz w:val="20"/>
                <w:szCs w:val="20"/>
                <w:color w:val="auto"/>
              </w:rPr>
            </w:pPr>
            <w:r>
              <w:rPr>
                <w:rFonts w:ascii="Arial" w:cs="Arial" w:eastAsia="Arial" w:hAnsi="Arial"/>
                <w:sz w:val="11"/>
                <w:szCs w:val="11"/>
                <w:color w:val="auto"/>
              </w:rPr>
              <w:t>2,709,129</w:t>
            </w:r>
          </w:p>
        </w:tc>
        <w:tc>
          <w:tcPr>
            <w:tcW w:w="86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2,973,986</w:t>
            </w:r>
          </w:p>
        </w:tc>
        <w:tc>
          <w:tcPr>
            <w:tcW w:w="680" w:type="dxa"/>
            <w:vAlign w:val="bottom"/>
          </w:tcPr>
          <w:p>
            <w:pPr>
              <w:ind w:left="360"/>
              <w:spacing w:after="0"/>
              <w:rPr>
                <w:sz w:val="20"/>
                <w:szCs w:val="20"/>
                <w:color w:val="auto"/>
              </w:rPr>
            </w:pPr>
            <w:r>
              <w:rPr>
                <w:rFonts w:ascii="Arial" w:cs="Arial" w:eastAsia="Arial" w:hAnsi="Arial"/>
                <w:sz w:val="11"/>
                <w:szCs w:val="11"/>
                <w:color w:val="auto"/>
              </w:rPr>
              <w:t>9.8%</w:t>
            </w:r>
          </w:p>
        </w:tc>
        <w:tc>
          <w:tcPr>
            <w:tcW w:w="1340" w:type="dxa"/>
            <w:vAlign w:val="bottom"/>
            <w:tcBorders>
              <w:right w:val="single" w:sz="8" w:color="auto"/>
            </w:tcBorders>
          </w:tcPr>
          <w:p>
            <w:pPr>
              <w:jc w:val="center"/>
              <w:ind w:left="226"/>
              <w:spacing w:after="0"/>
              <w:rPr>
                <w:sz w:val="20"/>
                <w:szCs w:val="20"/>
                <w:color w:val="auto"/>
              </w:rPr>
            </w:pPr>
            <w:r>
              <w:rPr>
                <w:rFonts w:ascii="Arial" w:cs="Arial" w:eastAsia="Arial" w:hAnsi="Arial"/>
                <w:sz w:val="11"/>
                <w:szCs w:val="11"/>
                <w:color w:val="auto"/>
                <w:w w:val="96"/>
              </w:rPr>
              <w:t>29.0%</w:t>
            </w:r>
          </w:p>
        </w:tc>
      </w:tr>
      <w:tr>
        <w:trPr>
          <w:trHeight w:val="55"/>
        </w:trPr>
        <w:tc>
          <w:tcPr>
            <w:tcW w:w="3060" w:type="dxa"/>
            <w:vAlign w:val="bottom"/>
            <w:tcBorders>
              <w:left w:val="single" w:sz="8" w:color="auto"/>
              <w:bottom w:val="single" w:sz="8" w:color="auto"/>
              <w:right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6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340" w:type="dxa"/>
            <w:vAlign w:val="bottom"/>
            <w:tcBorders>
              <w:bottom w:val="single" w:sz="8" w:color="auto"/>
              <w:right w:val="single" w:sz="8" w:color="auto"/>
            </w:tcBorders>
          </w:tcPr>
          <w:p>
            <w:pPr>
              <w:spacing w:after="0"/>
              <w:rPr>
                <w:sz w:val="4"/>
                <w:szCs w:val="4"/>
                <w:color w:val="auto"/>
              </w:rPr>
            </w:pPr>
          </w:p>
        </w:tc>
      </w:tr>
    </w:tbl>
    <w:p>
      <w:pPr>
        <w:spacing w:after="0" w:line="153" w:lineRule="exact"/>
        <w:rPr>
          <w:sz w:val="20"/>
          <w:szCs w:val="20"/>
          <w:color w:val="auto"/>
        </w:rPr>
      </w:pPr>
    </w:p>
    <w:tbl>
      <w:tblPr>
        <w:tblLayout w:type="fixed"/>
        <w:tblInd w:w="11" w:type="dxa"/>
        <w:tblCellMar>
          <w:top w:w="0" w:type="dxa"/>
          <w:left w:w="0" w:type="dxa"/>
          <w:bottom w:w="0" w:type="dxa"/>
          <w:right w:w="0" w:type="dxa"/>
        </w:tblCellMar>
      </w:tblPr>
      <w:tr>
        <w:trPr>
          <w:trHeight w:val="126"/>
        </w:trPr>
        <w:tc>
          <w:tcPr>
            <w:tcW w:w="3040" w:type="dxa"/>
            <w:vAlign w:val="bottom"/>
            <w:tcBorders>
              <w:right w:val="single" w:sz="8" w:color="auto"/>
            </w:tcBorders>
          </w:tcPr>
          <w:p>
            <w:pPr>
              <w:spacing w:after="0"/>
              <w:rPr>
                <w:sz w:val="10"/>
                <w:szCs w:val="10"/>
                <w:color w:val="auto"/>
              </w:rPr>
            </w:pPr>
          </w:p>
        </w:tc>
        <w:tc>
          <w:tcPr>
            <w:tcW w:w="1140" w:type="dxa"/>
            <w:vAlign w:val="bottom"/>
            <w:tcBorders>
              <w:top w:val="single" w:sz="8" w:color="auto"/>
            </w:tcBorders>
            <w:shd w:val="clear" w:color="auto" w:fill="33CCCC"/>
          </w:tcPr>
          <w:p>
            <w:pPr>
              <w:spacing w:after="0"/>
              <w:rPr>
                <w:sz w:val="10"/>
                <w:szCs w:val="10"/>
                <w:color w:val="auto"/>
              </w:rPr>
            </w:pPr>
          </w:p>
        </w:tc>
        <w:tc>
          <w:tcPr>
            <w:tcW w:w="1020" w:type="dxa"/>
            <w:vAlign w:val="bottom"/>
            <w:tcBorders>
              <w:top w:val="single" w:sz="8" w:color="auto"/>
            </w:tcBorders>
            <w:shd w:val="clear" w:color="auto" w:fill="33CCCC"/>
          </w:tcPr>
          <w:p>
            <w:pPr>
              <w:jc w:val="right"/>
              <w:ind w:right="426"/>
              <w:spacing w:after="0"/>
              <w:rPr>
                <w:sz w:val="20"/>
                <w:szCs w:val="20"/>
                <w:color w:val="auto"/>
              </w:rPr>
            </w:pPr>
            <w:r>
              <w:rPr>
                <w:rFonts w:ascii="Arial" w:cs="Arial" w:eastAsia="Arial" w:hAnsi="Arial"/>
                <w:sz w:val="11"/>
                <w:szCs w:val="11"/>
                <w:b w:val="1"/>
                <w:bCs w:val="1"/>
                <w:color w:val="FFFFFF"/>
              </w:rPr>
              <w:t>Quarter</w:t>
            </w:r>
          </w:p>
        </w:tc>
        <w:tc>
          <w:tcPr>
            <w:tcW w:w="840" w:type="dxa"/>
            <w:vAlign w:val="bottom"/>
            <w:tcBorders>
              <w:top w:val="single" w:sz="8" w:color="auto"/>
              <w:right w:val="single" w:sz="8" w:color="auto"/>
            </w:tcBorders>
            <w:shd w:val="clear" w:color="auto" w:fill="33CCCC"/>
          </w:tcPr>
          <w:p>
            <w:pPr>
              <w:spacing w:after="0"/>
              <w:rPr>
                <w:sz w:val="10"/>
                <w:szCs w:val="10"/>
                <w:color w:val="auto"/>
              </w:rPr>
            </w:pPr>
          </w:p>
        </w:tc>
        <w:tc>
          <w:tcPr>
            <w:tcW w:w="700" w:type="dxa"/>
            <w:vAlign w:val="bottom"/>
            <w:tcBorders>
              <w:top w:val="single" w:sz="8" w:color="auto"/>
            </w:tcBorders>
            <w:shd w:val="clear" w:color="auto" w:fill="33CCCC"/>
          </w:tcPr>
          <w:p>
            <w:pPr>
              <w:spacing w:after="0"/>
              <w:rPr>
                <w:sz w:val="10"/>
                <w:szCs w:val="10"/>
                <w:color w:val="auto"/>
              </w:rPr>
            </w:pPr>
          </w:p>
        </w:tc>
        <w:tc>
          <w:tcPr>
            <w:tcW w:w="1300" w:type="dxa"/>
            <w:vAlign w:val="bottom"/>
            <w:tcBorders>
              <w:top w:val="single" w:sz="8" w:color="auto"/>
              <w:right w:val="single" w:sz="8" w:color="auto"/>
            </w:tcBorders>
            <w:shd w:val="clear" w:color="auto" w:fill="33CCCC"/>
          </w:tcPr>
          <w:p>
            <w:pPr>
              <w:ind w:left="20"/>
              <w:spacing w:after="0"/>
              <w:rPr>
                <w:sz w:val="20"/>
                <w:szCs w:val="20"/>
                <w:color w:val="auto"/>
              </w:rPr>
            </w:pPr>
            <w:r>
              <w:rPr>
                <w:rFonts w:ascii="Arial" w:cs="Arial" w:eastAsia="Arial" w:hAnsi="Arial"/>
                <w:sz w:val="11"/>
                <w:szCs w:val="11"/>
                <w:b w:val="1"/>
                <w:bCs w:val="1"/>
                <w:color w:val="FFFFFF"/>
              </w:rPr>
              <w:t>% Change</w:t>
            </w:r>
          </w:p>
        </w:tc>
        <w:tc>
          <w:tcPr>
            <w:tcW w:w="1260" w:type="dxa"/>
            <w:vAlign w:val="bottom"/>
            <w:tcBorders>
              <w:top w:val="single" w:sz="8" w:color="auto"/>
            </w:tcBorders>
            <w:shd w:val="clear" w:color="auto" w:fill="33CCCC"/>
          </w:tcPr>
          <w:p>
            <w:pPr>
              <w:jc w:val="right"/>
              <w:ind w:right="46"/>
              <w:spacing w:after="0"/>
              <w:rPr>
                <w:sz w:val="20"/>
                <w:szCs w:val="20"/>
                <w:color w:val="auto"/>
              </w:rPr>
            </w:pPr>
            <w:r>
              <w:rPr>
                <w:rFonts w:ascii="Arial" w:cs="Arial" w:eastAsia="Arial" w:hAnsi="Arial"/>
                <w:sz w:val="11"/>
                <w:szCs w:val="11"/>
                <w:b w:val="1"/>
                <w:bCs w:val="1"/>
                <w:color w:val="FFFFFF"/>
              </w:rPr>
              <w:t>As of</w:t>
            </w:r>
          </w:p>
        </w:tc>
        <w:tc>
          <w:tcPr>
            <w:tcW w:w="840" w:type="dxa"/>
            <w:vAlign w:val="bottom"/>
            <w:tcBorders>
              <w:top w:val="single" w:sz="8" w:color="auto"/>
              <w:right w:val="single" w:sz="8" w:color="auto"/>
            </w:tcBorders>
            <w:shd w:val="clear" w:color="auto" w:fill="33CCCC"/>
          </w:tcPr>
          <w:p>
            <w:pPr>
              <w:spacing w:after="0"/>
              <w:rPr>
                <w:sz w:val="10"/>
                <w:szCs w:val="10"/>
                <w:color w:val="auto"/>
              </w:rPr>
            </w:pPr>
          </w:p>
        </w:tc>
      </w:tr>
      <w:tr>
        <w:trPr>
          <w:trHeight w:val="134"/>
        </w:trPr>
        <w:tc>
          <w:tcPr>
            <w:tcW w:w="3040" w:type="dxa"/>
            <w:vAlign w:val="bottom"/>
            <w:tcBorders>
              <w:bottom w:val="single" w:sz="8" w:color="auto"/>
              <w:right w:val="single" w:sz="8" w:color="auto"/>
            </w:tcBorders>
          </w:tcPr>
          <w:p>
            <w:pPr>
              <w:spacing w:after="0"/>
              <w:rPr>
                <w:sz w:val="11"/>
                <w:szCs w:val="11"/>
                <w:color w:val="auto"/>
              </w:rPr>
            </w:pPr>
          </w:p>
        </w:tc>
        <w:tc>
          <w:tcPr>
            <w:tcW w:w="1140" w:type="dxa"/>
            <w:vAlign w:val="bottom"/>
            <w:tcBorders>
              <w:bottom w:val="single" w:sz="8" w:color="auto"/>
            </w:tcBorders>
            <w:shd w:val="clear" w:color="auto" w:fill="33CCCC"/>
          </w:tcPr>
          <w:p>
            <w:pPr>
              <w:jc w:val="right"/>
              <w:ind w:right="466"/>
              <w:spacing w:after="0"/>
              <w:rPr>
                <w:sz w:val="20"/>
                <w:szCs w:val="20"/>
                <w:color w:val="auto"/>
              </w:rPr>
            </w:pPr>
            <w:r>
              <w:rPr>
                <w:rFonts w:ascii="Arial" w:cs="Arial" w:eastAsia="Arial" w:hAnsi="Arial"/>
                <w:sz w:val="11"/>
                <w:szCs w:val="11"/>
                <w:b w:val="1"/>
                <w:bCs w:val="1"/>
                <w:color w:val="FFFFFF"/>
              </w:rPr>
              <w:t>3Q22</w:t>
            </w:r>
          </w:p>
        </w:tc>
        <w:tc>
          <w:tcPr>
            <w:tcW w:w="1020" w:type="dxa"/>
            <w:vAlign w:val="bottom"/>
            <w:tcBorders>
              <w:bottom w:val="single" w:sz="8" w:color="auto"/>
            </w:tcBorders>
            <w:shd w:val="clear" w:color="auto" w:fill="33CCCC"/>
          </w:tcPr>
          <w:p>
            <w:pPr>
              <w:jc w:val="right"/>
              <w:ind w:right="506"/>
              <w:spacing w:after="0"/>
              <w:rPr>
                <w:sz w:val="20"/>
                <w:szCs w:val="20"/>
                <w:color w:val="auto"/>
              </w:rPr>
            </w:pPr>
            <w:r>
              <w:rPr>
                <w:rFonts w:ascii="Arial" w:cs="Arial" w:eastAsia="Arial" w:hAnsi="Arial"/>
                <w:sz w:val="11"/>
                <w:szCs w:val="11"/>
                <w:b w:val="1"/>
                <w:bCs w:val="1"/>
                <w:color w:val="FFFFFF"/>
              </w:rPr>
              <w:t>2Q23</w:t>
            </w:r>
          </w:p>
        </w:tc>
        <w:tc>
          <w:tcPr>
            <w:tcW w:w="840" w:type="dxa"/>
            <w:vAlign w:val="bottom"/>
            <w:tcBorders>
              <w:bottom w:val="single" w:sz="8" w:color="auto"/>
              <w:right w:val="single" w:sz="8" w:color="auto"/>
            </w:tcBorders>
            <w:shd w:val="clear" w:color="auto" w:fill="33CCCC"/>
          </w:tcPr>
          <w:p>
            <w:pPr>
              <w:jc w:val="right"/>
              <w:ind w:right="346"/>
              <w:spacing w:after="0"/>
              <w:rPr>
                <w:sz w:val="20"/>
                <w:szCs w:val="20"/>
                <w:color w:val="auto"/>
              </w:rPr>
            </w:pPr>
            <w:r>
              <w:rPr>
                <w:rFonts w:ascii="Arial" w:cs="Arial" w:eastAsia="Arial" w:hAnsi="Arial"/>
                <w:sz w:val="11"/>
                <w:szCs w:val="11"/>
                <w:b w:val="1"/>
                <w:bCs w:val="1"/>
                <w:color w:val="FFFFFF"/>
              </w:rPr>
              <w:t>3Q23</w:t>
            </w:r>
          </w:p>
        </w:tc>
        <w:tc>
          <w:tcPr>
            <w:tcW w:w="700" w:type="dxa"/>
            <w:vAlign w:val="bottom"/>
            <w:tcBorders>
              <w:bottom w:val="single" w:sz="8" w:color="auto"/>
            </w:tcBorders>
            <w:shd w:val="clear" w:color="auto" w:fill="33CCCC"/>
          </w:tcPr>
          <w:p>
            <w:pPr>
              <w:ind w:left="380"/>
              <w:spacing w:after="0"/>
              <w:rPr>
                <w:sz w:val="20"/>
                <w:szCs w:val="20"/>
                <w:color w:val="auto"/>
              </w:rPr>
            </w:pPr>
            <w:r>
              <w:rPr>
                <w:rFonts w:ascii="Arial" w:cs="Arial" w:eastAsia="Arial" w:hAnsi="Arial"/>
                <w:sz w:val="11"/>
                <w:szCs w:val="11"/>
                <w:b w:val="1"/>
                <w:bCs w:val="1"/>
                <w:color w:val="FFFFFF"/>
              </w:rPr>
              <w:t>QoQ</w:t>
            </w:r>
          </w:p>
        </w:tc>
        <w:tc>
          <w:tcPr>
            <w:tcW w:w="1300" w:type="dxa"/>
            <w:vAlign w:val="bottom"/>
            <w:tcBorders>
              <w:bottom w:val="single" w:sz="8" w:color="auto"/>
              <w:right w:val="single" w:sz="8" w:color="auto"/>
            </w:tcBorders>
            <w:shd w:val="clear" w:color="auto" w:fill="33CCCC"/>
          </w:tcPr>
          <w:p>
            <w:pPr>
              <w:ind w:left="680"/>
              <w:spacing w:after="0"/>
              <w:rPr>
                <w:sz w:val="20"/>
                <w:szCs w:val="20"/>
                <w:color w:val="auto"/>
              </w:rPr>
            </w:pPr>
            <w:r>
              <w:rPr>
                <w:rFonts w:ascii="Arial" w:cs="Arial" w:eastAsia="Arial" w:hAnsi="Arial"/>
                <w:sz w:val="11"/>
                <w:szCs w:val="11"/>
                <w:b w:val="1"/>
                <w:bCs w:val="1"/>
                <w:color w:val="FFFFFF"/>
              </w:rPr>
              <w:t>YoY</w:t>
            </w:r>
          </w:p>
        </w:tc>
        <w:tc>
          <w:tcPr>
            <w:tcW w:w="1260" w:type="dxa"/>
            <w:vAlign w:val="bottom"/>
            <w:tcBorders>
              <w:bottom w:val="single" w:sz="8" w:color="auto"/>
            </w:tcBorders>
            <w:shd w:val="clear" w:color="auto" w:fill="33CCCC"/>
          </w:tcPr>
          <w:p>
            <w:pPr>
              <w:jc w:val="right"/>
              <w:ind w:right="546"/>
              <w:spacing w:after="0"/>
              <w:rPr>
                <w:sz w:val="20"/>
                <w:szCs w:val="20"/>
                <w:color w:val="auto"/>
              </w:rPr>
            </w:pPr>
            <w:r>
              <w:rPr>
                <w:rFonts w:ascii="Arial" w:cs="Arial" w:eastAsia="Arial" w:hAnsi="Arial"/>
                <w:sz w:val="11"/>
                <w:szCs w:val="11"/>
                <w:b w:val="1"/>
                <w:bCs w:val="1"/>
                <w:color w:val="FFFFFF"/>
              </w:rPr>
              <w:t>Sep 22</w:t>
            </w:r>
          </w:p>
        </w:tc>
        <w:tc>
          <w:tcPr>
            <w:tcW w:w="840" w:type="dxa"/>
            <w:vAlign w:val="bottom"/>
            <w:tcBorders>
              <w:bottom w:val="single" w:sz="8" w:color="auto"/>
              <w:right w:val="single" w:sz="8" w:color="auto"/>
            </w:tcBorders>
            <w:shd w:val="clear" w:color="auto" w:fill="33CCCC"/>
          </w:tcPr>
          <w:p>
            <w:pPr>
              <w:jc w:val="right"/>
              <w:ind w:right="346"/>
              <w:spacing w:after="0"/>
              <w:rPr>
                <w:sz w:val="20"/>
                <w:szCs w:val="20"/>
                <w:color w:val="auto"/>
              </w:rPr>
            </w:pPr>
            <w:r>
              <w:rPr>
                <w:rFonts w:ascii="Arial" w:cs="Arial" w:eastAsia="Arial" w:hAnsi="Arial"/>
                <w:sz w:val="11"/>
                <w:szCs w:val="11"/>
                <w:b w:val="1"/>
                <w:bCs w:val="1"/>
                <w:color w:val="FFFFFF"/>
              </w:rPr>
              <w:t>Sep 23</w:t>
            </w:r>
          </w:p>
        </w:tc>
      </w:tr>
      <w:tr>
        <w:trPr>
          <w:trHeight w:val="110"/>
        </w:trPr>
        <w:tc>
          <w:tcPr>
            <w:tcW w:w="3040" w:type="dxa"/>
            <w:vAlign w:val="bottom"/>
            <w:tcBorders>
              <w:left w:val="single" w:sz="8" w:color="auto"/>
              <w:right w:val="single" w:sz="8" w:color="auto"/>
            </w:tcBorders>
          </w:tcPr>
          <w:p>
            <w:pPr>
              <w:ind w:left="20"/>
              <w:spacing w:after="0" w:line="110" w:lineRule="exact"/>
              <w:rPr>
                <w:sz w:val="20"/>
                <w:szCs w:val="20"/>
                <w:color w:val="auto"/>
              </w:rPr>
            </w:pPr>
            <w:r>
              <w:rPr>
                <w:rFonts w:ascii="Arial" w:cs="Arial" w:eastAsia="Arial" w:hAnsi="Arial"/>
                <w:sz w:val="11"/>
                <w:szCs w:val="11"/>
                <w:color w:val="auto"/>
              </w:rPr>
              <w:t>Insurance Service Result</w:t>
            </w:r>
          </w:p>
        </w:tc>
        <w:tc>
          <w:tcPr>
            <w:tcW w:w="1140" w:type="dxa"/>
            <w:vAlign w:val="bottom"/>
          </w:tcPr>
          <w:p>
            <w:pPr>
              <w:jc w:val="right"/>
              <w:ind w:right="106"/>
              <w:spacing w:after="0" w:line="110" w:lineRule="exact"/>
              <w:rPr>
                <w:sz w:val="20"/>
                <w:szCs w:val="20"/>
                <w:color w:val="auto"/>
              </w:rPr>
            </w:pPr>
            <w:r>
              <w:rPr>
                <w:rFonts w:ascii="Arial" w:cs="Arial" w:eastAsia="Arial" w:hAnsi="Arial"/>
                <w:sz w:val="11"/>
                <w:szCs w:val="11"/>
                <w:color w:val="auto"/>
              </w:rPr>
              <w:t>280,438</w:t>
            </w:r>
          </w:p>
        </w:tc>
        <w:tc>
          <w:tcPr>
            <w:tcW w:w="1020" w:type="dxa"/>
            <w:vAlign w:val="bottom"/>
          </w:tcPr>
          <w:p>
            <w:pPr>
              <w:jc w:val="right"/>
              <w:ind w:right="126"/>
              <w:spacing w:after="0" w:line="110" w:lineRule="exact"/>
              <w:rPr>
                <w:sz w:val="20"/>
                <w:szCs w:val="20"/>
                <w:color w:val="auto"/>
              </w:rPr>
            </w:pPr>
            <w:r>
              <w:rPr>
                <w:rFonts w:ascii="Arial" w:cs="Arial" w:eastAsia="Arial" w:hAnsi="Arial"/>
                <w:sz w:val="11"/>
                <w:szCs w:val="11"/>
                <w:color w:val="auto"/>
              </w:rPr>
              <w:t>275,201</w:t>
            </w:r>
          </w:p>
        </w:tc>
        <w:tc>
          <w:tcPr>
            <w:tcW w:w="840" w:type="dxa"/>
            <w:vAlign w:val="bottom"/>
            <w:tcBorders>
              <w:right w:val="single" w:sz="8" w:color="auto"/>
            </w:tcBorders>
          </w:tcPr>
          <w:p>
            <w:pPr>
              <w:jc w:val="right"/>
              <w:spacing w:after="0" w:line="110" w:lineRule="exact"/>
              <w:rPr>
                <w:sz w:val="20"/>
                <w:szCs w:val="20"/>
                <w:color w:val="auto"/>
              </w:rPr>
            </w:pPr>
            <w:r>
              <w:rPr>
                <w:rFonts w:ascii="Arial" w:cs="Arial" w:eastAsia="Arial" w:hAnsi="Arial"/>
                <w:sz w:val="11"/>
                <w:szCs w:val="11"/>
                <w:color w:val="auto"/>
              </w:rPr>
              <w:t>324,995</w:t>
            </w:r>
          </w:p>
        </w:tc>
        <w:tc>
          <w:tcPr>
            <w:tcW w:w="700" w:type="dxa"/>
            <w:vAlign w:val="bottom"/>
          </w:tcPr>
          <w:p>
            <w:pPr>
              <w:jc w:val="center"/>
              <w:ind w:left="226"/>
              <w:spacing w:after="0" w:line="110" w:lineRule="exact"/>
              <w:rPr>
                <w:sz w:val="20"/>
                <w:szCs w:val="20"/>
                <w:color w:val="auto"/>
              </w:rPr>
            </w:pPr>
            <w:r>
              <w:rPr>
                <w:rFonts w:ascii="Arial" w:cs="Arial" w:eastAsia="Arial" w:hAnsi="Arial"/>
                <w:sz w:val="11"/>
                <w:szCs w:val="11"/>
                <w:color w:val="auto"/>
                <w:w w:val="96"/>
              </w:rPr>
              <w:t>18.1%</w:t>
            </w:r>
          </w:p>
        </w:tc>
        <w:tc>
          <w:tcPr>
            <w:tcW w:w="1300" w:type="dxa"/>
            <w:vAlign w:val="bottom"/>
            <w:tcBorders>
              <w:right w:val="single" w:sz="8" w:color="auto"/>
            </w:tcBorders>
          </w:tcPr>
          <w:p>
            <w:pPr>
              <w:jc w:val="center"/>
              <w:ind w:left="226"/>
              <w:spacing w:after="0" w:line="110" w:lineRule="exact"/>
              <w:rPr>
                <w:sz w:val="20"/>
                <w:szCs w:val="20"/>
                <w:color w:val="auto"/>
              </w:rPr>
            </w:pPr>
            <w:r>
              <w:rPr>
                <w:rFonts w:ascii="Arial" w:cs="Arial" w:eastAsia="Arial" w:hAnsi="Arial"/>
                <w:sz w:val="11"/>
                <w:szCs w:val="11"/>
                <w:color w:val="auto"/>
                <w:w w:val="96"/>
              </w:rPr>
              <w:t>15.9%</w:t>
            </w:r>
          </w:p>
        </w:tc>
        <w:tc>
          <w:tcPr>
            <w:tcW w:w="1260" w:type="dxa"/>
            <w:vAlign w:val="bottom"/>
          </w:tcPr>
          <w:p>
            <w:pPr>
              <w:jc w:val="right"/>
              <w:ind w:right="306"/>
              <w:spacing w:after="0" w:line="110" w:lineRule="exact"/>
              <w:rPr>
                <w:sz w:val="20"/>
                <w:szCs w:val="20"/>
                <w:color w:val="auto"/>
              </w:rPr>
            </w:pPr>
            <w:r>
              <w:rPr>
                <w:rFonts w:ascii="Arial" w:cs="Arial" w:eastAsia="Arial" w:hAnsi="Arial"/>
                <w:sz w:val="11"/>
                <w:szCs w:val="11"/>
                <w:color w:val="auto"/>
              </w:rPr>
              <w:t>705,966</w:t>
            </w:r>
          </w:p>
        </w:tc>
        <w:tc>
          <w:tcPr>
            <w:tcW w:w="840" w:type="dxa"/>
            <w:vAlign w:val="bottom"/>
            <w:tcBorders>
              <w:right w:val="single" w:sz="8" w:color="auto"/>
            </w:tcBorders>
          </w:tcPr>
          <w:p>
            <w:pPr>
              <w:jc w:val="right"/>
              <w:ind w:right="46"/>
              <w:spacing w:after="0" w:line="110" w:lineRule="exact"/>
              <w:rPr>
                <w:sz w:val="20"/>
                <w:szCs w:val="20"/>
                <w:color w:val="auto"/>
              </w:rPr>
            </w:pPr>
            <w:r>
              <w:rPr>
                <w:rFonts w:ascii="Arial" w:cs="Arial" w:eastAsia="Arial" w:hAnsi="Arial"/>
                <w:sz w:val="11"/>
                <w:szCs w:val="11"/>
                <w:color w:val="auto"/>
              </w:rPr>
              <w:t>896,586</w:t>
            </w:r>
          </w:p>
        </w:tc>
      </w:tr>
      <w:tr>
        <w:trPr>
          <w:trHeight w:val="120"/>
        </w:trPr>
        <w:tc>
          <w:tcPr>
            <w:tcW w:w="3040" w:type="dxa"/>
            <w:vAlign w:val="bottom"/>
            <w:tcBorders>
              <w:left w:val="single" w:sz="8" w:color="auto"/>
              <w:right w:val="single" w:sz="8" w:color="auto"/>
            </w:tcBorders>
          </w:tcPr>
          <w:p>
            <w:pPr>
              <w:ind w:left="20"/>
              <w:spacing w:after="0" w:line="120" w:lineRule="exact"/>
              <w:rPr>
                <w:sz w:val="20"/>
                <w:szCs w:val="20"/>
                <w:color w:val="auto"/>
              </w:rPr>
            </w:pPr>
            <w:r>
              <w:rPr>
                <w:rFonts w:ascii="Arial" w:cs="Arial" w:eastAsia="Arial" w:hAnsi="Arial"/>
                <w:sz w:val="11"/>
                <w:szCs w:val="11"/>
                <w:color w:val="auto"/>
              </w:rPr>
              <w:t>Reinsurance Result</w:t>
            </w:r>
          </w:p>
        </w:tc>
        <w:tc>
          <w:tcPr>
            <w:tcW w:w="1140" w:type="dxa"/>
            <w:vAlign w:val="bottom"/>
          </w:tcPr>
          <w:p>
            <w:pPr>
              <w:jc w:val="right"/>
              <w:ind w:right="106"/>
              <w:spacing w:after="0" w:line="120" w:lineRule="exact"/>
              <w:rPr>
                <w:sz w:val="20"/>
                <w:szCs w:val="20"/>
                <w:color w:val="auto"/>
              </w:rPr>
            </w:pPr>
            <w:r>
              <w:rPr>
                <w:rFonts w:ascii="Arial" w:cs="Arial" w:eastAsia="Arial" w:hAnsi="Arial"/>
                <w:sz w:val="11"/>
                <w:szCs w:val="11"/>
                <w:color w:val="auto"/>
              </w:rPr>
              <w:t>-119,203</w:t>
            </w:r>
          </w:p>
        </w:tc>
        <w:tc>
          <w:tcPr>
            <w:tcW w:w="1020" w:type="dxa"/>
            <w:vAlign w:val="bottom"/>
          </w:tcPr>
          <w:p>
            <w:pPr>
              <w:jc w:val="right"/>
              <w:ind w:right="126"/>
              <w:spacing w:after="0" w:line="120" w:lineRule="exact"/>
              <w:rPr>
                <w:sz w:val="20"/>
                <w:szCs w:val="20"/>
                <w:color w:val="auto"/>
              </w:rPr>
            </w:pPr>
            <w:r>
              <w:rPr>
                <w:rFonts w:ascii="Arial" w:cs="Arial" w:eastAsia="Arial" w:hAnsi="Arial"/>
                <w:sz w:val="11"/>
                <w:szCs w:val="11"/>
                <w:color w:val="auto"/>
              </w:rPr>
              <w:t>-96,697</w:t>
            </w:r>
          </w:p>
        </w:tc>
        <w:tc>
          <w:tcPr>
            <w:tcW w:w="840" w:type="dxa"/>
            <w:vAlign w:val="bottom"/>
            <w:tcBorders>
              <w:right w:val="single" w:sz="8" w:color="auto"/>
            </w:tcBorders>
          </w:tcPr>
          <w:p>
            <w:pPr>
              <w:jc w:val="right"/>
              <w:spacing w:after="0" w:line="120" w:lineRule="exact"/>
              <w:rPr>
                <w:sz w:val="20"/>
                <w:szCs w:val="20"/>
                <w:color w:val="auto"/>
              </w:rPr>
            </w:pPr>
            <w:r>
              <w:rPr>
                <w:rFonts w:ascii="Arial" w:cs="Arial" w:eastAsia="Arial" w:hAnsi="Arial"/>
                <w:sz w:val="11"/>
                <w:szCs w:val="11"/>
                <w:color w:val="auto"/>
              </w:rPr>
              <w:t>-118,588</w:t>
            </w:r>
          </w:p>
        </w:tc>
        <w:tc>
          <w:tcPr>
            <w:tcW w:w="700" w:type="dxa"/>
            <w:vAlign w:val="bottom"/>
          </w:tcPr>
          <w:p>
            <w:pPr>
              <w:jc w:val="center"/>
              <w:ind w:left="226"/>
              <w:spacing w:after="0" w:line="120" w:lineRule="exact"/>
              <w:rPr>
                <w:sz w:val="20"/>
                <w:szCs w:val="20"/>
                <w:color w:val="auto"/>
              </w:rPr>
            </w:pPr>
            <w:r>
              <w:rPr>
                <w:rFonts w:ascii="Arial" w:cs="Arial" w:eastAsia="Arial" w:hAnsi="Arial"/>
                <w:sz w:val="11"/>
                <w:szCs w:val="11"/>
                <w:color w:val="auto"/>
                <w:w w:val="96"/>
              </w:rPr>
              <w:t>22.6%</w:t>
            </w:r>
          </w:p>
        </w:tc>
        <w:tc>
          <w:tcPr>
            <w:tcW w:w="1300" w:type="dxa"/>
            <w:vAlign w:val="bottom"/>
            <w:tcBorders>
              <w:right w:val="single" w:sz="8" w:color="auto"/>
            </w:tcBorders>
          </w:tcPr>
          <w:p>
            <w:pPr>
              <w:jc w:val="center"/>
              <w:ind w:left="206"/>
              <w:spacing w:after="0" w:line="120" w:lineRule="exact"/>
              <w:rPr>
                <w:sz w:val="20"/>
                <w:szCs w:val="20"/>
                <w:color w:val="auto"/>
              </w:rPr>
            </w:pPr>
            <w:r>
              <w:rPr>
                <w:rFonts w:ascii="Arial" w:cs="Arial" w:eastAsia="Arial" w:hAnsi="Arial"/>
                <w:sz w:val="11"/>
                <w:szCs w:val="11"/>
                <w:color w:val="auto"/>
                <w:w w:val="97"/>
              </w:rPr>
              <w:t>-0.5%</w:t>
            </w:r>
          </w:p>
        </w:tc>
        <w:tc>
          <w:tcPr>
            <w:tcW w:w="1260" w:type="dxa"/>
            <w:vAlign w:val="bottom"/>
          </w:tcPr>
          <w:p>
            <w:pPr>
              <w:jc w:val="right"/>
              <w:ind w:right="306"/>
              <w:spacing w:after="0" w:line="120" w:lineRule="exact"/>
              <w:rPr>
                <w:sz w:val="20"/>
                <w:szCs w:val="20"/>
                <w:color w:val="auto"/>
              </w:rPr>
            </w:pPr>
            <w:r>
              <w:rPr>
                <w:rFonts w:ascii="Arial" w:cs="Arial" w:eastAsia="Arial" w:hAnsi="Arial"/>
                <w:sz w:val="11"/>
                <w:szCs w:val="11"/>
                <w:color w:val="auto"/>
              </w:rPr>
              <w:t>-347,887</w:t>
            </w:r>
          </w:p>
        </w:tc>
        <w:tc>
          <w:tcPr>
            <w:tcW w:w="840" w:type="dxa"/>
            <w:vAlign w:val="bottom"/>
            <w:tcBorders>
              <w:right w:val="single" w:sz="8" w:color="auto"/>
            </w:tcBorders>
          </w:tcPr>
          <w:p>
            <w:pPr>
              <w:jc w:val="right"/>
              <w:ind w:right="46"/>
              <w:spacing w:after="0" w:line="120" w:lineRule="exact"/>
              <w:rPr>
                <w:sz w:val="20"/>
                <w:szCs w:val="20"/>
                <w:color w:val="auto"/>
              </w:rPr>
            </w:pPr>
            <w:r>
              <w:rPr>
                <w:rFonts w:ascii="Arial" w:cs="Arial" w:eastAsia="Arial" w:hAnsi="Arial"/>
                <w:sz w:val="11"/>
                <w:szCs w:val="11"/>
                <w:color w:val="auto"/>
              </w:rPr>
              <w:t>-329,294</w:t>
            </w:r>
          </w:p>
        </w:tc>
      </w:tr>
      <w:tr>
        <w:trPr>
          <w:trHeight w:val="128"/>
        </w:trPr>
        <w:tc>
          <w:tcPr>
            <w:tcW w:w="30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Insurance underwriting result</w:t>
            </w:r>
          </w:p>
        </w:tc>
        <w:tc>
          <w:tcPr>
            <w:tcW w:w="1140" w:type="dxa"/>
            <w:vAlign w:val="bottom"/>
          </w:tcPr>
          <w:p>
            <w:pPr>
              <w:jc w:val="right"/>
              <w:ind w:right="106"/>
              <w:spacing w:after="0"/>
              <w:rPr>
                <w:sz w:val="20"/>
                <w:szCs w:val="20"/>
                <w:color w:val="auto"/>
              </w:rPr>
            </w:pPr>
            <w:r>
              <w:rPr>
                <w:rFonts w:ascii="Arial" w:cs="Arial" w:eastAsia="Arial" w:hAnsi="Arial"/>
                <w:sz w:val="11"/>
                <w:szCs w:val="11"/>
                <w:b w:val="1"/>
                <w:bCs w:val="1"/>
                <w:color w:val="auto"/>
              </w:rPr>
              <w:t>161,235</w:t>
            </w:r>
          </w:p>
        </w:tc>
        <w:tc>
          <w:tcPr>
            <w:tcW w:w="1020" w:type="dxa"/>
            <w:vAlign w:val="bottom"/>
          </w:tcPr>
          <w:p>
            <w:pPr>
              <w:jc w:val="right"/>
              <w:ind w:right="126"/>
              <w:spacing w:after="0"/>
              <w:rPr>
                <w:sz w:val="20"/>
                <w:szCs w:val="20"/>
                <w:color w:val="auto"/>
              </w:rPr>
            </w:pPr>
            <w:r>
              <w:rPr>
                <w:rFonts w:ascii="Arial" w:cs="Arial" w:eastAsia="Arial" w:hAnsi="Arial"/>
                <w:sz w:val="11"/>
                <w:szCs w:val="11"/>
                <w:b w:val="1"/>
                <w:bCs w:val="1"/>
                <w:color w:val="auto"/>
              </w:rPr>
              <w:t>178,504</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1"/>
                <w:szCs w:val="11"/>
                <w:b w:val="1"/>
                <w:bCs w:val="1"/>
                <w:color w:val="auto"/>
              </w:rPr>
              <w:t>206,407</w:t>
            </w:r>
          </w:p>
        </w:tc>
        <w:tc>
          <w:tcPr>
            <w:tcW w:w="700" w:type="dxa"/>
            <w:vAlign w:val="bottom"/>
          </w:tcPr>
          <w:p>
            <w:pPr>
              <w:jc w:val="center"/>
              <w:ind w:left="226"/>
              <w:spacing w:after="0"/>
              <w:rPr>
                <w:sz w:val="20"/>
                <w:szCs w:val="20"/>
                <w:color w:val="auto"/>
              </w:rPr>
            </w:pPr>
            <w:r>
              <w:rPr>
                <w:rFonts w:ascii="Arial" w:cs="Arial" w:eastAsia="Arial" w:hAnsi="Arial"/>
                <w:sz w:val="11"/>
                <w:szCs w:val="11"/>
                <w:b w:val="1"/>
                <w:bCs w:val="1"/>
                <w:color w:val="auto"/>
                <w:w w:val="96"/>
              </w:rPr>
              <w:t>15.6%</w:t>
            </w:r>
          </w:p>
        </w:tc>
        <w:tc>
          <w:tcPr>
            <w:tcW w:w="1300" w:type="dxa"/>
            <w:vAlign w:val="bottom"/>
            <w:tcBorders>
              <w:right w:val="single" w:sz="8" w:color="auto"/>
            </w:tcBorders>
          </w:tcPr>
          <w:p>
            <w:pPr>
              <w:jc w:val="center"/>
              <w:ind w:left="226"/>
              <w:spacing w:after="0"/>
              <w:rPr>
                <w:sz w:val="20"/>
                <w:szCs w:val="20"/>
                <w:color w:val="auto"/>
              </w:rPr>
            </w:pPr>
            <w:r>
              <w:rPr>
                <w:rFonts w:ascii="Arial" w:cs="Arial" w:eastAsia="Arial" w:hAnsi="Arial"/>
                <w:sz w:val="11"/>
                <w:szCs w:val="11"/>
                <w:b w:val="1"/>
                <w:bCs w:val="1"/>
                <w:color w:val="auto"/>
                <w:w w:val="96"/>
              </w:rPr>
              <w:t>28.0%</w:t>
            </w:r>
          </w:p>
        </w:tc>
        <w:tc>
          <w:tcPr>
            <w:tcW w:w="1260" w:type="dxa"/>
            <w:vAlign w:val="bottom"/>
          </w:tcPr>
          <w:p>
            <w:pPr>
              <w:jc w:val="right"/>
              <w:ind w:right="306"/>
              <w:spacing w:after="0"/>
              <w:rPr>
                <w:sz w:val="20"/>
                <w:szCs w:val="20"/>
                <w:color w:val="auto"/>
              </w:rPr>
            </w:pPr>
            <w:r>
              <w:rPr>
                <w:rFonts w:ascii="Arial" w:cs="Arial" w:eastAsia="Arial" w:hAnsi="Arial"/>
                <w:sz w:val="11"/>
                <w:szCs w:val="11"/>
                <w:b w:val="1"/>
                <w:bCs w:val="1"/>
                <w:color w:val="auto"/>
              </w:rPr>
              <w:t>358,079</w:t>
            </w:r>
          </w:p>
        </w:tc>
        <w:tc>
          <w:tcPr>
            <w:tcW w:w="840" w:type="dxa"/>
            <w:vAlign w:val="bottom"/>
            <w:tcBorders>
              <w:right w:val="single" w:sz="8" w:color="auto"/>
            </w:tcBorders>
          </w:tcPr>
          <w:p>
            <w:pPr>
              <w:jc w:val="right"/>
              <w:ind w:right="46"/>
              <w:spacing w:after="0"/>
              <w:rPr>
                <w:sz w:val="20"/>
                <w:szCs w:val="20"/>
                <w:color w:val="auto"/>
              </w:rPr>
            </w:pPr>
            <w:r>
              <w:rPr>
                <w:rFonts w:ascii="Arial" w:cs="Arial" w:eastAsia="Arial" w:hAnsi="Arial"/>
                <w:sz w:val="11"/>
                <w:szCs w:val="11"/>
                <w:b w:val="1"/>
                <w:bCs w:val="1"/>
                <w:color w:val="auto"/>
              </w:rPr>
              <w:t>567,292</w:t>
            </w:r>
          </w:p>
        </w:tc>
      </w:tr>
      <w:tr>
        <w:trPr>
          <w:trHeight w:val="120"/>
        </w:trPr>
        <w:tc>
          <w:tcPr>
            <w:tcW w:w="3040" w:type="dxa"/>
            <w:vAlign w:val="bottom"/>
            <w:tcBorders>
              <w:left w:val="single" w:sz="8" w:color="auto"/>
              <w:right w:val="single" w:sz="8" w:color="auto"/>
            </w:tcBorders>
          </w:tcPr>
          <w:p>
            <w:pPr>
              <w:ind w:left="20"/>
              <w:spacing w:after="0" w:line="120" w:lineRule="exact"/>
              <w:rPr>
                <w:sz w:val="20"/>
                <w:szCs w:val="20"/>
                <w:color w:val="auto"/>
              </w:rPr>
            </w:pPr>
            <w:r>
              <w:rPr>
                <w:rFonts w:ascii="Arial" w:cs="Arial" w:eastAsia="Arial" w:hAnsi="Arial"/>
                <w:sz w:val="11"/>
                <w:szCs w:val="11"/>
                <w:color w:val="auto"/>
              </w:rPr>
              <w:t>Interest income</w:t>
            </w:r>
          </w:p>
        </w:tc>
        <w:tc>
          <w:tcPr>
            <w:tcW w:w="1140" w:type="dxa"/>
            <w:vAlign w:val="bottom"/>
          </w:tcPr>
          <w:p>
            <w:pPr>
              <w:jc w:val="right"/>
              <w:ind w:right="106"/>
              <w:spacing w:after="0" w:line="120" w:lineRule="exact"/>
              <w:rPr>
                <w:sz w:val="20"/>
                <w:szCs w:val="20"/>
                <w:color w:val="auto"/>
              </w:rPr>
            </w:pPr>
            <w:r>
              <w:rPr>
                <w:rFonts w:ascii="Arial" w:cs="Arial" w:eastAsia="Arial" w:hAnsi="Arial"/>
                <w:sz w:val="11"/>
                <w:szCs w:val="11"/>
                <w:color w:val="auto"/>
              </w:rPr>
              <w:t>197,607</w:t>
            </w:r>
          </w:p>
        </w:tc>
        <w:tc>
          <w:tcPr>
            <w:tcW w:w="1020" w:type="dxa"/>
            <w:vAlign w:val="bottom"/>
          </w:tcPr>
          <w:p>
            <w:pPr>
              <w:jc w:val="right"/>
              <w:ind w:right="126"/>
              <w:spacing w:after="0" w:line="120" w:lineRule="exact"/>
              <w:rPr>
                <w:sz w:val="20"/>
                <w:szCs w:val="20"/>
                <w:color w:val="auto"/>
              </w:rPr>
            </w:pPr>
            <w:r>
              <w:rPr>
                <w:rFonts w:ascii="Arial" w:cs="Arial" w:eastAsia="Arial" w:hAnsi="Arial"/>
                <w:sz w:val="11"/>
                <w:szCs w:val="11"/>
                <w:color w:val="auto"/>
              </w:rPr>
              <w:t>209,171</w:t>
            </w:r>
          </w:p>
        </w:tc>
        <w:tc>
          <w:tcPr>
            <w:tcW w:w="840" w:type="dxa"/>
            <w:vAlign w:val="bottom"/>
            <w:tcBorders>
              <w:right w:val="single" w:sz="8" w:color="auto"/>
            </w:tcBorders>
          </w:tcPr>
          <w:p>
            <w:pPr>
              <w:jc w:val="right"/>
              <w:spacing w:after="0" w:line="120" w:lineRule="exact"/>
              <w:rPr>
                <w:sz w:val="20"/>
                <w:szCs w:val="20"/>
                <w:color w:val="auto"/>
              </w:rPr>
            </w:pPr>
            <w:r>
              <w:rPr>
                <w:rFonts w:ascii="Arial" w:cs="Arial" w:eastAsia="Arial" w:hAnsi="Arial"/>
                <w:sz w:val="11"/>
                <w:szCs w:val="11"/>
                <w:color w:val="auto"/>
              </w:rPr>
              <w:t>195,214</w:t>
            </w:r>
          </w:p>
        </w:tc>
        <w:tc>
          <w:tcPr>
            <w:tcW w:w="700" w:type="dxa"/>
            <w:vAlign w:val="bottom"/>
          </w:tcPr>
          <w:p>
            <w:pPr>
              <w:jc w:val="center"/>
              <w:ind w:left="206"/>
              <w:spacing w:after="0" w:line="120" w:lineRule="exact"/>
              <w:rPr>
                <w:sz w:val="20"/>
                <w:szCs w:val="20"/>
                <w:color w:val="auto"/>
              </w:rPr>
            </w:pPr>
            <w:r>
              <w:rPr>
                <w:rFonts w:ascii="Arial" w:cs="Arial" w:eastAsia="Arial" w:hAnsi="Arial"/>
                <w:sz w:val="11"/>
                <w:szCs w:val="11"/>
                <w:color w:val="auto"/>
                <w:w w:val="97"/>
              </w:rPr>
              <w:t>-6.7%</w:t>
            </w:r>
          </w:p>
        </w:tc>
        <w:tc>
          <w:tcPr>
            <w:tcW w:w="1300" w:type="dxa"/>
            <w:vAlign w:val="bottom"/>
            <w:tcBorders>
              <w:right w:val="single" w:sz="8" w:color="auto"/>
            </w:tcBorders>
          </w:tcPr>
          <w:p>
            <w:pPr>
              <w:jc w:val="center"/>
              <w:ind w:left="206"/>
              <w:spacing w:after="0" w:line="120" w:lineRule="exact"/>
              <w:rPr>
                <w:sz w:val="20"/>
                <w:szCs w:val="20"/>
                <w:color w:val="auto"/>
              </w:rPr>
            </w:pPr>
            <w:r>
              <w:rPr>
                <w:rFonts w:ascii="Arial" w:cs="Arial" w:eastAsia="Arial" w:hAnsi="Arial"/>
                <w:sz w:val="11"/>
                <w:szCs w:val="11"/>
                <w:color w:val="auto"/>
                <w:w w:val="97"/>
              </w:rPr>
              <w:t>-1.2%</w:t>
            </w:r>
          </w:p>
        </w:tc>
        <w:tc>
          <w:tcPr>
            <w:tcW w:w="1260" w:type="dxa"/>
            <w:vAlign w:val="bottom"/>
          </w:tcPr>
          <w:p>
            <w:pPr>
              <w:jc w:val="right"/>
              <w:ind w:right="306"/>
              <w:spacing w:after="0" w:line="120" w:lineRule="exact"/>
              <w:rPr>
                <w:sz w:val="20"/>
                <w:szCs w:val="20"/>
                <w:color w:val="auto"/>
              </w:rPr>
            </w:pPr>
            <w:r>
              <w:rPr>
                <w:rFonts w:ascii="Arial" w:cs="Arial" w:eastAsia="Arial" w:hAnsi="Arial"/>
                <w:sz w:val="11"/>
                <w:szCs w:val="11"/>
                <w:color w:val="auto"/>
              </w:rPr>
              <w:t>558,457</w:t>
            </w:r>
          </w:p>
        </w:tc>
        <w:tc>
          <w:tcPr>
            <w:tcW w:w="840" w:type="dxa"/>
            <w:vAlign w:val="bottom"/>
            <w:tcBorders>
              <w:right w:val="single" w:sz="8" w:color="auto"/>
            </w:tcBorders>
          </w:tcPr>
          <w:p>
            <w:pPr>
              <w:jc w:val="right"/>
              <w:ind w:right="46"/>
              <w:spacing w:after="0" w:line="120" w:lineRule="exact"/>
              <w:rPr>
                <w:sz w:val="20"/>
                <w:szCs w:val="20"/>
                <w:color w:val="auto"/>
              </w:rPr>
            </w:pPr>
            <w:r>
              <w:rPr>
                <w:rFonts w:ascii="Arial" w:cs="Arial" w:eastAsia="Arial" w:hAnsi="Arial"/>
                <w:sz w:val="11"/>
                <w:szCs w:val="11"/>
                <w:color w:val="auto"/>
              </w:rPr>
              <w:t>594,348</w:t>
            </w:r>
          </w:p>
        </w:tc>
      </w:tr>
      <w:tr>
        <w:trPr>
          <w:trHeight w:val="124"/>
        </w:trPr>
        <w:tc>
          <w:tcPr>
            <w:tcW w:w="3040" w:type="dxa"/>
            <w:vAlign w:val="bottom"/>
            <w:tcBorders>
              <w:left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i w:val="1"/>
                <w:iCs w:val="1"/>
                <w:color w:val="auto"/>
              </w:rPr>
              <w:t>Interest Expenses</w:t>
            </w:r>
          </w:p>
        </w:tc>
        <w:tc>
          <w:tcPr>
            <w:tcW w:w="1140" w:type="dxa"/>
            <w:vAlign w:val="bottom"/>
          </w:tcPr>
          <w:p>
            <w:pPr>
              <w:jc w:val="right"/>
              <w:ind w:right="106"/>
              <w:spacing w:after="0" w:line="124" w:lineRule="exact"/>
              <w:rPr>
                <w:sz w:val="20"/>
                <w:szCs w:val="20"/>
                <w:color w:val="auto"/>
              </w:rPr>
            </w:pPr>
            <w:r>
              <w:rPr>
                <w:rFonts w:ascii="Arial" w:cs="Arial" w:eastAsia="Arial" w:hAnsi="Arial"/>
                <w:sz w:val="11"/>
                <w:szCs w:val="11"/>
                <w:color w:val="auto"/>
              </w:rPr>
              <w:t>-125,706</w:t>
            </w:r>
          </w:p>
        </w:tc>
        <w:tc>
          <w:tcPr>
            <w:tcW w:w="1020" w:type="dxa"/>
            <w:vAlign w:val="bottom"/>
          </w:tcPr>
          <w:p>
            <w:pPr>
              <w:jc w:val="right"/>
              <w:ind w:right="126"/>
              <w:spacing w:after="0" w:line="124" w:lineRule="exact"/>
              <w:rPr>
                <w:sz w:val="20"/>
                <w:szCs w:val="20"/>
                <w:color w:val="auto"/>
              </w:rPr>
            </w:pPr>
            <w:r>
              <w:rPr>
                <w:rFonts w:ascii="Arial" w:cs="Arial" w:eastAsia="Arial" w:hAnsi="Arial"/>
                <w:sz w:val="11"/>
                <w:szCs w:val="11"/>
                <w:color w:val="auto"/>
              </w:rPr>
              <w:t>-121,294</w:t>
            </w:r>
          </w:p>
        </w:tc>
        <w:tc>
          <w:tcPr>
            <w:tcW w:w="84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-123,388</w:t>
            </w:r>
          </w:p>
        </w:tc>
        <w:tc>
          <w:tcPr>
            <w:tcW w:w="700" w:type="dxa"/>
            <w:vAlign w:val="bottom"/>
          </w:tcPr>
          <w:p>
            <w:pPr>
              <w:jc w:val="center"/>
              <w:ind w:left="206"/>
              <w:spacing w:after="0" w:line="124" w:lineRule="exact"/>
              <w:rPr>
                <w:sz w:val="20"/>
                <w:szCs w:val="20"/>
                <w:color w:val="auto"/>
              </w:rPr>
            </w:pPr>
            <w:r>
              <w:rPr>
                <w:rFonts w:ascii="Arial" w:cs="Arial" w:eastAsia="Arial" w:hAnsi="Arial"/>
                <w:sz w:val="11"/>
                <w:szCs w:val="11"/>
                <w:b w:val="1"/>
                <w:bCs w:val="1"/>
                <w:color w:val="auto"/>
                <w:w w:val="95"/>
              </w:rPr>
              <w:t>1.7%</w:t>
            </w:r>
          </w:p>
        </w:tc>
        <w:tc>
          <w:tcPr>
            <w:tcW w:w="1300" w:type="dxa"/>
            <w:vAlign w:val="bottom"/>
            <w:tcBorders>
              <w:right w:val="single" w:sz="8" w:color="auto"/>
            </w:tcBorders>
          </w:tcPr>
          <w:p>
            <w:pPr>
              <w:jc w:val="center"/>
              <w:ind w:left="206"/>
              <w:spacing w:after="0" w:line="124" w:lineRule="exact"/>
              <w:rPr>
                <w:sz w:val="20"/>
                <w:szCs w:val="20"/>
                <w:color w:val="auto"/>
              </w:rPr>
            </w:pPr>
            <w:r>
              <w:rPr>
                <w:rFonts w:ascii="Arial" w:cs="Arial" w:eastAsia="Arial" w:hAnsi="Arial"/>
                <w:sz w:val="11"/>
                <w:szCs w:val="11"/>
                <w:color w:val="auto"/>
                <w:w w:val="97"/>
              </w:rPr>
              <w:t>-1.8%</w:t>
            </w:r>
          </w:p>
        </w:tc>
        <w:tc>
          <w:tcPr>
            <w:tcW w:w="1260" w:type="dxa"/>
            <w:vAlign w:val="bottom"/>
          </w:tcPr>
          <w:p>
            <w:pPr>
              <w:jc w:val="right"/>
              <w:ind w:right="306"/>
              <w:spacing w:after="0" w:line="124" w:lineRule="exact"/>
              <w:rPr>
                <w:sz w:val="20"/>
                <w:szCs w:val="20"/>
                <w:color w:val="auto"/>
              </w:rPr>
            </w:pPr>
            <w:r>
              <w:rPr>
                <w:rFonts w:ascii="Arial" w:cs="Arial" w:eastAsia="Arial" w:hAnsi="Arial"/>
                <w:sz w:val="11"/>
                <w:szCs w:val="11"/>
                <w:color w:val="auto"/>
              </w:rPr>
              <w:t>-345,942</w:t>
            </w:r>
          </w:p>
        </w:tc>
        <w:tc>
          <w:tcPr>
            <w:tcW w:w="840" w:type="dxa"/>
            <w:vAlign w:val="bottom"/>
            <w:tcBorders>
              <w:right w:val="single" w:sz="8" w:color="auto"/>
            </w:tcBorders>
          </w:tcPr>
          <w:p>
            <w:pPr>
              <w:jc w:val="right"/>
              <w:ind w:right="46"/>
              <w:spacing w:after="0" w:line="124" w:lineRule="exact"/>
              <w:rPr>
                <w:sz w:val="20"/>
                <w:szCs w:val="20"/>
                <w:color w:val="auto"/>
              </w:rPr>
            </w:pPr>
            <w:r>
              <w:rPr>
                <w:rFonts w:ascii="Arial" w:cs="Arial" w:eastAsia="Arial" w:hAnsi="Arial"/>
                <w:sz w:val="11"/>
                <w:szCs w:val="11"/>
                <w:color w:val="auto"/>
              </w:rPr>
              <w:t>-366,860</w:t>
            </w:r>
          </w:p>
        </w:tc>
      </w:tr>
      <w:tr>
        <w:trPr>
          <w:trHeight w:val="128"/>
        </w:trPr>
        <w:tc>
          <w:tcPr>
            <w:tcW w:w="30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Net Interest Income</w:t>
            </w:r>
          </w:p>
        </w:tc>
        <w:tc>
          <w:tcPr>
            <w:tcW w:w="1140" w:type="dxa"/>
            <w:vAlign w:val="bottom"/>
          </w:tcPr>
          <w:p>
            <w:pPr>
              <w:jc w:val="right"/>
              <w:ind w:right="106"/>
              <w:spacing w:after="0"/>
              <w:rPr>
                <w:sz w:val="20"/>
                <w:szCs w:val="20"/>
                <w:color w:val="auto"/>
              </w:rPr>
            </w:pPr>
            <w:r>
              <w:rPr>
                <w:rFonts w:ascii="Arial" w:cs="Arial" w:eastAsia="Arial" w:hAnsi="Arial"/>
                <w:sz w:val="11"/>
                <w:szCs w:val="11"/>
                <w:b w:val="1"/>
                <w:bCs w:val="1"/>
                <w:color w:val="auto"/>
              </w:rPr>
              <w:t>71,901</w:t>
            </w:r>
          </w:p>
        </w:tc>
        <w:tc>
          <w:tcPr>
            <w:tcW w:w="1020" w:type="dxa"/>
            <w:vAlign w:val="bottom"/>
          </w:tcPr>
          <w:p>
            <w:pPr>
              <w:jc w:val="right"/>
              <w:ind w:right="126"/>
              <w:spacing w:after="0"/>
              <w:rPr>
                <w:sz w:val="20"/>
                <w:szCs w:val="20"/>
                <w:color w:val="auto"/>
              </w:rPr>
            </w:pPr>
            <w:r>
              <w:rPr>
                <w:rFonts w:ascii="Arial" w:cs="Arial" w:eastAsia="Arial" w:hAnsi="Arial"/>
                <w:sz w:val="11"/>
                <w:szCs w:val="11"/>
                <w:b w:val="1"/>
                <w:bCs w:val="1"/>
                <w:color w:val="auto"/>
              </w:rPr>
              <w:t>87,877</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1"/>
                <w:szCs w:val="11"/>
                <w:b w:val="1"/>
                <w:bCs w:val="1"/>
                <w:color w:val="auto"/>
              </w:rPr>
              <w:t>71,826</w:t>
            </w:r>
          </w:p>
        </w:tc>
        <w:tc>
          <w:tcPr>
            <w:tcW w:w="700" w:type="dxa"/>
            <w:vAlign w:val="bottom"/>
          </w:tcPr>
          <w:p>
            <w:pPr>
              <w:jc w:val="center"/>
              <w:ind w:left="226"/>
              <w:spacing w:after="0"/>
              <w:rPr>
                <w:sz w:val="20"/>
                <w:szCs w:val="20"/>
                <w:color w:val="auto"/>
              </w:rPr>
            </w:pPr>
            <w:r>
              <w:rPr>
                <w:rFonts w:ascii="Arial" w:cs="Arial" w:eastAsia="Arial" w:hAnsi="Arial"/>
                <w:sz w:val="11"/>
                <w:szCs w:val="11"/>
                <w:b w:val="1"/>
                <w:bCs w:val="1"/>
                <w:color w:val="auto"/>
                <w:w w:val="97"/>
              </w:rPr>
              <w:t>-18.3%</w:t>
            </w:r>
          </w:p>
        </w:tc>
        <w:tc>
          <w:tcPr>
            <w:tcW w:w="130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b w:val="1"/>
                <w:bCs w:val="1"/>
                <w:color w:val="auto"/>
                <w:w w:val="97"/>
              </w:rPr>
              <w:t>-0.1%</w:t>
            </w:r>
          </w:p>
        </w:tc>
        <w:tc>
          <w:tcPr>
            <w:tcW w:w="1260" w:type="dxa"/>
            <w:vAlign w:val="bottom"/>
          </w:tcPr>
          <w:p>
            <w:pPr>
              <w:jc w:val="right"/>
              <w:ind w:right="306"/>
              <w:spacing w:after="0"/>
              <w:rPr>
                <w:sz w:val="20"/>
                <w:szCs w:val="20"/>
                <w:color w:val="auto"/>
              </w:rPr>
            </w:pPr>
            <w:r>
              <w:rPr>
                <w:rFonts w:ascii="Arial" w:cs="Arial" w:eastAsia="Arial" w:hAnsi="Arial"/>
                <w:sz w:val="11"/>
                <w:szCs w:val="11"/>
                <w:b w:val="1"/>
                <w:bCs w:val="1"/>
                <w:color w:val="auto"/>
              </w:rPr>
              <w:t>212,515</w:t>
            </w:r>
          </w:p>
        </w:tc>
        <w:tc>
          <w:tcPr>
            <w:tcW w:w="840" w:type="dxa"/>
            <w:vAlign w:val="bottom"/>
            <w:tcBorders>
              <w:right w:val="single" w:sz="8" w:color="auto"/>
            </w:tcBorders>
          </w:tcPr>
          <w:p>
            <w:pPr>
              <w:jc w:val="right"/>
              <w:ind w:right="46"/>
              <w:spacing w:after="0"/>
              <w:rPr>
                <w:sz w:val="20"/>
                <w:szCs w:val="20"/>
                <w:color w:val="auto"/>
              </w:rPr>
            </w:pPr>
            <w:r>
              <w:rPr>
                <w:rFonts w:ascii="Arial" w:cs="Arial" w:eastAsia="Arial" w:hAnsi="Arial"/>
                <w:sz w:val="11"/>
                <w:szCs w:val="11"/>
                <w:b w:val="1"/>
                <w:bCs w:val="1"/>
                <w:color w:val="auto"/>
              </w:rPr>
              <w:t>227,488</w:t>
            </w:r>
          </w:p>
        </w:tc>
      </w:tr>
      <w:tr>
        <w:trPr>
          <w:trHeight w:val="122"/>
        </w:trPr>
        <w:tc>
          <w:tcPr>
            <w:tcW w:w="3040" w:type="dxa"/>
            <w:vAlign w:val="bottom"/>
            <w:tcBorders>
              <w:left w:val="single" w:sz="8" w:color="auto"/>
              <w:right w:val="single" w:sz="8" w:color="auto"/>
            </w:tcBorders>
          </w:tcPr>
          <w:p>
            <w:pPr>
              <w:ind w:left="20"/>
              <w:spacing w:after="0" w:line="122" w:lineRule="exact"/>
              <w:rPr>
                <w:sz w:val="20"/>
                <w:szCs w:val="20"/>
                <w:color w:val="auto"/>
              </w:rPr>
            </w:pPr>
            <w:r>
              <w:rPr>
                <w:rFonts w:ascii="Arial" w:cs="Arial" w:eastAsia="Arial" w:hAnsi="Arial"/>
                <w:sz w:val="11"/>
                <w:szCs w:val="11"/>
                <w:color w:val="auto"/>
              </w:rPr>
              <w:t>Fee Income and Gain in FX</w:t>
            </w:r>
          </w:p>
        </w:tc>
        <w:tc>
          <w:tcPr>
            <w:tcW w:w="1140" w:type="dxa"/>
            <w:vAlign w:val="bottom"/>
          </w:tcPr>
          <w:p>
            <w:pPr>
              <w:jc w:val="right"/>
              <w:ind w:right="106"/>
              <w:spacing w:after="0" w:line="122" w:lineRule="exact"/>
              <w:rPr>
                <w:sz w:val="20"/>
                <w:szCs w:val="20"/>
                <w:color w:val="auto"/>
              </w:rPr>
            </w:pPr>
            <w:r>
              <w:rPr>
                <w:rFonts w:ascii="Arial" w:cs="Arial" w:eastAsia="Arial" w:hAnsi="Arial"/>
                <w:sz w:val="11"/>
                <w:szCs w:val="11"/>
                <w:color w:val="auto"/>
              </w:rPr>
              <w:t>-2,556</w:t>
            </w:r>
          </w:p>
        </w:tc>
        <w:tc>
          <w:tcPr>
            <w:tcW w:w="1020" w:type="dxa"/>
            <w:vAlign w:val="bottom"/>
          </w:tcPr>
          <w:p>
            <w:pPr>
              <w:jc w:val="right"/>
              <w:ind w:right="126"/>
              <w:spacing w:after="0" w:line="122" w:lineRule="exact"/>
              <w:rPr>
                <w:sz w:val="20"/>
                <w:szCs w:val="20"/>
                <w:color w:val="auto"/>
              </w:rPr>
            </w:pPr>
            <w:r>
              <w:rPr>
                <w:rFonts w:ascii="Arial" w:cs="Arial" w:eastAsia="Arial" w:hAnsi="Arial"/>
                <w:sz w:val="11"/>
                <w:szCs w:val="11"/>
                <w:color w:val="auto"/>
              </w:rPr>
              <w:t>-3,462</w:t>
            </w:r>
          </w:p>
        </w:tc>
        <w:tc>
          <w:tcPr>
            <w:tcW w:w="840" w:type="dxa"/>
            <w:vAlign w:val="bottom"/>
            <w:tcBorders>
              <w:right w:val="single" w:sz="8" w:color="auto"/>
            </w:tcBorders>
          </w:tcPr>
          <w:p>
            <w:pPr>
              <w:jc w:val="right"/>
              <w:spacing w:after="0" w:line="122" w:lineRule="exact"/>
              <w:rPr>
                <w:sz w:val="20"/>
                <w:szCs w:val="20"/>
                <w:color w:val="auto"/>
              </w:rPr>
            </w:pPr>
            <w:r>
              <w:rPr>
                <w:rFonts w:ascii="Arial" w:cs="Arial" w:eastAsia="Arial" w:hAnsi="Arial"/>
                <w:sz w:val="11"/>
                <w:szCs w:val="11"/>
                <w:color w:val="auto"/>
              </w:rPr>
              <w:t>-2,561</w:t>
            </w:r>
          </w:p>
        </w:tc>
        <w:tc>
          <w:tcPr>
            <w:tcW w:w="700" w:type="dxa"/>
            <w:vAlign w:val="bottom"/>
          </w:tcPr>
          <w:p>
            <w:pPr>
              <w:jc w:val="center"/>
              <w:ind w:left="226"/>
              <w:spacing w:after="0" w:line="122" w:lineRule="exact"/>
              <w:rPr>
                <w:sz w:val="20"/>
                <w:szCs w:val="20"/>
                <w:color w:val="auto"/>
              </w:rPr>
            </w:pPr>
            <w:r>
              <w:rPr>
                <w:rFonts w:ascii="Arial" w:cs="Arial" w:eastAsia="Arial" w:hAnsi="Arial"/>
                <w:sz w:val="11"/>
                <w:szCs w:val="11"/>
                <w:color w:val="auto"/>
                <w:w w:val="97"/>
              </w:rPr>
              <w:t>-26.0%</w:t>
            </w:r>
          </w:p>
        </w:tc>
        <w:tc>
          <w:tcPr>
            <w:tcW w:w="1300" w:type="dxa"/>
            <w:vAlign w:val="bottom"/>
            <w:tcBorders>
              <w:right w:val="single" w:sz="8" w:color="auto"/>
            </w:tcBorders>
          </w:tcPr>
          <w:p>
            <w:pPr>
              <w:jc w:val="center"/>
              <w:ind w:left="206"/>
              <w:spacing w:after="0" w:line="122" w:lineRule="exact"/>
              <w:rPr>
                <w:sz w:val="20"/>
                <w:szCs w:val="20"/>
                <w:color w:val="auto"/>
              </w:rPr>
            </w:pPr>
            <w:r>
              <w:rPr>
                <w:rFonts w:ascii="Arial" w:cs="Arial" w:eastAsia="Arial" w:hAnsi="Arial"/>
                <w:sz w:val="11"/>
                <w:szCs w:val="11"/>
                <w:color w:val="auto"/>
                <w:w w:val="95"/>
              </w:rPr>
              <w:t>0.2%</w:t>
            </w:r>
          </w:p>
        </w:tc>
        <w:tc>
          <w:tcPr>
            <w:tcW w:w="1260" w:type="dxa"/>
            <w:vAlign w:val="bottom"/>
          </w:tcPr>
          <w:p>
            <w:pPr>
              <w:jc w:val="right"/>
              <w:ind w:right="306"/>
              <w:spacing w:after="0" w:line="122" w:lineRule="exact"/>
              <w:rPr>
                <w:sz w:val="20"/>
                <w:szCs w:val="20"/>
                <w:color w:val="auto"/>
              </w:rPr>
            </w:pPr>
            <w:r>
              <w:rPr>
                <w:rFonts w:ascii="Arial" w:cs="Arial" w:eastAsia="Arial" w:hAnsi="Arial"/>
                <w:sz w:val="11"/>
                <w:szCs w:val="11"/>
                <w:color w:val="auto"/>
              </w:rPr>
              <w:t>-7,757</w:t>
            </w:r>
          </w:p>
        </w:tc>
        <w:tc>
          <w:tcPr>
            <w:tcW w:w="840" w:type="dxa"/>
            <w:vAlign w:val="bottom"/>
            <w:tcBorders>
              <w:right w:val="single" w:sz="8" w:color="auto"/>
            </w:tcBorders>
          </w:tcPr>
          <w:p>
            <w:pPr>
              <w:jc w:val="right"/>
              <w:ind w:right="26"/>
              <w:spacing w:after="0" w:line="122" w:lineRule="exact"/>
              <w:rPr>
                <w:sz w:val="20"/>
                <w:szCs w:val="20"/>
                <w:color w:val="auto"/>
              </w:rPr>
            </w:pPr>
            <w:r>
              <w:rPr>
                <w:rFonts w:ascii="Arial" w:cs="Arial" w:eastAsia="Arial" w:hAnsi="Arial"/>
                <w:sz w:val="11"/>
                <w:szCs w:val="11"/>
                <w:color w:val="auto"/>
              </w:rPr>
              <w:t>-9,207</w:t>
            </w:r>
          </w:p>
        </w:tc>
      </w:tr>
      <w:tr>
        <w:trPr>
          <w:trHeight w:val="126"/>
        </w:trPr>
        <w:tc>
          <w:tcPr>
            <w:tcW w:w="30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i w:val="1"/>
                <w:iCs w:val="1"/>
                <w:color w:val="auto"/>
              </w:rPr>
              <w:t>Other Income No Core:</w:t>
            </w:r>
          </w:p>
        </w:tc>
        <w:tc>
          <w:tcPr>
            <w:tcW w:w="114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1020" w:type="dxa"/>
            <w:vAlign w:val="bottom"/>
          </w:tcPr>
          <w:p>
            <w:pPr>
              <w:jc w:val="right"/>
              <w:ind w:right="126"/>
              <w:spacing w:after="0"/>
              <w:rPr>
                <w:sz w:val="20"/>
                <w:szCs w:val="20"/>
                <w:color w:val="auto"/>
              </w:rPr>
            </w:pPr>
            <w:r>
              <w:rPr>
                <w:rFonts w:ascii="Arial" w:cs="Arial" w:eastAsia="Arial" w:hAnsi="Arial"/>
                <w:sz w:val="11"/>
                <w:szCs w:val="11"/>
                <w:color w:val="auto"/>
              </w:rPr>
              <w:t>-</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700" w:type="dxa"/>
            <w:vAlign w:val="bottom"/>
          </w:tcPr>
          <w:p>
            <w:pPr>
              <w:jc w:val="center"/>
              <w:ind w:left="206"/>
              <w:spacing w:after="0"/>
              <w:rPr>
                <w:sz w:val="20"/>
                <w:szCs w:val="20"/>
                <w:color w:val="auto"/>
              </w:rPr>
            </w:pPr>
            <w:r>
              <w:rPr>
                <w:rFonts w:ascii="Arial" w:cs="Arial" w:eastAsia="Arial" w:hAnsi="Arial"/>
                <w:sz w:val="11"/>
                <w:szCs w:val="11"/>
                <w:color w:val="auto"/>
                <w:w w:val="95"/>
              </w:rPr>
              <w:t>0.0%</w:t>
            </w:r>
          </w:p>
        </w:tc>
        <w:tc>
          <w:tcPr>
            <w:tcW w:w="130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color w:val="auto"/>
                <w:w w:val="95"/>
              </w:rPr>
              <w:t>0.0%</w:t>
            </w:r>
          </w:p>
        </w:tc>
        <w:tc>
          <w:tcPr>
            <w:tcW w:w="1260" w:type="dxa"/>
            <w:vAlign w:val="bottom"/>
          </w:tcPr>
          <w:p>
            <w:pPr>
              <w:jc w:val="right"/>
              <w:ind w:right="306"/>
              <w:spacing w:after="0"/>
              <w:rPr>
                <w:sz w:val="20"/>
                <w:szCs w:val="20"/>
                <w:color w:val="auto"/>
              </w:rPr>
            </w:pPr>
            <w:r>
              <w:rPr>
                <w:rFonts w:ascii="Arial" w:cs="Arial" w:eastAsia="Arial" w:hAnsi="Arial"/>
                <w:sz w:val="11"/>
                <w:szCs w:val="11"/>
                <w:color w:val="auto"/>
              </w:rPr>
              <w:t>-</w:t>
            </w:r>
          </w:p>
        </w:tc>
        <w:tc>
          <w:tcPr>
            <w:tcW w:w="840" w:type="dxa"/>
            <w:vAlign w:val="bottom"/>
            <w:tcBorders>
              <w:right w:val="single" w:sz="8" w:color="auto"/>
            </w:tcBorders>
          </w:tcPr>
          <w:p>
            <w:pPr>
              <w:jc w:val="right"/>
              <w:ind w:right="26"/>
              <w:spacing w:after="0"/>
              <w:rPr>
                <w:sz w:val="20"/>
                <w:szCs w:val="20"/>
                <w:color w:val="auto"/>
              </w:rPr>
            </w:pPr>
            <w:r>
              <w:rPr>
                <w:rFonts w:ascii="Arial" w:cs="Arial" w:eastAsia="Arial" w:hAnsi="Arial"/>
                <w:sz w:val="11"/>
                <w:szCs w:val="11"/>
                <w:color w:val="auto"/>
              </w:rPr>
              <w:t>-</w:t>
            </w:r>
          </w:p>
        </w:tc>
      </w:tr>
      <w:tr>
        <w:trPr>
          <w:trHeight w:val="124"/>
        </w:trPr>
        <w:tc>
          <w:tcPr>
            <w:tcW w:w="3040" w:type="dxa"/>
            <w:vAlign w:val="bottom"/>
            <w:tcBorders>
              <w:left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Net gain (loss) from exchange differences</w:t>
            </w:r>
          </w:p>
        </w:tc>
        <w:tc>
          <w:tcPr>
            <w:tcW w:w="1140" w:type="dxa"/>
            <w:vAlign w:val="bottom"/>
          </w:tcPr>
          <w:p>
            <w:pPr>
              <w:jc w:val="right"/>
              <w:ind w:right="106"/>
              <w:spacing w:after="0" w:line="124" w:lineRule="exact"/>
              <w:rPr>
                <w:sz w:val="20"/>
                <w:szCs w:val="20"/>
                <w:color w:val="auto"/>
              </w:rPr>
            </w:pPr>
            <w:r>
              <w:rPr>
                <w:rFonts w:ascii="Arial" w:cs="Arial" w:eastAsia="Arial" w:hAnsi="Arial"/>
                <w:sz w:val="11"/>
                <w:szCs w:val="11"/>
                <w:color w:val="auto"/>
              </w:rPr>
              <w:t>-206</w:t>
            </w:r>
          </w:p>
        </w:tc>
        <w:tc>
          <w:tcPr>
            <w:tcW w:w="1020" w:type="dxa"/>
            <w:vAlign w:val="bottom"/>
          </w:tcPr>
          <w:p>
            <w:pPr>
              <w:jc w:val="right"/>
              <w:ind w:right="126"/>
              <w:spacing w:after="0" w:line="124" w:lineRule="exact"/>
              <w:rPr>
                <w:sz w:val="20"/>
                <w:szCs w:val="20"/>
                <w:color w:val="auto"/>
              </w:rPr>
            </w:pPr>
            <w:r>
              <w:rPr>
                <w:rFonts w:ascii="Arial" w:cs="Arial" w:eastAsia="Arial" w:hAnsi="Arial"/>
                <w:sz w:val="11"/>
                <w:szCs w:val="11"/>
                <w:color w:val="auto"/>
              </w:rPr>
              <w:t>-4,334</w:t>
            </w:r>
          </w:p>
        </w:tc>
        <w:tc>
          <w:tcPr>
            <w:tcW w:w="84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20,672</w:t>
            </w:r>
          </w:p>
        </w:tc>
        <w:tc>
          <w:tcPr>
            <w:tcW w:w="700" w:type="dxa"/>
            <w:vAlign w:val="bottom"/>
          </w:tcPr>
          <w:p>
            <w:pPr>
              <w:jc w:val="center"/>
              <w:ind w:left="206"/>
              <w:spacing w:after="0" w:line="124" w:lineRule="exact"/>
              <w:rPr>
                <w:sz w:val="20"/>
                <w:szCs w:val="20"/>
                <w:color w:val="auto"/>
              </w:rPr>
            </w:pPr>
            <w:r>
              <w:rPr>
                <w:rFonts w:ascii="Arial" w:cs="Arial" w:eastAsia="Arial" w:hAnsi="Arial"/>
                <w:sz w:val="11"/>
                <w:szCs w:val="11"/>
                <w:color w:val="auto"/>
                <w:w w:val="97"/>
              </w:rPr>
              <w:t>-577.0%</w:t>
            </w:r>
          </w:p>
        </w:tc>
        <w:tc>
          <w:tcPr>
            <w:tcW w:w="1300" w:type="dxa"/>
            <w:vAlign w:val="bottom"/>
            <w:tcBorders>
              <w:right w:val="single" w:sz="8" w:color="auto"/>
            </w:tcBorders>
          </w:tcPr>
          <w:p>
            <w:pPr>
              <w:jc w:val="center"/>
              <w:ind w:left="206"/>
              <w:spacing w:after="0" w:line="124" w:lineRule="exact"/>
              <w:rPr>
                <w:sz w:val="20"/>
                <w:szCs w:val="20"/>
                <w:color w:val="auto"/>
              </w:rPr>
            </w:pPr>
            <w:r>
              <w:rPr>
                <w:rFonts w:ascii="Arial" w:cs="Arial" w:eastAsia="Arial" w:hAnsi="Arial"/>
                <w:sz w:val="11"/>
                <w:szCs w:val="11"/>
                <w:color w:val="auto"/>
                <w:w w:val="97"/>
              </w:rPr>
              <w:t>-10135.0%</w:t>
            </w:r>
          </w:p>
        </w:tc>
        <w:tc>
          <w:tcPr>
            <w:tcW w:w="1260" w:type="dxa"/>
            <w:vAlign w:val="bottom"/>
          </w:tcPr>
          <w:p>
            <w:pPr>
              <w:jc w:val="right"/>
              <w:ind w:right="286"/>
              <w:spacing w:after="0" w:line="124" w:lineRule="exact"/>
              <w:rPr>
                <w:sz w:val="20"/>
                <w:szCs w:val="20"/>
                <w:color w:val="auto"/>
              </w:rPr>
            </w:pPr>
            <w:r>
              <w:rPr>
                <w:rFonts w:ascii="Arial" w:cs="Arial" w:eastAsia="Arial" w:hAnsi="Arial"/>
                <w:sz w:val="11"/>
                <w:szCs w:val="11"/>
                <w:color w:val="auto"/>
              </w:rPr>
              <w:t>1,454</w:t>
            </w:r>
          </w:p>
        </w:tc>
        <w:tc>
          <w:tcPr>
            <w:tcW w:w="840" w:type="dxa"/>
            <w:vAlign w:val="bottom"/>
            <w:tcBorders>
              <w:right w:val="single" w:sz="8" w:color="auto"/>
            </w:tcBorders>
          </w:tcPr>
          <w:p>
            <w:pPr>
              <w:jc w:val="right"/>
              <w:ind w:right="46"/>
              <w:spacing w:after="0" w:line="124" w:lineRule="exact"/>
              <w:rPr>
                <w:sz w:val="20"/>
                <w:szCs w:val="20"/>
                <w:color w:val="auto"/>
              </w:rPr>
            </w:pPr>
            <w:r>
              <w:rPr>
                <w:rFonts w:ascii="Arial" w:cs="Arial" w:eastAsia="Arial" w:hAnsi="Arial"/>
                <w:sz w:val="11"/>
                <w:szCs w:val="11"/>
                <w:color w:val="auto"/>
              </w:rPr>
              <w:t>14,995</w:t>
            </w:r>
          </w:p>
        </w:tc>
      </w:tr>
      <w:tr>
        <w:trPr>
          <w:trHeight w:val="124"/>
        </w:trPr>
        <w:tc>
          <w:tcPr>
            <w:tcW w:w="3040" w:type="dxa"/>
            <w:vAlign w:val="bottom"/>
            <w:tcBorders>
              <w:left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Net loss on securities and associates</w:t>
            </w:r>
          </w:p>
        </w:tc>
        <w:tc>
          <w:tcPr>
            <w:tcW w:w="1140" w:type="dxa"/>
            <w:vAlign w:val="bottom"/>
          </w:tcPr>
          <w:p>
            <w:pPr>
              <w:jc w:val="right"/>
              <w:ind w:right="106"/>
              <w:spacing w:after="0" w:line="124" w:lineRule="exact"/>
              <w:rPr>
                <w:sz w:val="20"/>
                <w:szCs w:val="20"/>
                <w:color w:val="auto"/>
              </w:rPr>
            </w:pPr>
            <w:r>
              <w:rPr>
                <w:rFonts w:ascii="Arial" w:cs="Arial" w:eastAsia="Arial" w:hAnsi="Arial"/>
                <w:sz w:val="11"/>
                <w:szCs w:val="11"/>
                <w:color w:val="auto"/>
              </w:rPr>
              <w:t>5,448</w:t>
            </w:r>
          </w:p>
        </w:tc>
        <w:tc>
          <w:tcPr>
            <w:tcW w:w="1020" w:type="dxa"/>
            <w:vAlign w:val="bottom"/>
          </w:tcPr>
          <w:p>
            <w:pPr>
              <w:jc w:val="right"/>
              <w:ind w:right="126"/>
              <w:spacing w:after="0" w:line="124" w:lineRule="exact"/>
              <w:rPr>
                <w:sz w:val="20"/>
                <w:szCs w:val="20"/>
                <w:color w:val="auto"/>
              </w:rPr>
            </w:pPr>
            <w:r>
              <w:rPr>
                <w:rFonts w:ascii="Arial" w:cs="Arial" w:eastAsia="Arial" w:hAnsi="Arial"/>
                <w:sz w:val="11"/>
                <w:szCs w:val="11"/>
                <w:color w:val="auto"/>
              </w:rPr>
              <w:t>21,536</w:t>
            </w:r>
          </w:p>
        </w:tc>
        <w:tc>
          <w:tcPr>
            <w:tcW w:w="84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27,460</w:t>
            </w:r>
          </w:p>
        </w:tc>
        <w:tc>
          <w:tcPr>
            <w:tcW w:w="700" w:type="dxa"/>
            <w:vAlign w:val="bottom"/>
          </w:tcPr>
          <w:p>
            <w:pPr>
              <w:jc w:val="center"/>
              <w:ind w:left="226"/>
              <w:spacing w:after="0" w:line="124" w:lineRule="exact"/>
              <w:rPr>
                <w:sz w:val="20"/>
                <w:szCs w:val="20"/>
                <w:color w:val="auto"/>
              </w:rPr>
            </w:pPr>
            <w:r>
              <w:rPr>
                <w:rFonts w:ascii="Arial" w:cs="Arial" w:eastAsia="Arial" w:hAnsi="Arial"/>
                <w:sz w:val="11"/>
                <w:szCs w:val="11"/>
                <w:color w:val="auto"/>
                <w:w w:val="96"/>
              </w:rPr>
              <w:t>27.5%</w:t>
            </w:r>
          </w:p>
        </w:tc>
        <w:tc>
          <w:tcPr>
            <w:tcW w:w="1300" w:type="dxa"/>
            <w:vAlign w:val="bottom"/>
            <w:tcBorders>
              <w:right w:val="single" w:sz="8" w:color="auto"/>
            </w:tcBorders>
          </w:tcPr>
          <w:p>
            <w:pPr>
              <w:jc w:val="center"/>
              <w:ind w:left="206"/>
              <w:spacing w:after="0" w:line="124" w:lineRule="exact"/>
              <w:rPr>
                <w:sz w:val="20"/>
                <w:szCs w:val="20"/>
                <w:color w:val="auto"/>
              </w:rPr>
            </w:pPr>
            <w:r>
              <w:rPr>
                <w:rFonts w:ascii="Arial" w:cs="Arial" w:eastAsia="Arial" w:hAnsi="Arial"/>
                <w:sz w:val="11"/>
                <w:szCs w:val="11"/>
                <w:color w:val="auto"/>
                <w:w w:val="96"/>
              </w:rPr>
              <w:t>404.0%</w:t>
            </w:r>
          </w:p>
        </w:tc>
        <w:tc>
          <w:tcPr>
            <w:tcW w:w="1260" w:type="dxa"/>
            <w:vAlign w:val="bottom"/>
          </w:tcPr>
          <w:p>
            <w:pPr>
              <w:jc w:val="right"/>
              <w:ind w:right="286"/>
              <w:spacing w:after="0" w:line="124" w:lineRule="exact"/>
              <w:rPr>
                <w:sz w:val="20"/>
                <w:szCs w:val="20"/>
                <w:color w:val="auto"/>
              </w:rPr>
            </w:pPr>
            <w:r>
              <w:rPr>
                <w:rFonts w:ascii="Arial" w:cs="Arial" w:eastAsia="Arial" w:hAnsi="Arial"/>
                <w:sz w:val="11"/>
                <w:szCs w:val="11"/>
                <w:color w:val="auto"/>
              </w:rPr>
              <w:t>2,808</w:t>
            </w:r>
          </w:p>
        </w:tc>
        <w:tc>
          <w:tcPr>
            <w:tcW w:w="840" w:type="dxa"/>
            <w:vAlign w:val="bottom"/>
            <w:tcBorders>
              <w:right w:val="single" w:sz="8" w:color="auto"/>
            </w:tcBorders>
          </w:tcPr>
          <w:p>
            <w:pPr>
              <w:jc w:val="right"/>
              <w:ind w:right="46"/>
              <w:spacing w:after="0" w:line="124" w:lineRule="exact"/>
              <w:rPr>
                <w:sz w:val="20"/>
                <w:szCs w:val="20"/>
                <w:color w:val="auto"/>
              </w:rPr>
            </w:pPr>
            <w:r>
              <w:rPr>
                <w:rFonts w:ascii="Arial" w:cs="Arial" w:eastAsia="Arial" w:hAnsi="Arial"/>
                <w:sz w:val="11"/>
                <w:szCs w:val="11"/>
                <w:color w:val="auto"/>
              </w:rPr>
              <w:t>79,086</w:t>
            </w:r>
          </w:p>
        </w:tc>
      </w:tr>
      <w:tr>
        <w:trPr>
          <w:trHeight w:val="120"/>
        </w:trPr>
        <w:tc>
          <w:tcPr>
            <w:tcW w:w="3040" w:type="dxa"/>
            <w:vAlign w:val="bottom"/>
            <w:tcBorders>
              <w:left w:val="single" w:sz="8" w:color="auto"/>
              <w:right w:val="single" w:sz="8" w:color="auto"/>
            </w:tcBorders>
          </w:tcPr>
          <w:p>
            <w:pPr>
              <w:ind w:left="20"/>
              <w:spacing w:after="0" w:line="120" w:lineRule="exact"/>
              <w:rPr>
                <w:sz w:val="20"/>
                <w:szCs w:val="20"/>
                <w:color w:val="auto"/>
              </w:rPr>
            </w:pPr>
            <w:r>
              <w:rPr>
                <w:rFonts w:ascii="Arial" w:cs="Arial" w:eastAsia="Arial" w:hAnsi="Arial"/>
                <w:sz w:val="11"/>
                <w:szCs w:val="11"/>
                <w:color w:val="auto"/>
              </w:rPr>
              <w:t>Other Income not operational</w:t>
            </w:r>
          </w:p>
        </w:tc>
        <w:tc>
          <w:tcPr>
            <w:tcW w:w="1140" w:type="dxa"/>
            <w:vAlign w:val="bottom"/>
          </w:tcPr>
          <w:p>
            <w:pPr>
              <w:jc w:val="right"/>
              <w:ind w:right="106"/>
              <w:spacing w:after="0" w:line="120" w:lineRule="exact"/>
              <w:rPr>
                <w:sz w:val="20"/>
                <w:szCs w:val="20"/>
                <w:color w:val="auto"/>
              </w:rPr>
            </w:pPr>
            <w:r>
              <w:rPr>
                <w:rFonts w:ascii="Arial" w:cs="Arial" w:eastAsia="Arial" w:hAnsi="Arial"/>
                <w:sz w:val="11"/>
                <w:szCs w:val="11"/>
                <w:color w:val="auto"/>
              </w:rPr>
              <w:t>14,248</w:t>
            </w:r>
          </w:p>
        </w:tc>
        <w:tc>
          <w:tcPr>
            <w:tcW w:w="1020" w:type="dxa"/>
            <w:vAlign w:val="bottom"/>
          </w:tcPr>
          <w:p>
            <w:pPr>
              <w:jc w:val="right"/>
              <w:ind w:right="126"/>
              <w:spacing w:after="0" w:line="120" w:lineRule="exact"/>
              <w:rPr>
                <w:sz w:val="20"/>
                <w:szCs w:val="20"/>
                <w:color w:val="auto"/>
              </w:rPr>
            </w:pPr>
            <w:r>
              <w:rPr>
                <w:rFonts w:ascii="Arial" w:cs="Arial" w:eastAsia="Arial" w:hAnsi="Arial"/>
                <w:sz w:val="11"/>
                <w:szCs w:val="11"/>
                <w:color w:val="auto"/>
              </w:rPr>
              <w:t>23,682</w:t>
            </w:r>
          </w:p>
        </w:tc>
        <w:tc>
          <w:tcPr>
            <w:tcW w:w="840" w:type="dxa"/>
            <w:vAlign w:val="bottom"/>
            <w:tcBorders>
              <w:right w:val="single" w:sz="8" w:color="auto"/>
            </w:tcBorders>
          </w:tcPr>
          <w:p>
            <w:pPr>
              <w:jc w:val="right"/>
              <w:spacing w:after="0" w:line="120" w:lineRule="exact"/>
              <w:rPr>
                <w:sz w:val="20"/>
                <w:szCs w:val="20"/>
                <w:color w:val="auto"/>
              </w:rPr>
            </w:pPr>
            <w:r>
              <w:rPr>
                <w:rFonts w:ascii="Arial" w:cs="Arial" w:eastAsia="Arial" w:hAnsi="Arial"/>
                <w:sz w:val="11"/>
                <w:szCs w:val="11"/>
                <w:color w:val="auto"/>
              </w:rPr>
              <w:t>25,779</w:t>
            </w:r>
          </w:p>
        </w:tc>
        <w:tc>
          <w:tcPr>
            <w:tcW w:w="700" w:type="dxa"/>
            <w:vAlign w:val="bottom"/>
          </w:tcPr>
          <w:p>
            <w:pPr>
              <w:jc w:val="center"/>
              <w:ind w:left="206"/>
              <w:spacing w:after="0" w:line="120" w:lineRule="exact"/>
              <w:rPr>
                <w:sz w:val="20"/>
                <w:szCs w:val="20"/>
                <w:color w:val="auto"/>
              </w:rPr>
            </w:pPr>
            <w:r>
              <w:rPr>
                <w:rFonts w:ascii="Arial" w:cs="Arial" w:eastAsia="Arial" w:hAnsi="Arial"/>
                <w:sz w:val="11"/>
                <w:szCs w:val="11"/>
                <w:color w:val="auto"/>
                <w:w w:val="95"/>
              </w:rPr>
              <w:t>8.9%</w:t>
            </w:r>
          </w:p>
        </w:tc>
        <w:tc>
          <w:tcPr>
            <w:tcW w:w="1300" w:type="dxa"/>
            <w:vAlign w:val="bottom"/>
            <w:tcBorders>
              <w:right w:val="single" w:sz="8" w:color="auto"/>
            </w:tcBorders>
          </w:tcPr>
          <w:p>
            <w:pPr>
              <w:jc w:val="center"/>
              <w:ind w:left="226"/>
              <w:spacing w:after="0" w:line="120" w:lineRule="exact"/>
              <w:rPr>
                <w:sz w:val="20"/>
                <w:szCs w:val="20"/>
                <w:color w:val="auto"/>
              </w:rPr>
            </w:pPr>
            <w:r>
              <w:rPr>
                <w:rFonts w:ascii="Arial" w:cs="Arial" w:eastAsia="Arial" w:hAnsi="Arial"/>
                <w:sz w:val="11"/>
                <w:szCs w:val="11"/>
                <w:color w:val="auto"/>
                <w:w w:val="96"/>
              </w:rPr>
              <w:t>80.9%</w:t>
            </w:r>
          </w:p>
        </w:tc>
        <w:tc>
          <w:tcPr>
            <w:tcW w:w="1260" w:type="dxa"/>
            <w:vAlign w:val="bottom"/>
          </w:tcPr>
          <w:p>
            <w:pPr>
              <w:jc w:val="right"/>
              <w:ind w:right="286"/>
              <w:spacing w:after="0" w:line="120" w:lineRule="exact"/>
              <w:rPr>
                <w:sz w:val="20"/>
                <w:szCs w:val="20"/>
                <w:color w:val="auto"/>
              </w:rPr>
            </w:pPr>
            <w:r>
              <w:rPr>
                <w:rFonts w:ascii="Arial" w:cs="Arial" w:eastAsia="Arial" w:hAnsi="Arial"/>
                <w:sz w:val="11"/>
                <w:szCs w:val="11"/>
                <w:color w:val="auto"/>
              </w:rPr>
              <w:t>43,590</w:t>
            </w:r>
          </w:p>
        </w:tc>
        <w:tc>
          <w:tcPr>
            <w:tcW w:w="840" w:type="dxa"/>
            <w:vAlign w:val="bottom"/>
            <w:tcBorders>
              <w:right w:val="single" w:sz="8" w:color="auto"/>
            </w:tcBorders>
          </w:tcPr>
          <w:p>
            <w:pPr>
              <w:jc w:val="right"/>
              <w:ind w:right="46"/>
              <w:spacing w:after="0" w:line="120" w:lineRule="exact"/>
              <w:rPr>
                <w:sz w:val="20"/>
                <w:szCs w:val="20"/>
                <w:color w:val="auto"/>
              </w:rPr>
            </w:pPr>
            <w:r>
              <w:rPr>
                <w:rFonts w:ascii="Arial" w:cs="Arial" w:eastAsia="Arial" w:hAnsi="Arial"/>
                <w:sz w:val="11"/>
                <w:szCs w:val="11"/>
                <w:color w:val="auto"/>
              </w:rPr>
              <w:t>61,962</w:t>
            </w:r>
          </w:p>
        </w:tc>
      </w:tr>
      <w:tr>
        <w:trPr>
          <w:trHeight w:val="128"/>
        </w:trPr>
        <w:tc>
          <w:tcPr>
            <w:tcW w:w="30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Other Income</w:t>
            </w:r>
          </w:p>
        </w:tc>
        <w:tc>
          <w:tcPr>
            <w:tcW w:w="1140" w:type="dxa"/>
            <w:vAlign w:val="bottom"/>
          </w:tcPr>
          <w:p>
            <w:pPr>
              <w:jc w:val="right"/>
              <w:ind w:right="106"/>
              <w:spacing w:after="0"/>
              <w:rPr>
                <w:sz w:val="20"/>
                <w:szCs w:val="20"/>
                <w:color w:val="auto"/>
              </w:rPr>
            </w:pPr>
            <w:r>
              <w:rPr>
                <w:rFonts w:ascii="Arial" w:cs="Arial" w:eastAsia="Arial" w:hAnsi="Arial"/>
                <w:sz w:val="11"/>
                <w:szCs w:val="11"/>
                <w:b w:val="1"/>
                <w:bCs w:val="1"/>
                <w:color w:val="auto"/>
              </w:rPr>
              <w:t>16,934</w:t>
            </w:r>
          </w:p>
        </w:tc>
        <w:tc>
          <w:tcPr>
            <w:tcW w:w="1020" w:type="dxa"/>
            <w:vAlign w:val="bottom"/>
          </w:tcPr>
          <w:p>
            <w:pPr>
              <w:jc w:val="right"/>
              <w:ind w:right="126"/>
              <w:spacing w:after="0"/>
              <w:rPr>
                <w:sz w:val="20"/>
                <w:szCs w:val="20"/>
                <w:color w:val="auto"/>
              </w:rPr>
            </w:pPr>
            <w:r>
              <w:rPr>
                <w:rFonts w:ascii="Arial" w:cs="Arial" w:eastAsia="Arial" w:hAnsi="Arial"/>
                <w:sz w:val="11"/>
                <w:szCs w:val="11"/>
                <w:b w:val="1"/>
                <w:bCs w:val="1"/>
                <w:color w:val="auto"/>
              </w:rPr>
              <w:t>37,422</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1"/>
                <w:szCs w:val="11"/>
                <w:b w:val="1"/>
                <w:bCs w:val="1"/>
                <w:color w:val="auto"/>
              </w:rPr>
              <w:t>71,350</w:t>
            </w:r>
          </w:p>
        </w:tc>
        <w:tc>
          <w:tcPr>
            <w:tcW w:w="700" w:type="dxa"/>
            <w:vAlign w:val="bottom"/>
          </w:tcPr>
          <w:p>
            <w:pPr>
              <w:jc w:val="center"/>
              <w:ind w:left="226"/>
              <w:spacing w:after="0"/>
              <w:rPr>
                <w:sz w:val="20"/>
                <w:szCs w:val="20"/>
                <w:color w:val="auto"/>
              </w:rPr>
            </w:pPr>
            <w:r>
              <w:rPr>
                <w:rFonts w:ascii="Arial" w:cs="Arial" w:eastAsia="Arial" w:hAnsi="Arial"/>
                <w:sz w:val="11"/>
                <w:szCs w:val="11"/>
                <w:b w:val="1"/>
                <w:bCs w:val="1"/>
                <w:color w:val="auto"/>
                <w:w w:val="96"/>
              </w:rPr>
              <w:t>90.7%</w:t>
            </w:r>
          </w:p>
        </w:tc>
        <w:tc>
          <w:tcPr>
            <w:tcW w:w="1300" w:type="dxa"/>
            <w:vAlign w:val="bottom"/>
            <w:tcBorders>
              <w:right w:val="single" w:sz="8" w:color="auto"/>
            </w:tcBorders>
          </w:tcPr>
          <w:p>
            <w:pPr>
              <w:jc w:val="center"/>
              <w:ind w:left="206"/>
              <w:spacing w:after="0"/>
              <w:rPr>
                <w:sz w:val="20"/>
                <w:szCs w:val="20"/>
                <w:color w:val="auto"/>
              </w:rPr>
            </w:pPr>
            <w:r>
              <w:rPr>
                <w:rFonts w:ascii="Arial" w:cs="Arial" w:eastAsia="Arial" w:hAnsi="Arial"/>
                <w:sz w:val="11"/>
                <w:szCs w:val="11"/>
                <w:b w:val="1"/>
                <w:bCs w:val="1"/>
                <w:color w:val="auto"/>
                <w:w w:val="96"/>
              </w:rPr>
              <w:t>321.3%</w:t>
            </w:r>
          </w:p>
        </w:tc>
        <w:tc>
          <w:tcPr>
            <w:tcW w:w="1260" w:type="dxa"/>
            <w:vAlign w:val="bottom"/>
          </w:tcPr>
          <w:p>
            <w:pPr>
              <w:jc w:val="right"/>
              <w:ind w:right="286"/>
              <w:spacing w:after="0"/>
              <w:rPr>
                <w:sz w:val="20"/>
                <w:szCs w:val="20"/>
                <w:color w:val="auto"/>
              </w:rPr>
            </w:pPr>
            <w:r>
              <w:rPr>
                <w:rFonts w:ascii="Arial" w:cs="Arial" w:eastAsia="Arial" w:hAnsi="Arial"/>
                <w:sz w:val="11"/>
                <w:szCs w:val="11"/>
                <w:b w:val="1"/>
                <w:bCs w:val="1"/>
                <w:color w:val="auto"/>
              </w:rPr>
              <w:t>40,095</w:t>
            </w:r>
          </w:p>
        </w:tc>
        <w:tc>
          <w:tcPr>
            <w:tcW w:w="840" w:type="dxa"/>
            <w:vAlign w:val="bottom"/>
            <w:tcBorders>
              <w:right w:val="single" w:sz="8" w:color="auto"/>
            </w:tcBorders>
          </w:tcPr>
          <w:p>
            <w:pPr>
              <w:jc w:val="right"/>
              <w:ind w:right="46"/>
              <w:spacing w:after="0"/>
              <w:rPr>
                <w:sz w:val="20"/>
                <w:szCs w:val="20"/>
                <w:color w:val="auto"/>
              </w:rPr>
            </w:pPr>
            <w:r>
              <w:rPr>
                <w:rFonts w:ascii="Arial" w:cs="Arial" w:eastAsia="Arial" w:hAnsi="Arial"/>
                <w:sz w:val="11"/>
                <w:szCs w:val="11"/>
                <w:b w:val="1"/>
                <w:bCs w:val="1"/>
                <w:color w:val="auto"/>
              </w:rPr>
              <w:t>146,836</w:t>
            </w:r>
          </w:p>
        </w:tc>
      </w:tr>
      <w:tr>
        <w:trPr>
          <w:trHeight w:val="124"/>
        </w:trPr>
        <w:tc>
          <w:tcPr>
            <w:tcW w:w="3040" w:type="dxa"/>
            <w:vAlign w:val="bottom"/>
            <w:tcBorders>
              <w:left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Operating expenses</w:t>
            </w:r>
          </w:p>
        </w:tc>
        <w:tc>
          <w:tcPr>
            <w:tcW w:w="1140" w:type="dxa"/>
            <w:vAlign w:val="bottom"/>
          </w:tcPr>
          <w:p>
            <w:pPr>
              <w:jc w:val="right"/>
              <w:ind w:right="106"/>
              <w:spacing w:after="0" w:line="124" w:lineRule="exact"/>
              <w:rPr>
                <w:sz w:val="20"/>
                <w:szCs w:val="20"/>
                <w:color w:val="auto"/>
              </w:rPr>
            </w:pPr>
            <w:r>
              <w:rPr>
                <w:rFonts w:ascii="Arial" w:cs="Arial" w:eastAsia="Arial" w:hAnsi="Arial"/>
                <w:sz w:val="11"/>
                <w:szCs w:val="11"/>
                <w:color w:val="auto"/>
              </w:rPr>
              <w:t>-59,968</w:t>
            </w:r>
          </w:p>
        </w:tc>
        <w:tc>
          <w:tcPr>
            <w:tcW w:w="1020" w:type="dxa"/>
            <w:vAlign w:val="bottom"/>
          </w:tcPr>
          <w:p>
            <w:pPr>
              <w:jc w:val="right"/>
              <w:ind w:right="126"/>
              <w:spacing w:after="0" w:line="124" w:lineRule="exact"/>
              <w:rPr>
                <w:sz w:val="20"/>
                <w:szCs w:val="20"/>
                <w:color w:val="auto"/>
              </w:rPr>
            </w:pPr>
            <w:r>
              <w:rPr>
                <w:rFonts w:ascii="Arial" w:cs="Arial" w:eastAsia="Arial" w:hAnsi="Arial"/>
                <w:sz w:val="11"/>
                <w:szCs w:val="11"/>
                <w:color w:val="auto"/>
              </w:rPr>
              <w:t>-72,708</w:t>
            </w:r>
          </w:p>
        </w:tc>
        <w:tc>
          <w:tcPr>
            <w:tcW w:w="84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-79,355</w:t>
            </w:r>
          </w:p>
        </w:tc>
        <w:tc>
          <w:tcPr>
            <w:tcW w:w="700" w:type="dxa"/>
            <w:vAlign w:val="bottom"/>
          </w:tcPr>
          <w:p>
            <w:pPr>
              <w:jc w:val="center"/>
              <w:ind w:left="206"/>
              <w:spacing w:after="0" w:line="124" w:lineRule="exact"/>
              <w:rPr>
                <w:sz w:val="20"/>
                <w:szCs w:val="20"/>
                <w:color w:val="auto"/>
              </w:rPr>
            </w:pPr>
            <w:r>
              <w:rPr>
                <w:rFonts w:ascii="Arial" w:cs="Arial" w:eastAsia="Arial" w:hAnsi="Arial"/>
                <w:sz w:val="11"/>
                <w:szCs w:val="11"/>
                <w:color w:val="auto"/>
                <w:w w:val="95"/>
              </w:rPr>
              <w:t>9.1%</w:t>
            </w:r>
          </w:p>
        </w:tc>
        <w:tc>
          <w:tcPr>
            <w:tcW w:w="1300" w:type="dxa"/>
            <w:vAlign w:val="bottom"/>
            <w:tcBorders>
              <w:right w:val="single" w:sz="8" w:color="auto"/>
            </w:tcBorders>
          </w:tcPr>
          <w:p>
            <w:pPr>
              <w:jc w:val="center"/>
              <w:ind w:left="226"/>
              <w:spacing w:after="0" w:line="124" w:lineRule="exact"/>
              <w:rPr>
                <w:sz w:val="20"/>
                <w:szCs w:val="20"/>
                <w:color w:val="auto"/>
              </w:rPr>
            </w:pPr>
            <w:r>
              <w:rPr>
                <w:rFonts w:ascii="Arial" w:cs="Arial" w:eastAsia="Arial" w:hAnsi="Arial"/>
                <w:sz w:val="11"/>
                <w:szCs w:val="11"/>
                <w:color w:val="auto"/>
                <w:w w:val="96"/>
              </w:rPr>
              <w:t>32.3%</w:t>
            </w:r>
          </w:p>
        </w:tc>
        <w:tc>
          <w:tcPr>
            <w:tcW w:w="1260" w:type="dxa"/>
            <w:vAlign w:val="bottom"/>
          </w:tcPr>
          <w:p>
            <w:pPr>
              <w:jc w:val="right"/>
              <w:ind w:right="306"/>
              <w:spacing w:after="0" w:line="124" w:lineRule="exact"/>
              <w:rPr>
                <w:sz w:val="20"/>
                <w:szCs w:val="20"/>
                <w:color w:val="auto"/>
              </w:rPr>
            </w:pPr>
            <w:r>
              <w:rPr>
                <w:rFonts w:ascii="Arial" w:cs="Arial" w:eastAsia="Arial" w:hAnsi="Arial"/>
                <w:sz w:val="11"/>
                <w:szCs w:val="11"/>
                <w:color w:val="auto"/>
              </w:rPr>
              <w:t>-180,682</w:t>
            </w:r>
          </w:p>
        </w:tc>
        <w:tc>
          <w:tcPr>
            <w:tcW w:w="840" w:type="dxa"/>
            <w:vAlign w:val="bottom"/>
            <w:tcBorders>
              <w:right w:val="single" w:sz="8" w:color="auto"/>
            </w:tcBorders>
          </w:tcPr>
          <w:p>
            <w:pPr>
              <w:jc w:val="right"/>
              <w:ind w:right="46"/>
              <w:spacing w:after="0" w:line="124" w:lineRule="exact"/>
              <w:rPr>
                <w:sz w:val="20"/>
                <w:szCs w:val="20"/>
                <w:color w:val="auto"/>
              </w:rPr>
            </w:pPr>
            <w:r>
              <w:rPr>
                <w:rFonts w:ascii="Arial" w:cs="Arial" w:eastAsia="Arial" w:hAnsi="Arial"/>
                <w:sz w:val="11"/>
                <w:szCs w:val="11"/>
                <w:color w:val="auto"/>
              </w:rPr>
              <w:t>-216,331</w:t>
            </w:r>
          </w:p>
        </w:tc>
      </w:tr>
      <w:tr>
        <w:trPr>
          <w:trHeight w:val="120"/>
        </w:trPr>
        <w:tc>
          <w:tcPr>
            <w:tcW w:w="3040" w:type="dxa"/>
            <w:vAlign w:val="bottom"/>
            <w:tcBorders>
              <w:left w:val="single" w:sz="8" w:color="auto"/>
              <w:right w:val="single" w:sz="8" w:color="auto"/>
            </w:tcBorders>
          </w:tcPr>
          <w:p>
            <w:pPr>
              <w:ind w:left="20"/>
              <w:spacing w:after="0" w:line="120" w:lineRule="exact"/>
              <w:rPr>
                <w:sz w:val="20"/>
                <w:szCs w:val="20"/>
                <w:color w:val="auto"/>
              </w:rPr>
            </w:pPr>
            <w:r>
              <w:rPr>
                <w:rFonts w:ascii="Arial" w:cs="Arial" w:eastAsia="Arial" w:hAnsi="Arial"/>
                <w:sz w:val="11"/>
                <w:szCs w:val="11"/>
                <w:color w:val="auto"/>
              </w:rPr>
              <w:t>Other expenses</w:t>
            </w:r>
          </w:p>
        </w:tc>
        <w:tc>
          <w:tcPr>
            <w:tcW w:w="1140" w:type="dxa"/>
            <w:vAlign w:val="bottom"/>
          </w:tcPr>
          <w:p>
            <w:pPr>
              <w:jc w:val="right"/>
              <w:ind w:right="106"/>
              <w:spacing w:after="0" w:line="120" w:lineRule="exact"/>
              <w:rPr>
                <w:sz w:val="20"/>
                <w:szCs w:val="20"/>
                <w:color w:val="auto"/>
              </w:rPr>
            </w:pPr>
            <w:r>
              <w:rPr>
                <w:rFonts w:ascii="Arial" w:cs="Arial" w:eastAsia="Arial" w:hAnsi="Arial"/>
                <w:sz w:val="11"/>
                <w:szCs w:val="11"/>
                <w:color w:val="auto"/>
              </w:rPr>
              <w:t>-7,182</w:t>
            </w:r>
          </w:p>
        </w:tc>
        <w:tc>
          <w:tcPr>
            <w:tcW w:w="1020" w:type="dxa"/>
            <w:vAlign w:val="bottom"/>
          </w:tcPr>
          <w:p>
            <w:pPr>
              <w:jc w:val="right"/>
              <w:ind w:right="126"/>
              <w:spacing w:after="0" w:line="120" w:lineRule="exact"/>
              <w:rPr>
                <w:sz w:val="20"/>
                <w:szCs w:val="20"/>
                <w:color w:val="auto"/>
              </w:rPr>
            </w:pPr>
            <w:r>
              <w:rPr>
                <w:rFonts w:ascii="Arial" w:cs="Arial" w:eastAsia="Arial" w:hAnsi="Arial"/>
                <w:sz w:val="11"/>
                <w:szCs w:val="11"/>
                <w:color w:val="auto"/>
              </w:rPr>
              <w:t>-21,292</w:t>
            </w:r>
          </w:p>
        </w:tc>
        <w:tc>
          <w:tcPr>
            <w:tcW w:w="840" w:type="dxa"/>
            <w:vAlign w:val="bottom"/>
            <w:tcBorders>
              <w:right w:val="single" w:sz="8" w:color="auto"/>
            </w:tcBorders>
          </w:tcPr>
          <w:p>
            <w:pPr>
              <w:jc w:val="right"/>
              <w:spacing w:after="0" w:line="120" w:lineRule="exact"/>
              <w:rPr>
                <w:sz w:val="20"/>
                <w:szCs w:val="20"/>
                <w:color w:val="auto"/>
              </w:rPr>
            </w:pPr>
            <w:r>
              <w:rPr>
                <w:rFonts w:ascii="Arial" w:cs="Arial" w:eastAsia="Arial" w:hAnsi="Arial"/>
                <w:sz w:val="11"/>
                <w:szCs w:val="11"/>
                <w:color w:val="auto"/>
              </w:rPr>
              <w:t>-19,594</w:t>
            </w:r>
          </w:p>
        </w:tc>
        <w:tc>
          <w:tcPr>
            <w:tcW w:w="700" w:type="dxa"/>
            <w:vAlign w:val="bottom"/>
          </w:tcPr>
          <w:p>
            <w:pPr>
              <w:jc w:val="center"/>
              <w:ind w:left="206"/>
              <w:spacing w:after="0" w:line="120" w:lineRule="exact"/>
              <w:rPr>
                <w:sz w:val="20"/>
                <w:szCs w:val="20"/>
                <w:color w:val="auto"/>
              </w:rPr>
            </w:pPr>
            <w:r>
              <w:rPr>
                <w:rFonts w:ascii="Arial" w:cs="Arial" w:eastAsia="Arial" w:hAnsi="Arial"/>
                <w:sz w:val="11"/>
                <w:szCs w:val="11"/>
                <w:color w:val="auto"/>
                <w:w w:val="97"/>
              </w:rPr>
              <w:t>-8.0%</w:t>
            </w:r>
          </w:p>
        </w:tc>
        <w:tc>
          <w:tcPr>
            <w:tcW w:w="1300" w:type="dxa"/>
            <w:vAlign w:val="bottom"/>
            <w:tcBorders>
              <w:right w:val="single" w:sz="8" w:color="auto"/>
            </w:tcBorders>
          </w:tcPr>
          <w:p>
            <w:pPr>
              <w:jc w:val="center"/>
              <w:ind w:left="206"/>
              <w:spacing w:after="0" w:line="120" w:lineRule="exact"/>
              <w:rPr>
                <w:sz w:val="20"/>
                <w:szCs w:val="20"/>
                <w:color w:val="auto"/>
              </w:rPr>
            </w:pPr>
            <w:r>
              <w:rPr>
                <w:rFonts w:ascii="Arial" w:cs="Arial" w:eastAsia="Arial" w:hAnsi="Arial"/>
                <w:sz w:val="11"/>
                <w:szCs w:val="11"/>
                <w:color w:val="auto"/>
                <w:w w:val="96"/>
              </w:rPr>
              <w:t>172.8%</w:t>
            </w:r>
          </w:p>
        </w:tc>
        <w:tc>
          <w:tcPr>
            <w:tcW w:w="1260" w:type="dxa"/>
            <w:vAlign w:val="bottom"/>
          </w:tcPr>
          <w:p>
            <w:pPr>
              <w:jc w:val="right"/>
              <w:ind w:right="306"/>
              <w:spacing w:after="0" w:line="120" w:lineRule="exact"/>
              <w:rPr>
                <w:sz w:val="20"/>
                <w:szCs w:val="20"/>
                <w:color w:val="auto"/>
              </w:rPr>
            </w:pPr>
            <w:r>
              <w:rPr>
                <w:rFonts w:ascii="Arial" w:cs="Arial" w:eastAsia="Arial" w:hAnsi="Arial"/>
                <w:sz w:val="11"/>
                <w:szCs w:val="11"/>
                <w:color w:val="auto"/>
              </w:rPr>
              <w:t>-11,369</w:t>
            </w:r>
          </w:p>
        </w:tc>
        <w:tc>
          <w:tcPr>
            <w:tcW w:w="840" w:type="dxa"/>
            <w:vAlign w:val="bottom"/>
            <w:tcBorders>
              <w:right w:val="single" w:sz="8" w:color="auto"/>
            </w:tcBorders>
          </w:tcPr>
          <w:p>
            <w:pPr>
              <w:jc w:val="right"/>
              <w:ind w:right="26"/>
              <w:spacing w:after="0" w:line="120" w:lineRule="exact"/>
              <w:rPr>
                <w:sz w:val="20"/>
                <w:szCs w:val="20"/>
                <w:color w:val="auto"/>
              </w:rPr>
            </w:pPr>
            <w:r>
              <w:rPr>
                <w:rFonts w:ascii="Arial" w:cs="Arial" w:eastAsia="Arial" w:hAnsi="Arial"/>
                <w:sz w:val="11"/>
                <w:szCs w:val="11"/>
                <w:color w:val="auto"/>
              </w:rPr>
              <w:t>-40,232</w:t>
            </w:r>
          </w:p>
        </w:tc>
      </w:tr>
      <w:tr>
        <w:trPr>
          <w:trHeight w:val="128"/>
        </w:trPr>
        <w:tc>
          <w:tcPr>
            <w:tcW w:w="30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Total Expenses</w:t>
            </w:r>
          </w:p>
        </w:tc>
        <w:tc>
          <w:tcPr>
            <w:tcW w:w="1140" w:type="dxa"/>
            <w:vAlign w:val="bottom"/>
          </w:tcPr>
          <w:p>
            <w:pPr>
              <w:jc w:val="right"/>
              <w:ind w:right="106"/>
              <w:spacing w:after="0"/>
              <w:rPr>
                <w:sz w:val="20"/>
                <w:szCs w:val="20"/>
                <w:color w:val="auto"/>
              </w:rPr>
            </w:pPr>
            <w:r>
              <w:rPr>
                <w:rFonts w:ascii="Arial" w:cs="Arial" w:eastAsia="Arial" w:hAnsi="Arial"/>
                <w:sz w:val="11"/>
                <w:szCs w:val="11"/>
                <w:b w:val="1"/>
                <w:bCs w:val="1"/>
                <w:color w:val="auto"/>
              </w:rPr>
              <w:t>-67,150</w:t>
            </w:r>
          </w:p>
        </w:tc>
        <w:tc>
          <w:tcPr>
            <w:tcW w:w="1020" w:type="dxa"/>
            <w:vAlign w:val="bottom"/>
          </w:tcPr>
          <w:p>
            <w:pPr>
              <w:jc w:val="right"/>
              <w:ind w:right="126"/>
              <w:spacing w:after="0"/>
              <w:rPr>
                <w:sz w:val="20"/>
                <w:szCs w:val="20"/>
                <w:color w:val="auto"/>
              </w:rPr>
            </w:pPr>
            <w:r>
              <w:rPr>
                <w:rFonts w:ascii="Arial" w:cs="Arial" w:eastAsia="Arial" w:hAnsi="Arial"/>
                <w:sz w:val="11"/>
                <w:szCs w:val="11"/>
                <w:b w:val="1"/>
                <w:bCs w:val="1"/>
                <w:color w:val="auto"/>
              </w:rPr>
              <w:t>-94,000</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1"/>
                <w:szCs w:val="11"/>
                <w:b w:val="1"/>
                <w:bCs w:val="1"/>
                <w:color w:val="auto"/>
              </w:rPr>
              <w:t>-98,949</w:t>
            </w:r>
          </w:p>
        </w:tc>
        <w:tc>
          <w:tcPr>
            <w:tcW w:w="700" w:type="dxa"/>
            <w:vAlign w:val="bottom"/>
          </w:tcPr>
          <w:p>
            <w:pPr>
              <w:jc w:val="center"/>
              <w:ind w:left="206"/>
              <w:spacing w:after="0"/>
              <w:rPr>
                <w:sz w:val="20"/>
                <w:szCs w:val="20"/>
                <w:color w:val="auto"/>
              </w:rPr>
            </w:pPr>
            <w:r>
              <w:rPr>
                <w:rFonts w:ascii="Arial" w:cs="Arial" w:eastAsia="Arial" w:hAnsi="Arial"/>
                <w:sz w:val="11"/>
                <w:szCs w:val="11"/>
                <w:b w:val="1"/>
                <w:bCs w:val="1"/>
                <w:color w:val="auto"/>
                <w:w w:val="95"/>
              </w:rPr>
              <w:t>5.3%</w:t>
            </w:r>
          </w:p>
        </w:tc>
        <w:tc>
          <w:tcPr>
            <w:tcW w:w="1300" w:type="dxa"/>
            <w:vAlign w:val="bottom"/>
            <w:tcBorders>
              <w:right w:val="single" w:sz="8" w:color="auto"/>
            </w:tcBorders>
          </w:tcPr>
          <w:p>
            <w:pPr>
              <w:jc w:val="center"/>
              <w:ind w:left="226"/>
              <w:spacing w:after="0"/>
              <w:rPr>
                <w:sz w:val="20"/>
                <w:szCs w:val="20"/>
                <w:color w:val="auto"/>
              </w:rPr>
            </w:pPr>
            <w:r>
              <w:rPr>
                <w:rFonts w:ascii="Arial" w:cs="Arial" w:eastAsia="Arial" w:hAnsi="Arial"/>
                <w:sz w:val="11"/>
                <w:szCs w:val="11"/>
                <w:b w:val="1"/>
                <w:bCs w:val="1"/>
                <w:color w:val="auto"/>
                <w:w w:val="96"/>
              </w:rPr>
              <w:t>47.4%</w:t>
            </w:r>
          </w:p>
        </w:tc>
        <w:tc>
          <w:tcPr>
            <w:tcW w:w="1260" w:type="dxa"/>
            <w:vAlign w:val="bottom"/>
          </w:tcPr>
          <w:p>
            <w:pPr>
              <w:jc w:val="right"/>
              <w:ind w:right="306"/>
              <w:spacing w:after="0"/>
              <w:rPr>
                <w:sz w:val="20"/>
                <w:szCs w:val="20"/>
                <w:color w:val="auto"/>
              </w:rPr>
            </w:pPr>
            <w:r>
              <w:rPr>
                <w:rFonts w:ascii="Arial" w:cs="Arial" w:eastAsia="Arial" w:hAnsi="Arial"/>
                <w:sz w:val="11"/>
                <w:szCs w:val="11"/>
                <w:b w:val="1"/>
                <w:bCs w:val="1"/>
                <w:color w:val="auto"/>
              </w:rPr>
              <w:t>-192,051</w:t>
            </w:r>
          </w:p>
        </w:tc>
        <w:tc>
          <w:tcPr>
            <w:tcW w:w="840" w:type="dxa"/>
            <w:vAlign w:val="bottom"/>
            <w:tcBorders>
              <w:right w:val="single" w:sz="8" w:color="auto"/>
            </w:tcBorders>
          </w:tcPr>
          <w:p>
            <w:pPr>
              <w:jc w:val="right"/>
              <w:ind w:right="46"/>
              <w:spacing w:after="0"/>
              <w:rPr>
                <w:sz w:val="20"/>
                <w:szCs w:val="20"/>
                <w:color w:val="auto"/>
              </w:rPr>
            </w:pPr>
            <w:r>
              <w:rPr>
                <w:rFonts w:ascii="Arial" w:cs="Arial" w:eastAsia="Arial" w:hAnsi="Arial"/>
                <w:sz w:val="11"/>
                <w:szCs w:val="11"/>
                <w:b w:val="1"/>
                <w:bCs w:val="1"/>
                <w:color w:val="auto"/>
              </w:rPr>
              <w:t>-256,563</w:t>
            </w:r>
          </w:p>
        </w:tc>
      </w:tr>
      <w:tr>
        <w:trPr>
          <w:trHeight w:val="120"/>
        </w:trPr>
        <w:tc>
          <w:tcPr>
            <w:tcW w:w="3040" w:type="dxa"/>
            <w:vAlign w:val="bottom"/>
            <w:tcBorders>
              <w:left w:val="single" w:sz="8" w:color="auto"/>
              <w:right w:val="single" w:sz="8" w:color="auto"/>
            </w:tcBorders>
          </w:tcPr>
          <w:p>
            <w:pPr>
              <w:ind w:left="20"/>
              <w:spacing w:after="0" w:line="120" w:lineRule="exact"/>
              <w:rPr>
                <w:sz w:val="20"/>
                <w:szCs w:val="20"/>
                <w:color w:val="auto"/>
              </w:rPr>
            </w:pPr>
            <w:r>
              <w:rPr>
                <w:rFonts w:ascii="Arial" w:cs="Arial" w:eastAsia="Arial" w:hAnsi="Arial"/>
                <w:sz w:val="11"/>
                <w:szCs w:val="11"/>
                <w:color w:val="auto"/>
              </w:rPr>
              <w:t>Income tax</w:t>
            </w:r>
          </w:p>
        </w:tc>
        <w:tc>
          <w:tcPr>
            <w:tcW w:w="1140" w:type="dxa"/>
            <w:vAlign w:val="bottom"/>
          </w:tcPr>
          <w:p>
            <w:pPr>
              <w:jc w:val="right"/>
              <w:ind w:right="106"/>
              <w:spacing w:after="0" w:line="120" w:lineRule="exact"/>
              <w:rPr>
                <w:sz w:val="20"/>
                <w:szCs w:val="20"/>
                <w:color w:val="auto"/>
              </w:rPr>
            </w:pPr>
            <w:r>
              <w:rPr>
                <w:rFonts w:ascii="Arial" w:cs="Arial" w:eastAsia="Arial" w:hAnsi="Arial"/>
                <w:sz w:val="11"/>
                <w:szCs w:val="11"/>
                <w:color w:val="auto"/>
              </w:rPr>
              <w:t>-3,028</w:t>
            </w:r>
          </w:p>
        </w:tc>
        <w:tc>
          <w:tcPr>
            <w:tcW w:w="1020" w:type="dxa"/>
            <w:vAlign w:val="bottom"/>
          </w:tcPr>
          <w:p>
            <w:pPr>
              <w:jc w:val="right"/>
              <w:ind w:right="126"/>
              <w:spacing w:after="0" w:line="120" w:lineRule="exact"/>
              <w:rPr>
                <w:sz w:val="20"/>
                <w:szCs w:val="20"/>
                <w:color w:val="auto"/>
              </w:rPr>
            </w:pPr>
            <w:r>
              <w:rPr>
                <w:rFonts w:ascii="Arial" w:cs="Arial" w:eastAsia="Arial" w:hAnsi="Arial"/>
                <w:sz w:val="11"/>
                <w:szCs w:val="11"/>
                <w:color w:val="auto"/>
              </w:rPr>
              <w:t>-3,116</w:t>
            </w:r>
          </w:p>
        </w:tc>
        <w:tc>
          <w:tcPr>
            <w:tcW w:w="840" w:type="dxa"/>
            <w:vAlign w:val="bottom"/>
            <w:tcBorders>
              <w:right w:val="single" w:sz="8" w:color="auto"/>
            </w:tcBorders>
          </w:tcPr>
          <w:p>
            <w:pPr>
              <w:jc w:val="right"/>
              <w:spacing w:after="0" w:line="120" w:lineRule="exact"/>
              <w:rPr>
                <w:sz w:val="20"/>
                <w:szCs w:val="20"/>
                <w:color w:val="auto"/>
              </w:rPr>
            </w:pPr>
            <w:r>
              <w:rPr>
                <w:rFonts w:ascii="Arial" w:cs="Arial" w:eastAsia="Arial" w:hAnsi="Arial"/>
                <w:sz w:val="11"/>
                <w:szCs w:val="11"/>
                <w:color w:val="auto"/>
              </w:rPr>
              <w:t>-4,307</w:t>
            </w:r>
          </w:p>
        </w:tc>
        <w:tc>
          <w:tcPr>
            <w:tcW w:w="700" w:type="dxa"/>
            <w:vAlign w:val="bottom"/>
          </w:tcPr>
          <w:p>
            <w:pPr>
              <w:jc w:val="center"/>
              <w:ind w:left="226"/>
              <w:spacing w:after="0" w:line="120" w:lineRule="exact"/>
              <w:rPr>
                <w:sz w:val="20"/>
                <w:szCs w:val="20"/>
                <w:color w:val="auto"/>
              </w:rPr>
            </w:pPr>
            <w:r>
              <w:rPr>
                <w:rFonts w:ascii="Arial" w:cs="Arial" w:eastAsia="Arial" w:hAnsi="Arial"/>
                <w:sz w:val="11"/>
                <w:szCs w:val="11"/>
                <w:color w:val="auto"/>
                <w:w w:val="96"/>
              </w:rPr>
              <w:t>38.2%</w:t>
            </w:r>
          </w:p>
        </w:tc>
        <w:tc>
          <w:tcPr>
            <w:tcW w:w="1300" w:type="dxa"/>
            <w:vAlign w:val="bottom"/>
            <w:tcBorders>
              <w:right w:val="single" w:sz="8" w:color="auto"/>
            </w:tcBorders>
          </w:tcPr>
          <w:p>
            <w:pPr>
              <w:jc w:val="center"/>
              <w:ind w:left="226"/>
              <w:spacing w:after="0" w:line="120" w:lineRule="exact"/>
              <w:rPr>
                <w:sz w:val="20"/>
                <w:szCs w:val="20"/>
                <w:color w:val="auto"/>
              </w:rPr>
            </w:pPr>
            <w:r>
              <w:rPr>
                <w:rFonts w:ascii="Arial" w:cs="Arial" w:eastAsia="Arial" w:hAnsi="Arial"/>
                <w:sz w:val="11"/>
                <w:szCs w:val="11"/>
                <w:color w:val="auto"/>
                <w:w w:val="96"/>
              </w:rPr>
              <w:t>42.3%</w:t>
            </w:r>
          </w:p>
        </w:tc>
        <w:tc>
          <w:tcPr>
            <w:tcW w:w="1260" w:type="dxa"/>
            <w:vAlign w:val="bottom"/>
          </w:tcPr>
          <w:p>
            <w:pPr>
              <w:jc w:val="right"/>
              <w:ind w:right="306"/>
              <w:spacing w:after="0" w:line="120" w:lineRule="exact"/>
              <w:rPr>
                <w:sz w:val="20"/>
                <w:szCs w:val="20"/>
                <w:color w:val="auto"/>
              </w:rPr>
            </w:pPr>
            <w:r>
              <w:rPr>
                <w:rFonts w:ascii="Arial" w:cs="Arial" w:eastAsia="Arial" w:hAnsi="Arial"/>
                <w:sz w:val="11"/>
                <w:szCs w:val="11"/>
                <w:color w:val="auto"/>
              </w:rPr>
              <w:t>-9,222</w:t>
            </w:r>
          </w:p>
        </w:tc>
        <w:tc>
          <w:tcPr>
            <w:tcW w:w="840" w:type="dxa"/>
            <w:vAlign w:val="bottom"/>
            <w:tcBorders>
              <w:right w:val="single" w:sz="8" w:color="auto"/>
            </w:tcBorders>
          </w:tcPr>
          <w:p>
            <w:pPr>
              <w:jc w:val="right"/>
              <w:ind w:right="26"/>
              <w:spacing w:after="0" w:line="120" w:lineRule="exact"/>
              <w:rPr>
                <w:sz w:val="20"/>
                <w:szCs w:val="20"/>
                <w:color w:val="auto"/>
              </w:rPr>
            </w:pPr>
            <w:r>
              <w:rPr>
                <w:rFonts w:ascii="Arial" w:cs="Arial" w:eastAsia="Arial" w:hAnsi="Arial"/>
                <w:sz w:val="11"/>
                <w:szCs w:val="11"/>
                <w:color w:val="auto"/>
              </w:rPr>
              <w:t>-10,623</w:t>
            </w:r>
          </w:p>
        </w:tc>
      </w:tr>
      <w:tr>
        <w:trPr>
          <w:trHeight w:val="134"/>
        </w:trPr>
        <w:tc>
          <w:tcPr>
            <w:tcW w:w="30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Net income</w:t>
            </w:r>
          </w:p>
        </w:tc>
        <w:tc>
          <w:tcPr>
            <w:tcW w:w="114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179,892</w:t>
            </w:r>
          </w:p>
        </w:tc>
        <w:tc>
          <w:tcPr>
            <w:tcW w:w="1020" w:type="dxa"/>
            <w:vAlign w:val="bottom"/>
            <w:tcBorders>
              <w:bottom w:val="single" w:sz="8" w:color="auto"/>
            </w:tcBorders>
          </w:tcPr>
          <w:p>
            <w:pPr>
              <w:jc w:val="right"/>
              <w:ind w:right="126"/>
              <w:spacing w:after="0"/>
              <w:rPr>
                <w:sz w:val="20"/>
                <w:szCs w:val="20"/>
                <w:color w:val="auto"/>
              </w:rPr>
            </w:pPr>
            <w:r>
              <w:rPr>
                <w:rFonts w:ascii="Arial" w:cs="Arial" w:eastAsia="Arial" w:hAnsi="Arial"/>
                <w:sz w:val="11"/>
                <w:szCs w:val="11"/>
                <w:b w:val="1"/>
                <w:bCs w:val="1"/>
                <w:color w:val="auto"/>
              </w:rPr>
              <w:t>206,687</w:t>
            </w:r>
          </w:p>
        </w:tc>
        <w:tc>
          <w:tcPr>
            <w:tcW w:w="8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b w:val="1"/>
                <w:bCs w:val="1"/>
                <w:color w:val="auto"/>
              </w:rPr>
              <w:t>246,327</w:t>
            </w:r>
          </w:p>
        </w:tc>
        <w:tc>
          <w:tcPr>
            <w:tcW w:w="700" w:type="dxa"/>
            <w:vAlign w:val="bottom"/>
            <w:tcBorders>
              <w:bottom w:val="single" w:sz="8" w:color="auto"/>
            </w:tcBorders>
          </w:tcPr>
          <w:p>
            <w:pPr>
              <w:jc w:val="center"/>
              <w:ind w:left="226"/>
              <w:spacing w:after="0"/>
              <w:rPr>
                <w:sz w:val="20"/>
                <w:szCs w:val="20"/>
                <w:color w:val="auto"/>
              </w:rPr>
            </w:pPr>
            <w:r>
              <w:rPr>
                <w:rFonts w:ascii="Arial" w:cs="Arial" w:eastAsia="Arial" w:hAnsi="Arial"/>
                <w:sz w:val="11"/>
                <w:szCs w:val="11"/>
                <w:b w:val="1"/>
                <w:bCs w:val="1"/>
                <w:color w:val="auto"/>
                <w:w w:val="96"/>
              </w:rPr>
              <w:t>19.2%</w:t>
            </w:r>
          </w:p>
        </w:tc>
        <w:tc>
          <w:tcPr>
            <w:tcW w:w="1300" w:type="dxa"/>
            <w:vAlign w:val="bottom"/>
            <w:tcBorders>
              <w:bottom w:val="single" w:sz="8" w:color="auto"/>
              <w:right w:val="single" w:sz="8" w:color="auto"/>
            </w:tcBorders>
          </w:tcPr>
          <w:p>
            <w:pPr>
              <w:jc w:val="center"/>
              <w:ind w:left="226"/>
              <w:spacing w:after="0"/>
              <w:rPr>
                <w:sz w:val="20"/>
                <w:szCs w:val="20"/>
                <w:color w:val="auto"/>
              </w:rPr>
            </w:pPr>
            <w:r>
              <w:rPr>
                <w:rFonts w:ascii="Arial" w:cs="Arial" w:eastAsia="Arial" w:hAnsi="Arial"/>
                <w:sz w:val="11"/>
                <w:szCs w:val="11"/>
                <w:b w:val="1"/>
                <w:bCs w:val="1"/>
                <w:color w:val="auto"/>
                <w:w w:val="96"/>
              </w:rPr>
              <w:t>36.9%</w:t>
            </w:r>
          </w:p>
        </w:tc>
        <w:tc>
          <w:tcPr>
            <w:tcW w:w="1260" w:type="dxa"/>
            <w:vAlign w:val="bottom"/>
            <w:tcBorders>
              <w:bottom w:val="single" w:sz="8" w:color="auto"/>
            </w:tcBorders>
          </w:tcPr>
          <w:p>
            <w:pPr>
              <w:jc w:val="right"/>
              <w:ind w:right="306"/>
              <w:spacing w:after="0"/>
              <w:rPr>
                <w:sz w:val="20"/>
                <w:szCs w:val="20"/>
                <w:color w:val="auto"/>
              </w:rPr>
            </w:pPr>
            <w:r>
              <w:rPr>
                <w:rFonts w:ascii="Arial" w:cs="Arial" w:eastAsia="Arial" w:hAnsi="Arial"/>
                <w:sz w:val="11"/>
                <w:szCs w:val="11"/>
                <w:b w:val="1"/>
                <w:bCs w:val="1"/>
                <w:color w:val="auto"/>
              </w:rPr>
              <w:t>409,416</w:t>
            </w:r>
          </w:p>
        </w:tc>
        <w:tc>
          <w:tcPr>
            <w:tcW w:w="840" w:type="dxa"/>
            <w:vAlign w:val="bottom"/>
            <w:tcBorders>
              <w:bottom w:val="single" w:sz="8" w:color="auto"/>
              <w:right w:val="single" w:sz="8" w:color="auto"/>
            </w:tcBorders>
          </w:tcPr>
          <w:p>
            <w:pPr>
              <w:jc w:val="right"/>
              <w:ind w:right="46"/>
              <w:spacing w:after="0"/>
              <w:rPr>
                <w:sz w:val="20"/>
                <w:szCs w:val="20"/>
                <w:color w:val="auto"/>
              </w:rPr>
            </w:pPr>
            <w:r>
              <w:rPr>
                <w:rFonts w:ascii="Arial" w:cs="Arial" w:eastAsia="Arial" w:hAnsi="Arial"/>
                <w:sz w:val="11"/>
                <w:szCs w:val="11"/>
                <w:b w:val="1"/>
                <w:bCs w:val="1"/>
                <w:color w:val="auto"/>
              </w:rPr>
              <w:t>674,430</w:t>
            </w:r>
          </w:p>
        </w:tc>
      </w:tr>
    </w:tbl>
    <w:p>
      <w:pPr>
        <w:ind w:left="141" w:hanging="141"/>
        <w:spacing w:after="0"/>
        <w:tabs>
          <w:tab w:leader="none" w:pos="141" w:val="left"/>
        </w:tabs>
        <w:numPr>
          <w:ilvl w:val="0"/>
          <w:numId w:val="72"/>
        </w:numPr>
        <w:rPr>
          <w:rFonts w:ascii="Arial" w:cs="Arial" w:eastAsia="Arial" w:hAnsi="Arial"/>
          <w:sz w:val="11"/>
          <w:szCs w:val="11"/>
          <w:color w:val="auto"/>
        </w:rPr>
      </w:pPr>
      <w:r>
        <w:rPr>
          <w:rFonts w:ascii="Arial" w:cs="Arial" w:eastAsia="Arial" w:hAnsi="Arial"/>
          <w:sz w:val="11"/>
          <w:szCs w:val="11"/>
          <w:color w:val="auto"/>
        </w:rPr>
        <w:t>Financial statements without consolidation adjustments.</w:t>
      </w:r>
    </w:p>
    <w:p>
      <w:pPr>
        <w:ind w:left="1"/>
        <w:spacing w:after="0"/>
        <w:rPr>
          <w:rFonts w:ascii="Arial" w:cs="Arial" w:eastAsia="Arial" w:hAnsi="Arial"/>
          <w:sz w:val="11"/>
          <w:szCs w:val="11"/>
          <w:color w:val="auto"/>
        </w:rPr>
      </w:pPr>
      <w:r>
        <w:rPr>
          <w:rFonts w:ascii="Arial" w:cs="Arial" w:eastAsia="Arial" w:hAnsi="Arial"/>
          <w:sz w:val="11"/>
          <w:szCs w:val="11"/>
          <w:color w:val="auto"/>
        </w:rPr>
        <w:t>(1) Excluding investments in real estate.</w:t>
      </w:r>
    </w:p>
    <w:p>
      <w:pPr>
        <w:spacing w:after="0" w:line="172" w:lineRule="exact"/>
        <w:rPr>
          <w:sz w:val="20"/>
          <w:szCs w:val="20"/>
          <w:color w:val="auto"/>
        </w:rPr>
      </w:pPr>
    </w:p>
    <w:p>
      <w:pPr>
        <w:ind w:left="1"/>
        <w:spacing w:after="0"/>
        <w:rPr>
          <w:sz w:val="20"/>
          <w:szCs w:val="20"/>
          <w:color w:val="auto"/>
        </w:rPr>
      </w:pPr>
      <w:r>
        <w:rPr>
          <w:rFonts w:ascii="Arial" w:cs="Arial" w:eastAsia="Arial" w:hAnsi="Arial"/>
          <w:sz w:val="15"/>
          <w:szCs w:val="15"/>
          <w:color w:val="auto"/>
        </w:rPr>
        <w:t>From 1Q15 and on, Grupo Pacifico’s financial statements refllect the agreement with Banmedica (in equal parts) of the businesses of:</w:t>
      </w:r>
    </w:p>
    <w:p>
      <w:pPr>
        <w:spacing w:after="0" w:line="5" w:lineRule="exact"/>
        <w:rPr>
          <w:sz w:val="20"/>
          <w:szCs w:val="20"/>
          <w:color w:val="auto"/>
        </w:rPr>
      </w:pPr>
    </w:p>
    <w:p>
      <w:pPr>
        <w:ind w:left="641" w:hanging="295"/>
        <w:spacing w:after="0"/>
        <w:tabs>
          <w:tab w:leader="none" w:pos="641" w:val="left"/>
        </w:tabs>
        <w:numPr>
          <w:ilvl w:val="0"/>
          <w:numId w:val="73"/>
        </w:numPr>
        <w:rPr>
          <w:rFonts w:ascii="Arial" w:cs="Arial" w:eastAsia="Arial" w:hAnsi="Arial"/>
          <w:sz w:val="16"/>
          <w:szCs w:val="16"/>
          <w:color w:val="auto"/>
        </w:rPr>
      </w:pPr>
      <w:r>
        <w:rPr>
          <w:rFonts w:ascii="Arial" w:cs="Arial" w:eastAsia="Arial" w:hAnsi="Arial"/>
          <w:sz w:val="15"/>
          <w:szCs w:val="15"/>
          <w:color w:val="auto"/>
        </w:rPr>
        <w:t>private health insurance managed by Grupo Pacifico and included in its Financial Statements in each of the accounting lines;</w:t>
      </w:r>
    </w:p>
    <w:p>
      <w:pPr>
        <w:spacing w:after="0" w:line="7" w:lineRule="exact"/>
        <w:rPr>
          <w:rFonts w:ascii="Arial" w:cs="Arial" w:eastAsia="Arial" w:hAnsi="Arial"/>
          <w:sz w:val="16"/>
          <w:szCs w:val="16"/>
          <w:color w:val="auto"/>
        </w:rPr>
      </w:pPr>
    </w:p>
    <w:p>
      <w:pPr>
        <w:ind w:left="641" w:hanging="295"/>
        <w:spacing w:after="0" w:line="232" w:lineRule="auto"/>
        <w:tabs>
          <w:tab w:leader="none" w:pos="641" w:val="left"/>
        </w:tabs>
        <w:numPr>
          <w:ilvl w:val="0"/>
          <w:numId w:val="73"/>
        </w:numPr>
        <w:rPr>
          <w:rFonts w:ascii="Arial" w:cs="Arial" w:eastAsia="Arial" w:hAnsi="Arial"/>
          <w:sz w:val="16"/>
          <w:szCs w:val="16"/>
          <w:color w:val="auto"/>
        </w:rPr>
      </w:pPr>
      <w:r>
        <w:rPr>
          <w:rFonts w:ascii="Arial" w:cs="Arial" w:eastAsia="Arial" w:hAnsi="Arial"/>
          <w:sz w:val="15"/>
          <w:szCs w:val="15"/>
          <w:color w:val="auto"/>
        </w:rPr>
        <w:t>corporate health insurance (dependent workers); and</w:t>
      </w:r>
    </w:p>
    <w:p>
      <w:pPr>
        <w:spacing w:after="0" w:line="7" w:lineRule="exact"/>
        <w:rPr>
          <w:rFonts w:ascii="Arial" w:cs="Arial" w:eastAsia="Arial" w:hAnsi="Arial"/>
          <w:sz w:val="16"/>
          <w:szCs w:val="16"/>
          <w:color w:val="auto"/>
        </w:rPr>
      </w:pPr>
    </w:p>
    <w:p>
      <w:pPr>
        <w:ind w:left="641" w:hanging="295"/>
        <w:spacing w:after="0" w:line="232" w:lineRule="auto"/>
        <w:tabs>
          <w:tab w:leader="none" w:pos="641" w:val="left"/>
        </w:tabs>
        <w:numPr>
          <w:ilvl w:val="0"/>
          <w:numId w:val="73"/>
        </w:numPr>
        <w:rPr>
          <w:rFonts w:ascii="Arial" w:cs="Arial" w:eastAsia="Arial" w:hAnsi="Arial"/>
          <w:sz w:val="16"/>
          <w:szCs w:val="16"/>
          <w:color w:val="auto"/>
        </w:rPr>
      </w:pPr>
      <w:r>
        <w:rPr>
          <w:rFonts w:ascii="Arial" w:cs="Arial" w:eastAsia="Arial" w:hAnsi="Arial"/>
          <w:sz w:val="15"/>
          <w:szCs w:val="15"/>
          <w:color w:val="auto"/>
        </w:rPr>
        <w:t>medical services.</w:t>
      </w:r>
    </w:p>
    <w:p>
      <w:pPr>
        <w:spacing w:after="0" w:line="183" w:lineRule="exact"/>
        <w:rPr>
          <w:sz w:val="20"/>
          <w:szCs w:val="20"/>
          <w:color w:val="auto"/>
        </w:rPr>
      </w:pPr>
    </w:p>
    <w:p>
      <w:pPr>
        <w:ind w:left="1" w:right="360"/>
        <w:spacing w:after="0" w:line="262" w:lineRule="auto"/>
        <w:rPr>
          <w:sz w:val="20"/>
          <w:szCs w:val="20"/>
          <w:color w:val="auto"/>
        </w:rPr>
      </w:pPr>
      <w:r>
        <w:rPr>
          <w:rFonts w:ascii="Arial" w:cs="Arial" w:eastAsia="Arial" w:hAnsi="Arial"/>
          <w:sz w:val="15"/>
          <w:szCs w:val="15"/>
          <w:color w:val="auto"/>
        </w:rPr>
        <w:t>The businesses described in ii) and iii) are managed by Banmedica, therefore they do not consolidate in Grupo Pacifico’s financial statements. The 50% of net income generated by Banmedica is recorded in Grupo Pacifico’s Income Statement as a gain/loss on investments in subsidiaries.</w:t>
      </w:r>
    </w:p>
    <w:p>
      <w:pPr>
        <w:spacing w:after="0" w:line="143" w:lineRule="exact"/>
        <w:rPr>
          <w:sz w:val="20"/>
          <w:szCs w:val="20"/>
          <w:color w:val="auto"/>
        </w:rPr>
      </w:pPr>
    </w:p>
    <w:p>
      <w:pPr>
        <w:ind w:left="1"/>
        <w:spacing w:after="0" w:line="262" w:lineRule="auto"/>
        <w:rPr>
          <w:sz w:val="20"/>
          <w:szCs w:val="20"/>
          <w:color w:val="auto"/>
        </w:rPr>
      </w:pPr>
      <w:r>
        <w:rPr>
          <w:rFonts w:ascii="Arial" w:cs="Arial" w:eastAsia="Arial" w:hAnsi="Arial"/>
          <w:sz w:val="15"/>
          <w:szCs w:val="15"/>
          <w:color w:val="auto"/>
        </w:rPr>
        <w:t>As explained before, corporate health insurance and medical services businesses are consolidated by Banmedica. The following table reflects the consolidated results from which Grupo Pacifico receives the 50% net income.</w:t>
      </w:r>
    </w:p>
    <w:p>
      <w:pPr>
        <w:spacing w:after="0" w:line="29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43750" cy="1587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337" w:right="339" w:bottom="1440" w:gutter="0" w:footer="0" w:header="0"/>
        </w:sectPr>
      </w:pPr>
    </w:p>
    <w:bookmarkStart w:id="71" w:name="page72"/>
    <w:bookmarkEnd w:id="71"/>
    <w:p>
      <w:pPr>
        <w:ind w:left="2960"/>
        <w:spacing w:after="0"/>
        <w:tabs>
          <w:tab w:leader="none" w:pos="3140" w:val="left"/>
          <w:tab w:leader="none" w:pos="7700" w:val="left"/>
        </w:tabs>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202565</wp:posOffset>
            </wp:positionH>
            <wp:positionV relativeFrom="page">
              <wp:posOffset>88900</wp:posOffset>
            </wp:positionV>
            <wp:extent cx="7143750" cy="41592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3750" cy="415925"/>
                    </a:xfrm>
                    <a:prstGeom prst="rect">
                      <a:avLst/>
                    </a:prstGeom>
                    <a:noFill/>
                  </pic:spPr>
                </pic:pic>
              </a:graphicData>
            </a:graphic>
          </wp:anchor>
        </w:drawing>
        <w:t>|</w:t>
      </w:r>
      <w:r>
        <w:rPr>
          <w:sz w:val="20"/>
          <w:szCs w:val="20"/>
          <w:color w:val="auto"/>
        </w:rPr>
        <w:tab/>
      </w:r>
      <w:r>
        <w:rPr>
          <w:rFonts w:ascii="Arial" w:cs="Arial" w:eastAsia="Arial" w:hAnsi="Arial"/>
          <w:sz w:val="16"/>
          <w:szCs w:val="16"/>
          <w:b w:val="1"/>
          <w:bCs w:val="1"/>
          <w:color w:val="FFFFFF"/>
        </w:rPr>
        <w:t>Earnings Release 3Q / 2023</w:t>
      </w:r>
      <w:r>
        <w:rPr>
          <w:sz w:val="20"/>
          <w:szCs w:val="20"/>
          <w:color w:val="auto"/>
        </w:rPr>
        <w:tab/>
      </w:r>
      <w:r>
        <w:rPr>
          <w:rFonts w:ascii="Arial" w:cs="Arial" w:eastAsia="Arial" w:hAnsi="Arial"/>
          <w:sz w:val="18"/>
          <w:szCs w:val="18"/>
          <w:b w:val="1"/>
          <w:bCs w:val="1"/>
          <w:color w:val="E93CAC"/>
        </w:rPr>
        <w:t>Analysis of 3Q23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159385</wp:posOffset>
            </wp:positionV>
            <wp:extent cx="7143750" cy="2038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3750" cy="203835"/>
                    </a:xfrm>
                    <a:prstGeom prst="rect">
                      <a:avLst/>
                    </a:prstGeom>
                    <a:noFill/>
                  </pic:spPr>
                </pic:pic>
              </a:graphicData>
            </a:graphic>
          </wp:anchor>
        </w:drawing>
      </w:r>
    </w:p>
    <w:p>
      <w:pPr>
        <w:spacing w:after="0" w:line="251"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FFFFFF"/>
        </w:rPr>
        <w:t>12. Appendix</w:t>
      </w:r>
    </w:p>
    <w:p>
      <w:pPr>
        <w:spacing w:after="0" w:line="94" w:lineRule="exact"/>
        <w:rPr>
          <w:sz w:val="20"/>
          <w:szCs w:val="20"/>
          <w:color w:val="auto"/>
        </w:rPr>
      </w:pPr>
    </w:p>
    <w:p>
      <w:pPr>
        <w:jc w:val="center"/>
        <w:ind w:right="620"/>
        <w:spacing w:after="0"/>
        <w:rPr>
          <w:sz w:val="20"/>
          <w:szCs w:val="20"/>
          <w:color w:val="auto"/>
        </w:rPr>
      </w:pPr>
      <w:r>
        <w:rPr>
          <w:rFonts w:ascii="Arial" w:cs="Arial" w:eastAsia="Arial" w:hAnsi="Arial"/>
          <w:sz w:val="13"/>
          <w:szCs w:val="13"/>
          <w:b w:val="1"/>
          <w:bCs w:val="1"/>
          <w:color w:val="auto"/>
        </w:rPr>
        <w:t xml:space="preserve">Corporate health insurance and Medical services </w:t>
      </w:r>
      <w:r>
        <w:rPr>
          <w:rFonts w:ascii="Arial" w:cs="Arial" w:eastAsia="Arial" w:hAnsi="Arial"/>
          <w:sz w:val="21"/>
          <w:szCs w:val="21"/>
          <w:b w:val="1"/>
          <w:bCs w:val="1"/>
          <w:color w:val="auto"/>
          <w:vertAlign w:val="superscript"/>
        </w:rPr>
        <w:t>(1)</w:t>
      </w:r>
    </w:p>
    <w:p>
      <w:pPr>
        <w:jc w:val="center"/>
        <w:ind w:right="620"/>
        <w:spacing w:after="0"/>
        <w:rPr>
          <w:sz w:val="20"/>
          <w:szCs w:val="20"/>
          <w:color w:val="auto"/>
        </w:rPr>
      </w:pPr>
      <w:r>
        <w:rPr>
          <w:rFonts w:ascii="Arial" w:cs="Arial" w:eastAsia="Arial" w:hAnsi="Arial"/>
          <w:sz w:val="13"/>
          <w:szCs w:val="13"/>
          <w:color w:val="auto"/>
        </w:rPr>
        <w:t>(S/ in thousands)</w:t>
      </w:r>
    </w:p>
    <w:p>
      <w:pPr>
        <w:spacing w:after="0" w:line="148"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2940" w:type="dxa"/>
            <w:vAlign w:val="bottom"/>
            <w:tcBorders>
              <w:right w:val="single" w:sz="8" w:color="auto"/>
            </w:tcBorders>
          </w:tcPr>
          <w:p>
            <w:pPr>
              <w:spacing w:after="0"/>
              <w:rPr>
                <w:sz w:val="12"/>
                <w:szCs w:val="12"/>
                <w:color w:val="auto"/>
              </w:rPr>
            </w:pPr>
          </w:p>
        </w:tc>
        <w:tc>
          <w:tcPr>
            <w:tcW w:w="1120" w:type="dxa"/>
            <w:vAlign w:val="bottom"/>
            <w:tcBorders>
              <w:top w:val="single" w:sz="8" w:color="auto"/>
            </w:tcBorders>
            <w:shd w:val="clear" w:color="auto" w:fill="33CCCC"/>
          </w:tcPr>
          <w:p>
            <w:pPr>
              <w:spacing w:after="0"/>
              <w:rPr>
                <w:sz w:val="12"/>
                <w:szCs w:val="12"/>
                <w:color w:val="auto"/>
              </w:rPr>
            </w:pPr>
          </w:p>
        </w:tc>
        <w:tc>
          <w:tcPr>
            <w:tcW w:w="1100" w:type="dxa"/>
            <w:vAlign w:val="bottom"/>
            <w:tcBorders>
              <w:top w:val="single" w:sz="8" w:color="auto"/>
            </w:tcBorders>
            <w:shd w:val="clear" w:color="auto" w:fill="33CCCC"/>
          </w:tcPr>
          <w:p>
            <w:pPr>
              <w:jc w:val="right"/>
              <w:ind w:right="314"/>
              <w:spacing w:after="0"/>
              <w:rPr>
                <w:sz w:val="20"/>
                <w:szCs w:val="20"/>
                <w:color w:val="auto"/>
              </w:rPr>
            </w:pPr>
            <w:r>
              <w:rPr>
                <w:rFonts w:ascii="Arial" w:cs="Arial" w:eastAsia="Arial" w:hAnsi="Arial"/>
                <w:sz w:val="13"/>
                <w:szCs w:val="13"/>
                <w:b w:val="1"/>
                <w:bCs w:val="1"/>
                <w:color w:val="FFFFFF"/>
              </w:rPr>
              <w:t>Quarterly</w:t>
            </w:r>
          </w:p>
        </w:tc>
        <w:tc>
          <w:tcPr>
            <w:tcW w:w="880" w:type="dxa"/>
            <w:vAlign w:val="bottom"/>
            <w:tcBorders>
              <w:top w:val="single" w:sz="8" w:color="auto"/>
              <w:right w:val="single" w:sz="8" w:color="auto"/>
            </w:tcBorders>
            <w:shd w:val="clear" w:color="auto" w:fill="33CCCC"/>
          </w:tcPr>
          <w:p>
            <w:pPr>
              <w:spacing w:after="0"/>
              <w:rPr>
                <w:sz w:val="12"/>
                <w:szCs w:val="12"/>
                <w:color w:val="auto"/>
              </w:rPr>
            </w:pPr>
          </w:p>
        </w:tc>
        <w:tc>
          <w:tcPr>
            <w:tcW w:w="2040" w:type="dxa"/>
            <w:vAlign w:val="bottom"/>
            <w:tcBorders>
              <w:top w:val="single" w:sz="8" w:color="auto"/>
              <w:right w:val="single" w:sz="8" w:color="auto"/>
            </w:tcBorders>
            <w:gridSpan w:val="2"/>
            <w:shd w:val="clear" w:color="auto" w:fill="33CCCC"/>
          </w:tcPr>
          <w:p>
            <w:pPr>
              <w:ind w:left="700"/>
              <w:spacing w:after="0"/>
              <w:rPr>
                <w:sz w:val="20"/>
                <w:szCs w:val="20"/>
                <w:color w:val="auto"/>
              </w:rPr>
            </w:pPr>
            <w:r>
              <w:rPr>
                <w:rFonts w:ascii="Arial" w:cs="Arial" w:eastAsia="Arial" w:hAnsi="Arial"/>
                <w:sz w:val="13"/>
                <w:szCs w:val="13"/>
                <w:b w:val="1"/>
                <w:bCs w:val="1"/>
                <w:color w:val="FFFFFF"/>
              </w:rPr>
              <w:t>% change</w:t>
            </w:r>
          </w:p>
        </w:tc>
        <w:tc>
          <w:tcPr>
            <w:tcW w:w="1220" w:type="dxa"/>
            <w:vAlign w:val="bottom"/>
            <w:tcBorders>
              <w:top w:val="single" w:sz="8" w:color="auto"/>
            </w:tcBorders>
            <w:shd w:val="clear" w:color="auto" w:fill="33CCCC"/>
          </w:tcPr>
          <w:p>
            <w:pPr>
              <w:jc w:val="right"/>
              <w:ind w:right="14"/>
              <w:spacing w:after="0"/>
              <w:rPr>
                <w:sz w:val="20"/>
                <w:szCs w:val="20"/>
                <w:color w:val="auto"/>
              </w:rPr>
            </w:pPr>
            <w:r>
              <w:rPr>
                <w:rFonts w:ascii="Arial" w:cs="Arial" w:eastAsia="Arial" w:hAnsi="Arial"/>
                <w:sz w:val="13"/>
                <w:szCs w:val="13"/>
                <w:b w:val="1"/>
                <w:bCs w:val="1"/>
                <w:color w:val="FFFFFF"/>
              </w:rPr>
              <w:t>YTD</w:t>
            </w:r>
          </w:p>
        </w:tc>
        <w:tc>
          <w:tcPr>
            <w:tcW w:w="840" w:type="dxa"/>
            <w:vAlign w:val="bottom"/>
            <w:tcBorders>
              <w:top w:val="single" w:sz="8" w:color="auto"/>
              <w:right w:val="single" w:sz="8" w:color="auto"/>
            </w:tcBorders>
            <w:shd w:val="clear" w:color="auto" w:fill="33CCCC"/>
          </w:tcPr>
          <w:p>
            <w:pPr>
              <w:spacing w:after="0"/>
              <w:rPr>
                <w:sz w:val="12"/>
                <w:szCs w:val="12"/>
                <w:color w:val="auto"/>
              </w:rPr>
            </w:pPr>
          </w:p>
        </w:tc>
        <w:tc>
          <w:tcPr>
            <w:tcW w:w="1120" w:type="dxa"/>
            <w:vAlign w:val="bottom"/>
            <w:tcBorders>
              <w:top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w w:val="98"/>
              </w:rPr>
              <w:t>% change</w:t>
            </w:r>
          </w:p>
        </w:tc>
      </w:tr>
      <w:tr>
        <w:trPr>
          <w:trHeight w:val="160"/>
        </w:trPr>
        <w:tc>
          <w:tcPr>
            <w:tcW w:w="2940" w:type="dxa"/>
            <w:vAlign w:val="bottom"/>
            <w:tcBorders>
              <w:bottom w:val="single" w:sz="8" w:color="auto"/>
              <w:right w:val="single" w:sz="8" w:color="auto"/>
            </w:tcBorders>
          </w:tcPr>
          <w:p>
            <w:pPr>
              <w:spacing w:after="0"/>
              <w:rPr>
                <w:sz w:val="13"/>
                <w:szCs w:val="13"/>
                <w:color w:val="auto"/>
              </w:rPr>
            </w:pPr>
          </w:p>
        </w:tc>
        <w:tc>
          <w:tcPr>
            <w:tcW w:w="1120" w:type="dxa"/>
            <w:vAlign w:val="bottom"/>
            <w:tcBorders>
              <w:bottom w:val="single" w:sz="8" w:color="auto"/>
            </w:tcBorders>
            <w:shd w:val="clear" w:color="auto" w:fill="33CCCC"/>
          </w:tcPr>
          <w:p>
            <w:pPr>
              <w:jc w:val="right"/>
              <w:ind w:right="394"/>
              <w:spacing w:after="0"/>
              <w:rPr>
                <w:sz w:val="20"/>
                <w:szCs w:val="20"/>
                <w:color w:val="auto"/>
              </w:rPr>
            </w:pPr>
            <w:r>
              <w:rPr>
                <w:rFonts w:ascii="Arial" w:cs="Arial" w:eastAsia="Arial" w:hAnsi="Arial"/>
                <w:sz w:val="13"/>
                <w:szCs w:val="13"/>
                <w:b w:val="1"/>
                <w:bCs w:val="1"/>
                <w:color w:val="FFFFFF"/>
              </w:rPr>
              <w:t>3Q22</w:t>
            </w:r>
          </w:p>
        </w:tc>
        <w:tc>
          <w:tcPr>
            <w:tcW w:w="1100" w:type="dxa"/>
            <w:vAlign w:val="bottom"/>
            <w:tcBorders>
              <w:bottom w:val="single" w:sz="8" w:color="auto"/>
            </w:tcBorders>
            <w:shd w:val="clear" w:color="auto" w:fill="33CCCC"/>
          </w:tcPr>
          <w:p>
            <w:pPr>
              <w:jc w:val="right"/>
              <w:ind w:right="474"/>
              <w:spacing w:after="0"/>
              <w:rPr>
                <w:sz w:val="20"/>
                <w:szCs w:val="20"/>
                <w:color w:val="auto"/>
              </w:rPr>
            </w:pPr>
            <w:r>
              <w:rPr>
                <w:rFonts w:ascii="Arial" w:cs="Arial" w:eastAsia="Arial" w:hAnsi="Arial"/>
                <w:sz w:val="13"/>
                <w:szCs w:val="13"/>
                <w:b w:val="1"/>
                <w:bCs w:val="1"/>
                <w:color w:val="FFFFFF"/>
              </w:rPr>
              <w:t>2Q23</w:t>
            </w:r>
          </w:p>
        </w:tc>
        <w:tc>
          <w:tcPr>
            <w:tcW w:w="880" w:type="dxa"/>
            <w:vAlign w:val="bottom"/>
            <w:tcBorders>
              <w:bottom w:val="single" w:sz="8" w:color="auto"/>
              <w:right w:val="single" w:sz="8" w:color="auto"/>
            </w:tcBorders>
            <w:shd w:val="clear" w:color="auto" w:fill="33CCCC"/>
          </w:tcPr>
          <w:p>
            <w:pPr>
              <w:jc w:val="right"/>
              <w:ind w:right="314"/>
              <w:spacing w:after="0"/>
              <w:rPr>
                <w:sz w:val="20"/>
                <w:szCs w:val="20"/>
                <w:color w:val="auto"/>
              </w:rPr>
            </w:pPr>
            <w:r>
              <w:rPr>
                <w:rFonts w:ascii="Arial" w:cs="Arial" w:eastAsia="Arial" w:hAnsi="Arial"/>
                <w:sz w:val="13"/>
                <w:szCs w:val="13"/>
                <w:b w:val="1"/>
                <w:bCs w:val="1"/>
                <w:color w:val="FFFFFF"/>
              </w:rPr>
              <w:t>3Q23</w:t>
            </w:r>
          </w:p>
        </w:tc>
        <w:tc>
          <w:tcPr>
            <w:tcW w:w="1020" w:type="dxa"/>
            <w:vAlign w:val="bottom"/>
            <w:tcBorders>
              <w:bottom w:val="single" w:sz="8" w:color="auto"/>
            </w:tcBorders>
            <w:shd w:val="clear" w:color="auto" w:fill="33CCCC"/>
          </w:tcPr>
          <w:p>
            <w:pPr>
              <w:ind w:left="340"/>
              <w:spacing w:after="0"/>
              <w:rPr>
                <w:sz w:val="20"/>
                <w:szCs w:val="20"/>
                <w:color w:val="auto"/>
              </w:rPr>
            </w:pPr>
            <w:r>
              <w:rPr>
                <w:rFonts w:ascii="Arial" w:cs="Arial" w:eastAsia="Arial" w:hAnsi="Arial"/>
                <w:sz w:val="13"/>
                <w:szCs w:val="13"/>
                <w:b w:val="1"/>
                <w:bCs w:val="1"/>
                <w:color w:val="FFFFFF"/>
              </w:rPr>
              <w:t>QoQ</w:t>
            </w:r>
          </w:p>
        </w:tc>
        <w:tc>
          <w:tcPr>
            <w:tcW w:w="1020" w:type="dxa"/>
            <w:vAlign w:val="bottom"/>
            <w:tcBorders>
              <w:bottom w:val="single" w:sz="8" w:color="auto"/>
              <w:right w:val="single" w:sz="8" w:color="auto"/>
            </w:tcBorders>
            <w:shd w:val="clear" w:color="auto" w:fill="33CCCC"/>
          </w:tcPr>
          <w:p>
            <w:pPr>
              <w:ind w:left="360"/>
              <w:spacing w:after="0"/>
              <w:rPr>
                <w:sz w:val="20"/>
                <w:szCs w:val="20"/>
                <w:color w:val="auto"/>
              </w:rPr>
            </w:pPr>
            <w:r>
              <w:rPr>
                <w:rFonts w:ascii="Arial" w:cs="Arial" w:eastAsia="Arial" w:hAnsi="Arial"/>
                <w:sz w:val="13"/>
                <w:szCs w:val="13"/>
                <w:b w:val="1"/>
                <w:bCs w:val="1"/>
                <w:color w:val="FFFFFF"/>
              </w:rPr>
              <w:t>YoY</w:t>
            </w:r>
          </w:p>
        </w:tc>
        <w:tc>
          <w:tcPr>
            <w:tcW w:w="1220" w:type="dxa"/>
            <w:vAlign w:val="bottom"/>
            <w:tcBorders>
              <w:bottom w:val="single" w:sz="8" w:color="auto"/>
            </w:tcBorders>
            <w:shd w:val="clear" w:color="auto" w:fill="33CCCC"/>
          </w:tcPr>
          <w:p>
            <w:pPr>
              <w:jc w:val="right"/>
              <w:ind w:right="454"/>
              <w:spacing w:after="0"/>
              <w:rPr>
                <w:sz w:val="20"/>
                <w:szCs w:val="20"/>
                <w:color w:val="auto"/>
              </w:rPr>
            </w:pPr>
            <w:r>
              <w:rPr>
                <w:rFonts w:ascii="Arial" w:cs="Arial" w:eastAsia="Arial" w:hAnsi="Arial"/>
                <w:sz w:val="13"/>
                <w:szCs w:val="13"/>
                <w:b w:val="1"/>
                <w:bCs w:val="1"/>
                <w:color w:val="FFFFFF"/>
              </w:rPr>
              <w:t>Sep 22</w:t>
            </w:r>
          </w:p>
        </w:tc>
        <w:tc>
          <w:tcPr>
            <w:tcW w:w="840" w:type="dxa"/>
            <w:vAlign w:val="bottom"/>
            <w:tcBorders>
              <w:bottom w:val="single" w:sz="8" w:color="auto"/>
              <w:right w:val="single" w:sz="8" w:color="auto"/>
            </w:tcBorders>
            <w:shd w:val="clear" w:color="auto" w:fill="33CCCC"/>
          </w:tcPr>
          <w:p>
            <w:pPr>
              <w:jc w:val="right"/>
              <w:ind w:right="274"/>
              <w:spacing w:after="0"/>
              <w:rPr>
                <w:sz w:val="20"/>
                <w:szCs w:val="20"/>
                <w:color w:val="auto"/>
              </w:rPr>
            </w:pPr>
            <w:r>
              <w:rPr>
                <w:rFonts w:ascii="Arial" w:cs="Arial" w:eastAsia="Arial" w:hAnsi="Arial"/>
                <w:sz w:val="13"/>
                <w:szCs w:val="13"/>
                <w:b w:val="1"/>
                <w:bCs w:val="1"/>
                <w:color w:val="FFFFFF"/>
              </w:rPr>
              <w:t>Sep 23</w:t>
            </w:r>
          </w:p>
        </w:tc>
        <w:tc>
          <w:tcPr>
            <w:tcW w:w="1120" w:type="dxa"/>
            <w:vAlign w:val="bottom"/>
            <w:tcBorders>
              <w:bottom w:val="single" w:sz="8" w:color="auto"/>
              <w:right w:val="single" w:sz="8" w:color="auto"/>
            </w:tcBorders>
            <w:shd w:val="clear" w:color="auto" w:fill="33CCCC"/>
          </w:tcPr>
          <w:p>
            <w:pPr>
              <w:jc w:val="center"/>
              <w:spacing w:after="0"/>
              <w:rPr>
                <w:sz w:val="20"/>
                <w:szCs w:val="20"/>
                <w:color w:val="auto"/>
              </w:rPr>
            </w:pPr>
            <w:r>
              <w:rPr>
                <w:rFonts w:ascii="Arial" w:cs="Arial" w:eastAsia="Arial" w:hAnsi="Arial"/>
                <w:sz w:val="13"/>
                <w:szCs w:val="13"/>
                <w:b w:val="1"/>
                <w:bCs w:val="1"/>
                <w:color w:val="FFFFFF"/>
              </w:rPr>
              <w:t>Sep 23 / Sep 22</w:t>
            </w:r>
          </w:p>
        </w:tc>
      </w:tr>
      <w:tr>
        <w:trPr>
          <w:trHeight w:val="137"/>
        </w:trPr>
        <w:tc>
          <w:tcPr>
            <w:tcW w:w="2940" w:type="dxa"/>
            <w:vAlign w:val="bottom"/>
            <w:tcBorders>
              <w:left w:val="single" w:sz="8" w:color="auto"/>
              <w:right w:val="single" w:sz="8" w:color="auto"/>
            </w:tcBorders>
          </w:tcPr>
          <w:p>
            <w:pPr>
              <w:ind w:left="20"/>
              <w:spacing w:after="0" w:line="138" w:lineRule="exact"/>
              <w:rPr>
                <w:sz w:val="20"/>
                <w:szCs w:val="20"/>
                <w:color w:val="auto"/>
              </w:rPr>
            </w:pPr>
            <w:r>
              <w:rPr>
                <w:rFonts w:ascii="Arial" w:cs="Arial" w:eastAsia="Arial" w:hAnsi="Arial"/>
                <w:sz w:val="13"/>
                <w:szCs w:val="13"/>
                <w:b w:val="1"/>
                <w:bCs w:val="1"/>
                <w:color w:val="auto"/>
              </w:rPr>
              <w:t>Results</w:t>
            </w: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1020" w:type="dxa"/>
            <w:vAlign w:val="bottom"/>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220" w:type="dxa"/>
            <w:vAlign w:val="bottom"/>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r>
      <w:tr>
        <w:trPr>
          <w:trHeight w:val="148"/>
        </w:trPr>
        <w:tc>
          <w:tcPr>
            <w:tcW w:w="2940" w:type="dxa"/>
            <w:vAlign w:val="bottom"/>
            <w:tcBorders>
              <w:left w:val="single" w:sz="8" w:color="auto"/>
              <w:right w:val="single" w:sz="8" w:color="auto"/>
            </w:tcBorders>
          </w:tcPr>
          <w:p>
            <w:pPr>
              <w:ind w:left="20"/>
              <w:spacing w:after="0" w:line="149" w:lineRule="exact"/>
              <w:rPr>
                <w:sz w:val="20"/>
                <w:szCs w:val="20"/>
                <w:color w:val="auto"/>
              </w:rPr>
            </w:pPr>
            <w:r>
              <w:rPr>
                <w:rFonts w:ascii="Arial" w:cs="Arial" w:eastAsia="Arial" w:hAnsi="Arial"/>
                <w:sz w:val="13"/>
                <w:szCs w:val="13"/>
                <w:color w:val="auto"/>
              </w:rPr>
              <w:t>Net earned premiums</w:t>
            </w:r>
          </w:p>
        </w:tc>
        <w:tc>
          <w:tcPr>
            <w:tcW w:w="1120" w:type="dxa"/>
            <w:vAlign w:val="bottom"/>
          </w:tcPr>
          <w:p>
            <w:pPr>
              <w:jc w:val="right"/>
              <w:ind w:right="74"/>
              <w:spacing w:after="0" w:line="149" w:lineRule="exact"/>
              <w:rPr>
                <w:sz w:val="20"/>
                <w:szCs w:val="20"/>
                <w:color w:val="auto"/>
              </w:rPr>
            </w:pPr>
            <w:r>
              <w:rPr>
                <w:rFonts w:ascii="Arial" w:cs="Arial" w:eastAsia="Arial" w:hAnsi="Arial"/>
                <w:sz w:val="13"/>
                <w:szCs w:val="13"/>
                <w:color w:val="auto"/>
              </w:rPr>
              <w:t>331,323</w:t>
            </w:r>
          </w:p>
        </w:tc>
        <w:tc>
          <w:tcPr>
            <w:tcW w:w="1100" w:type="dxa"/>
            <w:vAlign w:val="bottom"/>
          </w:tcPr>
          <w:p>
            <w:pPr>
              <w:jc w:val="right"/>
              <w:ind w:right="114"/>
              <w:spacing w:after="0" w:line="149" w:lineRule="exact"/>
              <w:rPr>
                <w:sz w:val="20"/>
                <w:szCs w:val="20"/>
                <w:color w:val="auto"/>
              </w:rPr>
            </w:pPr>
            <w:r>
              <w:rPr>
                <w:rFonts w:ascii="Arial" w:cs="Arial" w:eastAsia="Arial" w:hAnsi="Arial"/>
                <w:sz w:val="13"/>
                <w:szCs w:val="13"/>
                <w:color w:val="auto"/>
              </w:rPr>
              <w:t>325,488</w:t>
            </w:r>
          </w:p>
        </w:tc>
        <w:tc>
          <w:tcPr>
            <w:tcW w:w="88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3"/>
                <w:szCs w:val="13"/>
                <w:color w:val="auto"/>
              </w:rPr>
              <w:t>343,092</w:t>
            </w:r>
          </w:p>
        </w:tc>
        <w:tc>
          <w:tcPr>
            <w:tcW w:w="1020" w:type="dxa"/>
            <w:vAlign w:val="bottom"/>
          </w:tcPr>
          <w:p>
            <w:pPr>
              <w:jc w:val="center"/>
              <w:spacing w:after="0" w:line="149" w:lineRule="exact"/>
              <w:rPr>
                <w:sz w:val="20"/>
                <w:szCs w:val="20"/>
                <w:color w:val="auto"/>
              </w:rPr>
            </w:pPr>
            <w:r>
              <w:rPr>
                <w:rFonts w:ascii="Arial" w:cs="Arial" w:eastAsia="Arial" w:hAnsi="Arial"/>
                <w:sz w:val="13"/>
                <w:szCs w:val="13"/>
                <w:color w:val="auto"/>
              </w:rPr>
              <w:t>5.4%</w:t>
            </w:r>
          </w:p>
        </w:tc>
        <w:tc>
          <w:tcPr>
            <w:tcW w:w="10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3"/>
                <w:szCs w:val="13"/>
                <w:color w:val="auto"/>
              </w:rPr>
              <w:t>3.6%</w:t>
            </w:r>
          </w:p>
        </w:tc>
        <w:tc>
          <w:tcPr>
            <w:tcW w:w="1220" w:type="dxa"/>
            <w:vAlign w:val="bottom"/>
          </w:tcPr>
          <w:p>
            <w:pPr>
              <w:jc w:val="right"/>
              <w:ind w:right="194"/>
              <w:spacing w:after="0" w:line="149" w:lineRule="exact"/>
              <w:rPr>
                <w:sz w:val="20"/>
                <w:szCs w:val="20"/>
                <w:color w:val="auto"/>
              </w:rPr>
            </w:pPr>
            <w:r>
              <w:rPr>
                <w:rFonts w:ascii="Arial" w:cs="Arial" w:eastAsia="Arial" w:hAnsi="Arial"/>
                <w:sz w:val="13"/>
                <w:szCs w:val="13"/>
                <w:color w:val="auto"/>
              </w:rPr>
              <w:t>961,277</w:t>
            </w:r>
          </w:p>
        </w:tc>
        <w:tc>
          <w:tcPr>
            <w:tcW w:w="840" w:type="dxa"/>
            <w:vAlign w:val="bottom"/>
            <w:tcBorders>
              <w:right w:val="single" w:sz="8" w:color="auto"/>
            </w:tcBorders>
          </w:tcPr>
          <w:p>
            <w:pPr>
              <w:jc w:val="right"/>
              <w:ind w:right="14"/>
              <w:spacing w:after="0" w:line="149" w:lineRule="exact"/>
              <w:rPr>
                <w:sz w:val="20"/>
                <w:szCs w:val="20"/>
                <w:color w:val="auto"/>
              </w:rPr>
            </w:pPr>
            <w:r>
              <w:rPr>
                <w:rFonts w:ascii="Arial" w:cs="Arial" w:eastAsia="Arial" w:hAnsi="Arial"/>
                <w:sz w:val="13"/>
                <w:szCs w:val="13"/>
                <w:color w:val="auto"/>
              </w:rPr>
              <w:t>1,009,485</w:t>
            </w:r>
          </w:p>
        </w:tc>
        <w:tc>
          <w:tcPr>
            <w:tcW w:w="11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3"/>
                <w:szCs w:val="13"/>
                <w:color w:val="auto"/>
              </w:rPr>
              <w:t>5.0%</w:t>
            </w:r>
          </w:p>
        </w:tc>
      </w:tr>
      <w:tr>
        <w:trPr>
          <w:trHeight w:val="148"/>
        </w:trPr>
        <w:tc>
          <w:tcPr>
            <w:tcW w:w="2940" w:type="dxa"/>
            <w:vAlign w:val="bottom"/>
            <w:tcBorders>
              <w:left w:val="single" w:sz="8" w:color="auto"/>
              <w:right w:val="single" w:sz="8" w:color="auto"/>
            </w:tcBorders>
          </w:tcPr>
          <w:p>
            <w:pPr>
              <w:ind w:left="20"/>
              <w:spacing w:after="0" w:line="149" w:lineRule="exact"/>
              <w:rPr>
                <w:sz w:val="20"/>
                <w:szCs w:val="20"/>
                <w:color w:val="auto"/>
              </w:rPr>
            </w:pPr>
            <w:r>
              <w:rPr>
                <w:rFonts w:ascii="Arial" w:cs="Arial" w:eastAsia="Arial" w:hAnsi="Arial"/>
                <w:sz w:val="13"/>
                <w:szCs w:val="13"/>
                <w:color w:val="auto"/>
              </w:rPr>
              <w:t>Net claims</w:t>
            </w:r>
          </w:p>
        </w:tc>
        <w:tc>
          <w:tcPr>
            <w:tcW w:w="1120" w:type="dxa"/>
            <w:vAlign w:val="bottom"/>
          </w:tcPr>
          <w:p>
            <w:pPr>
              <w:jc w:val="right"/>
              <w:ind w:right="74"/>
              <w:spacing w:after="0" w:line="149" w:lineRule="exact"/>
              <w:rPr>
                <w:sz w:val="20"/>
                <w:szCs w:val="20"/>
                <w:color w:val="auto"/>
              </w:rPr>
            </w:pPr>
            <w:r>
              <w:rPr>
                <w:rFonts w:ascii="Arial" w:cs="Arial" w:eastAsia="Arial" w:hAnsi="Arial"/>
                <w:sz w:val="13"/>
                <w:szCs w:val="13"/>
                <w:color w:val="auto"/>
              </w:rPr>
              <w:t>(276,094)</w:t>
            </w:r>
          </w:p>
        </w:tc>
        <w:tc>
          <w:tcPr>
            <w:tcW w:w="1100" w:type="dxa"/>
            <w:vAlign w:val="bottom"/>
          </w:tcPr>
          <w:p>
            <w:pPr>
              <w:jc w:val="right"/>
              <w:ind w:right="114"/>
              <w:spacing w:after="0" w:line="149" w:lineRule="exact"/>
              <w:rPr>
                <w:sz w:val="20"/>
                <w:szCs w:val="20"/>
                <w:color w:val="auto"/>
              </w:rPr>
            </w:pPr>
            <w:r>
              <w:rPr>
                <w:rFonts w:ascii="Arial" w:cs="Arial" w:eastAsia="Arial" w:hAnsi="Arial"/>
                <w:sz w:val="13"/>
                <w:szCs w:val="13"/>
                <w:color w:val="auto"/>
              </w:rPr>
              <w:t>(277,753)</w:t>
            </w:r>
          </w:p>
        </w:tc>
        <w:tc>
          <w:tcPr>
            <w:tcW w:w="88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3"/>
                <w:szCs w:val="13"/>
                <w:color w:val="auto"/>
              </w:rPr>
              <w:t>(273,212)</w:t>
            </w:r>
          </w:p>
        </w:tc>
        <w:tc>
          <w:tcPr>
            <w:tcW w:w="1020" w:type="dxa"/>
            <w:vAlign w:val="bottom"/>
          </w:tcPr>
          <w:p>
            <w:pPr>
              <w:jc w:val="center"/>
              <w:spacing w:after="0" w:line="149" w:lineRule="exact"/>
              <w:rPr>
                <w:sz w:val="20"/>
                <w:szCs w:val="20"/>
                <w:color w:val="auto"/>
              </w:rPr>
            </w:pPr>
            <w:r>
              <w:rPr>
                <w:rFonts w:ascii="Arial" w:cs="Arial" w:eastAsia="Arial" w:hAnsi="Arial"/>
                <w:sz w:val="13"/>
                <w:szCs w:val="13"/>
                <w:color w:val="auto"/>
                <w:w w:val="99"/>
              </w:rPr>
              <w:t>-1.6%</w:t>
            </w:r>
          </w:p>
        </w:tc>
        <w:tc>
          <w:tcPr>
            <w:tcW w:w="10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3"/>
                <w:szCs w:val="13"/>
                <w:color w:val="auto"/>
              </w:rPr>
              <w:t>-1.0%</w:t>
            </w:r>
          </w:p>
        </w:tc>
        <w:tc>
          <w:tcPr>
            <w:tcW w:w="1220" w:type="dxa"/>
            <w:vAlign w:val="bottom"/>
          </w:tcPr>
          <w:p>
            <w:pPr>
              <w:jc w:val="right"/>
              <w:ind w:right="194"/>
              <w:spacing w:after="0" w:line="149" w:lineRule="exact"/>
              <w:rPr>
                <w:sz w:val="20"/>
                <w:szCs w:val="20"/>
                <w:color w:val="auto"/>
              </w:rPr>
            </w:pPr>
            <w:r>
              <w:rPr>
                <w:rFonts w:ascii="Arial" w:cs="Arial" w:eastAsia="Arial" w:hAnsi="Arial"/>
                <w:sz w:val="13"/>
                <w:szCs w:val="13"/>
                <w:color w:val="auto"/>
              </w:rPr>
              <w:t>-818,435</w:t>
            </w:r>
          </w:p>
        </w:tc>
        <w:tc>
          <w:tcPr>
            <w:tcW w:w="840" w:type="dxa"/>
            <w:vAlign w:val="bottom"/>
            <w:tcBorders>
              <w:right w:val="single" w:sz="8" w:color="auto"/>
            </w:tcBorders>
          </w:tcPr>
          <w:p>
            <w:pPr>
              <w:jc w:val="right"/>
              <w:ind w:right="14"/>
              <w:spacing w:after="0" w:line="149" w:lineRule="exact"/>
              <w:rPr>
                <w:sz w:val="20"/>
                <w:szCs w:val="20"/>
                <w:color w:val="auto"/>
              </w:rPr>
            </w:pPr>
            <w:r>
              <w:rPr>
                <w:rFonts w:ascii="Arial" w:cs="Arial" w:eastAsia="Arial" w:hAnsi="Arial"/>
                <w:sz w:val="13"/>
                <w:szCs w:val="13"/>
                <w:color w:val="auto"/>
              </w:rPr>
              <w:t>-810,004</w:t>
            </w:r>
          </w:p>
        </w:tc>
        <w:tc>
          <w:tcPr>
            <w:tcW w:w="11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3"/>
                <w:szCs w:val="13"/>
                <w:color w:val="auto"/>
              </w:rPr>
              <w:t>-1.0%</w:t>
            </w:r>
          </w:p>
        </w:tc>
      </w:tr>
      <w:tr>
        <w:trPr>
          <w:trHeight w:val="148"/>
        </w:trPr>
        <w:tc>
          <w:tcPr>
            <w:tcW w:w="2940" w:type="dxa"/>
            <w:vAlign w:val="bottom"/>
            <w:tcBorders>
              <w:left w:val="single" w:sz="8" w:color="auto"/>
              <w:right w:val="single" w:sz="8" w:color="auto"/>
            </w:tcBorders>
          </w:tcPr>
          <w:p>
            <w:pPr>
              <w:ind w:left="20"/>
              <w:spacing w:after="0" w:line="149" w:lineRule="exact"/>
              <w:rPr>
                <w:sz w:val="20"/>
                <w:szCs w:val="20"/>
                <w:color w:val="auto"/>
              </w:rPr>
            </w:pPr>
            <w:r>
              <w:rPr>
                <w:rFonts w:ascii="Arial" w:cs="Arial" w:eastAsia="Arial" w:hAnsi="Arial"/>
                <w:sz w:val="13"/>
                <w:szCs w:val="13"/>
                <w:color w:val="auto"/>
              </w:rPr>
              <w:t>Net fees</w:t>
            </w:r>
          </w:p>
        </w:tc>
        <w:tc>
          <w:tcPr>
            <w:tcW w:w="1120" w:type="dxa"/>
            <w:vAlign w:val="bottom"/>
          </w:tcPr>
          <w:p>
            <w:pPr>
              <w:jc w:val="right"/>
              <w:ind w:right="74"/>
              <w:spacing w:after="0" w:line="149" w:lineRule="exact"/>
              <w:rPr>
                <w:sz w:val="20"/>
                <w:szCs w:val="20"/>
                <w:color w:val="auto"/>
              </w:rPr>
            </w:pPr>
            <w:r>
              <w:rPr>
                <w:rFonts w:ascii="Arial" w:cs="Arial" w:eastAsia="Arial" w:hAnsi="Arial"/>
                <w:sz w:val="13"/>
                <w:szCs w:val="13"/>
                <w:color w:val="auto"/>
              </w:rPr>
              <w:t>(14,323)</w:t>
            </w:r>
          </w:p>
        </w:tc>
        <w:tc>
          <w:tcPr>
            <w:tcW w:w="1100" w:type="dxa"/>
            <w:vAlign w:val="bottom"/>
          </w:tcPr>
          <w:p>
            <w:pPr>
              <w:jc w:val="right"/>
              <w:ind w:right="114"/>
              <w:spacing w:after="0" w:line="149" w:lineRule="exact"/>
              <w:rPr>
                <w:sz w:val="20"/>
                <w:szCs w:val="20"/>
                <w:color w:val="auto"/>
              </w:rPr>
            </w:pPr>
            <w:r>
              <w:rPr>
                <w:rFonts w:ascii="Arial" w:cs="Arial" w:eastAsia="Arial" w:hAnsi="Arial"/>
                <w:sz w:val="13"/>
                <w:szCs w:val="13"/>
                <w:color w:val="auto"/>
              </w:rPr>
              <w:t>(14,344)</w:t>
            </w:r>
          </w:p>
        </w:tc>
        <w:tc>
          <w:tcPr>
            <w:tcW w:w="88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3"/>
                <w:szCs w:val="13"/>
                <w:color w:val="auto"/>
              </w:rPr>
              <w:t>(14,754)</w:t>
            </w:r>
          </w:p>
        </w:tc>
        <w:tc>
          <w:tcPr>
            <w:tcW w:w="1020" w:type="dxa"/>
            <w:vAlign w:val="bottom"/>
          </w:tcPr>
          <w:p>
            <w:pPr>
              <w:jc w:val="center"/>
              <w:spacing w:after="0" w:line="149" w:lineRule="exact"/>
              <w:rPr>
                <w:sz w:val="20"/>
                <w:szCs w:val="20"/>
                <w:color w:val="auto"/>
              </w:rPr>
            </w:pPr>
            <w:r>
              <w:rPr>
                <w:rFonts w:ascii="Arial" w:cs="Arial" w:eastAsia="Arial" w:hAnsi="Arial"/>
                <w:sz w:val="13"/>
                <w:szCs w:val="13"/>
                <w:color w:val="auto"/>
              </w:rPr>
              <w:t>2.9%</w:t>
            </w:r>
          </w:p>
        </w:tc>
        <w:tc>
          <w:tcPr>
            <w:tcW w:w="10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3"/>
                <w:szCs w:val="13"/>
                <w:color w:val="auto"/>
              </w:rPr>
              <w:t>3.0%</w:t>
            </w:r>
          </w:p>
        </w:tc>
        <w:tc>
          <w:tcPr>
            <w:tcW w:w="1220" w:type="dxa"/>
            <w:vAlign w:val="bottom"/>
          </w:tcPr>
          <w:p>
            <w:pPr>
              <w:jc w:val="right"/>
              <w:ind w:right="174"/>
              <w:spacing w:after="0" w:line="149" w:lineRule="exact"/>
              <w:rPr>
                <w:sz w:val="20"/>
                <w:szCs w:val="20"/>
                <w:color w:val="auto"/>
              </w:rPr>
            </w:pPr>
            <w:r>
              <w:rPr>
                <w:rFonts w:ascii="Arial" w:cs="Arial" w:eastAsia="Arial" w:hAnsi="Arial"/>
                <w:sz w:val="13"/>
                <w:szCs w:val="13"/>
                <w:color w:val="auto"/>
              </w:rPr>
              <w:t>-41,389</w:t>
            </w:r>
          </w:p>
        </w:tc>
        <w:tc>
          <w:tcPr>
            <w:tcW w:w="84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3"/>
                <w:szCs w:val="13"/>
                <w:color w:val="auto"/>
              </w:rPr>
              <w:t>-43,725</w:t>
            </w:r>
          </w:p>
        </w:tc>
        <w:tc>
          <w:tcPr>
            <w:tcW w:w="11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3"/>
                <w:szCs w:val="13"/>
                <w:color w:val="auto"/>
              </w:rPr>
              <w:t>5.6%</w:t>
            </w:r>
          </w:p>
        </w:tc>
      </w:tr>
      <w:tr>
        <w:trPr>
          <w:trHeight w:val="140"/>
        </w:trPr>
        <w:tc>
          <w:tcPr>
            <w:tcW w:w="2940" w:type="dxa"/>
            <w:vAlign w:val="bottom"/>
            <w:tcBorders>
              <w:left w:val="single" w:sz="8" w:color="auto"/>
              <w:right w:val="single" w:sz="8" w:color="auto"/>
            </w:tcBorders>
          </w:tcPr>
          <w:p>
            <w:pPr>
              <w:ind w:left="20"/>
              <w:spacing w:after="0" w:line="141" w:lineRule="exact"/>
              <w:rPr>
                <w:sz w:val="20"/>
                <w:szCs w:val="20"/>
                <w:color w:val="auto"/>
              </w:rPr>
            </w:pPr>
            <w:r>
              <w:rPr>
                <w:rFonts w:ascii="Arial" w:cs="Arial" w:eastAsia="Arial" w:hAnsi="Arial"/>
                <w:sz w:val="13"/>
                <w:szCs w:val="13"/>
                <w:color w:val="auto"/>
              </w:rPr>
              <w:t>Net underwriting expenses</w:t>
            </w:r>
          </w:p>
        </w:tc>
        <w:tc>
          <w:tcPr>
            <w:tcW w:w="1120" w:type="dxa"/>
            <w:vAlign w:val="bottom"/>
          </w:tcPr>
          <w:p>
            <w:pPr>
              <w:jc w:val="right"/>
              <w:ind w:right="74"/>
              <w:spacing w:after="0" w:line="141" w:lineRule="exact"/>
              <w:rPr>
                <w:sz w:val="20"/>
                <w:szCs w:val="20"/>
                <w:color w:val="auto"/>
              </w:rPr>
            </w:pPr>
            <w:r>
              <w:rPr>
                <w:rFonts w:ascii="Arial" w:cs="Arial" w:eastAsia="Arial" w:hAnsi="Arial"/>
                <w:sz w:val="13"/>
                <w:szCs w:val="13"/>
                <w:color w:val="auto"/>
              </w:rPr>
              <w:t>(2,652)</w:t>
            </w:r>
          </w:p>
        </w:tc>
        <w:tc>
          <w:tcPr>
            <w:tcW w:w="1100" w:type="dxa"/>
            <w:vAlign w:val="bottom"/>
          </w:tcPr>
          <w:p>
            <w:pPr>
              <w:jc w:val="right"/>
              <w:ind w:right="114"/>
              <w:spacing w:after="0" w:line="141" w:lineRule="exact"/>
              <w:rPr>
                <w:sz w:val="20"/>
                <w:szCs w:val="20"/>
                <w:color w:val="auto"/>
              </w:rPr>
            </w:pPr>
            <w:r>
              <w:rPr>
                <w:rFonts w:ascii="Arial" w:cs="Arial" w:eastAsia="Arial" w:hAnsi="Arial"/>
                <w:sz w:val="13"/>
                <w:szCs w:val="13"/>
                <w:color w:val="auto"/>
              </w:rPr>
              <w:t>(2,903)</w:t>
            </w:r>
          </w:p>
        </w:tc>
        <w:tc>
          <w:tcPr>
            <w:tcW w:w="880" w:type="dxa"/>
            <w:vAlign w:val="bottom"/>
            <w:tcBorders>
              <w:right w:val="single" w:sz="8" w:color="auto"/>
            </w:tcBorders>
          </w:tcPr>
          <w:p>
            <w:pPr>
              <w:jc w:val="right"/>
              <w:spacing w:after="0" w:line="141" w:lineRule="exact"/>
              <w:rPr>
                <w:sz w:val="20"/>
                <w:szCs w:val="20"/>
                <w:color w:val="auto"/>
              </w:rPr>
            </w:pPr>
            <w:r>
              <w:rPr>
                <w:rFonts w:ascii="Arial" w:cs="Arial" w:eastAsia="Arial" w:hAnsi="Arial"/>
                <w:sz w:val="13"/>
                <w:szCs w:val="13"/>
                <w:color w:val="auto"/>
              </w:rPr>
              <w:t>(2,890)</w:t>
            </w:r>
          </w:p>
        </w:tc>
        <w:tc>
          <w:tcPr>
            <w:tcW w:w="1020" w:type="dxa"/>
            <w:vAlign w:val="bottom"/>
          </w:tcPr>
          <w:p>
            <w:pPr>
              <w:jc w:val="center"/>
              <w:spacing w:after="0" w:line="141" w:lineRule="exact"/>
              <w:rPr>
                <w:sz w:val="20"/>
                <w:szCs w:val="20"/>
                <w:color w:val="auto"/>
              </w:rPr>
            </w:pPr>
            <w:r>
              <w:rPr>
                <w:rFonts w:ascii="Arial" w:cs="Arial" w:eastAsia="Arial" w:hAnsi="Arial"/>
                <w:sz w:val="13"/>
                <w:szCs w:val="13"/>
                <w:color w:val="auto"/>
                <w:w w:val="99"/>
              </w:rPr>
              <w:t>-0.5%</w:t>
            </w:r>
          </w:p>
        </w:tc>
        <w:tc>
          <w:tcPr>
            <w:tcW w:w="102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3"/>
                <w:szCs w:val="13"/>
                <w:color w:val="auto"/>
              </w:rPr>
              <w:t>9.0%</w:t>
            </w:r>
          </w:p>
        </w:tc>
        <w:tc>
          <w:tcPr>
            <w:tcW w:w="1220" w:type="dxa"/>
            <w:vAlign w:val="bottom"/>
          </w:tcPr>
          <w:p>
            <w:pPr>
              <w:jc w:val="right"/>
              <w:ind w:right="174"/>
              <w:spacing w:after="0" w:line="141" w:lineRule="exact"/>
              <w:rPr>
                <w:sz w:val="20"/>
                <w:szCs w:val="20"/>
                <w:color w:val="auto"/>
              </w:rPr>
            </w:pPr>
            <w:r>
              <w:rPr>
                <w:rFonts w:ascii="Arial" w:cs="Arial" w:eastAsia="Arial" w:hAnsi="Arial"/>
                <w:sz w:val="13"/>
                <w:szCs w:val="13"/>
                <w:color w:val="auto"/>
              </w:rPr>
              <w:t>-8,420</w:t>
            </w:r>
          </w:p>
        </w:tc>
        <w:tc>
          <w:tcPr>
            <w:tcW w:w="840" w:type="dxa"/>
            <w:vAlign w:val="bottom"/>
            <w:tcBorders>
              <w:right w:val="single" w:sz="8" w:color="auto"/>
            </w:tcBorders>
          </w:tcPr>
          <w:p>
            <w:pPr>
              <w:jc w:val="right"/>
              <w:spacing w:after="0" w:line="141" w:lineRule="exact"/>
              <w:rPr>
                <w:sz w:val="20"/>
                <w:szCs w:val="20"/>
                <w:color w:val="auto"/>
              </w:rPr>
            </w:pPr>
            <w:r>
              <w:rPr>
                <w:rFonts w:ascii="Arial" w:cs="Arial" w:eastAsia="Arial" w:hAnsi="Arial"/>
                <w:sz w:val="13"/>
                <w:szCs w:val="13"/>
                <w:color w:val="auto"/>
              </w:rPr>
              <w:t>-8,788</w:t>
            </w:r>
          </w:p>
        </w:tc>
        <w:tc>
          <w:tcPr>
            <w:tcW w:w="112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3"/>
                <w:szCs w:val="13"/>
                <w:color w:val="auto"/>
              </w:rPr>
              <w:t>4.4%</w:t>
            </w:r>
          </w:p>
        </w:tc>
      </w:tr>
      <w:tr>
        <w:trPr>
          <w:trHeight w:val="183"/>
        </w:trPr>
        <w:tc>
          <w:tcPr>
            <w:tcW w:w="2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Underwriting result</w:t>
            </w:r>
          </w:p>
        </w:tc>
        <w:tc>
          <w:tcPr>
            <w:tcW w:w="1120" w:type="dxa"/>
            <w:vAlign w:val="bottom"/>
          </w:tcPr>
          <w:p>
            <w:pPr>
              <w:jc w:val="right"/>
              <w:ind w:right="74"/>
              <w:spacing w:after="0"/>
              <w:rPr>
                <w:sz w:val="20"/>
                <w:szCs w:val="20"/>
                <w:color w:val="auto"/>
              </w:rPr>
            </w:pPr>
            <w:r>
              <w:rPr>
                <w:rFonts w:ascii="Arial" w:cs="Arial" w:eastAsia="Arial" w:hAnsi="Arial"/>
                <w:sz w:val="13"/>
                <w:szCs w:val="13"/>
                <w:b w:val="1"/>
                <w:bCs w:val="1"/>
                <w:color w:val="auto"/>
              </w:rPr>
              <w:t>38,253</w:t>
            </w:r>
          </w:p>
        </w:tc>
        <w:tc>
          <w:tcPr>
            <w:tcW w:w="1100" w:type="dxa"/>
            <w:vAlign w:val="bottom"/>
          </w:tcPr>
          <w:p>
            <w:pPr>
              <w:jc w:val="right"/>
              <w:ind w:right="114"/>
              <w:spacing w:after="0"/>
              <w:rPr>
                <w:sz w:val="20"/>
                <w:szCs w:val="20"/>
                <w:color w:val="auto"/>
              </w:rPr>
            </w:pPr>
            <w:r>
              <w:rPr>
                <w:rFonts w:ascii="Arial" w:cs="Arial" w:eastAsia="Arial" w:hAnsi="Arial"/>
                <w:sz w:val="13"/>
                <w:szCs w:val="13"/>
                <w:b w:val="1"/>
                <w:bCs w:val="1"/>
                <w:color w:val="auto"/>
              </w:rPr>
              <w:t>30,488</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52,237</w:t>
            </w: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rPr>
              <w:t>71.3%</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36.6%</w:t>
            </w:r>
          </w:p>
        </w:tc>
        <w:tc>
          <w:tcPr>
            <w:tcW w:w="1220" w:type="dxa"/>
            <w:vAlign w:val="bottom"/>
          </w:tcPr>
          <w:p>
            <w:pPr>
              <w:jc w:val="right"/>
              <w:ind w:right="194"/>
              <w:spacing w:after="0"/>
              <w:rPr>
                <w:sz w:val="20"/>
                <w:szCs w:val="20"/>
                <w:color w:val="auto"/>
              </w:rPr>
            </w:pPr>
            <w:r>
              <w:rPr>
                <w:rFonts w:ascii="Arial" w:cs="Arial" w:eastAsia="Arial" w:hAnsi="Arial"/>
                <w:sz w:val="13"/>
                <w:szCs w:val="13"/>
                <w:b w:val="1"/>
                <w:bCs w:val="1"/>
                <w:color w:val="auto"/>
              </w:rPr>
              <w:t>93,033</w:t>
            </w:r>
          </w:p>
        </w:tc>
        <w:tc>
          <w:tcPr>
            <w:tcW w:w="840" w:type="dxa"/>
            <w:vAlign w:val="bottom"/>
            <w:tcBorders>
              <w:right w:val="single" w:sz="8" w:color="auto"/>
            </w:tcBorders>
          </w:tcPr>
          <w:p>
            <w:pPr>
              <w:jc w:val="right"/>
              <w:ind w:right="14"/>
              <w:spacing w:after="0"/>
              <w:rPr>
                <w:sz w:val="20"/>
                <w:szCs w:val="20"/>
                <w:color w:val="auto"/>
              </w:rPr>
            </w:pPr>
            <w:r>
              <w:rPr>
                <w:rFonts w:ascii="Arial" w:cs="Arial" w:eastAsia="Arial" w:hAnsi="Arial"/>
                <w:sz w:val="13"/>
                <w:szCs w:val="13"/>
                <w:b w:val="1"/>
                <w:bCs w:val="1"/>
                <w:color w:val="auto"/>
              </w:rPr>
              <w:t>146,968</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58.0%</w:t>
            </w:r>
          </w:p>
        </w:tc>
      </w:tr>
      <w:tr>
        <w:trPr>
          <w:trHeight w:val="270"/>
        </w:trPr>
        <w:tc>
          <w:tcPr>
            <w:tcW w:w="2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Net financial income</w:t>
            </w:r>
          </w:p>
        </w:tc>
        <w:tc>
          <w:tcPr>
            <w:tcW w:w="1120" w:type="dxa"/>
            <w:vAlign w:val="bottom"/>
          </w:tcPr>
          <w:p>
            <w:pPr>
              <w:jc w:val="right"/>
              <w:ind w:right="54"/>
              <w:spacing w:after="0"/>
              <w:rPr>
                <w:sz w:val="20"/>
                <w:szCs w:val="20"/>
                <w:color w:val="auto"/>
              </w:rPr>
            </w:pPr>
            <w:r>
              <w:rPr>
                <w:rFonts w:ascii="Arial" w:cs="Arial" w:eastAsia="Arial" w:hAnsi="Arial"/>
                <w:sz w:val="13"/>
                <w:szCs w:val="13"/>
                <w:color w:val="auto"/>
              </w:rPr>
              <w:t>2,749</w:t>
            </w:r>
          </w:p>
        </w:tc>
        <w:tc>
          <w:tcPr>
            <w:tcW w:w="1100" w:type="dxa"/>
            <w:vAlign w:val="bottom"/>
          </w:tcPr>
          <w:p>
            <w:pPr>
              <w:jc w:val="right"/>
              <w:ind w:right="114"/>
              <w:spacing w:after="0"/>
              <w:rPr>
                <w:sz w:val="20"/>
                <w:szCs w:val="20"/>
                <w:color w:val="auto"/>
              </w:rPr>
            </w:pPr>
            <w:r>
              <w:rPr>
                <w:rFonts w:ascii="Arial" w:cs="Arial" w:eastAsia="Arial" w:hAnsi="Arial"/>
                <w:sz w:val="13"/>
                <w:szCs w:val="13"/>
                <w:color w:val="auto"/>
              </w:rPr>
              <w:t>3,653</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3,741</w:t>
            </w:r>
          </w:p>
        </w:tc>
        <w:tc>
          <w:tcPr>
            <w:tcW w:w="1020" w:type="dxa"/>
            <w:vAlign w:val="bottom"/>
          </w:tcPr>
          <w:p>
            <w:pPr>
              <w:jc w:val="center"/>
              <w:spacing w:after="0"/>
              <w:rPr>
                <w:sz w:val="20"/>
                <w:szCs w:val="20"/>
                <w:color w:val="auto"/>
              </w:rPr>
            </w:pPr>
            <w:r>
              <w:rPr>
                <w:rFonts w:ascii="Arial" w:cs="Arial" w:eastAsia="Arial" w:hAnsi="Arial"/>
                <w:sz w:val="13"/>
                <w:szCs w:val="13"/>
                <w:color w:val="auto"/>
              </w:rPr>
              <w:t>2.4%</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36.1%</w:t>
            </w:r>
          </w:p>
        </w:tc>
        <w:tc>
          <w:tcPr>
            <w:tcW w:w="1220" w:type="dxa"/>
            <w:vAlign w:val="bottom"/>
          </w:tcPr>
          <w:p>
            <w:pPr>
              <w:jc w:val="right"/>
              <w:ind w:right="174"/>
              <w:spacing w:after="0"/>
              <w:rPr>
                <w:sz w:val="20"/>
                <w:szCs w:val="20"/>
                <w:color w:val="auto"/>
              </w:rPr>
            </w:pPr>
            <w:r>
              <w:rPr>
                <w:rFonts w:ascii="Arial" w:cs="Arial" w:eastAsia="Arial" w:hAnsi="Arial"/>
                <w:sz w:val="13"/>
                <w:szCs w:val="13"/>
                <w:color w:val="auto"/>
              </w:rPr>
              <w:t>6,390</w:t>
            </w:r>
          </w:p>
        </w:tc>
        <w:tc>
          <w:tcPr>
            <w:tcW w:w="840" w:type="dxa"/>
            <w:vAlign w:val="bottom"/>
            <w:tcBorders>
              <w:right w:val="single" w:sz="8" w:color="auto"/>
            </w:tcBorders>
          </w:tcPr>
          <w:p>
            <w:pPr>
              <w:jc w:val="right"/>
              <w:ind w:right="14"/>
              <w:spacing w:after="0"/>
              <w:rPr>
                <w:sz w:val="20"/>
                <w:szCs w:val="20"/>
                <w:color w:val="auto"/>
              </w:rPr>
            </w:pPr>
            <w:r>
              <w:rPr>
                <w:rFonts w:ascii="Arial" w:cs="Arial" w:eastAsia="Arial" w:hAnsi="Arial"/>
                <w:sz w:val="13"/>
                <w:szCs w:val="13"/>
                <w:color w:val="auto"/>
              </w:rPr>
              <w:t>11,527</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80.4%</w:t>
            </w:r>
          </w:p>
        </w:tc>
      </w:tr>
      <w:tr>
        <w:trPr>
          <w:trHeight w:val="148"/>
        </w:trPr>
        <w:tc>
          <w:tcPr>
            <w:tcW w:w="2940" w:type="dxa"/>
            <w:vAlign w:val="bottom"/>
            <w:tcBorders>
              <w:left w:val="single" w:sz="8" w:color="auto"/>
              <w:right w:val="single" w:sz="8" w:color="auto"/>
            </w:tcBorders>
          </w:tcPr>
          <w:p>
            <w:pPr>
              <w:ind w:left="20"/>
              <w:spacing w:after="0" w:line="149" w:lineRule="exact"/>
              <w:rPr>
                <w:sz w:val="20"/>
                <w:szCs w:val="20"/>
                <w:color w:val="auto"/>
              </w:rPr>
            </w:pPr>
            <w:r>
              <w:rPr>
                <w:rFonts w:ascii="Arial" w:cs="Arial" w:eastAsia="Arial" w:hAnsi="Arial"/>
                <w:sz w:val="13"/>
                <w:szCs w:val="13"/>
                <w:color w:val="auto"/>
              </w:rPr>
              <w:t>Total expenses</w:t>
            </w:r>
          </w:p>
        </w:tc>
        <w:tc>
          <w:tcPr>
            <w:tcW w:w="1120" w:type="dxa"/>
            <w:vAlign w:val="bottom"/>
          </w:tcPr>
          <w:p>
            <w:pPr>
              <w:jc w:val="right"/>
              <w:ind w:right="74"/>
              <w:spacing w:after="0" w:line="149" w:lineRule="exact"/>
              <w:rPr>
                <w:sz w:val="20"/>
                <w:szCs w:val="20"/>
                <w:color w:val="auto"/>
              </w:rPr>
            </w:pPr>
            <w:r>
              <w:rPr>
                <w:rFonts w:ascii="Arial" w:cs="Arial" w:eastAsia="Arial" w:hAnsi="Arial"/>
                <w:sz w:val="13"/>
                <w:szCs w:val="13"/>
                <w:color w:val="auto"/>
              </w:rPr>
              <w:t>(20,826)</w:t>
            </w:r>
          </w:p>
        </w:tc>
        <w:tc>
          <w:tcPr>
            <w:tcW w:w="1100" w:type="dxa"/>
            <w:vAlign w:val="bottom"/>
          </w:tcPr>
          <w:p>
            <w:pPr>
              <w:jc w:val="right"/>
              <w:ind w:right="114"/>
              <w:spacing w:after="0" w:line="149" w:lineRule="exact"/>
              <w:rPr>
                <w:sz w:val="20"/>
                <w:szCs w:val="20"/>
                <w:color w:val="auto"/>
              </w:rPr>
            </w:pPr>
            <w:r>
              <w:rPr>
                <w:rFonts w:ascii="Arial" w:cs="Arial" w:eastAsia="Arial" w:hAnsi="Arial"/>
                <w:sz w:val="13"/>
                <w:szCs w:val="13"/>
                <w:color w:val="auto"/>
              </w:rPr>
              <w:t>(20,237)</w:t>
            </w:r>
          </w:p>
        </w:tc>
        <w:tc>
          <w:tcPr>
            <w:tcW w:w="88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3"/>
                <w:szCs w:val="13"/>
                <w:color w:val="auto"/>
              </w:rPr>
              <w:t>(23,152)</w:t>
            </w:r>
          </w:p>
        </w:tc>
        <w:tc>
          <w:tcPr>
            <w:tcW w:w="1020" w:type="dxa"/>
            <w:vAlign w:val="bottom"/>
          </w:tcPr>
          <w:p>
            <w:pPr>
              <w:jc w:val="center"/>
              <w:spacing w:after="0" w:line="149" w:lineRule="exact"/>
              <w:rPr>
                <w:sz w:val="20"/>
                <w:szCs w:val="20"/>
                <w:color w:val="auto"/>
              </w:rPr>
            </w:pPr>
            <w:r>
              <w:rPr>
                <w:rFonts w:ascii="Arial" w:cs="Arial" w:eastAsia="Arial" w:hAnsi="Arial"/>
                <w:sz w:val="13"/>
                <w:szCs w:val="13"/>
                <w:color w:val="auto"/>
              </w:rPr>
              <w:t>14.4%</w:t>
            </w:r>
          </w:p>
        </w:tc>
        <w:tc>
          <w:tcPr>
            <w:tcW w:w="10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3"/>
                <w:szCs w:val="13"/>
                <w:color w:val="auto"/>
                <w:w w:val="97"/>
              </w:rPr>
              <w:t>11.2%</w:t>
            </w:r>
          </w:p>
        </w:tc>
        <w:tc>
          <w:tcPr>
            <w:tcW w:w="1220" w:type="dxa"/>
            <w:vAlign w:val="bottom"/>
          </w:tcPr>
          <w:p>
            <w:pPr>
              <w:jc w:val="right"/>
              <w:ind w:right="174"/>
              <w:spacing w:after="0" w:line="149" w:lineRule="exact"/>
              <w:rPr>
                <w:sz w:val="20"/>
                <w:szCs w:val="20"/>
                <w:color w:val="auto"/>
              </w:rPr>
            </w:pPr>
            <w:r>
              <w:rPr>
                <w:rFonts w:ascii="Arial" w:cs="Arial" w:eastAsia="Arial" w:hAnsi="Arial"/>
                <w:sz w:val="13"/>
                <w:szCs w:val="13"/>
                <w:color w:val="auto"/>
              </w:rPr>
              <w:t>-59,948</w:t>
            </w:r>
          </w:p>
        </w:tc>
        <w:tc>
          <w:tcPr>
            <w:tcW w:w="84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3"/>
                <w:szCs w:val="13"/>
                <w:color w:val="auto"/>
              </w:rPr>
              <w:t>-65,857</w:t>
            </w:r>
          </w:p>
        </w:tc>
        <w:tc>
          <w:tcPr>
            <w:tcW w:w="11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3"/>
                <w:szCs w:val="13"/>
                <w:color w:val="auto"/>
              </w:rPr>
              <w:t>9.9%</w:t>
            </w:r>
          </w:p>
        </w:tc>
      </w:tr>
      <w:tr>
        <w:trPr>
          <w:trHeight w:val="148"/>
        </w:trPr>
        <w:tc>
          <w:tcPr>
            <w:tcW w:w="2940" w:type="dxa"/>
            <w:vAlign w:val="bottom"/>
            <w:tcBorders>
              <w:left w:val="single" w:sz="8" w:color="auto"/>
              <w:right w:val="single" w:sz="8" w:color="auto"/>
            </w:tcBorders>
          </w:tcPr>
          <w:p>
            <w:pPr>
              <w:ind w:left="20"/>
              <w:spacing w:after="0" w:line="149" w:lineRule="exact"/>
              <w:rPr>
                <w:sz w:val="20"/>
                <w:szCs w:val="20"/>
                <w:color w:val="auto"/>
              </w:rPr>
            </w:pPr>
            <w:r>
              <w:rPr>
                <w:rFonts w:ascii="Arial" w:cs="Arial" w:eastAsia="Arial" w:hAnsi="Arial"/>
                <w:sz w:val="13"/>
                <w:szCs w:val="13"/>
                <w:color w:val="auto"/>
              </w:rPr>
              <w:t>Other income</w:t>
            </w:r>
          </w:p>
        </w:tc>
        <w:tc>
          <w:tcPr>
            <w:tcW w:w="1120" w:type="dxa"/>
            <w:vAlign w:val="bottom"/>
          </w:tcPr>
          <w:p>
            <w:pPr>
              <w:jc w:val="right"/>
              <w:ind w:right="74"/>
              <w:spacing w:after="0" w:line="149" w:lineRule="exact"/>
              <w:rPr>
                <w:sz w:val="20"/>
                <w:szCs w:val="20"/>
                <w:color w:val="auto"/>
              </w:rPr>
            </w:pPr>
            <w:r>
              <w:rPr>
                <w:rFonts w:ascii="Arial" w:cs="Arial" w:eastAsia="Arial" w:hAnsi="Arial"/>
                <w:sz w:val="13"/>
                <w:szCs w:val="13"/>
                <w:color w:val="auto"/>
              </w:rPr>
              <w:t>(2,854)</w:t>
            </w:r>
          </w:p>
        </w:tc>
        <w:tc>
          <w:tcPr>
            <w:tcW w:w="1100" w:type="dxa"/>
            <w:vAlign w:val="bottom"/>
          </w:tcPr>
          <w:p>
            <w:pPr>
              <w:jc w:val="right"/>
              <w:ind w:right="114"/>
              <w:spacing w:after="0" w:line="149" w:lineRule="exact"/>
              <w:rPr>
                <w:sz w:val="20"/>
                <w:szCs w:val="20"/>
                <w:color w:val="auto"/>
              </w:rPr>
            </w:pPr>
            <w:r>
              <w:rPr>
                <w:rFonts w:ascii="Arial" w:cs="Arial" w:eastAsia="Arial" w:hAnsi="Arial"/>
                <w:sz w:val="13"/>
                <w:szCs w:val="13"/>
                <w:color w:val="auto"/>
              </w:rPr>
              <w:t>(5,791)</w:t>
            </w:r>
          </w:p>
        </w:tc>
        <w:tc>
          <w:tcPr>
            <w:tcW w:w="88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3"/>
                <w:szCs w:val="13"/>
                <w:color w:val="auto"/>
              </w:rPr>
              <w:t>(1,639)</w:t>
            </w:r>
          </w:p>
        </w:tc>
        <w:tc>
          <w:tcPr>
            <w:tcW w:w="1020" w:type="dxa"/>
            <w:vAlign w:val="bottom"/>
          </w:tcPr>
          <w:p>
            <w:pPr>
              <w:jc w:val="center"/>
              <w:spacing w:after="0" w:line="149" w:lineRule="exact"/>
              <w:rPr>
                <w:sz w:val="20"/>
                <w:szCs w:val="20"/>
                <w:color w:val="auto"/>
              </w:rPr>
            </w:pPr>
            <w:r>
              <w:rPr>
                <w:rFonts w:ascii="Arial" w:cs="Arial" w:eastAsia="Arial" w:hAnsi="Arial"/>
                <w:sz w:val="13"/>
                <w:szCs w:val="13"/>
                <w:color w:val="auto"/>
              </w:rPr>
              <w:t>-71.7%</w:t>
            </w:r>
          </w:p>
        </w:tc>
        <w:tc>
          <w:tcPr>
            <w:tcW w:w="10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3"/>
                <w:szCs w:val="13"/>
                <w:color w:val="auto"/>
                <w:w w:val="97"/>
              </w:rPr>
              <w:t>-42.6%</w:t>
            </w:r>
          </w:p>
        </w:tc>
        <w:tc>
          <w:tcPr>
            <w:tcW w:w="1220" w:type="dxa"/>
            <w:vAlign w:val="bottom"/>
          </w:tcPr>
          <w:p>
            <w:pPr>
              <w:jc w:val="right"/>
              <w:ind w:right="174"/>
              <w:spacing w:after="0" w:line="149" w:lineRule="exact"/>
              <w:rPr>
                <w:sz w:val="20"/>
                <w:szCs w:val="20"/>
                <w:color w:val="auto"/>
              </w:rPr>
            </w:pPr>
            <w:r>
              <w:rPr>
                <w:rFonts w:ascii="Arial" w:cs="Arial" w:eastAsia="Arial" w:hAnsi="Arial"/>
                <w:sz w:val="13"/>
                <w:szCs w:val="13"/>
                <w:color w:val="auto"/>
              </w:rPr>
              <w:t>-1,588</w:t>
            </w:r>
          </w:p>
        </w:tc>
        <w:tc>
          <w:tcPr>
            <w:tcW w:w="84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3"/>
                <w:szCs w:val="13"/>
                <w:color w:val="auto"/>
              </w:rPr>
              <w:t>-4,722</w:t>
            </w:r>
          </w:p>
        </w:tc>
        <w:tc>
          <w:tcPr>
            <w:tcW w:w="11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3"/>
                <w:szCs w:val="13"/>
                <w:color w:val="auto"/>
                <w:w w:val="99"/>
              </w:rPr>
              <w:t>197.3%</w:t>
            </w:r>
          </w:p>
        </w:tc>
      </w:tr>
      <w:tr>
        <w:trPr>
          <w:trHeight w:val="148"/>
        </w:trPr>
        <w:tc>
          <w:tcPr>
            <w:tcW w:w="2940" w:type="dxa"/>
            <w:vAlign w:val="bottom"/>
            <w:tcBorders>
              <w:left w:val="single" w:sz="8" w:color="auto"/>
              <w:right w:val="single" w:sz="8" w:color="auto"/>
            </w:tcBorders>
          </w:tcPr>
          <w:p>
            <w:pPr>
              <w:ind w:left="20"/>
              <w:spacing w:after="0" w:line="149" w:lineRule="exact"/>
              <w:rPr>
                <w:sz w:val="20"/>
                <w:szCs w:val="20"/>
                <w:color w:val="auto"/>
              </w:rPr>
            </w:pPr>
            <w:r>
              <w:rPr>
                <w:rFonts w:ascii="Arial" w:cs="Arial" w:eastAsia="Arial" w:hAnsi="Arial"/>
                <w:sz w:val="13"/>
                <w:szCs w:val="13"/>
                <w:color w:val="auto"/>
              </w:rPr>
              <w:t>Traslations results</w:t>
            </w:r>
          </w:p>
        </w:tc>
        <w:tc>
          <w:tcPr>
            <w:tcW w:w="1120" w:type="dxa"/>
            <w:vAlign w:val="bottom"/>
          </w:tcPr>
          <w:p>
            <w:pPr>
              <w:jc w:val="right"/>
              <w:ind w:right="54"/>
              <w:spacing w:after="0" w:line="149" w:lineRule="exact"/>
              <w:rPr>
                <w:sz w:val="20"/>
                <w:szCs w:val="20"/>
                <w:color w:val="auto"/>
              </w:rPr>
            </w:pPr>
            <w:r>
              <w:rPr>
                <w:rFonts w:ascii="Arial" w:cs="Arial" w:eastAsia="Arial" w:hAnsi="Arial"/>
                <w:sz w:val="13"/>
                <w:szCs w:val="13"/>
                <w:color w:val="auto"/>
              </w:rPr>
              <w:t>2,046</w:t>
            </w:r>
          </w:p>
        </w:tc>
        <w:tc>
          <w:tcPr>
            <w:tcW w:w="1100" w:type="dxa"/>
            <w:vAlign w:val="bottom"/>
          </w:tcPr>
          <w:p>
            <w:pPr>
              <w:jc w:val="right"/>
              <w:ind w:right="114"/>
              <w:spacing w:after="0" w:line="149" w:lineRule="exact"/>
              <w:rPr>
                <w:sz w:val="20"/>
                <w:szCs w:val="20"/>
                <w:color w:val="auto"/>
              </w:rPr>
            </w:pPr>
            <w:r>
              <w:rPr>
                <w:rFonts w:ascii="Arial" w:cs="Arial" w:eastAsia="Arial" w:hAnsi="Arial"/>
                <w:sz w:val="13"/>
                <w:szCs w:val="13"/>
                <w:color w:val="auto"/>
              </w:rPr>
              <w:t>(2,417)</w:t>
            </w:r>
          </w:p>
        </w:tc>
        <w:tc>
          <w:tcPr>
            <w:tcW w:w="88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3"/>
                <w:szCs w:val="13"/>
                <w:color w:val="auto"/>
              </w:rPr>
              <w:t>2,769</w:t>
            </w:r>
          </w:p>
        </w:tc>
        <w:tc>
          <w:tcPr>
            <w:tcW w:w="1020" w:type="dxa"/>
            <w:vAlign w:val="bottom"/>
          </w:tcPr>
          <w:p>
            <w:pPr>
              <w:jc w:val="center"/>
              <w:spacing w:after="0" w:line="149" w:lineRule="exact"/>
              <w:rPr>
                <w:sz w:val="20"/>
                <w:szCs w:val="20"/>
                <w:color w:val="auto"/>
              </w:rPr>
            </w:pPr>
            <w:r>
              <w:rPr>
                <w:rFonts w:ascii="Arial" w:cs="Arial" w:eastAsia="Arial" w:hAnsi="Arial"/>
                <w:sz w:val="13"/>
                <w:szCs w:val="13"/>
                <w:color w:val="auto"/>
              </w:rPr>
              <w:t>-214.6%</w:t>
            </w:r>
          </w:p>
        </w:tc>
        <w:tc>
          <w:tcPr>
            <w:tcW w:w="10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3"/>
                <w:szCs w:val="13"/>
                <w:color w:val="auto"/>
                <w:w w:val="97"/>
              </w:rPr>
              <w:t>35.3%</w:t>
            </w:r>
          </w:p>
        </w:tc>
        <w:tc>
          <w:tcPr>
            <w:tcW w:w="1220" w:type="dxa"/>
            <w:vAlign w:val="bottom"/>
          </w:tcPr>
          <w:p>
            <w:pPr>
              <w:jc w:val="right"/>
              <w:ind w:right="154"/>
              <w:spacing w:after="0" w:line="149" w:lineRule="exact"/>
              <w:rPr>
                <w:sz w:val="20"/>
                <w:szCs w:val="20"/>
                <w:color w:val="auto"/>
              </w:rPr>
            </w:pPr>
            <w:r>
              <w:rPr>
                <w:rFonts w:ascii="Arial" w:cs="Arial" w:eastAsia="Arial" w:hAnsi="Arial"/>
                <w:sz w:val="13"/>
                <w:szCs w:val="13"/>
                <w:color w:val="auto"/>
              </w:rPr>
              <w:t>-567</w:t>
            </w:r>
          </w:p>
        </w:tc>
        <w:tc>
          <w:tcPr>
            <w:tcW w:w="840" w:type="dxa"/>
            <w:vAlign w:val="bottom"/>
            <w:tcBorders>
              <w:right w:val="single" w:sz="8" w:color="auto"/>
            </w:tcBorders>
          </w:tcPr>
          <w:p>
            <w:pPr>
              <w:jc w:val="right"/>
              <w:spacing w:after="0" w:line="149" w:lineRule="exact"/>
              <w:rPr>
                <w:sz w:val="20"/>
                <w:szCs w:val="20"/>
                <w:color w:val="auto"/>
              </w:rPr>
            </w:pPr>
            <w:r>
              <w:rPr>
                <w:rFonts w:ascii="Arial" w:cs="Arial" w:eastAsia="Arial" w:hAnsi="Arial"/>
                <w:sz w:val="13"/>
                <w:szCs w:val="13"/>
                <w:color w:val="auto"/>
              </w:rPr>
              <w:t>-828</w:t>
            </w:r>
          </w:p>
        </w:tc>
        <w:tc>
          <w:tcPr>
            <w:tcW w:w="11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3"/>
                <w:szCs w:val="13"/>
                <w:color w:val="auto"/>
                <w:w w:val="97"/>
              </w:rPr>
              <w:t>46.0%</w:t>
            </w:r>
          </w:p>
        </w:tc>
      </w:tr>
      <w:tr>
        <w:trPr>
          <w:trHeight w:val="165"/>
        </w:trPr>
        <w:tc>
          <w:tcPr>
            <w:tcW w:w="2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Income tax</w:t>
            </w:r>
          </w:p>
        </w:tc>
        <w:tc>
          <w:tcPr>
            <w:tcW w:w="1120" w:type="dxa"/>
            <w:vAlign w:val="bottom"/>
          </w:tcPr>
          <w:p>
            <w:pPr>
              <w:jc w:val="right"/>
              <w:ind w:right="74"/>
              <w:spacing w:after="0"/>
              <w:rPr>
                <w:sz w:val="20"/>
                <w:szCs w:val="20"/>
                <w:color w:val="auto"/>
              </w:rPr>
            </w:pPr>
            <w:r>
              <w:rPr>
                <w:rFonts w:ascii="Arial" w:cs="Arial" w:eastAsia="Arial" w:hAnsi="Arial"/>
                <w:sz w:val="13"/>
                <w:szCs w:val="13"/>
                <w:color w:val="auto"/>
              </w:rPr>
              <w:t>(12,191)</w:t>
            </w:r>
          </w:p>
        </w:tc>
        <w:tc>
          <w:tcPr>
            <w:tcW w:w="1100" w:type="dxa"/>
            <w:vAlign w:val="bottom"/>
          </w:tcPr>
          <w:p>
            <w:pPr>
              <w:jc w:val="right"/>
              <w:ind w:right="114"/>
              <w:spacing w:after="0"/>
              <w:rPr>
                <w:sz w:val="20"/>
                <w:szCs w:val="20"/>
                <w:color w:val="auto"/>
              </w:rPr>
            </w:pPr>
            <w:r>
              <w:rPr>
                <w:rFonts w:ascii="Arial" w:cs="Arial" w:eastAsia="Arial" w:hAnsi="Arial"/>
                <w:sz w:val="13"/>
                <w:szCs w:val="13"/>
                <w:color w:val="auto"/>
              </w:rPr>
              <w:t>(4,295)</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(11,778)</w:t>
            </w:r>
          </w:p>
        </w:tc>
        <w:tc>
          <w:tcPr>
            <w:tcW w:w="1020" w:type="dxa"/>
            <w:vAlign w:val="bottom"/>
          </w:tcPr>
          <w:p>
            <w:pPr>
              <w:jc w:val="center"/>
              <w:spacing w:after="0"/>
              <w:rPr>
                <w:sz w:val="20"/>
                <w:szCs w:val="20"/>
                <w:color w:val="auto"/>
              </w:rPr>
            </w:pPr>
            <w:r>
              <w:rPr>
                <w:rFonts w:ascii="Arial" w:cs="Arial" w:eastAsia="Arial" w:hAnsi="Arial"/>
                <w:sz w:val="13"/>
                <w:szCs w:val="13"/>
                <w:color w:val="auto"/>
                <w:w w:val="99"/>
              </w:rPr>
              <w:t>174.3%</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rPr>
              <w:t>-3.4%</w:t>
            </w:r>
          </w:p>
        </w:tc>
        <w:tc>
          <w:tcPr>
            <w:tcW w:w="1220" w:type="dxa"/>
            <w:vAlign w:val="bottom"/>
          </w:tcPr>
          <w:p>
            <w:pPr>
              <w:jc w:val="right"/>
              <w:ind w:right="174"/>
              <w:spacing w:after="0"/>
              <w:rPr>
                <w:sz w:val="20"/>
                <w:szCs w:val="20"/>
                <w:color w:val="auto"/>
              </w:rPr>
            </w:pPr>
            <w:r>
              <w:rPr>
                <w:rFonts w:ascii="Arial" w:cs="Arial" w:eastAsia="Arial" w:hAnsi="Arial"/>
                <w:sz w:val="13"/>
                <w:szCs w:val="13"/>
                <w:color w:val="auto"/>
              </w:rPr>
              <w:t>-18,729</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-31,322</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color w:val="auto"/>
                <w:w w:val="97"/>
              </w:rPr>
              <w:t>67.2%</w:t>
            </w:r>
          </w:p>
        </w:tc>
      </w:tr>
      <w:tr>
        <w:trPr>
          <w:trHeight w:val="307"/>
        </w:trPr>
        <w:tc>
          <w:tcPr>
            <w:tcW w:w="2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Net income before Medical services</w:t>
            </w:r>
          </w:p>
        </w:tc>
        <w:tc>
          <w:tcPr>
            <w:tcW w:w="1120" w:type="dxa"/>
            <w:vAlign w:val="bottom"/>
          </w:tcPr>
          <w:p>
            <w:pPr>
              <w:jc w:val="right"/>
              <w:ind w:right="54"/>
              <w:spacing w:after="0"/>
              <w:rPr>
                <w:sz w:val="20"/>
                <w:szCs w:val="20"/>
                <w:color w:val="auto"/>
              </w:rPr>
            </w:pPr>
            <w:r>
              <w:rPr>
                <w:rFonts w:ascii="Arial" w:cs="Arial" w:eastAsia="Arial" w:hAnsi="Arial"/>
                <w:sz w:val="13"/>
                <w:szCs w:val="13"/>
                <w:b w:val="1"/>
                <w:bCs w:val="1"/>
                <w:color w:val="auto"/>
              </w:rPr>
              <w:t>7,176</w:t>
            </w:r>
          </w:p>
        </w:tc>
        <w:tc>
          <w:tcPr>
            <w:tcW w:w="1100" w:type="dxa"/>
            <w:vAlign w:val="bottom"/>
          </w:tcPr>
          <w:p>
            <w:pPr>
              <w:jc w:val="right"/>
              <w:ind w:right="114"/>
              <w:spacing w:after="0"/>
              <w:rPr>
                <w:sz w:val="20"/>
                <w:szCs w:val="20"/>
                <w:color w:val="auto"/>
              </w:rPr>
            </w:pPr>
            <w:r>
              <w:rPr>
                <w:rFonts w:ascii="Arial" w:cs="Arial" w:eastAsia="Arial" w:hAnsi="Arial"/>
                <w:sz w:val="13"/>
                <w:szCs w:val="13"/>
                <w:b w:val="1"/>
                <w:bCs w:val="1"/>
                <w:color w:val="auto"/>
              </w:rPr>
              <w:t>1,401</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22,178</w:t>
            </w: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rPr>
              <w:t>1483.5%</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209.0%</w:t>
            </w:r>
          </w:p>
        </w:tc>
        <w:tc>
          <w:tcPr>
            <w:tcW w:w="1220" w:type="dxa"/>
            <w:vAlign w:val="bottom"/>
          </w:tcPr>
          <w:p>
            <w:pPr>
              <w:jc w:val="right"/>
              <w:ind w:right="194"/>
              <w:spacing w:after="0"/>
              <w:rPr>
                <w:sz w:val="20"/>
                <w:szCs w:val="20"/>
                <w:color w:val="auto"/>
              </w:rPr>
            </w:pPr>
            <w:r>
              <w:rPr>
                <w:rFonts w:ascii="Arial" w:cs="Arial" w:eastAsia="Arial" w:hAnsi="Arial"/>
                <w:sz w:val="13"/>
                <w:szCs w:val="13"/>
                <w:b w:val="1"/>
                <w:bCs w:val="1"/>
                <w:color w:val="auto"/>
              </w:rPr>
              <w:t>18,592</w:t>
            </w:r>
          </w:p>
        </w:tc>
        <w:tc>
          <w:tcPr>
            <w:tcW w:w="840" w:type="dxa"/>
            <w:vAlign w:val="bottom"/>
            <w:tcBorders>
              <w:right w:val="single" w:sz="8" w:color="auto"/>
            </w:tcBorders>
          </w:tcPr>
          <w:p>
            <w:pPr>
              <w:jc w:val="right"/>
              <w:ind w:right="14"/>
              <w:spacing w:after="0"/>
              <w:rPr>
                <w:sz w:val="20"/>
                <w:szCs w:val="20"/>
                <w:color w:val="auto"/>
              </w:rPr>
            </w:pPr>
            <w:r>
              <w:rPr>
                <w:rFonts w:ascii="Arial" w:cs="Arial" w:eastAsia="Arial" w:hAnsi="Arial"/>
                <w:sz w:val="13"/>
                <w:szCs w:val="13"/>
                <w:b w:val="1"/>
                <w:bCs w:val="1"/>
                <w:color w:val="auto"/>
              </w:rPr>
              <w:t>55,765</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199.9%</w:t>
            </w:r>
          </w:p>
        </w:tc>
      </w:tr>
      <w:tr>
        <w:trPr>
          <w:trHeight w:val="297"/>
        </w:trPr>
        <w:tc>
          <w:tcPr>
            <w:tcW w:w="29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Net income of Medical services</w:t>
            </w:r>
          </w:p>
        </w:tc>
        <w:tc>
          <w:tcPr>
            <w:tcW w:w="1120" w:type="dxa"/>
            <w:vAlign w:val="bottom"/>
          </w:tcPr>
          <w:p>
            <w:pPr>
              <w:jc w:val="right"/>
              <w:ind w:right="74"/>
              <w:spacing w:after="0"/>
              <w:rPr>
                <w:sz w:val="20"/>
                <w:szCs w:val="20"/>
                <w:color w:val="auto"/>
              </w:rPr>
            </w:pPr>
            <w:r>
              <w:rPr>
                <w:rFonts w:ascii="Arial" w:cs="Arial" w:eastAsia="Arial" w:hAnsi="Arial"/>
                <w:sz w:val="13"/>
                <w:szCs w:val="13"/>
                <w:b w:val="1"/>
                <w:bCs w:val="1"/>
                <w:color w:val="auto"/>
              </w:rPr>
              <w:t>27,598</w:t>
            </w:r>
          </w:p>
        </w:tc>
        <w:tc>
          <w:tcPr>
            <w:tcW w:w="1100" w:type="dxa"/>
            <w:vAlign w:val="bottom"/>
          </w:tcPr>
          <w:p>
            <w:pPr>
              <w:jc w:val="right"/>
              <w:ind w:right="154"/>
              <w:spacing w:after="0"/>
              <w:rPr>
                <w:sz w:val="20"/>
                <w:szCs w:val="20"/>
                <w:color w:val="auto"/>
              </w:rPr>
            </w:pPr>
            <w:r>
              <w:rPr>
                <w:rFonts w:ascii="Arial" w:cs="Arial" w:eastAsia="Arial" w:hAnsi="Arial"/>
                <w:sz w:val="13"/>
                <w:szCs w:val="13"/>
                <w:b w:val="1"/>
                <w:bCs w:val="1"/>
                <w:color w:val="auto"/>
              </w:rPr>
              <w:t>33,467</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3"/>
                <w:szCs w:val="13"/>
                <w:b w:val="1"/>
                <w:bCs w:val="1"/>
                <w:color w:val="auto"/>
              </w:rPr>
              <w:t>26,436</w:t>
            </w: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rPr>
              <w:t>-21.0%</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-4.2%</w:t>
            </w:r>
          </w:p>
        </w:tc>
        <w:tc>
          <w:tcPr>
            <w:tcW w:w="1220" w:type="dxa"/>
            <w:vAlign w:val="bottom"/>
          </w:tcPr>
          <w:p>
            <w:pPr>
              <w:jc w:val="right"/>
              <w:ind w:right="194"/>
              <w:spacing w:after="0"/>
              <w:rPr>
                <w:sz w:val="20"/>
                <w:szCs w:val="20"/>
                <w:color w:val="auto"/>
              </w:rPr>
            </w:pPr>
            <w:r>
              <w:rPr>
                <w:rFonts w:ascii="Arial" w:cs="Arial" w:eastAsia="Arial" w:hAnsi="Arial"/>
                <w:sz w:val="13"/>
                <w:szCs w:val="13"/>
                <w:b w:val="1"/>
                <w:bCs w:val="1"/>
                <w:color w:val="auto"/>
              </w:rPr>
              <w:t>81,134</w:t>
            </w:r>
          </w:p>
        </w:tc>
        <w:tc>
          <w:tcPr>
            <w:tcW w:w="840" w:type="dxa"/>
            <w:vAlign w:val="bottom"/>
            <w:tcBorders>
              <w:right w:val="single" w:sz="8" w:color="auto"/>
            </w:tcBorders>
          </w:tcPr>
          <w:p>
            <w:pPr>
              <w:jc w:val="right"/>
              <w:ind w:right="14"/>
              <w:spacing w:after="0"/>
              <w:rPr>
                <w:sz w:val="20"/>
                <w:szCs w:val="20"/>
                <w:color w:val="auto"/>
              </w:rPr>
            </w:pPr>
            <w:r>
              <w:rPr>
                <w:rFonts w:ascii="Arial" w:cs="Arial" w:eastAsia="Arial" w:hAnsi="Arial"/>
                <w:sz w:val="13"/>
                <w:szCs w:val="13"/>
                <w:b w:val="1"/>
                <w:bCs w:val="1"/>
                <w:color w:val="auto"/>
              </w:rPr>
              <w:t>88,366</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8.9%</w:t>
            </w:r>
          </w:p>
        </w:tc>
      </w:tr>
      <w:tr>
        <w:trPr>
          <w:trHeight w:val="273"/>
        </w:trPr>
        <w:tc>
          <w:tcPr>
            <w:tcW w:w="29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b w:val="1"/>
                <w:bCs w:val="1"/>
                <w:color w:val="auto"/>
              </w:rPr>
              <w:t>Net income</w:t>
            </w:r>
          </w:p>
        </w:tc>
        <w:tc>
          <w:tcPr>
            <w:tcW w:w="1120" w:type="dxa"/>
            <w:vAlign w:val="bottom"/>
            <w:tcBorders>
              <w:bottom w:val="single" w:sz="8" w:color="auto"/>
            </w:tcBorders>
          </w:tcPr>
          <w:p>
            <w:pPr>
              <w:jc w:val="right"/>
              <w:ind w:right="74"/>
              <w:spacing w:after="0"/>
              <w:rPr>
                <w:sz w:val="20"/>
                <w:szCs w:val="20"/>
                <w:color w:val="auto"/>
              </w:rPr>
            </w:pPr>
            <w:r>
              <w:rPr>
                <w:rFonts w:ascii="Arial" w:cs="Arial" w:eastAsia="Arial" w:hAnsi="Arial"/>
                <w:sz w:val="13"/>
                <w:szCs w:val="13"/>
                <w:b w:val="1"/>
                <w:bCs w:val="1"/>
                <w:color w:val="auto"/>
              </w:rPr>
              <w:t>34,775</w:t>
            </w:r>
          </w:p>
        </w:tc>
        <w:tc>
          <w:tcPr>
            <w:tcW w:w="1100" w:type="dxa"/>
            <w:vAlign w:val="bottom"/>
            <w:tcBorders>
              <w:bottom w:val="single" w:sz="8" w:color="auto"/>
            </w:tcBorders>
          </w:tcPr>
          <w:p>
            <w:pPr>
              <w:jc w:val="right"/>
              <w:ind w:right="154"/>
              <w:spacing w:after="0"/>
              <w:rPr>
                <w:sz w:val="20"/>
                <w:szCs w:val="20"/>
                <w:color w:val="auto"/>
              </w:rPr>
            </w:pPr>
            <w:r>
              <w:rPr>
                <w:rFonts w:ascii="Arial" w:cs="Arial" w:eastAsia="Arial" w:hAnsi="Arial"/>
                <w:sz w:val="13"/>
                <w:szCs w:val="13"/>
                <w:b w:val="1"/>
                <w:bCs w:val="1"/>
                <w:color w:val="auto"/>
              </w:rPr>
              <w:t>34,868</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3"/>
                <w:szCs w:val="13"/>
                <w:b w:val="1"/>
                <w:bCs w:val="1"/>
                <w:color w:val="auto"/>
              </w:rPr>
              <w:t>48,614</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39.4%</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39.8%</w:t>
            </w:r>
          </w:p>
        </w:tc>
        <w:tc>
          <w:tcPr>
            <w:tcW w:w="1220" w:type="dxa"/>
            <w:vAlign w:val="bottom"/>
            <w:tcBorders>
              <w:bottom w:val="single" w:sz="8" w:color="auto"/>
            </w:tcBorders>
          </w:tcPr>
          <w:p>
            <w:pPr>
              <w:jc w:val="right"/>
              <w:ind w:right="194"/>
              <w:spacing w:after="0"/>
              <w:rPr>
                <w:sz w:val="20"/>
                <w:szCs w:val="20"/>
                <w:color w:val="auto"/>
              </w:rPr>
            </w:pPr>
            <w:r>
              <w:rPr>
                <w:rFonts w:ascii="Arial" w:cs="Arial" w:eastAsia="Arial" w:hAnsi="Arial"/>
                <w:sz w:val="13"/>
                <w:szCs w:val="13"/>
                <w:b w:val="1"/>
                <w:bCs w:val="1"/>
                <w:color w:val="auto"/>
              </w:rPr>
              <w:t>99,725</w:t>
            </w:r>
          </w:p>
        </w:tc>
        <w:tc>
          <w:tcPr>
            <w:tcW w:w="840" w:type="dxa"/>
            <w:vAlign w:val="bottom"/>
            <w:tcBorders>
              <w:bottom w:val="single" w:sz="8" w:color="auto"/>
              <w:right w:val="single" w:sz="8" w:color="auto"/>
            </w:tcBorders>
          </w:tcPr>
          <w:p>
            <w:pPr>
              <w:jc w:val="right"/>
              <w:ind w:right="14"/>
              <w:spacing w:after="0"/>
              <w:rPr>
                <w:sz w:val="20"/>
                <w:szCs w:val="20"/>
                <w:color w:val="auto"/>
              </w:rPr>
            </w:pPr>
            <w:r>
              <w:rPr>
                <w:rFonts w:ascii="Arial" w:cs="Arial" w:eastAsia="Arial" w:hAnsi="Arial"/>
                <w:sz w:val="13"/>
                <w:szCs w:val="13"/>
                <w:b w:val="1"/>
                <w:bCs w:val="1"/>
                <w:color w:val="auto"/>
              </w:rPr>
              <w:t>144,130</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44.5%</w:t>
            </w:r>
          </w:p>
        </w:tc>
      </w:tr>
    </w:tbl>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(1)Reported under IFRS 4 standards.</w:t>
      </w:r>
    </w:p>
    <w:p>
      <w:pPr>
        <w:spacing w:after="0" w:line="32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43750" cy="1587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2" w:name="page73"/>
    <w:bookmarkEnd w:id="72"/>
    <w:p>
      <w:pPr>
        <w:ind w:left="2961"/>
        <w:spacing w:after="0"/>
        <w:tabs>
          <w:tab w:leader="none" w:pos="3141" w:val="left"/>
          <w:tab w:leader="none" w:pos="7701" w:val="left"/>
        </w:tabs>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202565</wp:posOffset>
            </wp:positionH>
            <wp:positionV relativeFrom="page">
              <wp:posOffset>88900</wp:posOffset>
            </wp:positionV>
            <wp:extent cx="7143750" cy="41592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3750" cy="415925"/>
                    </a:xfrm>
                    <a:prstGeom prst="rect">
                      <a:avLst/>
                    </a:prstGeom>
                    <a:noFill/>
                  </pic:spPr>
                </pic:pic>
              </a:graphicData>
            </a:graphic>
          </wp:anchor>
        </w:drawing>
        <w:t>|</w:t>
      </w:r>
      <w:r>
        <w:rPr>
          <w:sz w:val="20"/>
          <w:szCs w:val="20"/>
          <w:color w:val="auto"/>
        </w:rPr>
        <w:tab/>
      </w:r>
      <w:r>
        <w:rPr>
          <w:rFonts w:ascii="Arial" w:cs="Arial" w:eastAsia="Arial" w:hAnsi="Arial"/>
          <w:sz w:val="16"/>
          <w:szCs w:val="16"/>
          <w:b w:val="1"/>
          <w:bCs w:val="1"/>
          <w:color w:val="FFFFFF"/>
        </w:rPr>
        <w:t>Earnings Release 3Q / 2023</w:t>
      </w:r>
      <w:r>
        <w:rPr>
          <w:sz w:val="20"/>
          <w:szCs w:val="20"/>
          <w:color w:val="auto"/>
        </w:rPr>
        <w:tab/>
      </w:r>
      <w:r>
        <w:rPr>
          <w:rFonts w:ascii="Arial" w:cs="Arial" w:eastAsia="Arial" w:hAnsi="Arial"/>
          <w:sz w:val="18"/>
          <w:szCs w:val="18"/>
          <w:b w:val="1"/>
          <w:bCs w:val="1"/>
          <w:color w:val="E93CAC"/>
        </w:rPr>
        <w:t>Analysis of 3Q23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159385</wp:posOffset>
            </wp:positionV>
            <wp:extent cx="7143750" cy="2038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3750" cy="203835"/>
                    </a:xfrm>
                    <a:prstGeom prst="rect">
                      <a:avLst/>
                    </a:prstGeom>
                    <a:noFill/>
                  </pic:spPr>
                </pic:pic>
              </a:graphicData>
            </a:graphic>
          </wp:anchor>
        </w:drawing>
      </w:r>
    </w:p>
    <w:p>
      <w:pPr>
        <w:spacing w:after="0" w:line="251" w:lineRule="exact"/>
        <w:rPr>
          <w:sz w:val="20"/>
          <w:szCs w:val="20"/>
          <w:color w:val="auto"/>
        </w:rPr>
      </w:pPr>
    </w:p>
    <w:p>
      <w:pPr>
        <w:ind w:left="41"/>
        <w:spacing w:after="0"/>
        <w:rPr>
          <w:sz w:val="20"/>
          <w:szCs w:val="20"/>
          <w:color w:val="auto"/>
        </w:rPr>
      </w:pPr>
      <w:r>
        <w:rPr>
          <w:rFonts w:ascii="Arial" w:cs="Arial" w:eastAsia="Arial" w:hAnsi="Arial"/>
          <w:sz w:val="20"/>
          <w:szCs w:val="20"/>
          <w:b w:val="1"/>
          <w:bCs w:val="1"/>
          <w:color w:val="FFFFFF"/>
        </w:rPr>
        <w:t>12. Appendix</w:t>
      </w:r>
    </w:p>
    <w:p>
      <w:pPr>
        <w:spacing w:after="0" w:line="76"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12.6.9. Investment Banking &amp; Wealth Management</w:t>
      </w:r>
    </w:p>
    <w:p>
      <w:pPr>
        <w:spacing w:after="0" w:line="175" w:lineRule="exact"/>
        <w:rPr>
          <w:sz w:val="20"/>
          <w:szCs w:val="20"/>
          <w:color w:val="auto"/>
        </w:rPr>
      </w:pPr>
    </w:p>
    <w:tbl>
      <w:tblPr>
        <w:tblLayout w:type="fixed"/>
        <w:tblInd w:w="11" w:type="dxa"/>
        <w:tblCellMar>
          <w:top w:w="0" w:type="dxa"/>
          <w:left w:w="0" w:type="dxa"/>
          <w:bottom w:w="0" w:type="dxa"/>
          <w:right w:w="0" w:type="dxa"/>
        </w:tblCellMar>
      </w:tblPr>
      <w:tr>
        <w:trPr>
          <w:trHeight w:val="126"/>
        </w:trPr>
        <w:tc>
          <w:tcPr>
            <w:tcW w:w="3860" w:type="dxa"/>
            <w:vAlign w:val="bottom"/>
            <w:tcBorders>
              <w:top w:val="single" w:sz="8" w:color="auto"/>
              <w:left w:val="single" w:sz="8" w:color="auto"/>
              <w:right w:val="single" w:sz="8" w:color="auto"/>
            </w:tcBorders>
            <w:shd w:val="clear" w:color="auto" w:fill="33CCCC"/>
          </w:tcPr>
          <w:p>
            <w:pPr>
              <w:ind w:left="20"/>
              <w:spacing w:after="0"/>
              <w:rPr>
                <w:sz w:val="20"/>
                <w:szCs w:val="20"/>
                <w:color w:val="auto"/>
              </w:rPr>
            </w:pPr>
            <w:r>
              <w:rPr>
                <w:rFonts w:ascii="Arial" w:cs="Arial" w:eastAsia="Arial" w:hAnsi="Arial"/>
                <w:sz w:val="11"/>
                <w:szCs w:val="11"/>
                <w:b w:val="1"/>
                <w:bCs w:val="1"/>
                <w:color w:val="FFFFFF"/>
              </w:rPr>
              <w:t>Investment Banking and Wealth Management</w:t>
            </w:r>
          </w:p>
        </w:tc>
        <w:tc>
          <w:tcPr>
            <w:tcW w:w="1020" w:type="dxa"/>
            <w:vAlign w:val="bottom"/>
            <w:tcBorders>
              <w:top w:val="single" w:sz="8" w:color="auto"/>
            </w:tcBorders>
            <w:shd w:val="clear" w:color="auto" w:fill="33CCCC"/>
          </w:tcPr>
          <w:p>
            <w:pPr>
              <w:spacing w:after="0"/>
              <w:rPr>
                <w:sz w:val="10"/>
                <w:szCs w:val="10"/>
                <w:color w:val="auto"/>
              </w:rPr>
            </w:pPr>
          </w:p>
        </w:tc>
        <w:tc>
          <w:tcPr>
            <w:tcW w:w="960" w:type="dxa"/>
            <w:vAlign w:val="bottom"/>
            <w:tcBorders>
              <w:top w:val="single" w:sz="8" w:color="auto"/>
            </w:tcBorders>
            <w:shd w:val="clear" w:color="auto" w:fill="33CCCC"/>
          </w:tcPr>
          <w:p>
            <w:pPr>
              <w:spacing w:after="0"/>
              <w:rPr>
                <w:sz w:val="10"/>
                <w:szCs w:val="10"/>
                <w:color w:val="auto"/>
              </w:rPr>
            </w:pPr>
          </w:p>
        </w:tc>
        <w:tc>
          <w:tcPr>
            <w:tcW w:w="800" w:type="dxa"/>
            <w:vAlign w:val="bottom"/>
            <w:tcBorders>
              <w:top w:val="single" w:sz="8" w:color="auto"/>
              <w:right w:val="single" w:sz="8" w:color="auto"/>
            </w:tcBorders>
            <w:shd w:val="clear" w:color="auto" w:fill="33CCCC"/>
          </w:tcPr>
          <w:p>
            <w:pPr>
              <w:spacing w:after="0"/>
              <w:rPr>
                <w:sz w:val="10"/>
                <w:szCs w:val="10"/>
                <w:color w:val="auto"/>
              </w:rPr>
            </w:pPr>
          </w:p>
        </w:tc>
        <w:tc>
          <w:tcPr>
            <w:tcW w:w="640" w:type="dxa"/>
            <w:vAlign w:val="bottom"/>
            <w:tcBorders>
              <w:top w:val="single" w:sz="8" w:color="auto"/>
            </w:tcBorders>
            <w:shd w:val="clear" w:color="auto" w:fill="33CCCC"/>
          </w:tcPr>
          <w:p>
            <w:pPr>
              <w:spacing w:after="0"/>
              <w:rPr>
                <w:sz w:val="10"/>
                <w:szCs w:val="10"/>
                <w:color w:val="auto"/>
              </w:rPr>
            </w:pPr>
          </w:p>
        </w:tc>
        <w:tc>
          <w:tcPr>
            <w:tcW w:w="1180" w:type="dxa"/>
            <w:vAlign w:val="bottom"/>
            <w:tcBorders>
              <w:top w:val="single" w:sz="8" w:color="auto"/>
              <w:right w:val="single" w:sz="8" w:color="auto"/>
            </w:tcBorders>
            <w:shd w:val="clear" w:color="auto" w:fill="33CCCC"/>
          </w:tcPr>
          <w:p>
            <w:pPr>
              <w:spacing w:after="0"/>
              <w:rPr>
                <w:sz w:val="10"/>
                <w:szCs w:val="10"/>
                <w:color w:val="auto"/>
              </w:rPr>
            </w:pPr>
          </w:p>
        </w:tc>
        <w:tc>
          <w:tcPr>
            <w:tcW w:w="1080" w:type="dxa"/>
            <w:vAlign w:val="bottom"/>
            <w:tcBorders>
              <w:top w:val="single" w:sz="8" w:color="auto"/>
            </w:tcBorders>
            <w:shd w:val="clear" w:color="auto" w:fill="33CCCC"/>
          </w:tcPr>
          <w:p>
            <w:pPr>
              <w:spacing w:after="0"/>
              <w:rPr>
                <w:sz w:val="10"/>
                <w:szCs w:val="10"/>
                <w:color w:val="auto"/>
              </w:rPr>
            </w:pPr>
          </w:p>
        </w:tc>
        <w:tc>
          <w:tcPr>
            <w:tcW w:w="720" w:type="dxa"/>
            <w:vAlign w:val="bottom"/>
            <w:tcBorders>
              <w:top w:val="single" w:sz="8" w:color="auto"/>
              <w:right w:val="single" w:sz="8" w:color="auto"/>
            </w:tcBorders>
            <w:shd w:val="clear" w:color="auto" w:fill="33CCCC"/>
          </w:tcPr>
          <w:p>
            <w:pPr>
              <w:spacing w:after="0"/>
              <w:rPr>
                <w:sz w:val="10"/>
                <w:szCs w:val="10"/>
                <w:color w:val="auto"/>
              </w:rPr>
            </w:pPr>
          </w:p>
        </w:tc>
        <w:tc>
          <w:tcPr>
            <w:tcW w:w="1000" w:type="dxa"/>
            <w:vAlign w:val="bottom"/>
            <w:tcBorders>
              <w:top w:val="single" w:sz="8" w:color="auto"/>
              <w:right w:val="single" w:sz="8" w:color="auto"/>
            </w:tcBorders>
            <w:shd w:val="clear" w:color="auto" w:fill="33CCCC"/>
          </w:tcPr>
          <w:p>
            <w:pPr>
              <w:spacing w:after="0"/>
              <w:rPr>
                <w:sz w:val="10"/>
                <w:szCs w:val="10"/>
                <w:color w:val="auto"/>
              </w:rPr>
            </w:pPr>
          </w:p>
        </w:tc>
      </w:tr>
      <w:tr>
        <w:trPr>
          <w:trHeight w:val="134"/>
        </w:trPr>
        <w:tc>
          <w:tcPr>
            <w:tcW w:w="3860" w:type="dxa"/>
            <w:vAlign w:val="bottom"/>
            <w:tcBorders>
              <w:left w:val="single" w:sz="8" w:color="auto"/>
              <w:right w:val="single" w:sz="8" w:color="auto"/>
            </w:tcBorders>
            <w:shd w:val="clear" w:color="auto" w:fill="33CCCC"/>
          </w:tcPr>
          <w:p>
            <w:pPr>
              <w:ind w:left="20"/>
              <w:spacing w:after="0"/>
              <w:rPr>
                <w:sz w:val="20"/>
                <w:szCs w:val="20"/>
                <w:color w:val="auto"/>
              </w:rPr>
            </w:pPr>
            <w:r>
              <w:rPr>
                <w:rFonts w:ascii="Arial" w:cs="Arial" w:eastAsia="Arial" w:hAnsi="Arial"/>
                <w:sz w:val="11"/>
                <w:szCs w:val="11"/>
                <w:b w:val="1"/>
                <w:bCs w:val="1"/>
                <w:color w:val="FFFFFF"/>
              </w:rPr>
              <w:t>S/000</w:t>
            </w:r>
          </w:p>
        </w:tc>
        <w:tc>
          <w:tcPr>
            <w:tcW w:w="1020" w:type="dxa"/>
            <w:vAlign w:val="bottom"/>
            <w:shd w:val="clear" w:color="auto" w:fill="33CCCC"/>
          </w:tcPr>
          <w:p>
            <w:pPr>
              <w:spacing w:after="0"/>
              <w:rPr>
                <w:sz w:val="11"/>
                <w:szCs w:val="11"/>
                <w:color w:val="auto"/>
              </w:rPr>
            </w:pPr>
          </w:p>
        </w:tc>
        <w:tc>
          <w:tcPr>
            <w:tcW w:w="960" w:type="dxa"/>
            <w:vAlign w:val="bottom"/>
            <w:shd w:val="clear" w:color="auto" w:fill="33CCCC"/>
          </w:tcPr>
          <w:p>
            <w:pPr>
              <w:jc w:val="right"/>
              <w:ind w:right="366"/>
              <w:spacing w:after="0"/>
              <w:rPr>
                <w:sz w:val="20"/>
                <w:szCs w:val="20"/>
                <w:color w:val="auto"/>
              </w:rPr>
            </w:pPr>
            <w:r>
              <w:rPr>
                <w:rFonts w:ascii="Arial" w:cs="Arial" w:eastAsia="Arial" w:hAnsi="Arial"/>
                <w:sz w:val="11"/>
                <w:szCs w:val="11"/>
                <w:b w:val="1"/>
                <w:bCs w:val="1"/>
                <w:color w:val="FFFFFF"/>
              </w:rPr>
              <w:t>Quarter</w:t>
            </w:r>
          </w:p>
        </w:tc>
        <w:tc>
          <w:tcPr>
            <w:tcW w:w="800" w:type="dxa"/>
            <w:vAlign w:val="bottom"/>
            <w:tcBorders>
              <w:right w:val="single" w:sz="8" w:color="auto"/>
            </w:tcBorders>
            <w:shd w:val="clear" w:color="auto" w:fill="33CCCC"/>
          </w:tcPr>
          <w:p>
            <w:pPr>
              <w:spacing w:after="0"/>
              <w:rPr>
                <w:sz w:val="11"/>
                <w:szCs w:val="11"/>
                <w:color w:val="auto"/>
              </w:rPr>
            </w:pPr>
          </w:p>
        </w:tc>
        <w:tc>
          <w:tcPr>
            <w:tcW w:w="640" w:type="dxa"/>
            <w:vAlign w:val="bottom"/>
            <w:shd w:val="clear" w:color="auto" w:fill="33CCCC"/>
          </w:tcPr>
          <w:p>
            <w:pPr>
              <w:spacing w:after="0"/>
              <w:rPr>
                <w:sz w:val="11"/>
                <w:szCs w:val="11"/>
                <w:color w:val="auto"/>
              </w:rPr>
            </w:pPr>
          </w:p>
        </w:tc>
        <w:tc>
          <w:tcPr>
            <w:tcW w:w="1180" w:type="dxa"/>
            <w:vAlign w:val="bottom"/>
            <w:tcBorders>
              <w:right w:val="single" w:sz="8" w:color="auto"/>
            </w:tcBorders>
            <w:shd w:val="clear" w:color="auto" w:fill="33CCCC"/>
          </w:tcPr>
          <w:p>
            <w:pPr>
              <w:spacing w:after="0"/>
              <w:rPr>
                <w:sz w:val="20"/>
                <w:szCs w:val="20"/>
                <w:color w:val="auto"/>
              </w:rPr>
            </w:pPr>
            <w:r>
              <w:rPr>
                <w:rFonts w:ascii="Arial" w:cs="Arial" w:eastAsia="Arial" w:hAnsi="Arial"/>
                <w:sz w:val="11"/>
                <w:szCs w:val="11"/>
                <w:b w:val="1"/>
                <w:bCs w:val="1"/>
                <w:color w:val="FFFFFF"/>
              </w:rPr>
              <w:t>% change</w:t>
            </w:r>
          </w:p>
        </w:tc>
        <w:tc>
          <w:tcPr>
            <w:tcW w:w="1080" w:type="dxa"/>
            <w:vAlign w:val="bottom"/>
            <w:shd w:val="clear" w:color="auto" w:fill="33CCCC"/>
          </w:tcPr>
          <w:p>
            <w:pPr>
              <w:jc w:val="right"/>
              <w:ind w:right="6"/>
              <w:spacing w:after="0"/>
              <w:rPr>
                <w:sz w:val="20"/>
                <w:szCs w:val="20"/>
                <w:color w:val="auto"/>
              </w:rPr>
            </w:pPr>
            <w:r>
              <w:rPr>
                <w:rFonts w:ascii="Arial" w:cs="Arial" w:eastAsia="Arial" w:hAnsi="Arial"/>
                <w:sz w:val="11"/>
                <w:szCs w:val="11"/>
                <w:b w:val="1"/>
                <w:bCs w:val="1"/>
                <w:color w:val="FFFFFF"/>
              </w:rPr>
              <w:t>As of</w:t>
            </w:r>
          </w:p>
        </w:tc>
        <w:tc>
          <w:tcPr>
            <w:tcW w:w="720" w:type="dxa"/>
            <w:vAlign w:val="bottom"/>
            <w:tcBorders>
              <w:right w:val="single" w:sz="8" w:color="auto"/>
            </w:tcBorders>
            <w:shd w:val="clear" w:color="auto" w:fill="33CCCC"/>
          </w:tcPr>
          <w:p>
            <w:pPr>
              <w:spacing w:after="0"/>
              <w:rPr>
                <w:sz w:val="11"/>
                <w:szCs w:val="11"/>
                <w:color w:val="auto"/>
              </w:rPr>
            </w:pPr>
          </w:p>
        </w:tc>
        <w:tc>
          <w:tcPr>
            <w:tcW w:w="1000" w:type="dxa"/>
            <w:vAlign w:val="bottom"/>
            <w:tcBorders>
              <w:right w:val="single" w:sz="8" w:color="auto"/>
            </w:tcBorders>
            <w:shd w:val="clear" w:color="auto" w:fill="33CCCC"/>
          </w:tcPr>
          <w:p>
            <w:pPr>
              <w:jc w:val="center"/>
              <w:spacing w:after="0"/>
              <w:rPr>
                <w:sz w:val="20"/>
                <w:szCs w:val="20"/>
                <w:color w:val="auto"/>
              </w:rPr>
            </w:pPr>
            <w:r>
              <w:rPr>
                <w:rFonts w:ascii="Arial" w:cs="Arial" w:eastAsia="Arial" w:hAnsi="Arial"/>
                <w:sz w:val="11"/>
                <w:szCs w:val="11"/>
                <w:b w:val="1"/>
                <w:bCs w:val="1"/>
                <w:color w:val="FFFFFF"/>
                <w:w w:val="97"/>
              </w:rPr>
              <w:t>% change</w:t>
            </w:r>
          </w:p>
        </w:tc>
      </w:tr>
      <w:tr>
        <w:trPr>
          <w:trHeight w:val="117"/>
        </w:trPr>
        <w:tc>
          <w:tcPr>
            <w:tcW w:w="3860" w:type="dxa"/>
            <w:vAlign w:val="bottom"/>
            <w:tcBorders>
              <w:left w:val="single" w:sz="8" w:color="auto"/>
              <w:bottom w:val="single" w:sz="8" w:color="auto"/>
              <w:right w:val="single" w:sz="8" w:color="auto"/>
            </w:tcBorders>
            <w:shd w:val="clear" w:color="auto" w:fill="33CCCC"/>
          </w:tcPr>
          <w:p>
            <w:pPr>
              <w:ind w:left="20"/>
              <w:spacing w:after="0" w:line="112" w:lineRule="exact"/>
              <w:rPr>
                <w:sz w:val="20"/>
                <w:szCs w:val="20"/>
                <w:color w:val="auto"/>
              </w:rPr>
            </w:pPr>
            <w:r>
              <w:rPr>
                <w:rFonts w:ascii="Arial" w:cs="Arial" w:eastAsia="Arial" w:hAnsi="Arial"/>
                <w:sz w:val="11"/>
                <w:szCs w:val="11"/>
                <w:color w:val="33CCCC"/>
              </w:rPr>
              <w:t>S/ 000</w:t>
            </w:r>
          </w:p>
        </w:tc>
        <w:tc>
          <w:tcPr>
            <w:tcW w:w="1020" w:type="dxa"/>
            <w:vAlign w:val="bottom"/>
            <w:tcBorders>
              <w:bottom w:val="single" w:sz="8" w:color="auto"/>
            </w:tcBorders>
            <w:shd w:val="clear" w:color="auto" w:fill="33CCCC"/>
          </w:tcPr>
          <w:p>
            <w:pPr>
              <w:jc w:val="right"/>
              <w:ind w:right="406"/>
              <w:spacing w:after="0" w:line="112" w:lineRule="exact"/>
              <w:rPr>
                <w:sz w:val="20"/>
                <w:szCs w:val="20"/>
                <w:color w:val="auto"/>
              </w:rPr>
            </w:pPr>
            <w:r>
              <w:rPr>
                <w:rFonts w:ascii="Arial" w:cs="Arial" w:eastAsia="Arial" w:hAnsi="Arial"/>
                <w:sz w:val="11"/>
                <w:szCs w:val="11"/>
                <w:b w:val="1"/>
                <w:bCs w:val="1"/>
                <w:color w:val="FFFFFF"/>
              </w:rPr>
              <w:t>3Q22</w:t>
            </w:r>
          </w:p>
        </w:tc>
        <w:tc>
          <w:tcPr>
            <w:tcW w:w="960" w:type="dxa"/>
            <w:vAlign w:val="bottom"/>
            <w:tcBorders>
              <w:bottom w:val="single" w:sz="8" w:color="auto"/>
            </w:tcBorders>
            <w:shd w:val="clear" w:color="auto" w:fill="33CCCC"/>
          </w:tcPr>
          <w:p>
            <w:pPr>
              <w:jc w:val="right"/>
              <w:ind w:right="446"/>
              <w:spacing w:after="0" w:line="112" w:lineRule="exact"/>
              <w:rPr>
                <w:sz w:val="20"/>
                <w:szCs w:val="20"/>
                <w:color w:val="auto"/>
              </w:rPr>
            </w:pPr>
            <w:r>
              <w:rPr>
                <w:rFonts w:ascii="Arial" w:cs="Arial" w:eastAsia="Arial" w:hAnsi="Arial"/>
                <w:sz w:val="11"/>
                <w:szCs w:val="11"/>
                <w:b w:val="1"/>
                <w:bCs w:val="1"/>
                <w:color w:val="FFFFFF"/>
              </w:rPr>
              <w:t>2Q23</w:t>
            </w:r>
          </w:p>
        </w:tc>
        <w:tc>
          <w:tcPr>
            <w:tcW w:w="800" w:type="dxa"/>
            <w:vAlign w:val="bottom"/>
            <w:tcBorders>
              <w:bottom w:val="single" w:sz="8" w:color="auto"/>
              <w:right w:val="single" w:sz="8" w:color="auto"/>
            </w:tcBorders>
            <w:shd w:val="clear" w:color="auto" w:fill="33CCCC"/>
          </w:tcPr>
          <w:p>
            <w:pPr>
              <w:jc w:val="right"/>
              <w:ind w:right="306"/>
              <w:spacing w:after="0" w:line="112" w:lineRule="exact"/>
              <w:rPr>
                <w:sz w:val="20"/>
                <w:szCs w:val="20"/>
                <w:color w:val="auto"/>
              </w:rPr>
            </w:pPr>
            <w:r>
              <w:rPr>
                <w:rFonts w:ascii="Arial" w:cs="Arial" w:eastAsia="Arial" w:hAnsi="Arial"/>
                <w:sz w:val="11"/>
                <w:szCs w:val="11"/>
                <w:b w:val="1"/>
                <w:bCs w:val="1"/>
                <w:color w:val="FFFFFF"/>
              </w:rPr>
              <w:t>3Q23</w:t>
            </w:r>
          </w:p>
        </w:tc>
        <w:tc>
          <w:tcPr>
            <w:tcW w:w="640" w:type="dxa"/>
            <w:vAlign w:val="bottom"/>
            <w:tcBorders>
              <w:bottom w:val="single" w:sz="8" w:color="auto"/>
            </w:tcBorders>
            <w:shd w:val="clear" w:color="auto" w:fill="33CCCC"/>
          </w:tcPr>
          <w:p>
            <w:pPr>
              <w:jc w:val="center"/>
              <w:ind w:left="146"/>
              <w:spacing w:after="0" w:line="112" w:lineRule="exact"/>
              <w:rPr>
                <w:sz w:val="20"/>
                <w:szCs w:val="20"/>
                <w:color w:val="auto"/>
              </w:rPr>
            </w:pPr>
            <w:r>
              <w:rPr>
                <w:rFonts w:ascii="Arial" w:cs="Arial" w:eastAsia="Arial" w:hAnsi="Arial"/>
                <w:sz w:val="11"/>
                <w:szCs w:val="11"/>
                <w:b w:val="1"/>
                <w:bCs w:val="1"/>
                <w:color w:val="FFFFFF"/>
              </w:rPr>
              <w:t>QoQ</w:t>
            </w:r>
          </w:p>
        </w:tc>
        <w:tc>
          <w:tcPr>
            <w:tcW w:w="1180" w:type="dxa"/>
            <w:vAlign w:val="bottom"/>
            <w:tcBorders>
              <w:bottom w:val="single" w:sz="8" w:color="auto"/>
              <w:right w:val="single" w:sz="8" w:color="auto"/>
            </w:tcBorders>
            <w:shd w:val="clear" w:color="auto" w:fill="33CCCC"/>
          </w:tcPr>
          <w:p>
            <w:pPr>
              <w:ind w:left="580"/>
              <w:spacing w:after="0" w:line="112" w:lineRule="exact"/>
              <w:rPr>
                <w:sz w:val="20"/>
                <w:szCs w:val="20"/>
                <w:color w:val="auto"/>
              </w:rPr>
            </w:pPr>
            <w:r>
              <w:rPr>
                <w:rFonts w:ascii="Arial" w:cs="Arial" w:eastAsia="Arial" w:hAnsi="Arial"/>
                <w:sz w:val="11"/>
                <w:szCs w:val="11"/>
                <w:b w:val="1"/>
                <w:bCs w:val="1"/>
                <w:color w:val="FFFFFF"/>
              </w:rPr>
              <w:t>YoY</w:t>
            </w:r>
          </w:p>
        </w:tc>
        <w:tc>
          <w:tcPr>
            <w:tcW w:w="1080" w:type="dxa"/>
            <w:vAlign w:val="bottom"/>
            <w:tcBorders>
              <w:bottom w:val="single" w:sz="8" w:color="auto"/>
            </w:tcBorders>
            <w:shd w:val="clear" w:color="auto" w:fill="33CCCC"/>
          </w:tcPr>
          <w:p>
            <w:pPr>
              <w:jc w:val="right"/>
              <w:ind w:right="426"/>
              <w:spacing w:after="0" w:line="112" w:lineRule="exact"/>
              <w:rPr>
                <w:sz w:val="20"/>
                <w:szCs w:val="20"/>
                <w:color w:val="auto"/>
              </w:rPr>
            </w:pPr>
            <w:r>
              <w:rPr>
                <w:rFonts w:ascii="Arial" w:cs="Arial" w:eastAsia="Arial" w:hAnsi="Arial"/>
                <w:sz w:val="11"/>
                <w:szCs w:val="11"/>
                <w:b w:val="1"/>
                <w:bCs w:val="1"/>
                <w:color w:val="FFFFFF"/>
              </w:rPr>
              <w:t>Sep 22</w:t>
            </w:r>
          </w:p>
        </w:tc>
        <w:tc>
          <w:tcPr>
            <w:tcW w:w="720" w:type="dxa"/>
            <w:vAlign w:val="bottom"/>
            <w:tcBorders>
              <w:bottom w:val="single" w:sz="8" w:color="auto"/>
              <w:right w:val="single" w:sz="8" w:color="auto"/>
            </w:tcBorders>
            <w:shd w:val="clear" w:color="auto" w:fill="33CCCC"/>
          </w:tcPr>
          <w:p>
            <w:pPr>
              <w:jc w:val="right"/>
              <w:ind w:right="246"/>
              <w:spacing w:after="0" w:line="112" w:lineRule="exact"/>
              <w:rPr>
                <w:sz w:val="20"/>
                <w:szCs w:val="20"/>
                <w:color w:val="auto"/>
              </w:rPr>
            </w:pPr>
            <w:r>
              <w:rPr>
                <w:rFonts w:ascii="Arial" w:cs="Arial" w:eastAsia="Arial" w:hAnsi="Arial"/>
                <w:sz w:val="11"/>
                <w:szCs w:val="11"/>
                <w:b w:val="1"/>
                <w:bCs w:val="1"/>
                <w:color w:val="FFFFFF"/>
              </w:rPr>
              <w:t>Sep 23</w:t>
            </w:r>
          </w:p>
        </w:tc>
        <w:tc>
          <w:tcPr>
            <w:tcW w:w="1000" w:type="dxa"/>
            <w:vAlign w:val="bottom"/>
            <w:tcBorders>
              <w:bottom w:val="single" w:sz="8" w:color="auto"/>
              <w:right w:val="single" w:sz="8" w:color="auto"/>
            </w:tcBorders>
            <w:shd w:val="clear" w:color="auto" w:fill="33CCCC"/>
          </w:tcPr>
          <w:p>
            <w:pPr>
              <w:jc w:val="center"/>
              <w:spacing w:after="0" w:line="112" w:lineRule="exact"/>
              <w:rPr>
                <w:sz w:val="20"/>
                <w:szCs w:val="20"/>
                <w:color w:val="auto"/>
              </w:rPr>
            </w:pPr>
            <w:r>
              <w:rPr>
                <w:rFonts w:ascii="Arial" w:cs="Arial" w:eastAsia="Arial" w:hAnsi="Arial"/>
                <w:sz w:val="11"/>
                <w:szCs w:val="11"/>
                <w:b w:val="1"/>
                <w:bCs w:val="1"/>
                <w:color w:val="FFFFFF"/>
                <w:w w:val="97"/>
              </w:rPr>
              <w:t>Set 23 / Set 22</w:t>
            </w:r>
          </w:p>
        </w:tc>
      </w:tr>
      <w:tr>
        <w:trPr>
          <w:trHeight w:val="116"/>
        </w:trPr>
        <w:tc>
          <w:tcPr>
            <w:tcW w:w="3860" w:type="dxa"/>
            <w:vAlign w:val="bottom"/>
            <w:tcBorders>
              <w:left w:val="single" w:sz="8" w:color="auto"/>
              <w:right w:val="single" w:sz="8" w:color="auto"/>
            </w:tcBorders>
          </w:tcPr>
          <w:p>
            <w:pPr>
              <w:ind w:left="20"/>
              <w:spacing w:after="0" w:line="116" w:lineRule="exact"/>
              <w:rPr>
                <w:sz w:val="20"/>
                <w:szCs w:val="20"/>
                <w:color w:val="auto"/>
              </w:rPr>
            </w:pPr>
            <w:r>
              <w:rPr>
                <w:rFonts w:ascii="Arial" w:cs="Arial" w:eastAsia="Arial" w:hAnsi="Arial"/>
                <w:sz w:val="11"/>
                <w:szCs w:val="11"/>
                <w:color w:val="auto"/>
              </w:rPr>
              <w:t>Net interest income</w:t>
            </w:r>
          </w:p>
        </w:tc>
        <w:tc>
          <w:tcPr>
            <w:tcW w:w="1020" w:type="dxa"/>
            <w:vAlign w:val="bottom"/>
          </w:tcPr>
          <w:p>
            <w:pPr>
              <w:jc w:val="right"/>
              <w:ind w:right="86"/>
              <w:spacing w:after="0" w:line="116" w:lineRule="exact"/>
              <w:rPr>
                <w:sz w:val="20"/>
                <w:szCs w:val="20"/>
                <w:color w:val="auto"/>
              </w:rPr>
            </w:pPr>
            <w:r>
              <w:rPr>
                <w:rFonts w:ascii="Arial" w:cs="Arial" w:eastAsia="Arial" w:hAnsi="Arial"/>
                <w:sz w:val="11"/>
                <w:szCs w:val="11"/>
                <w:color w:val="auto"/>
              </w:rPr>
              <w:t>19,025</w:t>
            </w:r>
          </w:p>
        </w:tc>
        <w:tc>
          <w:tcPr>
            <w:tcW w:w="960" w:type="dxa"/>
            <w:vAlign w:val="bottom"/>
          </w:tcPr>
          <w:p>
            <w:pPr>
              <w:jc w:val="right"/>
              <w:ind w:right="106"/>
              <w:spacing w:after="0" w:line="116" w:lineRule="exact"/>
              <w:rPr>
                <w:sz w:val="20"/>
                <w:szCs w:val="20"/>
                <w:color w:val="auto"/>
              </w:rPr>
            </w:pPr>
            <w:r>
              <w:rPr>
                <w:rFonts w:ascii="Arial" w:cs="Arial" w:eastAsia="Arial" w:hAnsi="Arial"/>
                <w:sz w:val="11"/>
                <w:szCs w:val="11"/>
                <w:color w:val="auto"/>
              </w:rPr>
              <w:t>21,206</w:t>
            </w:r>
          </w:p>
        </w:tc>
        <w:tc>
          <w:tcPr>
            <w:tcW w:w="800" w:type="dxa"/>
            <w:vAlign w:val="bottom"/>
            <w:tcBorders>
              <w:right w:val="single" w:sz="8" w:color="auto"/>
            </w:tcBorders>
          </w:tcPr>
          <w:p>
            <w:pPr>
              <w:jc w:val="right"/>
              <w:spacing w:after="0" w:line="116" w:lineRule="exact"/>
              <w:rPr>
                <w:sz w:val="20"/>
                <w:szCs w:val="20"/>
                <w:color w:val="auto"/>
              </w:rPr>
            </w:pPr>
            <w:r>
              <w:rPr>
                <w:rFonts w:ascii="Arial" w:cs="Arial" w:eastAsia="Arial" w:hAnsi="Arial"/>
                <w:sz w:val="11"/>
                <w:szCs w:val="11"/>
                <w:color w:val="auto"/>
              </w:rPr>
              <w:t>20,100</w:t>
            </w:r>
          </w:p>
        </w:tc>
        <w:tc>
          <w:tcPr>
            <w:tcW w:w="640" w:type="dxa"/>
            <w:vAlign w:val="bottom"/>
          </w:tcPr>
          <w:p>
            <w:pPr>
              <w:jc w:val="center"/>
              <w:ind w:left="146"/>
              <w:spacing w:after="0" w:line="116" w:lineRule="exact"/>
              <w:rPr>
                <w:sz w:val="20"/>
                <w:szCs w:val="20"/>
                <w:color w:val="auto"/>
              </w:rPr>
            </w:pPr>
            <w:r>
              <w:rPr>
                <w:rFonts w:ascii="Arial" w:cs="Arial" w:eastAsia="Arial" w:hAnsi="Arial"/>
                <w:sz w:val="11"/>
                <w:szCs w:val="11"/>
                <w:color w:val="auto"/>
                <w:w w:val="97"/>
              </w:rPr>
              <w:t>-5.2%</w:t>
            </w:r>
          </w:p>
        </w:tc>
        <w:tc>
          <w:tcPr>
            <w:tcW w:w="1180" w:type="dxa"/>
            <w:vAlign w:val="bottom"/>
            <w:tcBorders>
              <w:right w:val="single" w:sz="8" w:color="auto"/>
            </w:tcBorders>
          </w:tcPr>
          <w:p>
            <w:pPr>
              <w:jc w:val="center"/>
              <w:ind w:left="126"/>
              <w:spacing w:after="0" w:line="116" w:lineRule="exact"/>
              <w:rPr>
                <w:sz w:val="20"/>
                <w:szCs w:val="20"/>
                <w:color w:val="auto"/>
              </w:rPr>
            </w:pPr>
            <w:r>
              <w:rPr>
                <w:rFonts w:ascii="Arial" w:cs="Arial" w:eastAsia="Arial" w:hAnsi="Arial"/>
                <w:sz w:val="11"/>
                <w:szCs w:val="11"/>
                <w:color w:val="auto"/>
              </w:rPr>
              <w:t>6%</w:t>
            </w:r>
          </w:p>
        </w:tc>
        <w:tc>
          <w:tcPr>
            <w:tcW w:w="1080" w:type="dxa"/>
            <w:vAlign w:val="bottom"/>
          </w:tcPr>
          <w:p>
            <w:pPr>
              <w:jc w:val="right"/>
              <w:ind w:right="166"/>
              <w:spacing w:after="0" w:line="116" w:lineRule="exact"/>
              <w:rPr>
                <w:sz w:val="20"/>
                <w:szCs w:val="20"/>
                <w:color w:val="auto"/>
              </w:rPr>
            </w:pPr>
            <w:r>
              <w:rPr>
                <w:rFonts w:ascii="Arial" w:cs="Arial" w:eastAsia="Arial" w:hAnsi="Arial"/>
                <w:sz w:val="11"/>
                <w:szCs w:val="11"/>
                <w:color w:val="auto"/>
              </w:rPr>
              <w:t>57,295</w:t>
            </w:r>
          </w:p>
        </w:tc>
        <w:tc>
          <w:tcPr>
            <w:tcW w:w="720" w:type="dxa"/>
            <w:vAlign w:val="bottom"/>
            <w:tcBorders>
              <w:right w:val="single" w:sz="8" w:color="auto"/>
            </w:tcBorders>
          </w:tcPr>
          <w:p>
            <w:pPr>
              <w:jc w:val="right"/>
              <w:spacing w:after="0" w:line="116" w:lineRule="exact"/>
              <w:rPr>
                <w:sz w:val="20"/>
                <w:szCs w:val="20"/>
                <w:color w:val="auto"/>
              </w:rPr>
            </w:pPr>
            <w:r>
              <w:rPr>
                <w:rFonts w:ascii="Arial" w:cs="Arial" w:eastAsia="Arial" w:hAnsi="Arial"/>
                <w:sz w:val="11"/>
                <w:szCs w:val="11"/>
                <w:color w:val="auto"/>
              </w:rPr>
              <w:t>63,348</w:t>
            </w:r>
          </w:p>
        </w:tc>
        <w:tc>
          <w:tcPr>
            <w:tcW w:w="1000" w:type="dxa"/>
            <w:vAlign w:val="bottom"/>
            <w:tcBorders>
              <w:right w:val="single" w:sz="8" w:color="auto"/>
            </w:tcBorders>
          </w:tcPr>
          <w:p>
            <w:pPr>
              <w:jc w:val="center"/>
              <w:spacing w:after="0" w:line="116" w:lineRule="exact"/>
              <w:rPr>
                <w:sz w:val="20"/>
                <w:szCs w:val="20"/>
                <w:color w:val="auto"/>
              </w:rPr>
            </w:pPr>
            <w:r>
              <w:rPr>
                <w:rFonts w:ascii="Arial" w:cs="Arial" w:eastAsia="Arial" w:hAnsi="Arial"/>
                <w:sz w:val="11"/>
                <w:szCs w:val="11"/>
                <w:color w:val="auto"/>
                <w:w w:val="99"/>
              </w:rPr>
              <w:t>11%</w:t>
            </w:r>
          </w:p>
        </w:tc>
      </w:tr>
      <w:tr>
        <w:trPr>
          <w:trHeight w:val="124"/>
        </w:trPr>
        <w:tc>
          <w:tcPr>
            <w:tcW w:w="3860" w:type="dxa"/>
            <w:vAlign w:val="bottom"/>
            <w:tcBorders>
              <w:left w:val="single" w:sz="8" w:color="auto"/>
              <w:right w:val="single" w:sz="8" w:color="auto"/>
            </w:tcBorders>
          </w:tcPr>
          <w:p>
            <w:pPr>
              <w:ind w:left="20"/>
              <w:spacing w:after="0" w:line="124" w:lineRule="exact"/>
              <w:rPr>
                <w:sz w:val="20"/>
                <w:szCs w:val="20"/>
                <w:color w:val="auto"/>
              </w:rPr>
            </w:pPr>
            <w:r>
              <w:rPr>
                <w:rFonts w:ascii="Arial" w:cs="Arial" w:eastAsia="Arial" w:hAnsi="Arial"/>
                <w:sz w:val="11"/>
                <w:szCs w:val="11"/>
                <w:color w:val="auto"/>
              </w:rPr>
              <w:t>Non-financial income</w:t>
            </w:r>
          </w:p>
        </w:tc>
        <w:tc>
          <w:tcPr>
            <w:tcW w:w="1020" w:type="dxa"/>
            <w:vAlign w:val="bottom"/>
          </w:tcPr>
          <w:p>
            <w:pPr>
              <w:jc w:val="right"/>
              <w:ind w:right="86"/>
              <w:spacing w:after="0" w:line="124" w:lineRule="exact"/>
              <w:rPr>
                <w:sz w:val="20"/>
                <w:szCs w:val="20"/>
                <w:color w:val="auto"/>
              </w:rPr>
            </w:pPr>
            <w:r>
              <w:rPr>
                <w:rFonts w:ascii="Arial" w:cs="Arial" w:eastAsia="Arial" w:hAnsi="Arial"/>
                <w:sz w:val="11"/>
                <w:szCs w:val="11"/>
                <w:color w:val="auto"/>
              </w:rPr>
              <w:t>177,191</w:t>
            </w:r>
          </w:p>
        </w:tc>
        <w:tc>
          <w:tcPr>
            <w:tcW w:w="960" w:type="dxa"/>
            <w:vAlign w:val="bottom"/>
          </w:tcPr>
          <w:p>
            <w:pPr>
              <w:jc w:val="right"/>
              <w:ind w:right="106"/>
              <w:spacing w:after="0" w:line="124" w:lineRule="exact"/>
              <w:rPr>
                <w:sz w:val="20"/>
                <w:szCs w:val="20"/>
                <w:color w:val="auto"/>
              </w:rPr>
            </w:pPr>
            <w:r>
              <w:rPr>
                <w:rFonts w:ascii="Arial" w:cs="Arial" w:eastAsia="Arial" w:hAnsi="Arial"/>
                <w:sz w:val="11"/>
                <w:szCs w:val="11"/>
                <w:color w:val="auto"/>
              </w:rPr>
              <w:t>207,535</w:t>
            </w:r>
          </w:p>
        </w:tc>
        <w:tc>
          <w:tcPr>
            <w:tcW w:w="80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182,989</w:t>
            </w:r>
          </w:p>
        </w:tc>
        <w:tc>
          <w:tcPr>
            <w:tcW w:w="640" w:type="dxa"/>
            <w:vAlign w:val="bottom"/>
          </w:tcPr>
          <w:p>
            <w:pPr>
              <w:jc w:val="center"/>
              <w:ind w:left="146"/>
              <w:spacing w:after="0" w:line="124" w:lineRule="exact"/>
              <w:rPr>
                <w:sz w:val="20"/>
                <w:szCs w:val="20"/>
                <w:color w:val="auto"/>
              </w:rPr>
            </w:pPr>
            <w:r>
              <w:rPr>
                <w:rFonts w:ascii="Arial" w:cs="Arial" w:eastAsia="Arial" w:hAnsi="Arial"/>
                <w:sz w:val="11"/>
                <w:szCs w:val="11"/>
                <w:color w:val="auto"/>
                <w:w w:val="91"/>
              </w:rPr>
              <w:t>-11.8%</w:t>
            </w:r>
          </w:p>
        </w:tc>
        <w:tc>
          <w:tcPr>
            <w:tcW w:w="1180" w:type="dxa"/>
            <w:vAlign w:val="bottom"/>
            <w:tcBorders>
              <w:right w:val="single" w:sz="8" w:color="auto"/>
            </w:tcBorders>
          </w:tcPr>
          <w:p>
            <w:pPr>
              <w:jc w:val="center"/>
              <w:ind w:left="126"/>
              <w:spacing w:after="0" w:line="124" w:lineRule="exact"/>
              <w:rPr>
                <w:sz w:val="20"/>
                <w:szCs w:val="20"/>
                <w:color w:val="auto"/>
              </w:rPr>
            </w:pPr>
            <w:r>
              <w:rPr>
                <w:rFonts w:ascii="Arial" w:cs="Arial" w:eastAsia="Arial" w:hAnsi="Arial"/>
                <w:sz w:val="11"/>
                <w:szCs w:val="11"/>
                <w:color w:val="auto"/>
                <w:w w:val="95"/>
              </w:rPr>
              <w:t>3.3%</w:t>
            </w:r>
          </w:p>
        </w:tc>
        <w:tc>
          <w:tcPr>
            <w:tcW w:w="1080" w:type="dxa"/>
            <w:vAlign w:val="bottom"/>
          </w:tcPr>
          <w:p>
            <w:pPr>
              <w:jc w:val="right"/>
              <w:ind w:right="166"/>
              <w:spacing w:after="0" w:line="124" w:lineRule="exact"/>
              <w:rPr>
                <w:sz w:val="20"/>
                <w:szCs w:val="20"/>
                <w:color w:val="auto"/>
              </w:rPr>
            </w:pPr>
            <w:r>
              <w:rPr>
                <w:rFonts w:ascii="Arial" w:cs="Arial" w:eastAsia="Arial" w:hAnsi="Arial"/>
                <w:sz w:val="11"/>
                <w:szCs w:val="11"/>
                <w:color w:val="auto"/>
              </w:rPr>
              <w:t>503,834</w:t>
            </w:r>
          </w:p>
        </w:tc>
        <w:tc>
          <w:tcPr>
            <w:tcW w:w="72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583,309</w:t>
            </w:r>
          </w:p>
        </w:tc>
        <w:tc>
          <w:tcPr>
            <w:tcW w:w="100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6"/>
              </w:rPr>
              <w:t>15.8%</w:t>
            </w:r>
          </w:p>
        </w:tc>
      </w:tr>
      <w:tr>
        <w:trPr>
          <w:trHeight w:val="124"/>
        </w:trPr>
        <w:tc>
          <w:tcPr>
            <w:tcW w:w="3860" w:type="dxa"/>
            <w:vAlign w:val="bottom"/>
            <w:tcBorders>
              <w:left w:val="single" w:sz="8" w:color="auto"/>
              <w:right w:val="single" w:sz="8" w:color="auto"/>
            </w:tcBorders>
          </w:tcPr>
          <w:p>
            <w:pPr>
              <w:ind w:left="160"/>
              <w:spacing w:after="0" w:line="124" w:lineRule="exact"/>
              <w:rPr>
                <w:sz w:val="20"/>
                <w:szCs w:val="20"/>
                <w:color w:val="auto"/>
              </w:rPr>
            </w:pPr>
            <w:r>
              <w:rPr>
                <w:rFonts w:ascii="Arial" w:cs="Arial" w:eastAsia="Arial" w:hAnsi="Arial"/>
                <w:sz w:val="11"/>
                <w:szCs w:val="11"/>
                <w:color w:val="auto"/>
              </w:rPr>
              <w:t>Fee income</w:t>
            </w:r>
          </w:p>
        </w:tc>
        <w:tc>
          <w:tcPr>
            <w:tcW w:w="1020" w:type="dxa"/>
            <w:vAlign w:val="bottom"/>
          </w:tcPr>
          <w:p>
            <w:pPr>
              <w:jc w:val="right"/>
              <w:ind w:right="86"/>
              <w:spacing w:after="0" w:line="124" w:lineRule="exact"/>
              <w:rPr>
                <w:sz w:val="20"/>
                <w:szCs w:val="20"/>
                <w:color w:val="auto"/>
              </w:rPr>
            </w:pPr>
            <w:r>
              <w:rPr>
                <w:rFonts w:ascii="Arial" w:cs="Arial" w:eastAsia="Arial" w:hAnsi="Arial"/>
                <w:sz w:val="11"/>
                <w:szCs w:val="11"/>
                <w:color w:val="auto"/>
              </w:rPr>
              <w:t>133,374</w:t>
            </w:r>
          </w:p>
        </w:tc>
        <w:tc>
          <w:tcPr>
            <w:tcW w:w="960" w:type="dxa"/>
            <w:vAlign w:val="bottom"/>
          </w:tcPr>
          <w:p>
            <w:pPr>
              <w:jc w:val="right"/>
              <w:ind w:right="106"/>
              <w:spacing w:after="0" w:line="124" w:lineRule="exact"/>
              <w:rPr>
                <w:sz w:val="20"/>
                <w:szCs w:val="20"/>
                <w:color w:val="auto"/>
              </w:rPr>
            </w:pPr>
            <w:r>
              <w:rPr>
                <w:rFonts w:ascii="Arial" w:cs="Arial" w:eastAsia="Arial" w:hAnsi="Arial"/>
                <w:sz w:val="11"/>
                <w:szCs w:val="11"/>
                <w:color w:val="auto"/>
              </w:rPr>
              <w:t>133,448</w:t>
            </w:r>
          </w:p>
        </w:tc>
        <w:tc>
          <w:tcPr>
            <w:tcW w:w="80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127,085</w:t>
            </w:r>
          </w:p>
        </w:tc>
        <w:tc>
          <w:tcPr>
            <w:tcW w:w="640" w:type="dxa"/>
            <w:vAlign w:val="bottom"/>
          </w:tcPr>
          <w:p>
            <w:pPr>
              <w:jc w:val="center"/>
              <w:ind w:left="146"/>
              <w:spacing w:after="0" w:line="124" w:lineRule="exact"/>
              <w:rPr>
                <w:sz w:val="20"/>
                <w:szCs w:val="20"/>
                <w:color w:val="auto"/>
              </w:rPr>
            </w:pPr>
            <w:r>
              <w:rPr>
                <w:rFonts w:ascii="Arial" w:cs="Arial" w:eastAsia="Arial" w:hAnsi="Arial"/>
                <w:sz w:val="11"/>
                <w:szCs w:val="11"/>
                <w:color w:val="auto"/>
                <w:w w:val="97"/>
              </w:rPr>
              <w:t>-4.8%</w:t>
            </w:r>
          </w:p>
        </w:tc>
        <w:tc>
          <w:tcPr>
            <w:tcW w:w="1180" w:type="dxa"/>
            <w:vAlign w:val="bottom"/>
            <w:tcBorders>
              <w:right w:val="single" w:sz="8" w:color="auto"/>
            </w:tcBorders>
          </w:tcPr>
          <w:p>
            <w:pPr>
              <w:jc w:val="center"/>
              <w:ind w:left="126"/>
              <w:spacing w:after="0" w:line="124" w:lineRule="exact"/>
              <w:rPr>
                <w:sz w:val="20"/>
                <w:szCs w:val="20"/>
                <w:color w:val="auto"/>
              </w:rPr>
            </w:pPr>
            <w:r>
              <w:rPr>
                <w:rFonts w:ascii="Arial" w:cs="Arial" w:eastAsia="Arial" w:hAnsi="Arial"/>
                <w:sz w:val="11"/>
                <w:szCs w:val="11"/>
                <w:color w:val="auto"/>
                <w:w w:val="97"/>
              </w:rPr>
              <w:t>-4.7%</w:t>
            </w:r>
          </w:p>
        </w:tc>
        <w:tc>
          <w:tcPr>
            <w:tcW w:w="1080" w:type="dxa"/>
            <w:vAlign w:val="bottom"/>
          </w:tcPr>
          <w:p>
            <w:pPr>
              <w:jc w:val="right"/>
              <w:ind w:right="166"/>
              <w:spacing w:after="0" w:line="124" w:lineRule="exact"/>
              <w:rPr>
                <w:sz w:val="20"/>
                <w:szCs w:val="20"/>
                <w:color w:val="auto"/>
              </w:rPr>
            </w:pPr>
            <w:r>
              <w:rPr>
                <w:rFonts w:ascii="Arial" w:cs="Arial" w:eastAsia="Arial" w:hAnsi="Arial"/>
                <w:sz w:val="11"/>
                <w:szCs w:val="11"/>
                <w:color w:val="auto"/>
              </w:rPr>
              <w:t>409,428</w:t>
            </w:r>
          </w:p>
        </w:tc>
        <w:tc>
          <w:tcPr>
            <w:tcW w:w="72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383,394</w:t>
            </w:r>
          </w:p>
        </w:tc>
        <w:tc>
          <w:tcPr>
            <w:tcW w:w="100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7"/>
              </w:rPr>
              <w:t>-6.4%</w:t>
            </w:r>
          </w:p>
        </w:tc>
      </w:tr>
      <w:tr>
        <w:trPr>
          <w:trHeight w:val="124"/>
        </w:trPr>
        <w:tc>
          <w:tcPr>
            <w:tcW w:w="3860" w:type="dxa"/>
            <w:vAlign w:val="bottom"/>
            <w:tcBorders>
              <w:left w:val="single" w:sz="8" w:color="auto"/>
              <w:right w:val="single" w:sz="8" w:color="auto"/>
            </w:tcBorders>
          </w:tcPr>
          <w:p>
            <w:pPr>
              <w:ind w:left="160"/>
              <w:spacing w:after="0" w:line="124" w:lineRule="exact"/>
              <w:rPr>
                <w:sz w:val="20"/>
                <w:szCs w:val="20"/>
                <w:color w:val="auto"/>
              </w:rPr>
            </w:pPr>
            <w:r>
              <w:rPr>
                <w:rFonts w:ascii="Arial" w:cs="Arial" w:eastAsia="Arial" w:hAnsi="Arial"/>
                <w:sz w:val="11"/>
                <w:szCs w:val="11"/>
                <w:color w:val="auto"/>
              </w:rPr>
              <w:t>Net gain on foreign exchange transactions</w:t>
            </w:r>
          </w:p>
        </w:tc>
        <w:tc>
          <w:tcPr>
            <w:tcW w:w="1020" w:type="dxa"/>
            <w:vAlign w:val="bottom"/>
          </w:tcPr>
          <w:p>
            <w:pPr>
              <w:jc w:val="right"/>
              <w:ind w:right="86"/>
              <w:spacing w:after="0" w:line="124" w:lineRule="exact"/>
              <w:rPr>
                <w:sz w:val="20"/>
                <w:szCs w:val="20"/>
                <w:color w:val="auto"/>
              </w:rPr>
            </w:pPr>
            <w:r>
              <w:rPr>
                <w:rFonts w:ascii="Arial" w:cs="Arial" w:eastAsia="Arial" w:hAnsi="Arial"/>
                <w:sz w:val="11"/>
                <w:szCs w:val="11"/>
                <w:color w:val="auto"/>
              </w:rPr>
              <w:t>2,503</w:t>
            </w:r>
          </w:p>
        </w:tc>
        <w:tc>
          <w:tcPr>
            <w:tcW w:w="960" w:type="dxa"/>
            <w:vAlign w:val="bottom"/>
          </w:tcPr>
          <w:p>
            <w:pPr>
              <w:jc w:val="right"/>
              <w:ind w:right="106"/>
              <w:spacing w:after="0" w:line="124" w:lineRule="exact"/>
              <w:rPr>
                <w:sz w:val="20"/>
                <w:szCs w:val="20"/>
                <w:color w:val="auto"/>
              </w:rPr>
            </w:pPr>
            <w:r>
              <w:rPr>
                <w:rFonts w:ascii="Arial" w:cs="Arial" w:eastAsia="Arial" w:hAnsi="Arial"/>
                <w:sz w:val="11"/>
                <w:szCs w:val="11"/>
                <w:color w:val="auto"/>
              </w:rPr>
              <w:t>12,836</w:t>
            </w:r>
          </w:p>
        </w:tc>
        <w:tc>
          <w:tcPr>
            <w:tcW w:w="80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11,709</w:t>
            </w:r>
          </w:p>
        </w:tc>
        <w:tc>
          <w:tcPr>
            <w:tcW w:w="640" w:type="dxa"/>
            <w:vAlign w:val="bottom"/>
          </w:tcPr>
          <w:p>
            <w:pPr>
              <w:jc w:val="center"/>
              <w:ind w:left="146"/>
              <w:spacing w:after="0" w:line="124" w:lineRule="exact"/>
              <w:rPr>
                <w:sz w:val="20"/>
                <w:szCs w:val="20"/>
                <w:color w:val="auto"/>
              </w:rPr>
            </w:pPr>
            <w:r>
              <w:rPr>
                <w:rFonts w:ascii="Arial" w:cs="Arial" w:eastAsia="Arial" w:hAnsi="Arial"/>
                <w:sz w:val="11"/>
                <w:szCs w:val="11"/>
                <w:color w:val="auto"/>
                <w:w w:val="97"/>
              </w:rPr>
              <w:t>-8.8%</w:t>
            </w:r>
          </w:p>
        </w:tc>
        <w:tc>
          <w:tcPr>
            <w:tcW w:w="1180" w:type="dxa"/>
            <w:vAlign w:val="bottom"/>
            <w:tcBorders>
              <w:right w:val="single" w:sz="8" w:color="auto"/>
            </w:tcBorders>
          </w:tcPr>
          <w:p>
            <w:pPr>
              <w:jc w:val="center"/>
              <w:ind w:left="126"/>
              <w:spacing w:after="0" w:line="124" w:lineRule="exact"/>
              <w:rPr>
                <w:sz w:val="20"/>
                <w:szCs w:val="20"/>
                <w:color w:val="auto"/>
              </w:rPr>
            </w:pPr>
            <w:r>
              <w:rPr>
                <w:rFonts w:ascii="Arial" w:cs="Arial" w:eastAsia="Arial" w:hAnsi="Arial"/>
                <w:sz w:val="11"/>
                <w:szCs w:val="11"/>
                <w:color w:val="auto"/>
                <w:w w:val="96"/>
              </w:rPr>
              <w:t>367.8%</w:t>
            </w:r>
          </w:p>
        </w:tc>
        <w:tc>
          <w:tcPr>
            <w:tcW w:w="1080" w:type="dxa"/>
            <w:vAlign w:val="bottom"/>
          </w:tcPr>
          <w:p>
            <w:pPr>
              <w:jc w:val="right"/>
              <w:ind w:right="166"/>
              <w:spacing w:after="0" w:line="124" w:lineRule="exact"/>
              <w:rPr>
                <w:sz w:val="20"/>
                <w:szCs w:val="20"/>
                <w:color w:val="auto"/>
              </w:rPr>
            </w:pPr>
            <w:r>
              <w:rPr>
                <w:rFonts w:ascii="Arial" w:cs="Arial" w:eastAsia="Arial" w:hAnsi="Arial"/>
                <w:sz w:val="11"/>
                <w:szCs w:val="11"/>
                <w:color w:val="auto"/>
              </w:rPr>
              <w:t>23,001</w:t>
            </w:r>
          </w:p>
        </w:tc>
        <w:tc>
          <w:tcPr>
            <w:tcW w:w="72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40,629</w:t>
            </w:r>
          </w:p>
        </w:tc>
        <w:tc>
          <w:tcPr>
            <w:tcW w:w="100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6"/>
              </w:rPr>
              <w:t>76.6%</w:t>
            </w:r>
          </w:p>
        </w:tc>
      </w:tr>
      <w:tr>
        <w:trPr>
          <w:trHeight w:val="124"/>
        </w:trPr>
        <w:tc>
          <w:tcPr>
            <w:tcW w:w="3860" w:type="dxa"/>
            <w:vAlign w:val="bottom"/>
            <w:tcBorders>
              <w:left w:val="single" w:sz="8" w:color="auto"/>
              <w:right w:val="single" w:sz="8" w:color="auto"/>
            </w:tcBorders>
          </w:tcPr>
          <w:p>
            <w:pPr>
              <w:ind w:left="160"/>
              <w:spacing w:after="0" w:line="124" w:lineRule="exact"/>
              <w:rPr>
                <w:sz w:val="20"/>
                <w:szCs w:val="20"/>
                <w:color w:val="auto"/>
              </w:rPr>
            </w:pPr>
            <w:r>
              <w:rPr>
                <w:rFonts w:ascii="Arial" w:cs="Arial" w:eastAsia="Arial" w:hAnsi="Arial"/>
                <w:sz w:val="11"/>
                <w:szCs w:val="11"/>
                <w:color w:val="auto"/>
              </w:rPr>
              <w:t>Net gain on sales of securities</w:t>
            </w:r>
          </w:p>
        </w:tc>
        <w:tc>
          <w:tcPr>
            <w:tcW w:w="1020" w:type="dxa"/>
            <w:vAlign w:val="bottom"/>
          </w:tcPr>
          <w:p>
            <w:pPr>
              <w:jc w:val="right"/>
              <w:ind w:right="86"/>
              <w:spacing w:after="0" w:line="124" w:lineRule="exact"/>
              <w:rPr>
                <w:sz w:val="20"/>
                <w:szCs w:val="20"/>
                <w:color w:val="auto"/>
              </w:rPr>
            </w:pPr>
            <w:r>
              <w:rPr>
                <w:rFonts w:ascii="Arial" w:cs="Arial" w:eastAsia="Arial" w:hAnsi="Arial"/>
                <w:sz w:val="11"/>
                <w:szCs w:val="11"/>
                <w:color w:val="auto"/>
              </w:rPr>
              <w:t>12,745</w:t>
            </w:r>
          </w:p>
        </w:tc>
        <w:tc>
          <w:tcPr>
            <w:tcW w:w="960" w:type="dxa"/>
            <w:vAlign w:val="bottom"/>
          </w:tcPr>
          <w:p>
            <w:pPr>
              <w:jc w:val="right"/>
              <w:ind w:right="106"/>
              <w:spacing w:after="0" w:line="124" w:lineRule="exact"/>
              <w:rPr>
                <w:sz w:val="20"/>
                <w:szCs w:val="20"/>
                <w:color w:val="auto"/>
              </w:rPr>
            </w:pPr>
            <w:r>
              <w:rPr>
                <w:rFonts w:ascii="Arial" w:cs="Arial" w:eastAsia="Arial" w:hAnsi="Arial"/>
                <w:sz w:val="11"/>
                <w:szCs w:val="11"/>
                <w:color w:val="auto"/>
              </w:rPr>
              <w:t>64,116</w:t>
            </w:r>
          </w:p>
        </w:tc>
        <w:tc>
          <w:tcPr>
            <w:tcW w:w="80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28,120</w:t>
            </w:r>
          </w:p>
        </w:tc>
        <w:tc>
          <w:tcPr>
            <w:tcW w:w="640" w:type="dxa"/>
            <w:vAlign w:val="bottom"/>
          </w:tcPr>
          <w:p>
            <w:pPr>
              <w:jc w:val="center"/>
              <w:ind w:left="166"/>
              <w:spacing w:after="0" w:line="124" w:lineRule="exact"/>
              <w:rPr>
                <w:sz w:val="20"/>
                <w:szCs w:val="20"/>
                <w:color w:val="auto"/>
              </w:rPr>
            </w:pPr>
            <w:r>
              <w:rPr>
                <w:rFonts w:ascii="Arial" w:cs="Arial" w:eastAsia="Arial" w:hAnsi="Arial"/>
                <w:sz w:val="11"/>
                <w:szCs w:val="11"/>
                <w:color w:val="auto"/>
                <w:w w:val="97"/>
              </w:rPr>
              <w:t>-56.1%</w:t>
            </w:r>
          </w:p>
        </w:tc>
        <w:tc>
          <w:tcPr>
            <w:tcW w:w="1180" w:type="dxa"/>
            <w:vAlign w:val="bottom"/>
            <w:tcBorders>
              <w:right w:val="single" w:sz="8" w:color="auto"/>
            </w:tcBorders>
          </w:tcPr>
          <w:p>
            <w:pPr>
              <w:jc w:val="center"/>
              <w:ind w:left="126"/>
              <w:spacing w:after="0" w:line="124" w:lineRule="exact"/>
              <w:rPr>
                <w:sz w:val="20"/>
                <w:szCs w:val="20"/>
                <w:color w:val="auto"/>
              </w:rPr>
            </w:pPr>
            <w:r>
              <w:rPr>
                <w:rFonts w:ascii="Arial" w:cs="Arial" w:eastAsia="Arial" w:hAnsi="Arial"/>
                <w:sz w:val="11"/>
                <w:szCs w:val="11"/>
                <w:color w:val="auto"/>
                <w:w w:val="96"/>
              </w:rPr>
              <w:t>120.6%</w:t>
            </w:r>
          </w:p>
        </w:tc>
        <w:tc>
          <w:tcPr>
            <w:tcW w:w="1080" w:type="dxa"/>
            <w:vAlign w:val="bottom"/>
          </w:tcPr>
          <w:p>
            <w:pPr>
              <w:jc w:val="right"/>
              <w:ind w:right="166"/>
              <w:spacing w:after="0" w:line="124" w:lineRule="exact"/>
              <w:rPr>
                <w:sz w:val="20"/>
                <w:szCs w:val="20"/>
                <w:color w:val="auto"/>
              </w:rPr>
            </w:pPr>
            <w:r>
              <w:rPr>
                <w:rFonts w:ascii="Arial" w:cs="Arial" w:eastAsia="Arial" w:hAnsi="Arial"/>
                <w:sz w:val="11"/>
                <w:szCs w:val="11"/>
                <w:color w:val="auto"/>
              </w:rPr>
              <w:t>8,035</w:t>
            </w:r>
          </w:p>
        </w:tc>
        <w:tc>
          <w:tcPr>
            <w:tcW w:w="72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144,138</w:t>
            </w:r>
          </w:p>
        </w:tc>
        <w:tc>
          <w:tcPr>
            <w:tcW w:w="100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7"/>
              </w:rPr>
              <w:t>N/A</w:t>
            </w:r>
          </w:p>
        </w:tc>
      </w:tr>
      <w:tr>
        <w:trPr>
          <w:trHeight w:val="124"/>
        </w:trPr>
        <w:tc>
          <w:tcPr>
            <w:tcW w:w="3860" w:type="dxa"/>
            <w:vAlign w:val="bottom"/>
            <w:tcBorders>
              <w:left w:val="single" w:sz="8" w:color="auto"/>
              <w:right w:val="single" w:sz="8" w:color="auto"/>
            </w:tcBorders>
          </w:tcPr>
          <w:p>
            <w:pPr>
              <w:ind w:left="160"/>
              <w:spacing w:after="0" w:line="124" w:lineRule="exact"/>
              <w:rPr>
                <w:sz w:val="20"/>
                <w:szCs w:val="20"/>
                <w:color w:val="auto"/>
              </w:rPr>
            </w:pPr>
            <w:r>
              <w:rPr>
                <w:rFonts w:ascii="Arial" w:cs="Arial" w:eastAsia="Arial" w:hAnsi="Arial"/>
                <w:sz w:val="11"/>
                <w:szCs w:val="11"/>
                <w:color w:val="auto"/>
              </w:rPr>
              <w:t>Derivative Result</w:t>
            </w:r>
          </w:p>
        </w:tc>
        <w:tc>
          <w:tcPr>
            <w:tcW w:w="1020" w:type="dxa"/>
            <w:vAlign w:val="bottom"/>
          </w:tcPr>
          <w:p>
            <w:pPr>
              <w:jc w:val="right"/>
              <w:ind w:right="86"/>
              <w:spacing w:after="0" w:line="124" w:lineRule="exact"/>
              <w:rPr>
                <w:sz w:val="20"/>
                <w:szCs w:val="20"/>
                <w:color w:val="auto"/>
              </w:rPr>
            </w:pPr>
            <w:r>
              <w:rPr>
                <w:rFonts w:ascii="Arial" w:cs="Arial" w:eastAsia="Arial" w:hAnsi="Arial"/>
                <w:sz w:val="11"/>
                <w:szCs w:val="11"/>
                <w:color w:val="auto"/>
              </w:rPr>
              <w:t>35,975</w:t>
            </w:r>
          </w:p>
        </w:tc>
        <w:tc>
          <w:tcPr>
            <w:tcW w:w="960" w:type="dxa"/>
            <w:vAlign w:val="bottom"/>
          </w:tcPr>
          <w:p>
            <w:pPr>
              <w:jc w:val="right"/>
              <w:ind w:right="106"/>
              <w:spacing w:after="0" w:line="124" w:lineRule="exact"/>
              <w:rPr>
                <w:sz w:val="20"/>
                <w:szCs w:val="20"/>
                <w:color w:val="auto"/>
              </w:rPr>
            </w:pPr>
            <w:r>
              <w:rPr>
                <w:rFonts w:ascii="Arial" w:cs="Arial" w:eastAsia="Arial" w:hAnsi="Arial"/>
                <w:sz w:val="11"/>
                <w:szCs w:val="11"/>
                <w:color w:val="auto"/>
              </w:rPr>
              <w:t>(21,679)</w:t>
            </w:r>
          </w:p>
        </w:tc>
        <w:tc>
          <w:tcPr>
            <w:tcW w:w="80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21,771</w:t>
            </w:r>
          </w:p>
        </w:tc>
        <w:tc>
          <w:tcPr>
            <w:tcW w:w="640" w:type="dxa"/>
            <w:vAlign w:val="bottom"/>
          </w:tcPr>
          <w:p>
            <w:pPr>
              <w:jc w:val="center"/>
              <w:ind w:left="146"/>
              <w:spacing w:after="0" w:line="124" w:lineRule="exact"/>
              <w:rPr>
                <w:sz w:val="20"/>
                <w:szCs w:val="20"/>
                <w:color w:val="auto"/>
              </w:rPr>
            </w:pPr>
            <w:r>
              <w:rPr>
                <w:rFonts w:ascii="Arial" w:cs="Arial" w:eastAsia="Arial" w:hAnsi="Arial"/>
                <w:sz w:val="11"/>
                <w:szCs w:val="11"/>
                <w:color w:val="auto"/>
                <w:w w:val="97"/>
              </w:rPr>
              <w:t>-200.4%</w:t>
            </w:r>
          </w:p>
        </w:tc>
        <w:tc>
          <w:tcPr>
            <w:tcW w:w="1180" w:type="dxa"/>
            <w:vAlign w:val="bottom"/>
            <w:tcBorders>
              <w:right w:val="single" w:sz="8" w:color="auto"/>
            </w:tcBorders>
          </w:tcPr>
          <w:p>
            <w:pPr>
              <w:jc w:val="center"/>
              <w:ind w:left="146"/>
              <w:spacing w:after="0" w:line="124" w:lineRule="exact"/>
              <w:rPr>
                <w:sz w:val="20"/>
                <w:szCs w:val="20"/>
                <w:color w:val="auto"/>
              </w:rPr>
            </w:pPr>
            <w:r>
              <w:rPr>
                <w:rFonts w:ascii="Arial" w:cs="Arial" w:eastAsia="Arial" w:hAnsi="Arial"/>
                <w:sz w:val="11"/>
                <w:szCs w:val="11"/>
                <w:color w:val="auto"/>
                <w:w w:val="97"/>
              </w:rPr>
              <w:t>-39.5%</w:t>
            </w:r>
          </w:p>
        </w:tc>
        <w:tc>
          <w:tcPr>
            <w:tcW w:w="1080" w:type="dxa"/>
            <w:vAlign w:val="bottom"/>
          </w:tcPr>
          <w:p>
            <w:pPr>
              <w:jc w:val="right"/>
              <w:ind w:right="166"/>
              <w:spacing w:after="0" w:line="124" w:lineRule="exact"/>
              <w:rPr>
                <w:sz w:val="20"/>
                <w:szCs w:val="20"/>
                <w:color w:val="auto"/>
              </w:rPr>
            </w:pPr>
            <w:r>
              <w:rPr>
                <w:rFonts w:ascii="Arial" w:cs="Arial" w:eastAsia="Arial" w:hAnsi="Arial"/>
                <w:sz w:val="11"/>
                <w:szCs w:val="11"/>
                <w:color w:val="auto"/>
              </w:rPr>
              <w:t>72,317</w:t>
            </w:r>
          </w:p>
        </w:tc>
        <w:tc>
          <w:tcPr>
            <w:tcW w:w="72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(28,766)</w:t>
            </w:r>
          </w:p>
        </w:tc>
        <w:tc>
          <w:tcPr>
            <w:tcW w:w="100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7"/>
              </w:rPr>
              <w:t>-139.8%</w:t>
            </w:r>
          </w:p>
        </w:tc>
      </w:tr>
      <w:tr>
        <w:trPr>
          <w:trHeight w:val="124"/>
        </w:trPr>
        <w:tc>
          <w:tcPr>
            <w:tcW w:w="3860" w:type="dxa"/>
            <w:vAlign w:val="bottom"/>
            <w:tcBorders>
              <w:left w:val="single" w:sz="8" w:color="auto"/>
              <w:right w:val="single" w:sz="8" w:color="auto"/>
            </w:tcBorders>
          </w:tcPr>
          <w:p>
            <w:pPr>
              <w:ind w:left="160"/>
              <w:spacing w:after="0" w:line="124" w:lineRule="exact"/>
              <w:rPr>
                <w:sz w:val="20"/>
                <w:szCs w:val="20"/>
                <w:color w:val="auto"/>
              </w:rPr>
            </w:pPr>
            <w:r>
              <w:rPr>
                <w:rFonts w:ascii="Arial" w:cs="Arial" w:eastAsia="Arial" w:hAnsi="Arial"/>
                <w:sz w:val="11"/>
                <w:szCs w:val="11"/>
                <w:color w:val="auto"/>
              </w:rPr>
              <w:t>Result from exposure to the exchange rate</w:t>
            </w:r>
          </w:p>
        </w:tc>
        <w:tc>
          <w:tcPr>
            <w:tcW w:w="1020" w:type="dxa"/>
            <w:vAlign w:val="bottom"/>
          </w:tcPr>
          <w:p>
            <w:pPr>
              <w:jc w:val="right"/>
              <w:ind w:right="86"/>
              <w:spacing w:after="0" w:line="124" w:lineRule="exact"/>
              <w:rPr>
                <w:sz w:val="20"/>
                <w:szCs w:val="20"/>
                <w:color w:val="auto"/>
              </w:rPr>
            </w:pPr>
            <w:r>
              <w:rPr>
                <w:rFonts w:ascii="Arial" w:cs="Arial" w:eastAsia="Arial" w:hAnsi="Arial"/>
                <w:sz w:val="11"/>
                <w:szCs w:val="11"/>
                <w:color w:val="auto"/>
              </w:rPr>
              <w:t>(15,651)</w:t>
            </w:r>
          </w:p>
        </w:tc>
        <w:tc>
          <w:tcPr>
            <w:tcW w:w="960" w:type="dxa"/>
            <w:vAlign w:val="bottom"/>
          </w:tcPr>
          <w:p>
            <w:pPr>
              <w:jc w:val="right"/>
              <w:ind w:right="106"/>
              <w:spacing w:after="0" w:line="124" w:lineRule="exact"/>
              <w:rPr>
                <w:sz w:val="20"/>
                <w:szCs w:val="20"/>
                <w:color w:val="auto"/>
              </w:rPr>
            </w:pPr>
            <w:r>
              <w:rPr>
                <w:rFonts w:ascii="Arial" w:cs="Arial" w:eastAsia="Arial" w:hAnsi="Arial"/>
                <w:sz w:val="11"/>
                <w:szCs w:val="11"/>
                <w:color w:val="auto"/>
              </w:rPr>
              <w:t>8,513</w:t>
            </w:r>
          </w:p>
        </w:tc>
        <w:tc>
          <w:tcPr>
            <w:tcW w:w="80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(7,650)</w:t>
            </w:r>
          </w:p>
        </w:tc>
        <w:tc>
          <w:tcPr>
            <w:tcW w:w="640" w:type="dxa"/>
            <w:vAlign w:val="bottom"/>
          </w:tcPr>
          <w:p>
            <w:pPr>
              <w:jc w:val="center"/>
              <w:ind w:left="146"/>
              <w:spacing w:after="0" w:line="124" w:lineRule="exact"/>
              <w:rPr>
                <w:sz w:val="20"/>
                <w:szCs w:val="20"/>
                <w:color w:val="auto"/>
              </w:rPr>
            </w:pPr>
            <w:r>
              <w:rPr>
                <w:rFonts w:ascii="Arial" w:cs="Arial" w:eastAsia="Arial" w:hAnsi="Arial"/>
                <w:sz w:val="11"/>
                <w:szCs w:val="11"/>
                <w:color w:val="auto"/>
                <w:w w:val="97"/>
              </w:rPr>
              <w:t>-189.9%</w:t>
            </w:r>
          </w:p>
        </w:tc>
        <w:tc>
          <w:tcPr>
            <w:tcW w:w="1180" w:type="dxa"/>
            <w:vAlign w:val="bottom"/>
            <w:tcBorders>
              <w:right w:val="single" w:sz="8" w:color="auto"/>
            </w:tcBorders>
          </w:tcPr>
          <w:p>
            <w:pPr>
              <w:jc w:val="center"/>
              <w:ind w:left="146"/>
              <w:spacing w:after="0" w:line="124" w:lineRule="exact"/>
              <w:rPr>
                <w:sz w:val="20"/>
                <w:szCs w:val="20"/>
                <w:color w:val="auto"/>
              </w:rPr>
            </w:pPr>
            <w:r>
              <w:rPr>
                <w:rFonts w:ascii="Arial" w:cs="Arial" w:eastAsia="Arial" w:hAnsi="Arial"/>
                <w:sz w:val="11"/>
                <w:szCs w:val="11"/>
                <w:color w:val="auto"/>
                <w:w w:val="97"/>
              </w:rPr>
              <w:t>-51.1%</w:t>
            </w:r>
          </w:p>
        </w:tc>
        <w:tc>
          <w:tcPr>
            <w:tcW w:w="1080" w:type="dxa"/>
            <w:vAlign w:val="bottom"/>
          </w:tcPr>
          <w:p>
            <w:pPr>
              <w:jc w:val="right"/>
              <w:ind w:right="166"/>
              <w:spacing w:after="0" w:line="124" w:lineRule="exact"/>
              <w:rPr>
                <w:sz w:val="20"/>
                <w:szCs w:val="20"/>
                <w:color w:val="auto"/>
              </w:rPr>
            </w:pPr>
            <w:r>
              <w:rPr>
                <w:rFonts w:ascii="Arial" w:cs="Arial" w:eastAsia="Arial" w:hAnsi="Arial"/>
                <w:sz w:val="11"/>
                <w:szCs w:val="11"/>
                <w:color w:val="auto"/>
              </w:rPr>
              <w:t>(33,319)</w:t>
            </w:r>
          </w:p>
        </w:tc>
        <w:tc>
          <w:tcPr>
            <w:tcW w:w="72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23,860</w:t>
            </w:r>
          </w:p>
        </w:tc>
        <w:tc>
          <w:tcPr>
            <w:tcW w:w="100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7"/>
              </w:rPr>
              <w:t>-171.6%</w:t>
            </w:r>
          </w:p>
        </w:tc>
      </w:tr>
      <w:tr>
        <w:trPr>
          <w:trHeight w:val="124"/>
        </w:trPr>
        <w:tc>
          <w:tcPr>
            <w:tcW w:w="3860" w:type="dxa"/>
            <w:vAlign w:val="bottom"/>
            <w:tcBorders>
              <w:left w:val="single" w:sz="8" w:color="auto"/>
              <w:right w:val="single" w:sz="8" w:color="auto"/>
            </w:tcBorders>
          </w:tcPr>
          <w:p>
            <w:pPr>
              <w:ind w:left="160"/>
              <w:spacing w:after="0" w:line="124" w:lineRule="exact"/>
              <w:rPr>
                <w:sz w:val="20"/>
                <w:szCs w:val="20"/>
                <w:color w:val="auto"/>
              </w:rPr>
            </w:pPr>
            <w:r>
              <w:rPr>
                <w:rFonts w:ascii="Arial" w:cs="Arial" w:eastAsia="Arial" w:hAnsi="Arial"/>
                <w:sz w:val="11"/>
                <w:szCs w:val="11"/>
                <w:color w:val="auto"/>
              </w:rPr>
              <w:t>Other income</w:t>
            </w:r>
          </w:p>
        </w:tc>
        <w:tc>
          <w:tcPr>
            <w:tcW w:w="1020" w:type="dxa"/>
            <w:vAlign w:val="bottom"/>
          </w:tcPr>
          <w:p>
            <w:pPr>
              <w:jc w:val="right"/>
              <w:ind w:right="86"/>
              <w:spacing w:after="0" w:line="124" w:lineRule="exact"/>
              <w:rPr>
                <w:sz w:val="20"/>
                <w:szCs w:val="20"/>
                <w:color w:val="auto"/>
              </w:rPr>
            </w:pPr>
            <w:r>
              <w:rPr>
                <w:rFonts w:ascii="Arial" w:cs="Arial" w:eastAsia="Arial" w:hAnsi="Arial"/>
                <w:sz w:val="11"/>
                <w:szCs w:val="11"/>
                <w:color w:val="auto"/>
              </w:rPr>
              <w:t>8,245</w:t>
            </w:r>
          </w:p>
        </w:tc>
        <w:tc>
          <w:tcPr>
            <w:tcW w:w="960" w:type="dxa"/>
            <w:vAlign w:val="bottom"/>
          </w:tcPr>
          <w:p>
            <w:pPr>
              <w:jc w:val="right"/>
              <w:ind w:right="106"/>
              <w:spacing w:after="0" w:line="124" w:lineRule="exact"/>
              <w:rPr>
                <w:sz w:val="20"/>
                <w:szCs w:val="20"/>
                <w:color w:val="auto"/>
              </w:rPr>
            </w:pPr>
            <w:r>
              <w:rPr>
                <w:rFonts w:ascii="Arial" w:cs="Arial" w:eastAsia="Arial" w:hAnsi="Arial"/>
                <w:sz w:val="11"/>
                <w:szCs w:val="11"/>
                <w:color w:val="auto"/>
              </w:rPr>
              <w:t>10,301</w:t>
            </w:r>
          </w:p>
        </w:tc>
        <w:tc>
          <w:tcPr>
            <w:tcW w:w="80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1,954</w:t>
            </w:r>
          </w:p>
        </w:tc>
        <w:tc>
          <w:tcPr>
            <w:tcW w:w="640" w:type="dxa"/>
            <w:vAlign w:val="bottom"/>
          </w:tcPr>
          <w:p>
            <w:pPr>
              <w:jc w:val="center"/>
              <w:ind w:left="166"/>
              <w:spacing w:after="0" w:line="124" w:lineRule="exact"/>
              <w:rPr>
                <w:sz w:val="20"/>
                <w:szCs w:val="20"/>
                <w:color w:val="auto"/>
              </w:rPr>
            </w:pPr>
            <w:r>
              <w:rPr>
                <w:rFonts w:ascii="Arial" w:cs="Arial" w:eastAsia="Arial" w:hAnsi="Arial"/>
                <w:sz w:val="11"/>
                <w:szCs w:val="11"/>
                <w:color w:val="auto"/>
                <w:w w:val="97"/>
              </w:rPr>
              <w:t>-81.0%</w:t>
            </w:r>
          </w:p>
        </w:tc>
        <w:tc>
          <w:tcPr>
            <w:tcW w:w="1180" w:type="dxa"/>
            <w:vAlign w:val="bottom"/>
            <w:tcBorders>
              <w:right w:val="single" w:sz="8" w:color="auto"/>
            </w:tcBorders>
          </w:tcPr>
          <w:p>
            <w:pPr>
              <w:jc w:val="center"/>
              <w:ind w:left="146"/>
              <w:spacing w:after="0" w:line="124" w:lineRule="exact"/>
              <w:rPr>
                <w:sz w:val="20"/>
                <w:szCs w:val="20"/>
                <w:color w:val="auto"/>
              </w:rPr>
            </w:pPr>
            <w:r>
              <w:rPr>
                <w:rFonts w:ascii="Arial" w:cs="Arial" w:eastAsia="Arial" w:hAnsi="Arial"/>
                <w:sz w:val="11"/>
                <w:szCs w:val="11"/>
                <w:color w:val="auto"/>
                <w:w w:val="97"/>
              </w:rPr>
              <w:t>-76.3%</w:t>
            </w:r>
          </w:p>
        </w:tc>
        <w:tc>
          <w:tcPr>
            <w:tcW w:w="1080" w:type="dxa"/>
            <w:vAlign w:val="bottom"/>
          </w:tcPr>
          <w:p>
            <w:pPr>
              <w:jc w:val="right"/>
              <w:ind w:right="166"/>
              <w:spacing w:after="0" w:line="124" w:lineRule="exact"/>
              <w:rPr>
                <w:sz w:val="20"/>
                <w:szCs w:val="20"/>
                <w:color w:val="auto"/>
              </w:rPr>
            </w:pPr>
            <w:r>
              <w:rPr>
                <w:rFonts w:ascii="Arial" w:cs="Arial" w:eastAsia="Arial" w:hAnsi="Arial"/>
                <w:sz w:val="11"/>
                <w:szCs w:val="11"/>
                <w:color w:val="auto"/>
              </w:rPr>
              <w:t>24,372</w:t>
            </w:r>
          </w:p>
        </w:tc>
        <w:tc>
          <w:tcPr>
            <w:tcW w:w="720" w:type="dxa"/>
            <w:vAlign w:val="bottom"/>
            <w:tcBorders>
              <w:right w:val="single" w:sz="8" w:color="auto"/>
            </w:tcBorders>
          </w:tcPr>
          <w:p>
            <w:pPr>
              <w:jc w:val="right"/>
              <w:spacing w:after="0" w:line="124" w:lineRule="exact"/>
              <w:rPr>
                <w:sz w:val="20"/>
                <w:szCs w:val="20"/>
                <w:color w:val="auto"/>
              </w:rPr>
            </w:pPr>
            <w:r>
              <w:rPr>
                <w:rFonts w:ascii="Arial" w:cs="Arial" w:eastAsia="Arial" w:hAnsi="Arial"/>
                <w:sz w:val="11"/>
                <w:szCs w:val="11"/>
                <w:color w:val="auto"/>
              </w:rPr>
              <w:t>20,054</w:t>
            </w:r>
          </w:p>
        </w:tc>
        <w:tc>
          <w:tcPr>
            <w:tcW w:w="1000" w:type="dxa"/>
            <w:vAlign w:val="bottom"/>
            <w:tcBorders>
              <w:right w:val="single" w:sz="8" w:color="auto"/>
            </w:tcBorders>
          </w:tcPr>
          <w:p>
            <w:pPr>
              <w:jc w:val="center"/>
              <w:spacing w:after="0" w:line="124" w:lineRule="exact"/>
              <w:rPr>
                <w:sz w:val="20"/>
                <w:szCs w:val="20"/>
                <w:color w:val="auto"/>
              </w:rPr>
            </w:pPr>
            <w:r>
              <w:rPr>
                <w:rFonts w:ascii="Arial" w:cs="Arial" w:eastAsia="Arial" w:hAnsi="Arial"/>
                <w:sz w:val="11"/>
                <w:szCs w:val="11"/>
                <w:color w:val="auto"/>
                <w:w w:val="97"/>
              </w:rPr>
              <w:t>-17.7%</w:t>
            </w:r>
          </w:p>
        </w:tc>
      </w:tr>
      <w:tr>
        <w:trPr>
          <w:trHeight w:val="130"/>
        </w:trPr>
        <w:tc>
          <w:tcPr>
            <w:tcW w:w="3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Operating expenses (1)</w:t>
            </w:r>
          </w:p>
        </w:tc>
        <w:tc>
          <w:tcPr>
            <w:tcW w:w="10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(159,294)</w:t>
            </w:r>
          </w:p>
        </w:tc>
        <w:tc>
          <w:tcPr>
            <w:tcW w:w="9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(167,982)</w:t>
            </w:r>
          </w:p>
        </w:tc>
        <w:tc>
          <w:tcPr>
            <w:tcW w:w="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(175,514)</w:t>
            </w:r>
          </w:p>
        </w:tc>
        <w:tc>
          <w:tcPr>
            <w:tcW w:w="640" w:type="dxa"/>
            <w:vAlign w:val="bottom"/>
            <w:tcBorders>
              <w:bottom w:val="single" w:sz="8" w:color="auto"/>
            </w:tcBorders>
          </w:tcPr>
          <w:p>
            <w:pPr>
              <w:jc w:val="center"/>
              <w:ind w:left="146"/>
              <w:spacing w:after="0"/>
              <w:rPr>
                <w:sz w:val="20"/>
                <w:szCs w:val="20"/>
                <w:color w:val="auto"/>
              </w:rPr>
            </w:pPr>
            <w:r>
              <w:rPr>
                <w:rFonts w:ascii="Arial" w:cs="Arial" w:eastAsia="Arial" w:hAnsi="Arial"/>
                <w:sz w:val="11"/>
                <w:szCs w:val="11"/>
                <w:color w:val="auto"/>
                <w:w w:val="95"/>
              </w:rPr>
              <w:t>4.5%</w:t>
            </w:r>
          </w:p>
        </w:tc>
        <w:tc>
          <w:tcPr>
            <w:tcW w:w="1180" w:type="dxa"/>
            <w:vAlign w:val="bottom"/>
            <w:tcBorders>
              <w:bottom w:val="single" w:sz="8" w:color="auto"/>
              <w:right w:val="single" w:sz="8" w:color="auto"/>
            </w:tcBorders>
          </w:tcPr>
          <w:p>
            <w:pPr>
              <w:jc w:val="center"/>
              <w:ind w:left="146"/>
              <w:spacing w:after="0"/>
              <w:rPr>
                <w:sz w:val="20"/>
                <w:szCs w:val="20"/>
                <w:color w:val="auto"/>
              </w:rPr>
            </w:pPr>
            <w:r>
              <w:rPr>
                <w:rFonts w:ascii="Arial" w:cs="Arial" w:eastAsia="Arial" w:hAnsi="Arial"/>
                <w:sz w:val="11"/>
                <w:szCs w:val="11"/>
                <w:color w:val="auto"/>
                <w:w w:val="96"/>
              </w:rPr>
              <w:t>10.2%</w:t>
            </w:r>
          </w:p>
        </w:tc>
        <w:tc>
          <w:tcPr>
            <w:tcW w:w="108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color w:val="auto"/>
              </w:rPr>
              <w:t>(482,429)</w:t>
            </w:r>
          </w:p>
        </w:tc>
        <w:tc>
          <w:tcPr>
            <w:tcW w:w="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(506,605)</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5.0%</w:t>
            </w:r>
          </w:p>
        </w:tc>
      </w:tr>
      <w:tr>
        <w:trPr>
          <w:trHeight w:val="116"/>
        </w:trPr>
        <w:tc>
          <w:tcPr>
            <w:tcW w:w="3860" w:type="dxa"/>
            <w:vAlign w:val="bottom"/>
            <w:tcBorders>
              <w:left w:val="single" w:sz="8" w:color="auto"/>
              <w:bottom w:val="single" w:sz="8" w:color="auto"/>
              <w:right w:val="single" w:sz="8" w:color="auto"/>
            </w:tcBorders>
          </w:tcPr>
          <w:p>
            <w:pPr>
              <w:ind w:left="20"/>
              <w:spacing w:after="0" w:line="116" w:lineRule="exact"/>
              <w:rPr>
                <w:sz w:val="20"/>
                <w:szCs w:val="20"/>
                <w:color w:val="auto"/>
              </w:rPr>
            </w:pPr>
            <w:r>
              <w:rPr>
                <w:rFonts w:ascii="Arial" w:cs="Arial" w:eastAsia="Arial" w:hAnsi="Arial"/>
                <w:sz w:val="11"/>
                <w:szCs w:val="11"/>
                <w:b w:val="1"/>
                <w:bCs w:val="1"/>
                <w:color w:val="auto"/>
              </w:rPr>
              <w:t>Operating income</w:t>
            </w:r>
          </w:p>
        </w:tc>
        <w:tc>
          <w:tcPr>
            <w:tcW w:w="1020" w:type="dxa"/>
            <w:vAlign w:val="bottom"/>
            <w:tcBorders>
              <w:bottom w:val="single" w:sz="8" w:color="auto"/>
            </w:tcBorders>
          </w:tcPr>
          <w:p>
            <w:pPr>
              <w:jc w:val="right"/>
              <w:ind w:right="86"/>
              <w:spacing w:after="0" w:line="116" w:lineRule="exact"/>
              <w:rPr>
                <w:sz w:val="20"/>
                <w:szCs w:val="20"/>
                <w:color w:val="auto"/>
              </w:rPr>
            </w:pPr>
            <w:r>
              <w:rPr>
                <w:rFonts w:ascii="Arial" w:cs="Arial" w:eastAsia="Arial" w:hAnsi="Arial"/>
                <w:sz w:val="11"/>
                <w:szCs w:val="11"/>
                <w:b w:val="1"/>
                <w:bCs w:val="1"/>
                <w:color w:val="auto"/>
              </w:rPr>
              <w:t>36,922</w:t>
            </w:r>
          </w:p>
        </w:tc>
        <w:tc>
          <w:tcPr>
            <w:tcW w:w="960" w:type="dxa"/>
            <w:vAlign w:val="bottom"/>
            <w:tcBorders>
              <w:bottom w:val="single" w:sz="8" w:color="auto"/>
            </w:tcBorders>
          </w:tcPr>
          <w:p>
            <w:pPr>
              <w:jc w:val="right"/>
              <w:ind w:right="106"/>
              <w:spacing w:after="0" w:line="116" w:lineRule="exact"/>
              <w:rPr>
                <w:sz w:val="20"/>
                <w:szCs w:val="20"/>
                <w:color w:val="auto"/>
              </w:rPr>
            </w:pPr>
            <w:r>
              <w:rPr>
                <w:rFonts w:ascii="Arial" w:cs="Arial" w:eastAsia="Arial" w:hAnsi="Arial"/>
                <w:sz w:val="11"/>
                <w:szCs w:val="11"/>
                <w:b w:val="1"/>
                <w:bCs w:val="1"/>
                <w:color w:val="auto"/>
              </w:rPr>
              <w:t>60,759</w:t>
            </w:r>
          </w:p>
        </w:tc>
        <w:tc>
          <w:tcPr>
            <w:tcW w:w="800" w:type="dxa"/>
            <w:vAlign w:val="bottom"/>
            <w:tcBorders>
              <w:bottom w:val="single" w:sz="8" w:color="auto"/>
              <w:right w:val="single" w:sz="8" w:color="auto"/>
            </w:tcBorders>
          </w:tcPr>
          <w:p>
            <w:pPr>
              <w:jc w:val="right"/>
              <w:spacing w:after="0" w:line="116" w:lineRule="exact"/>
              <w:rPr>
                <w:sz w:val="20"/>
                <w:szCs w:val="20"/>
                <w:color w:val="auto"/>
              </w:rPr>
            </w:pPr>
            <w:r>
              <w:rPr>
                <w:rFonts w:ascii="Arial" w:cs="Arial" w:eastAsia="Arial" w:hAnsi="Arial"/>
                <w:sz w:val="11"/>
                <w:szCs w:val="11"/>
                <w:b w:val="1"/>
                <w:bCs w:val="1"/>
                <w:color w:val="auto"/>
              </w:rPr>
              <w:t>27,575</w:t>
            </w:r>
          </w:p>
        </w:tc>
        <w:tc>
          <w:tcPr>
            <w:tcW w:w="640" w:type="dxa"/>
            <w:vAlign w:val="bottom"/>
            <w:tcBorders>
              <w:bottom w:val="single" w:sz="8" w:color="auto"/>
            </w:tcBorders>
          </w:tcPr>
          <w:p>
            <w:pPr>
              <w:jc w:val="center"/>
              <w:ind w:left="166"/>
              <w:spacing w:after="0" w:line="116" w:lineRule="exact"/>
              <w:rPr>
                <w:sz w:val="20"/>
                <w:szCs w:val="20"/>
                <w:color w:val="auto"/>
              </w:rPr>
            </w:pPr>
            <w:r>
              <w:rPr>
                <w:rFonts w:ascii="Arial" w:cs="Arial" w:eastAsia="Arial" w:hAnsi="Arial"/>
                <w:sz w:val="11"/>
                <w:szCs w:val="11"/>
                <w:b w:val="1"/>
                <w:bCs w:val="1"/>
                <w:color w:val="auto"/>
                <w:w w:val="97"/>
              </w:rPr>
              <w:t>-54.6%</w:t>
            </w:r>
          </w:p>
        </w:tc>
        <w:tc>
          <w:tcPr>
            <w:tcW w:w="1180" w:type="dxa"/>
            <w:vAlign w:val="bottom"/>
            <w:tcBorders>
              <w:bottom w:val="single" w:sz="8" w:color="auto"/>
              <w:right w:val="single" w:sz="8" w:color="auto"/>
            </w:tcBorders>
          </w:tcPr>
          <w:p>
            <w:pPr>
              <w:jc w:val="center"/>
              <w:ind w:left="146"/>
              <w:spacing w:after="0" w:line="116" w:lineRule="exact"/>
              <w:rPr>
                <w:sz w:val="20"/>
                <w:szCs w:val="20"/>
                <w:color w:val="auto"/>
              </w:rPr>
            </w:pPr>
            <w:r>
              <w:rPr>
                <w:rFonts w:ascii="Arial" w:cs="Arial" w:eastAsia="Arial" w:hAnsi="Arial"/>
                <w:sz w:val="11"/>
                <w:szCs w:val="11"/>
                <w:b w:val="1"/>
                <w:bCs w:val="1"/>
                <w:color w:val="auto"/>
                <w:w w:val="97"/>
              </w:rPr>
              <w:t>-25.3%</w:t>
            </w:r>
          </w:p>
        </w:tc>
        <w:tc>
          <w:tcPr>
            <w:tcW w:w="1080" w:type="dxa"/>
            <w:vAlign w:val="bottom"/>
            <w:tcBorders>
              <w:bottom w:val="single" w:sz="8" w:color="auto"/>
            </w:tcBorders>
          </w:tcPr>
          <w:p>
            <w:pPr>
              <w:jc w:val="right"/>
              <w:ind w:right="166"/>
              <w:spacing w:after="0" w:line="116" w:lineRule="exact"/>
              <w:rPr>
                <w:sz w:val="20"/>
                <w:szCs w:val="20"/>
                <w:color w:val="auto"/>
              </w:rPr>
            </w:pPr>
            <w:r>
              <w:rPr>
                <w:rFonts w:ascii="Arial" w:cs="Arial" w:eastAsia="Arial" w:hAnsi="Arial"/>
                <w:sz w:val="11"/>
                <w:szCs w:val="11"/>
                <w:b w:val="1"/>
                <w:bCs w:val="1"/>
                <w:color w:val="auto"/>
              </w:rPr>
              <w:t>78,700</w:t>
            </w:r>
          </w:p>
        </w:tc>
        <w:tc>
          <w:tcPr>
            <w:tcW w:w="720" w:type="dxa"/>
            <w:vAlign w:val="bottom"/>
            <w:tcBorders>
              <w:bottom w:val="single" w:sz="8" w:color="auto"/>
              <w:right w:val="single" w:sz="8" w:color="auto"/>
            </w:tcBorders>
          </w:tcPr>
          <w:p>
            <w:pPr>
              <w:jc w:val="right"/>
              <w:spacing w:after="0" w:line="116" w:lineRule="exact"/>
              <w:rPr>
                <w:sz w:val="20"/>
                <w:szCs w:val="20"/>
                <w:color w:val="auto"/>
              </w:rPr>
            </w:pPr>
            <w:r>
              <w:rPr>
                <w:rFonts w:ascii="Arial" w:cs="Arial" w:eastAsia="Arial" w:hAnsi="Arial"/>
                <w:sz w:val="11"/>
                <w:szCs w:val="11"/>
                <w:b w:val="1"/>
                <w:bCs w:val="1"/>
                <w:color w:val="auto"/>
              </w:rPr>
              <w:t>140,052</w:t>
            </w:r>
          </w:p>
        </w:tc>
        <w:tc>
          <w:tcPr>
            <w:tcW w:w="1000" w:type="dxa"/>
            <w:vAlign w:val="bottom"/>
            <w:tcBorders>
              <w:bottom w:val="single" w:sz="8" w:color="auto"/>
              <w:right w:val="single" w:sz="8" w:color="auto"/>
            </w:tcBorders>
          </w:tcPr>
          <w:p>
            <w:pPr>
              <w:jc w:val="center"/>
              <w:spacing w:after="0" w:line="116" w:lineRule="exact"/>
              <w:rPr>
                <w:sz w:val="20"/>
                <w:szCs w:val="20"/>
                <w:color w:val="auto"/>
              </w:rPr>
            </w:pPr>
            <w:r>
              <w:rPr>
                <w:rFonts w:ascii="Arial" w:cs="Arial" w:eastAsia="Arial" w:hAnsi="Arial"/>
                <w:sz w:val="11"/>
                <w:szCs w:val="11"/>
                <w:b w:val="1"/>
                <w:bCs w:val="1"/>
                <w:color w:val="auto"/>
                <w:w w:val="96"/>
              </w:rPr>
              <w:t>78.0%</w:t>
            </w:r>
          </w:p>
        </w:tc>
      </w:tr>
      <w:tr>
        <w:trPr>
          <w:trHeight w:val="110"/>
        </w:trPr>
        <w:tc>
          <w:tcPr>
            <w:tcW w:w="3860" w:type="dxa"/>
            <w:vAlign w:val="bottom"/>
            <w:tcBorders>
              <w:left w:val="single" w:sz="8" w:color="auto"/>
              <w:right w:val="single" w:sz="8" w:color="auto"/>
            </w:tcBorders>
          </w:tcPr>
          <w:p>
            <w:pPr>
              <w:ind w:left="20"/>
              <w:spacing w:after="0" w:line="110" w:lineRule="exact"/>
              <w:rPr>
                <w:sz w:val="20"/>
                <w:szCs w:val="20"/>
                <w:color w:val="auto"/>
              </w:rPr>
            </w:pPr>
            <w:r>
              <w:rPr>
                <w:rFonts w:ascii="Arial" w:cs="Arial" w:eastAsia="Arial" w:hAnsi="Arial"/>
                <w:sz w:val="11"/>
                <w:szCs w:val="11"/>
                <w:color w:val="auto"/>
              </w:rPr>
              <w:t>Income taxes</w:t>
            </w:r>
          </w:p>
        </w:tc>
        <w:tc>
          <w:tcPr>
            <w:tcW w:w="1020" w:type="dxa"/>
            <w:vAlign w:val="bottom"/>
          </w:tcPr>
          <w:p>
            <w:pPr>
              <w:jc w:val="right"/>
              <w:ind w:right="86"/>
              <w:spacing w:after="0" w:line="110" w:lineRule="exact"/>
              <w:rPr>
                <w:sz w:val="20"/>
                <w:szCs w:val="20"/>
                <w:color w:val="auto"/>
              </w:rPr>
            </w:pPr>
            <w:r>
              <w:rPr>
                <w:rFonts w:ascii="Arial" w:cs="Arial" w:eastAsia="Arial" w:hAnsi="Arial"/>
                <w:sz w:val="11"/>
                <w:szCs w:val="11"/>
                <w:color w:val="auto"/>
              </w:rPr>
              <w:t>(7,929)</w:t>
            </w:r>
          </w:p>
        </w:tc>
        <w:tc>
          <w:tcPr>
            <w:tcW w:w="960" w:type="dxa"/>
            <w:vAlign w:val="bottom"/>
          </w:tcPr>
          <w:p>
            <w:pPr>
              <w:jc w:val="right"/>
              <w:ind w:right="106"/>
              <w:spacing w:after="0" w:line="110" w:lineRule="exact"/>
              <w:rPr>
                <w:sz w:val="20"/>
                <w:szCs w:val="20"/>
                <w:color w:val="auto"/>
              </w:rPr>
            </w:pPr>
            <w:r>
              <w:rPr>
                <w:rFonts w:ascii="Arial" w:cs="Arial" w:eastAsia="Arial" w:hAnsi="Arial"/>
                <w:sz w:val="11"/>
                <w:szCs w:val="11"/>
                <w:color w:val="auto"/>
              </w:rPr>
              <w:t>(8,840)</w:t>
            </w:r>
          </w:p>
        </w:tc>
        <w:tc>
          <w:tcPr>
            <w:tcW w:w="800" w:type="dxa"/>
            <w:vAlign w:val="bottom"/>
            <w:tcBorders>
              <w:right w:val="single" w:sz="8" w:color="auto"/>
            </w:tcBorders>
          </w:tcPr>
          <w:p>
            <w:pPr>
              <w:jc w:val="right"/>
              <w:spacing w:after="0" w:line="110" w:lineRule="exact"/>
              <w:rPr>
                <w:sz w:val="20"/>
                <w:szCs w:val="20"/>
                <w:color w:val="auto"/>
              </w:rPr>
            </w:pPr>
            <w:r>
              <w:rPr>
                <w:rFonts w:ascii="Arial" w:cs="Arial" w:eastAsia="Arial" w:hAnsi="Arial"/>
                <w:sz w:val="11"/>
                <w:szCs w:val="11"/>
                <w:color w:val="auto"/>
              </w:rPr>
              <w:t>(4,937)</w:t>
            </w:r>
          </w:p>
        </w:tc>
        <w:tc>
          <w:tcPr>
            <w:tcW w:w="640" w:type="dxa"/>
            <w:vAlign w:val="bottom"/>
          </w:tcPr>
          <w:p>
            <w:pPr>
              <w:jc w:val="center"/>
              <w:ind w:left="166"/>
              <w:spacing w:after="0" w:line="110" w:lineRule="exact"/>
              <w:rPr>
                <w:sz w:val="20"/>
                <w:szCs w:val="20"/>
                <w:color w:val="auto"/>
              </w:rPr>
            </w:pPr>
            <w:r>
              <w:rPr>
                <w:rFonts w:ascii="Arial" w:cs="Arial" w:eastAsia="Arial" w:hAnsi="Arial"/>
                <w:sz w:val="11"/>
                <w:szCs w:val="11"/>
                <w:color w:val="auto"/>
                <w:w w:val="97"/>
              </w:rPr>
              <w:t>-44.2%</w:t>
            </w:r>
          </w:p>
        </w:tc>
        <w:tc>
          <w:tcPr>
            <w:tcW w:w="1180" w:type="dxa"/>
            <w:vAlign w:val="bottom"/>
            <w:tcBorders>
              <w:right w:val="single" w:sz="8" w:color="auto"/>
            </w:tcBorders>
          </w:tcPr>
          <w:p>
            <w:pPr>
              <w:jc w:val="center"/>
              <w:ind w:left="146"/>
              <w:spacing w:after="0" w:line="110" w:lineRule="exact"/>
              <w:rPr>
                <w:sz w:val="20"/>
                <w:szCs w:val="20"/>
                <w:color w:val="auto"/>
              </w:rPr>
            </w:pPr>
            <w:r>
              <w:rPr>
                <w:rFonts w:ascii="Arial" w:cs="Arial" w:eastAsia="Arial" w:hAnsi="Arial"/>
                <w:sz w:val="11"/>
                <w:szCs w:val="11"/>
                <w:color w:val="auto"/>
                <w:w w:val="97"/>
              </w:rPr>
              <w:t>-37.7%</w:t>
            </w:r>
          </w:p>
        </w:tc>
        <w:tc>
          <w:tcPr>
            <w:tcW w:w="1080" w:type="dxa"/>
            <w:vAlign w:val="bottom"/>
          </w:tcPr>
          <w:p>
            <w:pPr>
              <w:jc w:val="right"/>
              <w:ind w:right="166"/>
              <w:spacing w:after="0" w:line="110" w:lineRule="exact"/>
              <w:rPr>
                <w:sz w:val="20"/>
                <w:szCs w:val="20"/>
                <w:color w:val="auto"/>
              </w:rPr>
            </w:pPr>
            <w:r>
              <w:rPr>
                <w:rFonts w:ascii="Arial" w:cs="Arial" w:eastAsia="Arial" w:hAnsi="Arial"/>
                <w:sz w:val="11"/>
                <w:szCs w:val="11"/>
                <w:color w:val="auto"/>
              </w:rPr>
              <w:t>(9,204)</w:t>
            </w:r>
          </w:p>
        </w:tc>
        <w:tc>
          <w:tcPr>
            <w:tcW w:w="720" w:type="dxa"/>
            <w:vAlign w:val="bottom"/>
            <w:tcBorders>
              <w:right w:val="single" w:sz="8" w:color="auto"/>
            </w:tcBorders>
          </w:tcPr>
          <w:p>
            <w:pPr>
              <w:jc w:val="right"/>
              <w:spacing w:after="0" w:line="110" w:lineRule="exact"/>
              <w:rPr>
                <w:sz w:val="20"/>
                <w:szCs w:val="20"/>
                <w:color w:val="auto"/>
              </w:rPr>
            </w:pPr>
            <w:r>
              <w:rPr>
                <w:rFonts w:ascii="Arial" w:cs="Arial" w:eastAsia="Arial" w:hAnsi="Arial"/>
                <w:sz w:val="11"/>
                <w:szCs w:val="11"/>
                <w:color w:val="auto"/>
              </w:rPr>
              <w:t>(21,388)</w:t>
            </w:r>
          </w:p>
        </w:tc>
        <w:tc>
          <w:tcPr>
            <w:tcW w:w="1000" w:type="dxa"/>
            <w:vAlign w:val="bottom"/>
            <w:tcBorders>
              <w:right w:val="single" w:sz="8" w:color="auto"/>
            </w:tcBorders>
          </w:tcPr>
          <w:p>
            <w:pPr>
              <w:jc w:val="center"/>
              <w:spacing w:after="0" w:line="110" w:lineRule="exact"/>
              <w:rPr>
                <w:sz w:val="20"/>
                <w:szCs w:val="20"/>
                <w:color w:val="auto"/>
              </w:rPr>
            </w:pPr>
            <w:r>
              <w:rPr>
                <w:rFonts w:ascii="Arial" w:cs="Arial" w:eastAsia="Arial" w:hAnsi="Arial"/>
                <w:sz w:val="11"/>
                <w:szCs w:val="11"/>
                <w:color w:val="auto"/>
              </w:rPr>
              <w:t>132.4%</w:t>
            </w:r>
          </w:p>
        </w:tc>
      </w:tr>
      <w:tr>
        <w:trPr>
          <w:trHeight w:val="130"/>
        </w:trPr>
        <w:tc>
          <w:tcPr>
            <w:tcW w:w="38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color w:val="auto"/>
              </w:rPr>
              <w:t>Non-controlling interest</w:t>
            </w:r>
          </w:p>
        </w:tc>
        <w:tc>
          <w:tcPr>
            <w:tcW w:w="102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763</w:t>
            </w:r>
          </w:p>
        </w:tc>
        <w:tc>
          <w:tcPr>
            <w:tcW w:w="9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(1,681)</w:t>
            </w:r>
          </w:p>
        </w:tc>
        <w:tc>
          <w:tcPr>
            <w:tcW w:w="8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(3,281)</w:t>
            </w:r>
          </w:p>
        </w:tc>
        <w:tc>
          <w:tcPr>
            <w:tcW w:w="640" w:type="dxa"/>
            <w:vAlign w:val="bottom"/>
            <w:tcBorders>
              <w:bottom w:val="single" w:sz="8" w:color="auto"/>
            </w:tcBorders>
          </w:tcPr>
          <w:p>
            <w:pPr>
              <w:jc w:val="center"/>
              <w:ind w:left="166"/>
              <w:spacing w:after="0"/>
              <w:rPr>
                <w:sz w:val="20"/>
                <w:szCs w:val="20"/>
                <w:color w:val="auto"/>
              </w:rPr>
            </w:pPr>
            <w:r>
              <w:rPr>
                <w:rFonts w:ascii="Arial" w:cs="Arial" w:eastAsia="Arial" w:hAnsi="Arial"/>
                <w:sz w:val="11"/>
                <w:szCs w:val="11"/>
                <w:color w:val="auto"/>
                <w:w w:val="96"/>
              </w:rPr>
              <w:t>95.2%</w:t>
            </w:r>
          </w:p>
        </w:tc>
        <w:tc>
          <w:tcPr>
            <w:tcW w:w="1180" w:type="dxa"/>
            <w:vAlign w:val="bottom"/>
            <w:tcBorders>
              <w:bottom w:val="single" w:sz="8" w:color="auto"/>
              <w:right w:val="single" w:sz="8" w:color="auto"/>
            </w:tcBorders>
          </w:tcPr>
          <w:p>
            <w:pPr>
              <w:jc w:val="center"/>
              <w:ind w:left="126"/>
              <w:spacing w:after="0"/>
              <w:rPr>
                <w:sz w:val="20"/>
                <w:szCs w:val="20"/>
                <w:color w:val="auto"/>
              </w:rPr>
            </w:pPr>
            <w:r>
              <w:rPr>
                <w:rFonts w:ascii="Arial" w:cs="Arial" w:eastAsia="Arial" w:hAnsi="Arial"/>
                <w:sz w:val="11"/>
                <w:szCs w:val="11"/>
                <w:color w:val="auto"/>
                <w:w w:val="97"/>
              </w:rPr>
              <w:t>-530.0%</w:t>
            </w:r>
          </w:p>
        </w:tc>
        <w:tc>
          <w:tcPr>
            <w:tcW w:w="108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color w:val="auto"/>
              </w:rPr>
              <w:t>1,979</w:t>
            </w:r>
          </w:p>
        </w:tc>
        <w:tc>
          <w:tcPr>
            <w:tcW w:w="7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1"/>
                <w:szCs w:val="11"/>
                <w:color w:val="auto"/>
              </w:rPr>
              <w:t>(5,137)</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7"/>
              </w:rPr>
              <w:t>-359.6%</w:t>
            </w:r>
          </w:p>
        </w:tc>
      </w:tr>
      <w:tr>
        <w:trPr>
          <w:trHeight w:val="116"/>
        </w:trPr>
        <w:tc>
          <w:tcPr>
            <w:tcW w:w="3860" w:type="dxa"/>
            <w:vAlign w:val="bottom"/>
            <w:tcBorders>
              <w:left w:val="single" w:sz="8" w:color="auto"/>
              <w:bottom w:val="single" w:sz="8" w:color="auto"/>
              <w:right w:val="single" w:sz="8" w:color="auto"/>
            </w:tcBorders>
          </w:tcPr>
          <w:p>
            <w:pPr>
              <w:ind w:left="20"/>
              <w:spacing w:after="0" w:line="116" w:lineRule="exact"/>
              <w:rPr>
                <w:sz w:val="20"/>
                <w:szCs w:val="20"/>
                <w:color w:val="auto"/>
              </w:rPr>
            </w:pPr>
            <w:r>
              <w:rPr>
                <w:rFonts w:ascii="Arial" w:cs="Arial" w:eastAsia="Arial" w:hAnsi="Arial"/>
                <w:sz w:val="11"/>
                <w:szCs w:val="11"/>
                <w:b w:val="1"/>
                <w:bCs w:val="1"/>
                <w:color w:val="auto"/>
              </w:rPr>
              <w:t>Net income</w:t>
            </w:r>
          </w:p>
        </w:tc>
        <w:tc>
          <w:tcPr>
            <w:tcW w:w="1020" w:type="dxa"/>
            <w:vAlign w:val="bottom"/>
            <w:tcBorders>
              <w:bottom w:val="single" w:sz="8" w:color="auto"/>
            </w:tcBorders>
          </w:tcPr>
          <w:p>
            <w:pPr>
              <w:jc w:val="right"/>
              <w:ind w:right="86"/>
              <w:spacing w:after="0" w:line="116" w:lineRule="exact"/>
              <w:rPr>
                <w:sz w:val="20"/>
                <w:szCs w:val="20"/>
                <w:color w:val="auto"/>
              </w:rPr>
            </w:pPr>
            <w:r>
              <w:rPr>
                <w:rFonts w:ascii="Arial" w:cs="Arial" w:eastAsia="Arial" w:hAnsi="Arial"/>
                <w:sz w:val="11"/>
                <w:szCs w:val="11"/>
                <w:b w:val="1"/>
                <w:bCs w:val="1"/>
                <w:color w:val="auto"/>
              </w:rPr>
              <w:t>28,230</w:t>
            </w:r>
          </w:p>
        </w:tc>
        <w:tc>
          <w:tcPr>
            <w:tcW w:w="960" w:type="dxa"/>
            <w:vAlign w:val="bottom"/>
            <w:tcBorders>
              <w:bottom w:val="single" w:sz="8" w:color="auto"/>
            </w:tcBorders>
          </w:tcPr>
          <w:p>
            <w:pPr>
              <w:jc w:val="right"/>
              <w:ind w:right="106"/>
              <w:spacing w:after="0" w:line="116" w:lineRule="exact"/>
              <w:rPr>
                <w:sz w:val="20"/>
                <w:szCs w:val="20"/>
                <w:color w:val="auto"/>
              </w:rPr>
            </w:pPr>
            <w:r>
              <w:rPr>
                <w:rFonts w:ascii="Arial" w:cs="Arial" w:eastAsia="Arial" w:hAnsi="Arial"/>
                <w:sz w:val="11"/>
                <w:szCs w:val="11"/>
                <w:b w:val="1"/>
                <w:bCs w:val="1"/>
                <w:color w:val="auto"/>
              </w:rPr>
              <w:t>53,600</w:t>
            </w:r>
          </w:p>
        </w:tc>
        <w:tc>
          <w:tcPr>
            <w:tcW w:w="80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1"/>
                <w:szCs w:val="11"/>
                <w:b w:val="1"/>
                <w:bCs w:val="1"/>
                <w:color w:val="auto"/>
              </w:rPr>
              <w:t>25,919</w:t>
            </w:r>
          </w:p>
        </w:tc>
        <w:tc>
          <w:tcPr>
            <w:tcW w:w="640" w:type="dxa"/>
            <w:vAlign w:val="bottom"/>
            <w:tcBorders>
              <w:bottom w:val="single" w:sz="8" w:color="auto"/>
            </w:tcBorders>
          </w:tcPr>
          <w:p>
            <w:pPr>
              <w:jc w:val="right"/>
              <w:ind w:right="6"/>
              <w:spacing w:after="0" w:line="116" w:lineRule="exact"/>
              <w:rPr>
                <w:sz w:val="20"/>
                <w:szCs w:val="20"/>
                <w:color w:val="auto"/>
              </w:rPr>
            </w:pPr>
            <w:r>
              <w:rPr>
                <w:rFonts w:ascii="Arial" w:cs="Arial" w:eastAsia="Arial" w:hAnsi="Arial"/>
                <w:sz w:val="11"/>
                <w:szCs w:val="11"/>
                <w:b w:val="1"/>
                <w:bCs w:val="1"/>
                <w:color w:val="auto"/>
              </w:rPr>
              <w:t>-51.6%</w:t>
            </w:r>
          </w:p>
        </w:tc>
        <w:tc>
          <w:tcPr>
            <w:tcW w:w="1180" w:type="dxa"/>
            <w:vAlign w:val="bottom"/>
            <w:tcBorders>
              <w:bottom w:val="single" w:sz="8" w:color="auto"/>
              <w:right w:val="single" w:sz="8" w:color="auto"/>
            </w:tcBorders>
          </w:tcPr>
          <w:p>
            <w:pPr>
              <w:jc w:val="center"/>
              <w:ind w:left="126"/>
              <w:spacing w:after="0" w:line="116" w:lineRule="exact"/>
              <w:rPr>
                <w:sz w:val="20"/>
                <w:szCs w:val="20"/>
                <w:color w:val="auto"/>
              </w:rPr>
            </w:pPr>
            <w:r>
              <w:rPr>
                <w:rFonts w:ascii="Arial" w:cs="Arial" w:eastAsia="Arial" w:hAnsi="Arial"/>
                <w:sz w:val="11"/>
                <w:szCs w:val="11"/>
                <w:b w:val="1"/>
                <w:bCs w:val="1"/>
                <w:color w:val="auto"/>
                <w:w w:val="97"/>
              </w:rPr>
              <w:t>-8.2%</w:t>
            </w:r>
          </w:p>
        </w:tc>
        <w:tc>
          <w:tcPr>
            <w:tcW w:w="1080" w:type="dxa"/>
            <w:vAlign w:val="bottom"/>
            <w:tcBorders>
              <w:bottom w:val="single" w:sz="8" w:color="auto"/>
            </w:tcBorders>
          </w:tcPr>
          <w:p>
            <w:pPr>
              <w:jc w:val="right"/>
              <w:ind w:right="166"/>
              <w:spacing w:after="0" w:line="116" w:lineRule="exact"/>
              <w:rPr>
                <w:sz w:val="20"/>
                <w:szCs w:val="20"/>
                <w:color w:val="auto"/>
              </w:rPr>
            </w:pPr>
            <w:r>
              <w:rPr>
                <w:rFonts w:ascii="Arial" w:cs="Arial" w:eastAsia="Arial" w:hAnsi="Arial"/>
                <w:sz w:val="11"/>
                <w:szCs w:val="11"/>
                <w:b w:val="1"/>
                <w:bCs w:val="1"/>
                <w:color w:val="auto"/>
              </w:rPr>
              <w:t>67,517</w:t>
            </w:r>
          </w:p>
        </w:tc>
        <w:tc>
          <w:tcPr>
            <w:tcW w:w="720" w:type="dxa"/>
            <w:vAlign w:val="bottom"/>
            <w:tcBorders>
              <w:bottom w:val="single" w:sz="8" w:color="auto"/>
              <w:right w:val="single" w:sz="8" w:color="auto"/>
            </w:tcBorders>
          </w:tcPr>
          <w:p>
            <w:pPr>
              <w:jc w:val="right"/>
              <w:spacing w:after="0" w:line="116" w:lineRule="exact"/>
              <w:rPr>
                <w:sz w:val="20"/>
                <w:szCs w:val="20"/>
                <w:color w:val="auto"/>
              </w:rPr>
            </w:pPr>
            <w:r>
              <w:rPr>
                <w:rFonts w:ascii="Arial" w:cs="Arial" w:eastAsia="Arial" w:hAnsi="Arial"/>
                <w:sz w:val="11"/>
                <w:szCs w:val="11"/>
                <w:b w:val="1"/>
                <w:bCs w:val="1"/>
                <w:color w:val="auto"/>
              </w:rPr>
              <w:t>123,801</w:t>
            </w:r>
          </w:p>
        </w:tc>
        <w:tc>
          <w:tcPr>
            <w:tcW w:w="1000" w:type="dxa"/>
            <w:vAlign w:val="bottom"/>
            <w:tcBorders>
              <w:bottom w:val="single" w:sz="8" w:color="auto"/>
              <w:right w:val="single" w:sz="8" w:color="auto"/>
            </w:tcBorders>
          </w:tcPr>
          <w:p>
            <w:pPr>
              <w:jc w:val="center"/>
              <w:spacing w:after="0" w:line="116" w:lineRule="exact"/>
              <w:rPr>
                <w:sz w:val="20"/>
                <w:szCs w:val="20"/>
                <w:color w:val="auto"/>
              </w:rPr>
            </w:pPr>
            <w:r>
              <w:rPr>
                <w:rFonts w:ascii="Arial" w:cs="Arial" w:eastAsia="Arial" w:hAnsi="Arial"/>
                <w:sz w:val="11"/>
                <w:szCs w:val="11"/>
                <w:b w:val="1"/>
                <w:bCs w:val="1"/>
                <w:color w:val="auto"/>
                <w:w w:val="96"/>
              </w:rPr>
              <w:t>83.4%</w:t>
            </w:r>
          </w:p>
        </w:tc>
      </w:tr>
    </w:tbl>
    <w:p>
      <w:pPr>
        <w:spacing w:after="0" w:line="19" w:lineRule="exact"/>
        <w:rPr>
          <w:sz w:val="20"/>
          <w:szCs w:val="20"/>
          <w:color w:val="auto"/>
        </w:rPr>
      </w:pPr>
    </w:p>
    <w:p>
      <w:pPr>
        <w:ind w:left="301" w:hanging="301"/>
        <w:spacing w:after="0"/>
        <w:tabs>
          <w:tab w:leader="none" w:pos="301" w:val="left"/>
        </w:tabs>
        <w:numPr>
          <w:ilvl w:val="0"/>
          <w:numId w:val="74"/>
        </w:numPr>
        <w:rPr>
          <w:rFonts w:ascii="Arial" w:cs="Arial" w:eastAsia="Arial" w:hAnsi="Arial"/>
          <w:sz w:val="11"/>
          <w:szCs w:val="11"/>
          <w:color w:val="auto"/>
        </w:rPr>
      </w:pPr>
      <w:r>
        <w:rPr>
          <w:rFonts w:ascii="Arial" w:cs="Arial" w:eastAsia="Arial" w:hAnsi="Arial"/>
          <w:sz w:val="11"/>
          <w:szCs w:val="11"/>
          <w:color w:val="auto"/>
        </w:rPr>
        <w:t>Includes: Salaries and employee’s benefits + Administrative expenses + Assigned expenses + Depreciation and amortization + Tax and contributions + Other expenses.</w:t>
      </w:r>
    </w:p>
    <w:p>
      <w:pPr>
        <w:spacing w:after="0" w:line="32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43750" cy="1587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337" w:right="339" w:bottom="1440" w:gutter="0" w:footer="0" w:header="0"/>
        </w:sectPr>
      </w:pPr>
    </w:p>
    <w:bookmarkStart w:id="73" w:name="page74"/>
    <w:bookmarkEnd w:id="73"/>
    <w:p>
      <w:pPr>
        <w:ind w:left="2961"/>
        <w:spacing w:after="0"/>
        <w:tabs>
          <w:tab w:leader="none" w:pos="3141" w:val="left"/>
          <w:tab w:leader="none" w:pos="7701" w:val="left"/>
        </w:tabs>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202565</wp:posOffset>
            </wp:positionH>
            <wp:positionV relativeFrom="page">
              <wp:posOffset>88900</wp:posOffset>
            </wp:positionV>
            <wp:extent cx="7143750" cy="41592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3750" cy="415925"/>
                    </a:xfrm>
                    <a:prstGeom prst="rect">
                      <a:avLst/>
                    </a:prstGeom>
                    <a:noFill/>
                  </pic:spPr>
                </pic:pic>
              </a:graphicData>
            </a:graphic>
          </wp:anchor>
        </w:drawing>
        <w:t>|</w:t>
      </w:r>
      <w:r>
        <w:rPr>
          <w:sz w:val="20"/>
          <w:szCs w:val="20"/>
          <w:color w:val="auto"/>
        </w:rPr>
        <w:tab/>
      </w:r>
      <w:r>
        <w:rPr>
          <w:rFonts w:ascii="Arial" w:cs="Arial" w:eastAsia="Arial" w:hAnsi="Arial"/>
          <w:sz w:val="16"/>
          <w:szCs w:val="16"/>
          <w:b w:val="1"/>
          <w:bCs w:val="1"/>
          <w:color w:val="FFFFFF"/>
        </w:rPr>
        <w:t>Earnings Release 3Q / 2023</w:t>
      </w:r>
      <w:r>
        <w:rPr>
          <w:sz w:val="20"/>
          <w:szCs w:val="20"/>
          <w:color w:val="auto"/>
        </w:rPr>
        <w:tab/>
      </w:r>
      <w:r>
        <w:rPr>
          <w:rFonts w:ascii="Arial" w:cs="Arial" w:eastAsia="Arial" w:hAnsi="Arial"/>
          <w:sz w:val="18"/>
          <w:szCs w:val="18"/>
          <w:b w:val="1"/>
          <w:bCs w:val="1"/>
          <w:color w:val="E93CAC"/>
        </w:rPr>
        <w:t>Analysis of 3Q23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159385</wp:posOffset>
            </wp:positionV>
            <wp:extent cx="7143750" cy="2038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3750" cy="203835"/>
                    </a:xfrm>
                    <a:prstGeom prst="rect">
                      <a:avLst/>
                    </a:prstGeom>
                    <a:noFill/>
                  </pic:spPr>
                </pic:pic>
              </a:graphicData>
            </a:graphic>
          </wp:anchor>
        </w:drawing>
      </w:r>
    </w:p>
    <w:p>
      <w:pPr>
        <w:spacing w:after="0" w:line="251" w:lineRule="exact"/>
        <w:rPr>
          <w:sz w:val="20"/>
          <w:szCs w:val="20"/>
          <w:color w:val="auto"/>
        </w:rPr>
      </w:pPr>
    </w:p>
    <w:p>
      <w:pPr>
        <w:ind w:left="41"/>
        <w:spacing w:after="0"/>
        <w:rPr>
          <w:sz w:val="20"/>
          <w:szCs w:val="20"/>
          <w:color w:val="auto"/>
        </w:rPr>
      </w:pPr>
      <w:r>
        <w:rPr>
          <w:rFonts w:ascii="Arial" w:cs="Arial" w:eastAsia="Arial" w:hAnsi="Arial"/>
          <w:sz w:val="20"/>
          <w:szCs w:val="20"/>
          <w:b w:val="1"/>
          <w:bCs w:val="1"/>
          <w:color w:val="FFFFFF"/>
        </w:rPr>
        <w:t>12. Appendix</w:t>
      </w:r>
    </w:p>
    <w:p>
      <w:pPr>
        <w:spacing w:after="0" w:line="76"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12.7. Table of calculations</w:t>
      </w:r>
    </w:p>
    <w:p>
      <w:pPr>
        <w:spacing w:after="0" w:line="175" w:lineRule="exact"/>
        <w:rPr>
          <w:sz w:val="20"/>
          <w:szCs w:val="20"/>
          <w:color w:val="auto"/>
        </w:rPr>
      </w:pPr>
    </w:p>
    <w:tbl>
      <w:tblPr>
        <w:tblLayout w:type="fixed"/>
        <w:tblInd w:w="11" w:type="dxa"/>
        <w:tblCellMar>
          <w:top w:w="0" w:type="dxa"/>
          <w:left w:w="0" w:type="dxa"/>
          <w:bottom w:w="0" w:type="dxa"/>
          <w:right w:w="0" w:type="dxa"/>
        </w:tblCellMar>
      </w:tblPr>
      <w:tr>
        <w:trPr>
          <w:trHeight w:val="309"/>
        </w:trPr>
        <w:tc>
          <w:tcPr>
            <w:tcW w:w="1600" w:type="dxa"/>
            <w:vAlign w:val="bottom"/>
            <w:tcBorders>
              <w:top w:val="single" w:sz="8" w:color="auto"/>
              <w:left w:val="single" w:sz="8" w:color="auto"/>
              <w:bottom w:val="single" w:sz="8" w:color="auto"/>
              <w:right w:val="single" w:sz="8" w:color="33CCCC"/>
            </w:tcBorders>
            <w:shd w:val="clear" w:color="auto" w:fill="33CCCC"/>
          </w:tcPr>
          <w:p>
            <w:pPr>
              <w:spacing w:after="0"/>
              <w:rPr>
                <w:sz w:val="24"/>
                <w:szCs w:val="24"/>
                <w:color w:val="auto"/>
              </w:rPr>
            </w:pPr>
          </w:p>
        </w:tc>
        <w:tc>
          <w:tcPr>
            <w:tcW w:w="2520" w:type="dxa"/>
            <w:vAlign w:val="bottom"/>
            <w:tcBorders>
              <w:top w:val="single" w:sz="8" w:color="auto"/>
              <w:bottom w:val="single" w:sz="8" w:color="auto"/>
            </w:tcBorders>
            <w:shd w:val="clear" w:color="auto" w:fill="33CCCC"/>
          </w:tcPr>
          <w:p>
            <w:pPr>
              <w:spacing w:after="0"/>
              <w:rPr>
                <w:sz w:val="24"/>
                <w:szCs w:val="24"/>
                <w:color w:val="auto"/>
              </w:rPr>
            </w:pPr>
          </w:p>
        </w:tc>
        <w:tc>
          <w:tcPr>
            <w:tcW w:w="7140" w:type="dxa"/>
            <w:vAlign w:val="bottom"/>
            <w:tcBorders>
              <w:top w:val="single" w:sz="8" w:color="auto"/>
              <w:bottom w:val="single" w:sz="8" w:color="auto"/>
              <w:right w:val="single" w:sz="8" w:color="auto"/>
            </w:tcBorders>
            <w:gridSpan w:val="18"/>
            <w:shd w:val="clear" w:color="auto" w:fill="33CCCC"/>
          </w:tcPr>
          <w:p>
            <w:pPr>
              <w:ind w:left="780"/>
              <w:spacing w:after="0"/>
              <w:rPr>
                <w:sz w:val="20"/>
                <w:szCs w:val="20"/>
                <w:color w:val="auto"/>
              </w:rPr>
            </w:pPr>
            <w:r>
              <w:rPr>
                <w:rFonts w:ascii="Arial" w:cs="Arial" w:eastAsia="Arial" w:hAnsi="Arial"/>
                <w:sz w:val="13"/>
                <w:szCs w:val="13"/>
                <w:b w:val="1"/>
                <w:bCs w:val="1"/>
                <w:color w:val="FFFFFF"/>
              </w:rPr>
              <w:t xml:space="preserve">Table of calculations </w:t>
            </w:r>
            <w:r>
              <w:rPr>
                <w:rFonts w:ascii="Arial" w:cs="Arial" w:eastAsia="Arial" w:hAnsi="Arial"/>
                <w:sz w:val="21"/>
                <w:szCs w:val="21"/>
                <w:color w:val="FFFFFF"/>
                <w:vertAlign w:val="superscript"/>
              </w:rPr>
              <w:t>(1)</w:t>
            </w:r>
          </w:p>
        </w:tc>
        <w:tc>
          <w:tcPr>
            <w:tcW w:w="0" w:type="dxa"/>
            <w:vAlign w:val="bottom"/>
          </w:tcPr>
          <w:p>
            <w:pPr>
              <w:spacing w:after="0"/>
              <w:rPr>
                <w:sz w:val="1"/>
                <w:szCs w:val="1"/>
                <w:color w:val="auto"/>
              </w:rPr>
            </w:pPr>
          </w:p>
        </w:tc>
      </w:tr>
      <w:tr>
        <w:trPr>
          <w:trHeight w:val="238"/>
        </w:trPr>
        <w:tc>
          <w:tcPr>
            <w:tcW w:w="1600" w:type="dxa"/>
            <w:vAlign w:val="bottom"/>
            <w:tcBorders>
              <w:left w:val="single" w:sz="8" w:color="auto"/>
              <w:right w:val="single" w:sz="8" w:color="auto"/>
            </w:tcBorders>
          </w:tcPr>
          <w:p>
            <w:pPr>
              <w:spacing w:after="0"/>
              <w:rPr>
                <w:sz w:val="20"/>
                <w:szCs w:val="20"/>
                <w:color w:val="auto"/>
              </w:rPr>
            </w:pPr>
          </w:p>
        </w:tc>
        <w:tc>
          <w:tcPr>
            <w:tcW w:w="2520" w:type="dxa"/>
            <w:vAlign w:val="bottom"/>
          </w:tcPr>
          <w:p>
            <w:pPr>
              <w:ind w:left="60"/>
              <w:spacing w:after="0"/>
              <w:rPr>
                <w:sz w:val="20"/>
                <w:szCs w:val="20"/>
                <w:color w:val="auto"/>
              </w:rPr>
            </w:pPr>
            <w:r>
              <w:rPr>
                <w:rFonts w:ascii="Arial" w:cs="Arial" w:eastAsia="Arial" w:hAnsi="Arial"/>
                <w:sz w:val="13"/>
                <w:szCs w:val="13"/>
                <w:b w:val="1"/>
                <w:bCs w:val="1"/>
                <w:color w:val="auto"/>
              </w:rPr>
              <w:t>Net Interest Margin (NIM)</w:t>
            </w:r>
          </w:p>
        </w:tc>
        <w:tc>
          <w:tcPr>
            <w:tcW w:w="880" w:type="dxa"/>
            <w:vAlign w:val="bottom"/>
          </w:tcPr>
          <w:p>
            <w:pPr>
              <w:spacing w:after="0"/>
              <w:rPr>
                <w:sz w:val="20"/>
                <w:szCs w:val="20"/>
                <w:color w:val="auto"/>
              </w:rPr>
            </w:pPr>
          </w:p>
        </w:tc>
        <w:tc>
          <w:tcPr>
            <w:tcW w:w="6260" w:type="dxa"/>
            <w:vAlign w:val="bottom"/>
            <w:tcBorders>
              <w:right w:val="single" w:sz="8" w:color="auto"/>
            </w:tcBorders>
            <w:gridSpan w:val="17"/>
          </w:tcPr>
          <w:p>
            <w:pPr>
              <w:jc w:val="center"/>
              <w:ind w:right="980"/>
              <w:spacing w:after="0"/>
              <w:rPr>
                <w:sz w:val="20"/>
                <w:szCs w:val="20"/>
                <w:color w:val="auto"/>
              </w:rPr>
            </w:pPr>
            <w:r>
              <w:rPr>
                <w:rFonts w:ascii="Arial" w:cs="Arial" w:eastAsia="Arial" w:hAnsi="Arial"/>
                <w:sz w:val="13"/>
                <w:szCs w:val="13"/>
                <w:color w:val="auto"/>
              </w:rPr>
              <w:t>For further details on the new NIM calculation due to IFRS17, please refer to Annex 12.1</w:t>
            </w:r>
          </w:p>
        </w:tc>
        <w:tc>
          <w:tcPr>
            <w:tcW w:w="0" w:type="dxa"/>
            <w:vAlign w:val="bottom"/>
          </w:tcPr>
          <w:p>
            <w:pPr>
              <w:spacing w:after="0"/>
              <w:rPr>
                <w:sz w:val="1"/>
                <w:szCs w:val="1"/>
                <w:color w:val="auto"/>
              </w:rPr>
            </w:pPr>
          </w:p>
        </w:tc>
      </w:tr>
      <w:tr>
        <w:trPr>
          <w:trHeight w:val="51"/>
        </w:trPr>
        <w:tc>
          <w:tcPr>
            <w:tcW w:w="1600" w:type="dxa"/>
            <w:vAlign w:val="bottom"/>
            <w:tcBorders>
              <w:left w:val="single" w:sz="8" w:color="auto"/>
              <w:right w:val="single" w:sz="8" w:color="auto"/>
            </w:tcBorders>
          </w:tcPr>
          <w:p>
            <w:pPr>
              <w:spacing w:after="0"/>
              <w:rPr>
                <w:sz w:val="4"/>
                <w:szCs w:val="4"/>
                <w:color w:val="auto"/>
              </w:rPr>
            </w:pPr>
          </w:p>
        </w:tc>
        <w:tc>
          <w:tcPr>
            <w:tcW w:w="25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2520" w:type="dxa"/>
            <w:vAlign w:val="bottom"/>
          </w:tcPr>
          <w:p>
            <w:pPr>
              <w:ind w:left="60"/>
              <w:spacing w:after="0"/>
              <w:rPr>
                <w:sz w:val="20"/>
                <w:szCs w:val="20"/>
                <w:color w:val="auto"/>
              </w:rPr>
            </w:pPr>
            <w:r>
              <w:rPr>
                <w:rFonts w:ascii="Arial" w:cs="Arial" w:eastAsia="Arial" w:hAnsi="Arial"/>
                <w:sz w:val="13"/>
                <w:szCs w:val="13"/>
                <w:b w:val="1"/>
                <w:bCs w:val="1"/>
                <w:color w:val="auto"/>
              </w:rPr>
              <w:t>Risk-adjusted Net Interest</w:t>
            </w:r>
          </w:p>
        </w:tc>
        <w:tc>
          <w:tcPr>
            <w:tcW w:w="880" w:type="dxa"/>
            <w:vAlign w:val="bottom"/>
          </w:tcPr>
          <w:p>
            <w:pPr>
              <w:spacing w:after="0"/>
              <w:rPr>
                <w:sz w:val="17"/>
                <w:szCs w:val="17"/>
                <w:color w:val="auto"/>
              </w:rPr>
            </w:pPr>
          </w:p>
        </w:tc>
        <w:tc>
          <w:tcPr>
            <w:tcW w:w="6260" w:type="dxa"/>
            <w:vAlign w:val="bottom"/>
            <w:tcBorders>
              <w:right w:val="single" w:sz="8" w:color="auto"/>
            </w:tcBorders>
            <w:gridSpan w:val="17"/>
            <w:vMerge w:val="restart"/>
          </w:tcPr>
          <w:p>
            <w:pPr>
              <w:jc w:val="center"/>
              <w:ind w:right="980"/>
              <w:spacing w:after="0"/>
              <w:rPr>
                <w:sz w:val="20"/>
                <w:szCs w:val="20"/>
                <w:color w:val="auto"/>
              </w:rPr>
            </w:pPr>
            <w:r>
              <w:rPr>
                <w:rFonts w:ascii="Arial" w:cs="Arial" w:eastAsia="Arial" w:hAnsi="Arial"/>
                <w:sz w:val="13"/>
                <w:szCs w:val="13"/>
                <w:color w:val="auto"/>
              </w:rPr>
              <w:t>For further details on the new NIM calculation due to IFRS17, please refer to Annex 12.1</w:t>
            </w:r>
          </w:p>
        </w:tc>
        <w:tc>
          <w:tcPr>
            <w:tcW w:w="0" w:type="dxa"/>
            <w:vAlign w:val="bottom"/>
          </w:tcPr>
          <w:p>
            <w:pPr>
              <w:spacing w:after="0"/>
              <w:rPr>
                <w:sz w:val="1"/>
                <w:szCs w:val="1"/>
                <w:color w:val="auto"/>
              </w:rPr>
            </w:pPr>
          </w:p>
        </w:tc>
      </w:tr>
      <w:tr>
        <w:trPr>
          <w:trHeight w:val="99"/>
        </w:trPr>
        <w:tc>
          <w:tcPr>
            <w:tcW w:w="1600" w:type="dxa"/>
            <w:vAlign w:val="bottom"/>
            <w:tcBorders>
              <w:left w:val="single" w:sz="8" w:color="auto"/>
              <w:right w:val="single" w:sz="8" w:color="auto"/>
            </w:tcBorders>
          </w:tcPr>
          <w:p>
            <w:pPr>
              <w:spacing w:after="0"/>
              <w:rPr>
                <w:sz w:val="8"/>
                <w:szCs w:val="8"/>
                <w:color w:val="auto"/>
              </w:rPr>
            </w:pPr>
          </w:p>
        </w:tc>
        <w:tc>
          <w:tcPr>
            <w:tcW w:w="252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Margin (Risk-adjusted NIM)</w:t>
            </w:r>
          </w:p>
        </w:tc>
        <w:tc>
          <w:tcPr>
            <w:tcW w:w="880" w:type="dxa"/>
            <w:vAlign w:val="bottom"/>
          </w:tcPr>
          <w:p>
            <w:pPr>
              <w:spacing w:after="0"/>
              <w:rPr>
                <w:sz w:val="8"/>
                <w:szCs w:val="8"/>
                <w:color w:val="auto"/>
              </w:rPr>
            </w:pPr>
          </w:p>
        </w:tc>
        <w:tc>
          <w:tcPr>
            <w:tcW w:w="6260" w:type="dxa"/>
            <w:vAlign w:val="bottom"/>
            <w:tcBorders>
              <w:right w:val="single" w:sz="8" w:color="auto"/>
            </w:tcBorders>
            <w:gridSpan w:val="1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1600" w:type="dxa"/>
            <w:vAlign w:val="bottom"/>
            <w:tcBorders>
              <w:left w:val="single" w:sz="8" w:color="auto"/>
              <w:right w:val="single" w:sz="8" w:color="auto"/>
            </w:tcBorders>
          </w:tcPr>
          <w:p>
            <w:pPr>
              <w:spacing w:after="0"/>
              <w:rPr>
                <w:sz w:val="7"/>
                <w:szCs w:val="7"/>
                <w:color w:val="auto"/>
              </w:rPr>
            </w:pPr>
          </w:p>
        </w:tc>
        <w:tc>
          <w:tcPr>
            <w:tcW w:w="2520" w:type="dxa"/>
            <w:vAlign w:val="bottom"/>
            <w:vMerge w:val="continue"/>
          </w:tcPr>
          <w:p>
            <w:pPr>
              <w:spacing w:after="0"/>
              <w:rPr>
                <w:sz w:val="7"/>
                <w:szCs w:val="7"/>
                <w:color w:val="auto"/>
              </w:rPr>
            </w:pPr>
          </w:p>
        </w:tc>
        <w:tc>
          <w:tcPr>
            <w:tcW w:w="880" w:type="dxa"/>
            <w:vAlign w:val="bottom"/>
          </w:tcPr>
          <w:p>
            <w:pPr>
              <w:spacing w:after="0"/>
              <w:rPr>
                <w:sz w:val="7"/>
                <w:szCs w:val="7"/>
                <w:color w:val="auto"/>
              </w:rPr>
            </w:pPr>
          </w:p>
        </w:tc>
        <w:tc>
          <w:tcPr>
            <w:tcW w:w="8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1600" w:type="dxa"/>
            <w:vAlign w:val="bottom"/>
            <w:tcBorders>
              <w:left w:val="single" w:sz="8" w:color="auto"/>
              <w:right w:val="single" w:sz="8" w:color="auto"/>
            </w:tcBorders>
          </w:tcPr>
          <w:p>
            <w:pPr>
              <w:spacing w:after="0"/>
              <w:rPr>
                <w:sz w:val="4"/>
                <w:szCs w:val="4"/>
                <w:color w:val="auto"/>
              </w:rPr>
            </w:pPr>
          </w:p>
        </w:tc>
        <w:tc>
          <w:tcPr>
            <w:tcW w:w="25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260" w:type="dxa"/>
            <w:vAlign w:val="bottom"/>
            <w:tcBorders>
              <w:bottom w:val="single" w:sz="8" w:color="auto"/>
              <w:right w:val="single" w:sz="8" w:color="auto"/>
            </w:tcBorders>
            <w:gridSpan w:val="17"/>
          </w:tcPr>
          <w:p>
            <w:pPr>
              <w:spacing w:after="0"/>
              <w:rPr>
                <w:sz w:val="4"/>
                <w:szCs w:val="4"/>
                <w:color w:val="auto"/>
              </w:rPr>
            </w:pPr>
          </w:p>
        </w:tc>
        <w:tc>
          <w:tcPr>
            <w:tcW w:w="0" w:type="dxa"/>
            <w:vAlign w:val="bottom"/>
          </w:tcPr>
          <w:p>
            <w:pPr>
              <w:spacing w:after="0"/>
              <w:rPr>
                <w:sz w:val="1"/>
                <w:szCs w:val="1"/>
                <w:color w:val="auto"/>
              </w:rPr>
            </w:pPr>
          </w:p>
        </w:tc>
      </w:tr>
      <w:tr>
        <w:trPr>
          <w:trHeight w:val="211"/>
        </w:trPr>
        <w:tc>
          <w:tcPr>
            <w:tcW w:w="16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rPr>
              <w:t>Profitability</w:t>
            </w:r>
          </w:p>
        </w:tc>
        <w:tc>
          <w:tcPr>
            <w:tcW w:w="2520" w:type="dxa"/>
            <w:vAlign w:val="bottom"/>
          </w:tcPr>
          <w:p>
            <w:pPr>
              <w:ind w:left="60"/>
              <w:spacing w:after="0"/>
              <w:rPr>
                <w:sz w:val="20"/>
                <w:szCs w:val="20"/>
                <w:color w:val="auto"/>
              </w:rPr>
            </w:pPr>
            <w:r>
              <w:rPr>
                <w:rFonts w:ascii="Arial" w:cs="Arial" w:eastAsia="Arial" w:hAnsi="Arial"/>
                <w:sz w:val="13"/>
                <w:szCs w:val="13"/>
                <w:b w:val="1"/>
                <w:bCs w:val="1"/>
                <w:color w:val="auto"/>
              </w:rPr>
              <w:t>Funding cost</w:t>
            </w:r>
          </w:p>
        </w:tc>
        <w:tc>
          <w:tcPr>
            <w:tcW w:w="880" w:type="dxa"/>
            <w:vAlign w:val="bottom"/>
          </w:tcPr>
          <w:p>
            <w:pPr>
              <w:spacing w:after="0"/>
              <w:rPr>
                <w:sz w:val="18"/>
                <w:szCs w:val="18"/>
                <w:color w:val="auto"/>
              </w:rPr>
            </w:pPr>
          </w:p>
        </w:tc>
        <w:tc>
          <w:tcPr>
            <w:tcW w:w="6260" w:type="dxa"/>
            <w:vAlign w:val="bottom"/>
            <w:tcBorders>
              <w:right w:val="single" w:sz="8" w:color="auto"/>
            </w:tcBorders>
            <w:gridSpan w:val="17"/>
          </w:tcPr>
          <w:p>
            <w:pPr>
              <w:jc w:val="center"/>
              <w:ind w:right="980"/>
              <w:spacing w:after="0"/>
              <w:rPr>
                <w:sz w:val="20"/>
                <w:szCs w:val="20"/>
                <w:color w:val="auto"/>
              </w:rPr>
            </w:pPr>
            <w:r>
              <w:rPr>
                <w:rFonts w:ascii="Arial" w:cs="Arial" w:eastAsia="Arial" w:hAnsi="Arial"/>
                <w:sz w:val="13"/>
                <w:szCs w:val="13"/>
                <w:color w:val="auto"/>
              </w:rPr>
              <w:t>For further details on the new Funding cost calculation due to IFRS17, please refer to</w:t>
            </w:r>
          </w:p>
        </w:tc>
        <w:tc>
          <w:tcPr>
            <w:tcW w:w="0" w:type="dxa"/>
            <w:vAlign w:val="bottom"/>
          </w:tcPr>
          <w:p>
            <w:pPr>
              <w:spacing w:after="0"/>
              <w:rPr>
                <w:sz w:val="1"/>
                <w:szCs w:val="1"/>
                <w:color w:val="auto"/>
              </w:rPr>
            </w:pPr>
          </w:p>
        </w:tc>
      </w:tr>
      <w:tr>
        <w:trPr>
          <w:trHeight w:val="175"/>
        </w:trPr>
        <w:tc>
          <w:tcPr>
            <w:tcW w:w="1600" w:type="dxa"/>
            <w:vAlign w:val="bottom"/>
            <w:tcBorders>
              <w:left w:val="single" w:sz="8" w:color="auto"/>
              <w:right w:val="single" w:sz="8" w:color="auto"/>
            </w:tcBorders>
            <w:vMerge w:val="continue"/>
          </w:tcPr>
          <w:p>
            <w:pPr>
              <w:spacing w:after="0"/>
              <w:rPr>
                <w:sz w:val="15"/>
                <w:szCs w:val="15"/>
                <w:color w:val="auto"/>
              </w:rPr>
            </w:pPr>
          </w:p>
        </w:tc>
        <w:tc>
          <w:tcPr>
            <w:tcW w:w="25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320" w:type="dxa"/>
            <w:vAlign w:val="bottom"/>
            <w:tcBorders>
              <w:right w:val="single" w:sz="8" w:color="auto"/>
            </w:tcBorders>
            <w:gridSpan w:val="10"/>
          </w:tcPr>
          <w:p>
            <w:pPr>
              <w:jc w:val="center"/>
              <w:ind w:right="2900"/>
              <w:spacing w:after="0"/>
              <w:rPr>
                <w:sz w:val="20"/>
                <w:szCs w:val="20"/>
                <w:color w:val="auto"/>
              </w:rPr>
            </w:pPr>
            <w:r>
              <w:rPr>
                <w:rFonts w:ascii="Arial" w:cs="Arial" w:eastAsia="Arial" w:hAnsi="Arial"/>
                <w:sz w:val="13"/>
                <w:szCs w:val="13"/>
                <w:color w:val="auto"/>
              </w:rPr>
              <w:t>Annex 12.1</w:t>
            </w:r>
          </w:p>
        </w:tc>
        <w:tc>
          <w:tcPr>
            <w:tcW w:w="0" w:type="dxa"/>
            <w:vAlign w:val="bottom"/>
          </w:tcPr>
          <w:p>
            <w:pPr>
              <w:spacing w:after="0"/>
              <w:rPr>
                <w:sz w:val="1"/>
                <w:szCs w:val="1"/>
                <w:color w:val="auto"/>
              </w:rPr>
            </w:pPr>
          </w:p>
        </w:tc>
      </w:tr>
      <w:tr>
        <w:trPr>
          <w:trHeight w:val="51"/>
        </w:trPr>
        <w:tc>
          <w:tcPr>
            <w:tcW w:w="1600" w:type="dxa"/>
            <w:vAlign w:val="bottom"/>
            <w:tcBorders>
              <w:left w:val="single" w:sz="8" w:color="auto"/>
              <w:right w:val="single" w:sz="8" w:color="auto"/>
            </w:tcBorders>
          </w:tcPr>
          <w:p>
            <w:pPr>
              <w:spacing w:after="0"/>
              <w:rPr>
                <w:sz w:val="4"/>
                <w:szCs w:val="4"/>
                <w:color w:val="auto"/>
              </w:rPr>
            </w:pPr>
          </w:p>
        </w:tc>
        <w:tc>
          <w:tcPr>
            <w:tcW w:w="25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5380" w:type="dxa"/>
            <w:vAlign w:val="bottom"/>
            <w:tcBorders>
              <w:bottom w:val="single" w:sz="8" w:color="auto"/>
              <w:right w:val="single" w:sz="8" w:color="auto"/>
            </w:tcBorders>
            <w:gridSpan w:val="16"/>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1600" w:type="dxa"/>
            <w:vAlign w:val="bottom"/>
            <w:tcBorders>
              <w:left w:val="single" w:sz="8" w:color="auto"/>
              <w:right w:val="single" w:sz="8" w:color="auto"/>
            </w:tcBorders>
          </w:tcPr>
          <w:p>
            <w:pPr>
              <w:spacing w:after="0"/>
              <w:rPr>
                <w:sz w:val="18"/>
                <w:szCs w:val="18"/>
                <w:color w:val="auto"/>
              </w:rPr>
            </w:pPr>
          </w:p>
        </w:tc>
        <w:tc>
          <w:tcPr>
            <w:tcW w:w="2520" w:type="dxa"/>
            <w:vAlign w:val="bottom"/>
          </w:tcPr>
          <w:p>
            <w:pPr>
              <w:ind w:left="60"/>
              <w:spacing w:after="0"/>
              <w:rPr>
                <w:sz w:val="20"/>
                <w:szCs w:val="20"/>
                <w:color w:val="auto"/>
              </w:rPr>
            </w:pPr>
            <w:r>
              <w:rPr>
                <w:rFonts w:ascii="Arial" w:cs="Arial" w:eastAsia="Arial" w:hAnsi="Arial"/>
                <w:sz w:val="13"/>
                <w:szCs w:val="13"/>
                <w:b w:val="1"/>
                <w:bCs w:val="1"/>
                <w:color w:val="auto"/>
              </w:rPr>
              <w:t>Return on average assets</w:t>
            </w: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380" w:type="dxa"/>
            <w:vAlign w:val="bottom"/>
            <w:tcBorders>
              <w:right w:val="single" w:sz="8" w:color="auto"/>
            </w:tcBorders>
            <w:gridSpan w:val="16"/>
          </w:tcPr>
          <w:p>
            <w:pPr>
              <w:jc w:val="center"/>
              <w:ind w:right="1860"/>
              <w:spacing w:after="0"/>
              <w:rPr>
                <w:sz w:val="20"/>
                <w:szCs w:val="20"/>
                <w:color w:val="auto"/>
              </w:rPr>
            </w:pPr>
            <w:r>
              <w:rPr>
                <w:rFonts w:ascii="Arial" w:cs="Arial" w:eastAsia="Arial" w:hAnsi="Arial"/>
                <w:sz w:val="13"/>
                <w:szCs w:val="13"/>
                <w:color w:val="auto"/>
              </w:rPr>
              <w:t>Annualized Net Income attributable to Credicorp</w:t>
            </w:r>
          </w:p>
        </w:tc>
        <w:tc>
          <w:tcPr>
            <w:tcW w:w="0" w:type="dxa"/>
            <w:vAlign w:val="bottom"/>
          </w:tcPr>
          <w:p>
            <w:pPr>
              <w:spacing w:after="0"/>
              <w:rPr>
                <w:sz w:val="1"/>
                <w:szCs w:val="1"/>
                <w:color w:val="auto"/>
              </w:rPr>
            </w:pPr>
          </w:p>
        </w:tc>
      </w:tr>
      <w:tr>
        <w:trPr>
          <w:trHeight w:val="163"/>
        </w:trPr>
        <w:tc>
          <w:tcPr>
            <w:tcW w:w="1600" w:type="dxa"/>
            <w:vAlign w:val="bottom"/>
            <w:tcBorders>
              <w:left w:val="single" w:sz="8" w:color="auto"/>
              <w:right w:val="single" w:sz="8" w:color="auto"/>
            </w:tcBorders>
          </w:tcPr>
          <w:p>
            <w:pPr>
              <w:spacing w:after="0"/>
              <w:rPr>
                <w:sz w:val="14"/>
                <w:szCs w:val="14"/>
                <w:color w:val="auto"/>
              </w:rPr>
            </w:pPr>
          </w:p>
        </w:tc>
        <w:tc>
          <w:tcPr>
            <w:tcW w:w="2520" w:type="dxa"/>
            <w:vAlign w:val="bottom"/>
          </w:tcPr>
          <w:p>
            <w:pPr>
              <w:ind w:left="60"/>
              <w:spacing w:after="0"/>
              <w:rPr>
                <w:sz w:val="20"/>
                <w:szCs w:val="20"/>
                <w:color w:val="auto"/>
              </w:rPr>
            </w:pPr>
            <w:r>
              <w:rPr>
                <w:rFonts w:ascii="Arial" w:cs="Arial" w:eastAsia="Arial" w:hAnsi="Arial"/>
                <w:sz w:val="13"/>
                <w:szCs w:val="13"/>
                <w:b w:val="1"/>
                <w:bCs w:val="1"/>
                <w:color w:val="auto"/>
              </w:rPr>
              <w:t>(ROA)</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460" w:type="dxa"/>
            <w:vAlign w:val="bottom"/>
            <w:tcBorders>
              <w:top w:val="single" w:sz="8" w:color="auto"/>
            </w:tcBorders>
            <w:gridSpan w:val="7"/>
          </w:tcPr>
          <w:p>
            <w:pPr>
              <w:jc w:val="center"/>
              <w:ind w:right="1060"/>
              <w:spacing w:after="0"/>
              <w:rPr>
                <w:sz w:val="20"/>
                <w:szCs w:val="20"/>
                <w:color w:val="auto"/>
              </w:rPr>
            </w:pPr>
            <w:r>
              <w:rPr>
                <w:rFonts w:ascii="Arial" w:cs="Arial" w:eastAsia="Arial" w:hAnsi="Arial"/>
                <w:sz w:val="13"/>
                <w:szCs w:val="13"/>
                <w:color w:val="auto"/>
              </w:rPr>
              <w:t>Average Assets</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74"/>
        </w:trPr>
        <w:tc>
          <w:tcPr>
            <w:tcW w:w="1600" w:type="dxa"/>
            <w:vAlign w:val="bottom"/>
            <w:tcBorders>
              <w:left w:val="single" w:sz="8" w:color="auto"/>
              <w:right w:val="single" w:sz="8" w:color="auto"/>
            </w:tcBorders>
          </w:tcPr>
          <w:p>
            <w:pPr>
              <w:spacing w:after="0"/>
              <w:rPr>
                <w:sz w:val="23"/>
                <w:szCs w:val="23"/>
                <w:color w:val="auto"/>
              </w:rPr>
            </w:pPr>
          </w:p>
        </w:tc>
        <w:tc>
          <w:tcPr>
            <w:tcW w:w="2520" w:type="dxa"/>
            <w:vAlign w:val="bottom"/>
          </w:tcPr>
          <w:p>
            <w:pPr>
              <w:ind w:left="60"/>
              <w:spacing w:after="0"/>
              <w:rPr>
                <w:sz w:val="20"/>
                <w:szCs w:val="20"/>
                <w:color w:val="auto"/>
              </w:rPr>
            </w:pPr>
            <w:r>
              <w:rPr>
                <w:rFonts w:ascii="Arial" w:cs="Arial" w:eastAsia="Arial" w:hAnsi="Arial"/>
                <w:sz w:val="13"/>
                <w:szCs w:val="13"/>
                <w:b w:val="1"/>
                <w:bCs w:val="1"/>
                <w:color w:val="auto"/>
              </w:rPr>
              <w:t>Return on average equity</w:t>
            </w: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5380" w:type="dxa"/>
            <w:vAlign w:val="bottom"/>
            <w:tcBorders>
              <w:right w:val="single" w:sz="8" w:color="auto"/>
            </w:tcBorders>
            <w:gridSpan w:val="16"/>
          </w:tcPr>
          <w:p>
            <w:pPr>
              <w:jc w:val="center"/>
              <w:ind w:right="1860"/>
              <w:spacing w:after="0"/>
              <w:rPr>
                <w:sz w:val="20"/>
                <w:szCs w:val="20"/>
                <w:color w:val="auto"/>
              </w:rPr>
            </w:pPr>
            <w:r>
              <w:rPr>
                <w:rFonts w:ascii="Arial" w:cs="Arial" w:eastAsia="Arial" w:hAnsi="Arial"/>
                <w:sz w:val="13"/>
                <w:szCs w:val="13"/>
                <w:color w:val="auto"/>
              </w:rPr>
              <w:t>Annualized Net Income attributable to Credicorp</w:t>
            </w:r>
          </w:p>
        </w:tc>
        <w:tc>
          <w:tcPr>
            <w:tcW w:w="0" w:type="dxa"/>
            <w:vAlign w:val="bottom"/>
          </w:tcPr>
          <w:p>
            <w:pPr>
              <w:spacing w:after="0"/>
              <w:rPr>
                <w:sz w:val="1"/>
                <w:szCs w:val="1"/>
                <w:color w:val="auto"/>
              </w:rPr>
            </w:pPr>
          </w:p>
        </w:tc>
      </w:tr>
      <w:tr>
        <w:trPr>
          <w:trHeight w:val="163"/>
        </w:trPr>
        <w:tc>
          <w:tcPr>
            <w:tcW w:w="1600" w:type="dxa"/>
            <w:vAlign w:val="bottom"/>
            <w:tcBorders>
              <w:left w:val="single" w:sz="8" w:color="auto"/>
              <w:right w:val="single" w:sz="8" w:color="auto"/>
            </w:tcBorders>
          </w:tcPr>
          <w:p>
            <w:pPr>
              <w:spacing w:after="0"/>
              <w:rPr>
                <w:sz w:val="14"/>
                <w:szCs w:val="14"/>
                <w:color w:val="auto"/>
              </w:rPr>
            </w:pPr>
          </w:p>
        </w:tc>
        <w:tc>
          <w:tcPr>
            <w:tcW w:w="2520" w:type="dxa"/>
            <w:vAlign w:val="bottom"/>
          </w:tcPr>
          <w:p>
            <w:pPr>
              <w:ind w:left="60"/>
              <w:spacing w:after="0"/>
              <w:rPr>
                <w:sz w:val="20"/>
                <w:szCs w:val="20"/>
                <w:color w:val="auto"/>
              </w:rPr>
            </w:pPr>
            <w:r>
              <w:rPr>
                <w:rFonts w:ascii="Arial" w:cs="Arial" w:eastAsia="Arial" w:hAnsi="Arial"/>
                <w:sz w:val="13"/>
                <w:szCs w:val="13"/>
                <w:b w:val="1"/>
                <w:bCs w:val="1"/>
                <w:color w:val="auto"/>
              </w:rPr>
              <w:t>(ROE)</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460" w:type="dxa"/>
            <w:vAlign w:val="bottom"/>
            <w:tcBorders>
              <w:top w:val="single" w:sz="8" w:color="auto"/>
            </w:tcBorders>
            <w:gridSpan w:val="7"/>
          </w:tcPr>
          <w:p>
            <w:pPr>
              <w:jc w:val="center"/>
              <w:ind w:right="1040"/>
              <w:spacing w:after="0"/>
              <w:rPr>
                <w:sz w:val="20"/>
                <w:szCs w:val="20"/>
                <w:color w:val="auto"/>
              </w:rPr>
            </w:pPr>
            <w:r>
              <w:rPr>
                <w:rFonts w:ascii="Arial" w:cs="Arial" w:eastAsia="Arial" w:hAnsi="Arial"/>
                <w:sz w:val="13"/>
                <w:szCs w:val="13"/>
                <w:color w:val="auto"/>
              </w:rPr>
              <w:t>Average net equity</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16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320" w:type="dxa"/>
            <w:vAlign w:val="bottom"/>
            <w:tcBorders>
              <w:bottom w:val="single" w:sz="8" w:color="auto"/>
              <w:right w:val="single" w:sz="8" w:color="auto"/>
            </w:tcBorders>
            <w:gridSpan w:val="10"/>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1600" w:type="dxa"/>
            <w:vAlign w:val="bottom"/>
            <w:tcBorders>
              <w:left w:val="single" w:sz="8" w:color="auto"/>
              <w:right w:val="single" w:sz="8" w:color="auto"/>
            </w:tcBorders>
          </w:tcPr>
          <w:p>
            <w:pPr>
              <w:spacing w:after="0"/>
              <w:rPr>
                <w:sz w:val="18"/>
                <w:szCs w:val="18"/>
                <w:color w:val="auto"/>
              </w:rPr>
            </w:pPr>
          </w:p>
        </w:tc>
        <w:tc>
          <w:tcPr>
            <w:tcW w:w="2520" w:type="dxa"/>
            <w:vAlign w:val="bottom"/>
          </w:tcPr>
          <w:p>
            <w:pPr>
              <w:ind w:left="60"/>
              <w:spacing w:after="0"/>
              <w:rPr>
                <w:sz w:val="20"/>
                <w:szCs w:val="20"/>
                <w:color w:val="auto"/>
              </w:rPr>
            </w:pPr>
            <w:r>
              <w:rPr>
                <w:rFonts w:ascii="Arial" w:cs="Arial" w:eastAsia="Arial" w:hAnsi="Arial"/>
                <w:sz w:val="13"/>
                <w:szCs w:val="13"/>
                <w:b w:val="1"/>
                <w:bCs w:val="1"/>
                <w:color w:val="auto"/>
              </w:rPr>
              <w:t>Internal overdue ratio</w:t>
            </w: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320" w:type="dxa"/>
            <w:vAlign w:val="bottom"/>
            <w:tcBorders>
              <w:right w:val="single" w:sz="8" w:color="auto"/>
            </w:tcBorders>
            <w:gridSpan w:val="10"/>
          </w:tcPr>
          <w:p>
            <w:pPr>
              <w:jc w:val="center"/>
              <w:ind w:right="2900"/>
              <w:spacing w:after="0"/>
              <w:rPr>
                <w:sz w:val="20"/>
                <w:szCs w:val="20"/>
                <w:color w:val="auto"/>
              </w:rPr>
            </w:pPr>
            <w:r>
              <w:rPr>
                <w:rFonts w:ascii="Arial" w:cs="Arial" w:eastAsia="Arial" w:hAnsi="Arial"/>
                <w:sz w:val="13"/>
                <w:szCs w:val="13"/>
                <w:color w:val="auto"/>
              </w:rPr>
              <w:t>Internal overdue loans</w:t>
            </w:r>
          </w:p>
        </w:tc>
        <w:tc>
          <w:tcPr>
            <w:tcW w:w="0" w:type="dxa"/>
            <w:vAlign w:val="bottom"/>
          </w:tcPr>
          <w:p>
            <w:pPr>
              <w:spacing w:after="0"/>
              <w:rPr>
                <w:sz w:val="1"/>
                <w:szCs w:val="1"/>
                <w:color w:val="auto"/>
              </w:rPr>
            </w:pPr>
          </w:p>
        </w:tc>
      </w:tr>
      <w:tr>
        <w:trPr>
          <w:trHeight w:val="158"/>
        </w:trPr>
        <w:tc>
          <w:tcPr>
            <w:tcW w:w="1600" w:type="dxa"/>
            <w:vAlign w:val="bottom"/>
            <w:tcBorders>
              <w:left w:val="single" w:sz="8" w:color="auto"/>
              <w:right w:val="single" w:sz="8" w:color="auto"/>
            </w:tcBorders>
          </w:tcPr>
          <w:p>
            <w:pPr>
              <w:spacing w:after="0"/>
              <w:rPr>
                <w:sz w:val="13"/>
                <w:szCs w:val="13"/>
                <w:color w:val="auto"/>
              </w:rPr>
            </w:pPr>
          </w:p>
        </w:tc>
        <w:tc>
          <w:tcPr>
            <w:tcW w:w="2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gridSpan w:val="4"/>
          </w:tcPr>
          <w:p>
            <w:pPr>
              <w:jc w:val="center"/>
              <w:ind w:right="260"/>
              <w:spacing w:after="0"/>
              <w:rPr>
                <w:sz w:val="20"/>
                <w:szCs w:val="20"/>
                <w:color w:val="auto"/>
              </w:rPr>
            </w:pPr>
            <w:r>
              <w:rPr>
                <w:rFonts w:ascii="Arial" w:cs="Arial" w:eastAsia="Arial" w:hAnsi="Arial"/>
                <w:sz w:val="13"/>
                <w:szCs w:val="13"/>
                <w:color w:val="auto"/>
                <w:w w:val="97"/>
              </w:rPr>
              <w:t>Total loans</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00" w:type="dxa"/>
            <w:vAlign w:val="bottom"/>
            <w:gridSpan w:val="2"/>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1600" w:type="dxa"/>
            <w:vAlign w:val="bottom"/>
            <w:tcBorders>
              <w:left w:val="single" w:sz="8" w:color="auto"/>
              <w:right w:val="single" w:sz="8" w:color="auto"/>
            </w:tcBorders>
          </w:tcPr>
          <w:p>
            <w:pPr>
              <w:spacing w:after="0"/>
              <w:rPr>
                <w:sz w:val="24"/>
                <w:szCs w:val="24"/>
                <w:color w:val="auto"/>
              </w:rPr>
            </w:pPr>
          </w:p>
        </w:tc>
        <w:tc>
          <w:tcPr>
            <w:tcW w:w="2520" w:type="dxa"/>
            <w:vAlign w:val="bottom"/>
          </w:tcPr>
          <w:p>
            <w:pPr>
              <w:ind w:left="60"/>
              <w:spacing w:after="0"/>
              <w:rPr>
                <w:sz w:val="20"/>
                <w:szCs w:val="20"/>
                <w:color w:val="auto"/>
              </w:rPr>
            </w:pPr>
            <w:r>
              <w:rPr>
                <w:rFonts w:ascii="Arial" w:cs="Arial" w:eastAsia="Arial" w:hAnsi="Arial"/>
                <w:sz w:val="13"/>
                <w:szCs w:val="13"/>
                <w:b w:val="1"/>
                <w:bCs w:val="1"/>
                <w:color w:val="auto"/>
              </w:rPr>
              <w:t>Non – performing loans ratio</w:t>
            </w: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960" w:type="dxa"/>
            <w:vAlign w:val="bottom"/>
            <w:tcBorders>
              <w:right w:val="single" w:sz="8" w:color="auto"/>
            </w:tcBorders>
            <w:gridSpan w:val="15"/>
          </w:tcPr>
          <w:p>
            <w:pPr>
              <w:jc w:val="center"/>
              <w:ind w:right="2280"/>
              <w:spacing w:after="0"/>
              <w:rPr>
                <w:sz w:val="20"/>
                <w:szCs w:val="20"/>
                <w:color w:val="auto"/>
              </w:rPr>
            </w:pPr>
            <w:r>
              <w:rPr>
                <w:rFonts w:ascii="Arial" w:cs="Arial" w:eastAsia="Arial" w:hAnsi="Arial"/>
                <w:sz w:val="13"/>
                <w:szCs w:val="13"/>
                <w:color w:val="auto"/>
              </w:rPr>
              <w:t>(Internal overdue loans + Refinanced loans)</w:t>
            </w:r>
          </w:p>
        </w:tc>
        <w:tc>
          <w:tcPr>
            <w:tcW w:w="0" w:type="dxa"/>
            <w:vAlign w:val="bottom"/>
          </w:tcPr>
          <w:p>
            <w:pPr>
              <w:spacing w:after="0"/>
              <w:rPr>
                <w:sz w:val="1"/>
                <w:szCs w:val="1"/>
                <w:color w:val="auto"/>
              </w:rPr>
            </w:pPr>
          </w:p>
        </w:tc>
      </w:tr>
      <w:tr>
        <w:trPr>
          <w:trHeight w:val="163"/>
        </w:trPr>
        <w:tc>
          <w:tcPr>
            <w:tcW w:w="1600" w:type="dxa"/>
            <w:vAlign w:val="bottom"/>
            <w:tcBorders>
              <w:left w:val="single" w:sz="8" w:color="auto"/>
              <w:right w:val="single" w:sz="8" w:color="auto"/>
            </w:tcBorders>
          </w:tcPr>
          <w:p>
            <w:pPr>
              <w:spacing w:after="0"/>
              <w:rPr>
                <w:sz w:val="14"/>
                <w:szCs w:val="14"/>
                <w:color w:val="auto"/>
              </w:rPr>
            </w:pPr>
          </w:p>
        </w:tc>
        <w:tc>
          <w:tcPr>
            <w:tcW w:w="2520" w:type="dxa"/>
            <w:vAlign w:val="bottom"/>
          </w:tcPr>
          <w:p>
            <w:pPr>
              <w:ind w:left="60"/>
              <w:spacing w:after="0"/>
              <w:rPr>
                <w:sz w:val="20"/>
                <w:szCs w:val="20"/>
                <w:color w:val="auto"/>
              </w:rPr>
            </w:pPr>
            <w:r>
              <w:rPr>
                <w:rFonts w:ascii="Arial" w:cs="Arial" w:eastAsia="Arial" w:hAnsi="Arial"/>
                <w:sz w:val="13"/>
                <w:szCs w:val="13"/>
                <w:b w:val="1"/>
                <w:bCs w:val="1"/>
                <w:color w:val="auto"/>
              </w:rPr>
              <w:t>(NPL ratio)</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040" w:type="dxa"/>
            <w:vAlign w:val="bottom"/>
            <w:tcBorders>
              <w:top w:val="single" w:sz="8" w:color="auto"/>
            </w:tcBorders>
            <w:gridSpan w:val="6"/>
          </w:tcPr>
          <w:p>
            <w:pPr>
              <w:jc w:val="center"/>
              <w:ind w:right="620"/>
              <w:spacing w:after="0"/>
              <w:rPr>
                <w:sz w:val="20"/>
                <w:szCs w:val="20"/>
                <w:color w:val="auto"/>
              </w:rPr>
            </w:pPr>
            <w:r>
              <w:rPr>
                <w:rFonts w:ascii="Arial" w:cs="Arial" w:eastAsia="Arial" w:hAnsi="Arial"/>
                <w:sz w:val="13"/>
                <w:szCs w:val="13"/>
                <w:color w:val="auto"/>
                <w:w w:val="97"/>
              </w:rPr>
              <w:t>Total loans</w:t>
            </w:r>
          </w:p>
        </w:tc>
        <w:tc>
          <w:tcPr>
            <w:tcW w:w="1300" w:type="dxa"/>
            <w:vAlign w:val="bottom"/>
            <w:gridSpan w:val="2"/>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1600" w:type="dxa"/>
            <w:vAlign w:val="bottom"/>
            <w:tcBorders>
              <w:left w:val="single" w:sz="8" w:color="auto"/>
              <w:right w:val="single" w:sz="8" w:color="auto"/>
            </w:tcBorders>
          </w:tcPr>
          <w:p>
            <w:pPr>
              <w:spacing w:after="0"/>
              <w:rPr>
                <w:sz w:val="4"/>
                <w:szCs w:val="4"/>
                <w:color w:val="auto"/>
              </w:rPr>
            </w:pPr>
          </w:p>
        </w:tc>
        <w:tc>
          <w:tcPr>
            <w:tcW w:w="25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520" w:type="dxa"/>
            <w:vAlign w:val="bottom"/>
            <w:tcBorders>
              <w:bottom w:val="single" w:sz="8" w:color="auto"/>
              <w:right w:val="single" w:sz="8" w:color="auto"/>
            </w:tcBorders>
            <w:gridSpan w:val="12"/>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16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rPr>
              <w:t>Portfolio quality</w:t>
            </w:r>
          </w:p>
        </w:tc>
        <w:tc>
          <w:tcPr>
            <w:tcW w:w="2520" w:type="dxa"/>
            <w:vAlign w:val="bottom"/>
          </w:tcPr>
          <w:p>
            <w:pPr>
              <w:ind w:left="60"/>
              <w:spacing w:after="0"/>
              <w:rPr>
                <w:sz w:val="20"/>
                <w:szCs w:val="20"/>
                <w:color w:val="auto"/>
              </w:rPr>
            </w:pPr>
            <w:r>
              <w:rPr>
                <w:rFonts w:ascii="Arial" w:cs="Arial" w:eastAsia="Arial" w:hAnsi="Arial"/>
                <w:sz w:val="13"/>
                <w:szCs w:val="13"/>
                <w:b w:val="1"/>
                <w:bCs w:val="1"/>
                <w:color w:val="auto"/>
              </w:rPr>
              <w:t>Coverage ratio of internal</w:t>
            </w: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7"/>
          </w:tcPr>
          <w:p>
            <w:pPr>
              <w:jc w:val="center"/>
              <w:ind w:right="160"/>
              <w:spacing w:after="0"/>
              <w:rPr>
                <w:sz w:val="20"/>
                <w:szCs w:val="20"/>
                <w:color w:val="auto"/>
              </w:rPr>
            </w:pPr>
            <w:r>
              <w:rPr>
                <w:rFonts w:ascii="Arial" w:cs="Arial" w:eastAsia="Arial" w:hAnsi="Arial"/>
                <w:sz w:val="13"/>
                <w:szCs w:val="13"/>
                <w:color w:val="auto"/>
              </w:rPr>
              <w:t>Allowance for loans losses</w:t>
            </w:r>
          </w:p>
        </w:tc>
        <w:tc>
          <w:tcPr>
            <w:tcW w:w="2560" w:type="dxa"/>
            <w:vAlign w:val="bottom"/>
            <w:tcBorders>
              <w:right w:val="single" w:sz="8" w:color="auto"/>
            </w:tcBorders>
            <w:gridSpan w:val="5"/>
          </w:tcPr>
          <w:p>
            <w:pPr>
              <w:spacing w:after="0"/>
              <w:rPr>
                <w:sz w:val="18"/>
                <w:szCs w:val="18"/>
                <w:color w:val="auto"/>
              </w:rPr>
            </w:pPr>
          </w:p>
        </w:tc>
        <w:tc>
          <w:tcPr>
            <w:tcW w:w="0" w:type="dxa"/>
            <w:vAlign w:val="bottom"/>
          </w:tcPr>
          <w:p>
            <w:pPr>
              <w:spacing w:after="0"/>
              <w:rPr>
                <w:sz w:val="1"/>
                <w:szCs w:val="1"/>
                <w:color w:val="auto"/>
              </w:rPr>
            </w:pPr>
          </w:p>
        </w:tc>
      </w:tr>
      <w:tr>
        <w:trPr>
          <w:trHeight w:val="77"/>
        </w:trPr>
        <w:tc>
          <w:tcPr>
            <w:tcW w:w="1600" w:type="dxa"/>
            <w:vAlign w:val="bottom"/>
            <w:tcBorders>
              <w:left w:val="single" w:sz="8" w:color="auto"/>
              <w:right w:val="single" w:sz="8" w:color="auto"/>
            </w:tcBorders>
            <w:vMerge w:val="continue"/>
          </w:tcPr>
          <w:p>
            <w:pPr>
              <w:spacing w:after="0"/>
              <w:rPr>
                <w:sz w:val="6"/>
                <w:szCs w:val="6"/>
                <w:color w:val="auto"/>
              </w:rPr>
            </w:pPr>
          </w:p>
        </w:tc>
        <w:tc>
          <w:tcPr>
            <w:tcW w:w="252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overdue loans</w:t>
            </w:r>
          </w:p>
        </w:tc>
        <w:tc>
          <w:tcPr>
            <w:tcW w:w="880" w:type="dxa"/>
            <w:vAlign w:val="bottom"/>
          </w:tcPr>
          <w:p>
            <w:pPr>
              <w:spacing w:after="0"/>
              <w:rPr>
                <w:sz w:val="6"/>
                <w:szCs w:val="6"/>
                <w:color w:val="auto"/>
              </w:rPr>
            </w:pPr>
          </w:p>
        </w:tc>
        <w:tc>
          <w:tcPr>
            <w:tcW w:w="8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320" w:type="dxa"/>
            <w:vAlign w:val="bottom"/>
            <w:tcBorders>
              <w:right w:val="single" w:sz="8" w:color="auto"/>
            </w:tcBorders>
            <w:gridSpan w:val="10"/>
            <w:vMerge w:val="restart"/>
          </w:tcPr>
          <w:p>
            <w:pPr>
              <w:jc w:val="center"/>
              <w:ind w:right="2900"/>
              <w:spacing w:after="0"/>
              <w:rPr>
                <w:sz w:val="20"/>
                <w:szCs w:val="20"/>
                <w:color w:val="auto"/>
              </w:rPr>
            </w:pPr>
            <w:r>
              <w:rPr>
                <w:rFonts w:ascii="Arial" w:cs="Arial" w:eastAsia="Arial" w:hAnsi="Arial"/>
                <w:sz w:val="13"/>
                <w:szCs w:val="13"/>
                <w:color w:val="auto"/>
              </w:rPr>
              <w:t>Internal overdue loans</w:t>
            </w:r>
          </w:p>
        </w:tc>
        <w:tc>
          <w:tcPr>
            <w:tcW w:w="0" w:type="dxa"/>
            <w:vAlign w:val="bottom"/>
          </w:tcPr>
          <w:p>
            <w:pPr>
              <w:spacing w:after="0"/>
              <w:rPr>
                <w:sz w:val="1"/>
                <w:szCs w:val="1"/>
                <w:color w:val="auto"/>
              </w:rPr>
            </w:pPr>
          </w:p>
        </w:tc>
      </w:tr>
      <w:tr>
        <w:trPr>
          <w:trHeight w:val="86"/>
        </w:trPr>
        <w:tc>
          <w:tcPr>
            <w:tcW w:w="1600" w:type="dxa"/>
            <w:vAlign w:val="bottom"/>
            <w:tcBorders>
              <w:left w:val="single" w:sz="8" w:color="auto"/>
              <w:right w:val="single" w:sz="8" w:color="auto"/>
            </w:tcBorders>
          </w:tcPr>
          <w:p>
            <w:pPr>
              <w:spacing w:after="0"/>
              <w:rPr>
                <w:sz w:val="7"/>
                <w:szCs w:val="7"/>
                <w:color w:val="auto"/>
              </w:rPr>
            </w:pPr>
          </w:p>
        </w:tc>
        <w:tc>
          <w:tcPr>
            <w:tcW w:w="2520" w:type="dxa"/>
            <w:vAlign w:val="bottom"/>
            <w:vMerge w:val="continue"/>
          </w:tcPr>
          <w:p>
            <w:pPr>
              <w:spacing w:after="0"/>
              <w:rPr>
                <w:sz w:val="7"/>
                <w:szCs w:val="7"/>
                <w:color w:val="auto"/>
              </w:rPr>
            </w:pPr>
          </w:p>
        </w:tc>
        <w:tc>
          <w:tcPr>
            <w:tcW w:w="880" w:type="dxa"/>
            <w:vAlign w:val="bottom"/>
          </w:tcPr>
          <w:p>
            <w:pPr>
              <w:spacing w:after="0"/>
              <w:rPr>
                <w:sz w:val="7"/>
                <w:szCs w:val="7"/>
                <w:color w:val="auto"/>
              </w:rPr>
            </w:pPr>
          </w:p>
        </w:tc>
        <w:tc>
          <w:tcPr>
            <w:tcW w:w="8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4320" w:type="dxa"/>
            <w:vAlign w:val="bottom"/>
            <w:tcBorders>
              <w:right w:val="single" w:sz="8" w:color="auto"/>
            </w:tcBorders>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600" w:type="dxa"/>
            <w:vAlign w:val="bottom"/>
            <w:tcBorders>
              <w:left w:val="single" w:sz="8" w:color="auto"/>
              <w:right w:val="single" w:sz="8" w:color="auto"/>
            </w:tcBorders>
          </w:tcPr>
          <w:p>
            <w:pPr>
              <w:spacing w:after="0"/>
              <w:rPr>
                <w:sz w:val="23"/>
                <w:szCs w:val="23"/>
                <w:color w:val="auto"/>
              </w:rPr>
            </w:pPr>
          </w:p>
        </w:tc>
        <w:tc>
          <w:tcPr>
            <w:tcW w:w="2520" w:type="dxa"/>
            <w:vAlign w:val="bottom"/>
          </w:tcPr>
          <w:p>
            <w:pPr>
              <w:ind w:left="60"/>
              <w:spacing w:after="0"/>
              <w:rPr>
                <w:sz w:val="20"/>
                <w:szCs w:val="20"/>
                <w:color w:val="auto"/>
              </w:rPr>
            </w:pPr>
            <w:r>
              <w:rPr>
                <w:rFonts w:ascii="Arial" w:cs="Arial" w:eastAsia="Arial" w:hAnsi="Arial"/>
                <w:sz w:val="13"/>
                <w:szCs w:val="13"/>
                <w:b w:val="1"/>
                <w:bCs w:val="1"/>
                <w:color w:val="auto"/>
              </w:rPr>
              <w:t>Coverage ratio of non</w:t>
            </w: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520" w:type="dxa"/>
            <w:vAlign w:val="bottom"/>
            <w:tcBorders>
              <w:right w:val="single" w:sz="8" w:color="auto"/>
            </w:tcBorders>
            <w:gridSpan w:val="12"/>
          </w:tcPr>
          <w:p>
            <w:pPr>
              <w:jc w:val="center"/>
              <w:ind w:right="2720"/>
              <w:spacing w:after="0"/>
              <w:rPr>
                <w:sz w:val="20"/>
                <w:szCs w:val="20"/>
                <w:color w:val="auto"/>
              </w:rPr>
            </w:pPr>
            <w:r>
              <w:rPr>
                <w:rFonts w:ascii="Arial" w:cs="Arial" w:eastAsia="Arial" w:hAnsi="Arial"/>
                <w:sz w:val="13"/>
                <w:szCs w:val="13"/>
                <w:color w:val="auto"/>
              </w:rPr>
              <w:t>Allowance for loans losses</w:t>
            </w:r>
          </w:p>
        </w:tc>
        <w:tc>
          <w:tcPr>
            <w:tcW w:w="0" w:type="dxa"/>
            <w:vAlign w:val="bottom"/>
          </w:tcPr>
          <w:p>
            <w:pPr>
              <w:spacing w:after="0"/>
              <w:rPr>
                <w:sz w:val="1"/>
                <w:szCs w:val="1"/>
                <w:color w:val="auto"/>
              </w:rPr>
            </w:pPr>
          </w:p>
        </w:tc>
      </w:tr>
      <w:tr>
        <w:trPr>
          <w:trHeight w:val="163"/>
        </w:trPr>
        <w:tc>
          <w:tcPr>
            <w:tcW w:w="1600" w:type="dxa"/>
            <w:vAlign w:val="bottom"/>
            <w:tcBorders>
              <w:left w:val="single" w:sz="8" w:color="auto"/>
              <w:right w:val="single" w:sz="8" w:color="auto"/>
            </w:tcBorders>
          </w:tcPr>
          <w:p>
            <w:pPr>
              <w:spacing w:after="0"/>
              <w:rPr>
                <w:sz w:val="14"/>
                <w:szCs w:val="14"/>
                <w:color w:val="auto"/>
              </w:rPr>
            </w:pPr>
          </w:p>
        </w:tc>
        <w:tc>
          <w:tcPr>
            <w:tcW w:w="2520" w:type="dxa"/>
            <w:vAlign w:val="bottom"/>
          </w:tcPr>
          <w:p>
            <w:pPr>
              <w:ind w:left="60"/>
              <w:spacing w:after="0"/>
              <w:rPr>
                <w:sz w:val="20"/>
                <w:szCs w:val="20"/>
                <w:color w:val="auto"/>
              </w:rPr>
            </w:pPr>
            <w:r>
              <w:rPr>
                <w:rFonts w:ascii="Arial" w:cs="Arial" w:eastAsia="Arial" w:hAnsi="Arial"/>
                <w:sz w:val="13"/>
                <w:szCs w:val="13"/>
                <w:b w:val="1"/>
                <w:bCs w:val="1"/>
                <w:color w:val="auto"/>
              </w:rPr>
              <w:t>– performing loans</w:t>
            </w:r>
          </w:p>
        </w:tc>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620" w:type="dxa"/>
            <w:vAlign w:val="bottom"/>
            <w:tcBorders>
              <w:top w:val="single" w:sz="8" w:color="auto"/>
            </w:tcBorders>
            <w:gridSpan w:val="3"/>
          </w:tcPr>
          <w:p>
            <w:pPr>
              <w:jc w:val="center"/>
              <w:ind w:right="200"/>
              <w:spacing w:after="0"/>
              <w:rPr>
                <w:sz w:val="20"/>
                <w:szCs w:val="20"/>
                <w:color w:val="auto"/>
              </w:rPr>
            </w:pPr>
            <w:r>
              <w:rPr>
                <w:rFonts w:ascii="Arial" w:cs="Arial" w:eastAsia="Arial" w:hAnsi="Arial"/>
                <w:sz w:val="13"/>
                <w:szCs w:val="13"/>
                <w:color w:val="auto"/>
              </w:rPr>
              <w:t>Non-performing loans</w:t>
            </w:r>
          </w:p>
        </w:tc>
        <w:tc>
          <w:tcPr>
            <w:tcW w:w="1720" w:type="dxa"/>
            <w:vAlign w:val="bottom"/>
            <w:gridSpan w:val="5"/>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1600" w:type="dxa"/>
            <w:vAlign w:val="bottom"/>
            <w:tcBorders>
              <w:left w:val="single" w:sz="8" w:color="auto"/>
              <w:right w:val="single" w:sz="8" w:color="auto"/>
            </w:tcBorders>
          </w:tcPr>
          <w:p>
            <w:pPr>
              <w:spacing w:after="0"/>
              <w:rPr>
                <w:sz w:val="4"/>
                <w:szCs w:val="4"/>
                <w:color w:val="auto"/>
              </w:rPr>
            </w:pPr>
          </w:p>
        </w:tc>
        <w:tc>
          <w:tcPr>
            <w:tcW w:w="25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260" w:type="dxa"/>
            <w:vAlign w:val="bottom"/>
            <w:tcBorders>
              <w:bottom w:val="single" w:sz="8" w:color="auto"/>
              <w:right w:val="single" w:sz="8" w:color="auto"/>
            </w:tcBorders>
            <w:gridSpan w:val="17"/>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1600" w:type="dxa"/>
            <w:vAlign w:val="bottom"/>
            <w:tcBorders>
              <w:left w:val="single" w:sz="8" w:color="auto"/>
              <w:right w:val="single" w:sz="8" w:color="auto"/>
            </w:tcBorders>
          </w:tcPr>
          <w:p>
            <w:pPr>
              <w:spacing w:after="0"/>
              <w:rPr>
                <w:sz w:val="18"/>
                <w:szCs w:val="18"/>
                <w:color w:val="auto"/>
              </w:rPr>
            </w:pPr>
          </w:p>
        </w:tc>
        <w:tc>
          <w:tcPr>
            <w:tcW w:w="2520" w:type="dxa"/>
            <w:vAlign w:val="bottom"/>
          </w:tcPr>
          <w:p>
            <w:pPr>
              <w:ind w:left="60"/>
              <w:spacing w:after="0"/>
              <w:rPr>
                <w:sz w:val="20"/>
                <w:szCs w:val="20"/>
                <w:color w:val="auto"/>
              </w:rPr>
            </w:pPr>
            <w:r>
              <w:rPr>
                <w:rFonts w:ascii="Arial" w:cs="Arial" w:eastAsia="Arial" w:hAnsi="Arial"/>
                <w:sz w:val="13"/>
                <w:szCs w:val="13"/>
                <w:b w:val="1"/>
                <w:bCs w:val="1"/>
                <w:color w:val="auto"/>
              </w:rPr>
              <w:t>Cost of risk</w:t>
            </w:r>
          </w:p>
        </w:tc>
        <w:tc>
          <w:tcPr>
            <w:tcW w:w="880" w:type="dxa"/>
            <w:vAlign w:val="bottom"/>
          </w:tcPr>
          <w:p>
            <w:pPr>
              <w:spacing w:after="0"/>
              <w:rPr>
                <w:sz w:val="18"/>
                <w:szCs w:val="18"/>
                <w:color w:val="auto"/>
              </w:rPr>
            </w:pPr>
          </w:p>
        </w:tc>
        <w:tc>
          <w:tcPr>
            <w:tcW w:w="6260" w:type="dxa"/>
            <w:vAlign w:val="bottom"/>
            <w:tcBorders>
              <w:right w:val="single" w:sz="8" w:color="auto"/>
            </w:tcBorders>
            <w:gridSpan w:val="17"/>
          </w:tcPr>
          <w:p>
            <w:pPr>
              <w:jc w:val="center"/>
              <w:ind w:right="960"/>
              <w:spacing w:after="0"/>
              <w:rPr>
                <w:sz w:val="20"/>
                <w:szCs w:val="20"/>
                <w:color w:val="auto"/>
              </w:rPr>
            </w:pPr>
            <w:r>
              <w:rPr>
                <w:rFonts w:ascii="Arial" w:cs="Arial" w:eastAsia="Arial" w:hAnsi="Arial"/>
                <w:sz w:val="13"/>
                <w:szCs w:val="13"/>
                <w:color w:val="auto"/>
              </w:rPr>
              <w:t>Annualized provision for credit losses on loans portfolio, net of recoveries</w:t>
            </w:r>
          </w:p>
        </w:tc>
        <w:tc>
          <w:tcPr>
            <w:tcW w:w="0" w:type="dxa"/>
            <w:vAlign w:val="bottom"/>
          </w:tcPr>
          <w:p>
            <w:pPr>
              <w:spacing w:after="0"/>
              <w:rPr>
                <w:sz w:val="1"/>
                <w:szCs w:val="1"/>
                <w:color w:val="auto"/>
              </w:rPr>
            </w:pPr>
          </w:p>
        </w:tc>
      </w:tr>
      <w:tr>
        <w:trPr>
          <w:trHeight w:val="158"/>
        </w:trPr>
        <w:tc>
          <w:tcPr>
            <w:tcW w:w="1600" w:type="dxa"/>
            <w:vAlign w:val="bottom"/>
            <w:tcBorders>
              <w:left w:val="single" w:sz="8" w:color="auto"/>
              <w:right w:val="single" w:sz="8" w:color="auto"/>
            </w:tcBorders>
          </w:tcPr>
          <w:p>
            <w:pPr>
              <w:spacing w:after="0"/>
              <w:rPr>
                <w:sz w:val="13"/>
                <w:szCs w:val="13"/>
                <w:color w:val="auto"/>
              </w:rPr>
            </w:pPr>
          </w:p>
        </w:tc>
        <w:tc>
          <w:tcPr>
            <w:tcW w:w="2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3340" w:type="dxa"/>
            <w:vAlign w:val="bottom"/>
            <w:tcBorders>
              <w:top w:val="single" w:sz="8" w:color="auto"/>
            </w:tcBorders>
            <w:gridSpan w:val="8"/>
          </w:tcPr>
          <w:p>
            <w:pPr>
              <w:ind w:left="400"/>
              <w:spacing w:after="0"/>
              <w:rPr>
                <w:sz w:val="20"/>
                <w:szCs w:val="20"/>
                <w:color w:val="auto"/>
              </w:rPr>
            </w:pPr>
            <w:r>
              <w:rPr>
                <w:rFonts w:ascii="Arial" w:cs="Arial" w:eastAsia="Arial" w:hAnsi="Arial"/>
                <w:sz w:val="13"/>
                <w:szCs w:val="13"/>
                <w:color w:val="auto"/>
              </w:rPr>
              <w:t>Total loans</w:t>
            </w:r>
          </w:p>
        </w:tc>
        <w:tc>
          <w:tcPr>
            <w:tcW w:w="88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57"/>
        </w:trPr>
        <w:tc>
          <w:tcPr>
            <w:tcW w:w="16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260" w:type="dxa"/>
            <w:vAlign w:val="bottom"/>
            <w:tcBorders>
              <w:bottom w:val="single" w:sz="8" w:color="auto"/>
              <w:right w:val="single" w:sz="8" w:color="auto"/>
            </w:tcBorders>
            <w:gridSpan w:val="17"/>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Operating</w:t>
            </w:r>
          </w:p>
        </w:tc>
        <w:tc>
          <w:tcPr>
            <w:tcW w:w="252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Efficiency ratio</w:t>
            </w:r>
          </w:p>
        </w:tc>
        <w:tc>
          <w:tcPr>
            <w:tcW w:w="880" w:type="dxa"/>
            <w:vAlign w:val="bottom"/>
          </w:tcPr>
          <w:p>
            <w:pPr>
              <w:spacing w:after="0"/>
              <w:rPr>
                <w:sz w:val="17"/>
                <w:szCs w:val="17"/>
                <w:color w:val="auto"/>
              </w:rPr>
            </w:pPr>
          </w:p>
        </w:tc>
        <w:tc>
          <w:tcPr>
            <w:tcW w:w="6260" w:type="dxa"/>
            <w:vAlign w:val="bottom"/>
            <w:tcBorders>
              <w:right w:val="single" w:sz="8" w:color="auto"/>
            </w:tcBorders>
            <w:gridSpan w:val="17"/>
          </w:tcPr>
          <w:p>
            <w:pPr>
              <w:jc w:val="center"/>
              <w:ind w:right="960"/>
              <w:spacing w:after="0"/>
              <w:rPr>
                <w:sz w:val="20"/>
                <w:szCs w:val="20"/>
                <w:color w:val="auto"/>
              </w:rPr>
            </w:pPr>
            <w:r>
              <w:rPr>
                <w:rFonts w:ascii="Arial" w:cs="Arial" w:eastAsia="Arial" w:hAnsi="Arial"/>
                <w:sz w:val="13"/>
                <w:szCs w:val="13"/>
                <w:color w:val="auto"/>
              </w:rPr>
              <w:t>For further details on the new Efficiency ratio calculation due to IFRS17, please refer to</w:t>
            </w:r>
          </w:p>
        </w:tc>
        <w:tc>
          <w:tcPr>
            <w:tcW w:w="0" w:type="dxa"/>
            <w:vAlign w:val="bottom"/>
          </w:tcPr>
          <w:p>
            <w:pPr>
              <w:spacing w:after="0"/>
              <w:rPr>
                <w:sz w:val="1"/>
                <w:szCs w:val="1"/>
                <w:color w:val="auto"/>
              </w:rPr>
            </w:pPr>
          </w:p>
        </w:tc>
      </w:tr>
      <w:tr>
        <w:trPr>
          <w:trHeight w:val="109"/>
        </w:trPr>
        <w:tc>
          <w:tcPr>
            <w:tcW w:w="16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rPr>
              <w:t>performance</w:t>
            </w:r>
          </w:p>
        </w:tc>
        <w:tc>
          <w:tcPr>
            <w:tcW w:w="252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4320" w:type="dxa"/>
            <w:vAlign w:val="bottom"/>
            <w:tcBorders>
              <w:right w:val="single" w:sz="8" w:color="auto"/>
            </w:tcBorders>
            <w:gridSpan w:val="10"/>
            <w:vMerge w:val="restart"/>
          </w:tcPr>
          <w:p>
            <w:pPr>
              <w:jc w:val="center"/>
              <w:ind w:right="2900"/>
              <w:spacing w:after="0"/>
              <w:rPr>
                <w:sz w:val="20"/>
                <w:szCs w:val="20"/>
                <w:color w:val="auto"/>
              </w:rPr>
            </w:pPr>
            <w:r>
              <w:rPr>
                <w:rFonts w:ascii="Arial" w:cs="Arial" w:eastAsia="Arial" w:hAnsi="Arial"/>
                <w:sz w:val="13"/>
                <w:szCs w:val="13"/>
                <w:color w:val="auto"/>
              </w:rPr>
              <w:t>Annex 12.1</w:t>
            </w:r>
          </w:p>
        </w:tc>
        <w:tc>
          <w:tcPr>
            <w:tcW w:w="0" w:type="dxa"/>
            <w:vAlign w:val="bottom"/>
          </w:tcPr>
          <w:p>
            <w:pPr>
              <w:spacing w:after="0"/>
              <w:rPr>
                <w:sz w:val="1"/>
                <w:szCs w:val="1"/>
                <w:color w:val="auto"/>
              </w:rPr>
            </w:pPr>
          </w:p>
        </w:tc>
      </w:tr>
      <w:tr>
        <w:trPr>
          <w:trHeight w:val="74"/>
        </w:trPr>
        <w:tc>
          <w:tcPr>
            <w:tcW w:w="1600" w:type="dxa"/>
            <w:vAlign w:val="bottom"/>
            <w:tcBorders>
              <w:left w:val="single" w:sz="8" w:color="auto"/>
              <w:right w:val="single" w:sz="8" w:color="auto"/>
            </w:tcBorders>
            <w:vMerge w:val="continue"/>
          </w:tcPr>
          <w:p>
            <w:pPr>
              <w:spacing w:after="0"/>
              <w:rPr>
                <w:sz w:val="6"/>
                <w:szCs w:val="6"/>
                <w:color w:val="auto"/>
              </w:rPr>
            </w:pPr>
          </w:p>
        </w:tc>
        <w:tc>
          <w:tcPr>
            <w:tcW w:w="2520" w:type="dxa"/>
            <w:vAlign w:val="bottom"/>
          </w:tcPr>
          <w:p>
            <w:pPr>
              <w:spacing w:after="0"/>
              <w:rPr>
                <w:sz w:val="6"/>
                <w:szCs w:val="6"/>
                <w:color w:val="auto"/>
              </w:rPr>
            </w:pPr>
          </w:p>
        </w:tc>
        <w:tc>
          <w:tcPr>
            <w:tcW w:w="880" w:type="dxa"/>
            <w:vAlign w:val="bottom"/>
          </w:tcPr>
          <w:p>
            <w:pPr>
              <w:spacing w:after="0"/>
              <w:rPr>
                <w:sz w:val="6"/>
                <w:szCs w:val="6"/>
                <w:color w:val="auto"/>
              </w:rPr>
            </w:pPr>
          </w:p>
        </w:tc>
        <w:tc>
          <w:tcPr>
            <w:tcW w:w="8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320" w:type="dxa"/>
            <w:vAlign w:val="bottom"/>
            <w:tcBorders>
              <w:right w:val="single" w:sz="8" w:color="auto"/>
            </w:tcBorders>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16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320" w:type="dxa"/>
            <w:vAlign w:val="bottom"/>
            <w:tcBorders>
              <w:bottom w:val="single" w:sz="8" w:color="auto"/>
              <w:right w:val="single" w:sz="8" w:color="auto"/>
            </w:tcBorders>
            <w:gridSpan w:val="10"/>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1600" w:type="dxa"/>
            <w:vAlign w:val="bottom"/>
            <w:tcBorders>
              <w:left w:val="single" w:sz="8" w:color="auto"/>
              <w:right w:val="single" w:sz="8" w:color="auto"/>
            </w:tcBorders>
          </w:tcPr>
          <w:p>
            <w:pPr>
              <w:spacing w:after="0"/>
              <w:rPr>
                <w:sz w:val="18"/>
                <w:szCs w:val="18"/>
                <w:color w:val="auto"/>
              </w:rPr>
            </w:pPr>
          </w:p>
        </w:tc>
        <w:tc>
          <w:tcPr>
            <w:tcW w:w="252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BIS ratio</w:t>
            </w: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3"/>
                <w:szCs w:val="13"/>
                <w:color w:val="auto"/>
              </w:rPr>
              <w:t>Regulatory Capital</w:t>
            </w:r>
          </w:p>
        </w:tc>
        <w:tc>
          <w:tcPr>
            <w:tcW w:w="2840" w:type="dxa"/>
            <w:vAlign w:val="bottom"/>
            <w:tcBorders>
              <w:right w:val="single" w:sz="8" w:color="auto"/>
            </w:tcBorders>
            <w:gridSpan w:val="8"/>
          </w:tcPr>
          <w:p>
            <w:pPr>
              <w:spacing w:after="0"/>
              <w:rPr>
                <w:sz w:val="18"/>
                <w:szCs w:val="18"/>
                <w:color w:val="auto"/>
              </w:rPr>
            </w:pPr>
          </w:p>
        </w:tc>
        <w:tc>
          <w:tcPr>
            <w:tcW w:w="0" w:type="dxa"/>
            <w:vAlign w:val="bottom"/>
          </w:tcPr>
          <w:p>
            <w:pPr>
              <w:spacing w:after="0"/>
              <w:rPr>
                <w:sz w:val="1"/>
                <w:szCs w:val="1"/>
                <w:color w:val="auto"/>
              </w:rPr>
            </w:pPr>
          </w:p>
        </w:tc>
      </w:tr>
      <w:tr>
        <w:trPr>
          <w:trHeight w:val="77"/>
        </w:trPr>
        <w:tc>
          <w:tcPr>
            <w:tcW w:w="1600" w:type="dxa"/>
            <w:vAlign w:val="bottom"/>
            <w:tcBorders>
              <w:left w:val="single" w:sz="8" w:color="auto"/>
              <w:right w:val="single" w:sz="8" w:color="auto"/>
            </w:tcBorders>
          </w:tcPr>
          <w:p>
            <w:pPr>
              <w:spacing w:after="0"/>
              <w:rPr>
                <w:sz w:val="6"/>
                <w:szCs w:val="6"/>
                <w:color w:val="auto"/>
              </w:rPr>
            </w:pPr>
          </w:p>
        </w:tc>
        <w:tc>
          <w:tcPr>
            <w:tcW w:w="2520" w:type="dxa"/>
            <w:vAlign w:val="bottom"/>
            <w:vMerge w:val="continue"/>
          </w:tcPr>
          <w:p>
            <w:pPr>
              <w:spacing w:after="0"/>
              <w:rPr>
                <w:sz w:val="6"/>
                <w:szCs w:val="6"/>
                <w:color w:val="auto"/>
              </w:rPr>
            </w:pPr>
          </w:p>
        </w:tc>
        <w:tc>
          <w:tcPr>
            <w:tcW w:w="880" w:type="dxa"/>
            <w:vAlign w:val="bottom"/>
          </w:tcPr>
          <w:p>
            <w:pPr>
              <w:spacing w:after="0"/>
              <w:rPr>
                <w:sz w:val="6"/>
                <w:szCs w:val="6"/>
                <w:color w:val="auto"/>
              </w:rPr>
            </w:pPr>
          </w:p>
        </w:tc>
        <w:tc>
          <w:tcPr>
            <w:tcW w:w="8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320" w:type="dxa"/>
            <w:vAlign w:val="bottom"/>
            <w:tcBorders>
              <w:right w:val="single" w:sz="8" w:color="auto"/>
            </w:tcBorders>
            <w:gridSpan w:val="10"/>
            <w:vMerge w:val="restart"/>
          </w:tcPr>
          <w:p>
            <w:pPr>
              <w:jc w:val="center"/>
              <w:ind w:right="2920"/>
              <w:spacing w:after="0"/>
              <w:rPr>
                <w:sz w:val="20"/>
                <w:szCs w:val="20"/>
                <w:color w:val="auto"/>
              </w:rPr>
            </w:pPr>
            <w:r>
              <w:rPr>
                <w:rFonts w:ascii="Arial" w:cs="Arial" w:eastAsia="Arial" w:hAnsi="Arial"/>
                <w:sz w:val="13"/>
                <w:szCs w:val="13"/>
                <w:color w:val="auto"/>
              </w:rPr>
              <w:t>Risk-weighted assets</w:t>
            </w:r>
          </w:p>
        </w:tc>
        <w:tc>
          <w:tcPr>
            <w:tcW w:w="0" w:type="dxa"/>
            <w:vAlign w:val="bottom"/>
          </w:tcPr>
          <w:p>
            <w:pPr>
              <w:spacing w:after="0"/>
              <w:rPr>
                <w:sz w:val="1"/>
                <w:szCs w:val="1"/>
                <w:color w:val="auto"/>
              </w:rPr>
            </w:pPr>
          </w:p>
        </w:tc>
      </w:tr>
      <w:tr>
        <w:trPr>
          <w:trHeight w:val="80"/>
        </w:trPr>
        <w:tc>
          <w:tcPr>
            <w:tcW w:w="1600" w:type="dxa"/>
            <w:vAlign w:val="bottom"/>
            <w:tcBorders>
              <w:left w:val="single" w:sz="8" w:color="auto"/>
              <w:right w:val="single" w:sz="8" w:color="auto"/>
            </w:tcBorders>
          </w:tcPr>
          <w:p>
            <w:pPr>
              <w:spacing w:after="0"/>
              <w:rPr>
                <w:sz w:val="6"/>
                <w:szCs w:val="6"/>
                <w:color w:val="auto"/>
              </w:rPr>
            </w:pPr>
          </w:p>
        </w:tc>
        <w:tc>
          <w:tcPr>
            <w:tcW w:w="2520" w:type="dxa"/>
            <w:vAlign w:val="bottom"/>
          </w:tcPr>
          <w:p>
            <w:pPr>
              <w:spacing w:after="0"/>
              <w:rPr>
                <w:sz w:val="6"/>
                <w:szCs w:val="6"/>
                <w:color w:val="auto"/>
              </w:rPr>
            </w:pPr>
          </w:p>
        </w:tc>
        <w:tc>
          <w:tcPr>
            <w:tcW w:w="880" w:type="dxa"/>
            <w:vAlign w:val="bottom"/>
          </w:tcPr>
          <w:p>
            <w:pPr>
              <w:spacing w:after="0"/>
              <w:rPr>
                <w:sz w:val="6"/>
                <w:szCs w:val="6"/>
                <w:color w:val="auto"/>
              </w:rPr>
            </w:pPr>
          </w:p>
        </w:tc>
        <w:tc>
          <w:tcPr>
            <w:tcW w:w="8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320" w:type="dxa"/>
            <w:vAlign w:val="bottom"/>
            <w:tcBorders>
              <w:right w:val="single" w:sz="8" w:color="auto"/>
            </w:tcBorders>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80"/>
        </w:trPr>
        <w:tc>
          <w:tcPr>
            <w:tcW w:w="1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Capital Adequacy</w:t>
            </w:r>
          </w:p>
        </w:tc>
        <w:tc>
          <w:tcPr>
            <w:tcW w:w="252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Tier 1 ratio</w:t>
            </w: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Tier 1</w:t>
            </w:r>
          </w:p>
        </w:tc>
        <w:tc>
          <w:tcPr>
            <w:tcW w:w="2920" w:type="dxa"/>
            <w:vAlign w:val="bottom"/>
            <w:tcBorders>
              <w:right w:val="single" w:sz="8" w:color="auto"/>
            </w:tcBorders>
            <w:gridSpan w:val="9"/>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1600" w:type="dxa"/>
            <w:vAlign w:val="bottom"/>
            <w:tcBorders>
              <w:left w:val="single" w:sz="8" w:color="auto"/>
              <w:right w:val="single" w:sz="8" w:color="auto"/>
            </w:tcBorders>
          </w:tcPr>
          <w:p>
            <w:pPr>
              <w:spacing w:after="0"/>
              <w:rPr>
                <w:sz w:val="6"/>
                <w:szCs w:val="6"/>
                <w:color w:val="auto"/>
              </w:rPr>
            </w:pPr>
          </w:p>
        </w:tc>
        <w:tc>
          <w:tcPr>
            <w:tcW w:w="2520" w:type="dxa"/>
            <w:vAlign w:val="bottom"/>
            <w:vMerge w:val="continue"/>
          </w:tcPr>
          <w:p>
            <w:pPr>
              <w:spacing w:after="0"/>
              <w:rPr>
                <w:sz w:val="6"/>
                <w:szCs w:val="6"/>
                <w:color w:val="auto"/>
              </w:rPr>
            </w:pPr>
          </w:p>
        </w:tc>
        <w:tc>
          <w:tcPr>
            <w:tcW w:w="880" w:type="dxa"/>
            <w:vAlign w:val="bottom"/>
          </w:tcPr>
          <w:p>
            <w:pPr>
              <w:spacing w:after="0"/>
              <w:rPr>
                <w:sz w:val="6"/>
                <w:szCs w:val="6"/>
                <w:color w:val="auto"/>
              </w:rPr>
            </w:pPr>
          </w:p>
        </w:tc>
        <w:tc>
          <w:tcPr>
            <w:tcW w:w="8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320" w:type="dxa"/>
            <w:vAlign w:val="bottom"/>
            <w:tcBorders>
              <w:right w:val="single" w:sz="8" w:color="auto"/>
            </w:tcBorders>
            <w:gridSpan w:val="10"/>
            <w:vMerge w:val="restart"/>
          </w:tcPr>
          <w:p>
            <w:pPr>
              <w:jc w:val="center"/>
              <w:ind w:right="2920"/>
              <w:spacing w:after="0"/>
              <w:rPr>
                <w:sz w:val="20"/>
                <w:szCs w:val="20"/>
                <w:color w:val="auto"/>
              </w:rPr>
            </w:pPr>
            <w:r>
              <w:rPr>
                <w:rFonts w:ascii="Arial" w:cs="Arial" w:eastAsia="Arial" w:hAnsi="Arial"/>
                <w:sz w:val="13"/>
                <w:szCs w:val="13"/>
                <w:color w:val="auto"/>
              </w:rPr>
              <w:t>Risk-weighted assets</w:t>
            </w:r>
          </w:p>
        </w:tc>
        <w:tc>
          <w:tcPr>
            <w:tcW w:w="0" w:type="dxa"/>
            <w:vAlign w:val="bottom"/>
          </w:tcPr>
          <w:p>
            <w:pPr>
              <w:spacing w:after="0"/>
              <w:rPr>
                <w:sz w:val="1"/>
                <w:szCs w:val="1"/>
                <w:color w:val="auto"/>
              </w:rPr>
            </w:pPr>
          </w:p>
        </w:tc>
      </w:tr>
      <w:tr>
        <w:trPr>
          <w:trHeight w:val="80"/>
        </w:trPr>
        <w:tc>
          <w:tcPr>
            <w:tcW w:w="1600" w:type="dxa"/>
            <w:vAlign w:val="bottom"/>
            <w:tcBorders>
              <w:left w:val="single" w:sz="8" w:color="auto"/>
              <w:right w:val="single" w:sz="8" w:color="auto"/>
            </w:tcBorders>
          </w:tcPr>
          <w:p>
            <w:pPr>
              <w:spacing w:after="0"/>
              <w:rPr>
                <w:sz w:val="6"/>
                <w:szCs w:val="6"/>
                <w:color w:val="auto"/>
              </w:rPr>
            </w:pPr>
          </w:p>
        </w:tc>
        <w:tc>
          <w:tcPr>
            <w:tcW w:w="2520" w:type="dxa"/>
            <w:vAlign w:val="bottom"/>
          </w:tcPr>
          <w:p>
            <w:pPr>
              <w:spacing w:after="0"/>
              <w:rPr>
                <w:sz w:val="6"/>
                <w:szCs w:val="6"/>
                <w:color w:val="auto"/>
              </w:rPr>
            </w:pPr>
          </w:p>
        </w:tc>
        <w:tc>
          <w:tcPr>
            <w:tcW w:w="880" w:type="dxa"/>
            <w:vAlign w:val="bottom"/>
          </w:tcPr>
          <w:p>
            <w:pPr>
              <w:spacing w:after="0"/>
              <w:rPr>
                <w:sz w:val="6"/>
                <w:szCs w:val="6"/>
                <w:color w:val="auto"/>
              </w:rPr>
            </w:pPr>
          </w:p>
        </w:tc>
        <w:tc>
          <w:tcPr>
            <w:tcW w:w="8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320" w:type="dxa"/>
            <w:vAlign w:val="bottom"/>
            <w:tcBorders>
              <w:right w:val="single" w:sz="8" w:color="auto"/>
            </w:tcBorders>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92"/>
        </w:trPr>
        <w:tc>
          <w:tcPr>
            <w:tcW w:w="1600" w:type="dxa"/>
            <w:vAlign w:val="bottom"/>
            <w:tcBorders>
              <w:left w:val="single" w:sz="8" w:color="auto"/>
              <w:right w:val="single" w:sz="8" w:color="auto"/>
            </w:tcBorders>
          </w:tcPr>
          <w:p>
            <w:pPr>
              <w:spacing w:after="0"/>
              <w:rPr>
                <w:sz w:val="24"/>
                <w:szCs w:val="24"/>
                <w:color w:val="auto"/>
              </w:rPr>
            </w:pPr>
          </w:p>
        </w:tc>
        <w:tc>
          <w:tcPr>
            <w:tcW w:w="252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Common Equity Tier 1 ratio</w:t>
            </w:r>
          </w:p>
        </w:tc>
        <w:tc>
          <w:tcPr>
            <w:tcW w:w="7040" w:type="dxa"/>
            <w:vAlign w:val="bottom"/>
            <w:tcBorders>
              <w:bottom w:val="single" w:sz="8" w:color="auto"/>
            </w:tcBorders>
            <w:gridSpan w:val="17"/>
          </w:tcPr>
          <w:p>
            <w:pPr>
              <w:ind w:left="500"/>
              <w:spacing w:after="0"/>
              <w:rPr>
                <w:sz w:val="20"/>
                <w:szCs w:val="20"/>
                <w:color w:val="auto"/>
              </w:rPr>
            </w:pPr>
            <w:r>
              <w:rPr>
                <w:rFonts w:ascii="Arial" w:cs="Arial" w:eastAsia="Arial" w:hAnsi="Arial"/>
                <w:sz w:val="13"/>
                <w:szCs w:val="13"/>
                <w:color w:val="auto"/>
              </w:rPr>
              <w:t xml:space="preserve">Capital + Reserves -100% of applicable deductions </w:t>
            </w:r>
            <w:r>
              <w:rPr>
                <w:rFonts w:ascii="Arial" w:cs="Arial" w:eastAsia="Arial" w:hAnsi="Arial"/>
                <w:sz w:val="24"/>
                <w:szCs w:val="24"/>
                <w:color w:val="auto"/>
                <w:vertAlign w:val="superscript"/>
              </w:rPr>
              <w:t>(2)</w:t>
            </w:r>
            <w:r>
              <w:rPr>
                <w:rFonts w:ascii="Arial" w:cs="Arial" w:eastAsia="Arial" w:hAnsi="Arial"/>
                <w:sz w:val="13"/>
                <w:szCs w:val="13"/>
                <w:color w:val="auto"/>
              </w:rPr>
              <w:t xml:space="preserve"> + Retained Earnings+Unrealized gains or losses</w:t>
            </w:r>
          </w:p>
        </w:tc>
        <w:tc>
          <w:tcPr>
            <w:tcW w:w="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7"/>
        </w:trPr>
        <w:tc>
          <w:tcPr>
            <w:tcW w:w="1600" w:type="dxa"/>
            <w:vAlign w:val="bottom"/>
            <w:tcBorders>
              <w:left w:val="single" w:sz="8" w:color="auto"/>
              <w:right w:val="single" w:sz="8" w:color="auto"/>
            </w:tcBorders>
          </w:tcPr>
          <w:p>
            <w:pPr>
              <w:spacing w:after="0"/>
              <w:rPr>
                <w:sz w:val="6"/>
                <w:szCs w:val="6"/>
                <w:color w:val="auto"/>
              </w:rPr>
            </w:pPr>
          </w:p>
        </w:tc>
        <w:tc>
          <w:tcPr>
            <w:tcW w:w="2520" w:type="dxa"/>
            <w:vAlign w:val="bottom"/>
            <w:vMerge w:val="continue"/>
          </w:tcPr>
          <w:p>
            <w:pPr>
              <w:spacing w:after="0"/>
              <w:rPr>
                <w:sz w:val="6"/>
                <w:szCs w:val="6"/>
                <w:color w:val="auto"/>
              </w:rPr>
            </w:pPr>
          </w:p>
        </w:tc>
        <w:tc>
          <w:tcPr>
            <w:tcW w:w="880" w:type="dxa"/>
            <w:vAlign w:val="bottom"/>
          </w:tcPr>
          <w:p>
            <w:pPr>
              <w:spacing w:after="0"/>
              <w:rPr>
                <w:sz w:val="6"/>
                <w:szCs w:val="6"/>
                <w:color w:val="auto"/>
              </w:rPr>
            </w:pPr>
          </w:p>
        </w:tc>
        <w:tc>
          <w:tcPr>
            <w:tcW w:w="8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320" w:type="dxa"/>
            <w:vAlign w:val="bottom"/>
            <w:tcBorders>
              <w:right w:val="single" w:sz="8" w:color="auto"/>
            </w:tcBorders>
            <w:gridSpan w:val="10"/>
            <w:vMerge w:val="restart"/>
          </w:tcPr>
          <w:p>
            <w:pPr>
              <w:jc w:val="center"/>
              <w:ind w:right="2920"/>
              <w:spacing w:after="0"/>
              <w:rPr>
                <w:sz w:val="20"/>
                <w:szCs w:val="20"/>
                <w:color w:val="auto"/>
              </w:rPr>
            </w:pPr>
            <w:r>
              <w:rPr>
                <w:rFonts w:ascii="Arial" w:cs="Arial" w:eastAsia="Arial" w:hAnsi="Arial"/>
                <w:sz w:val="13"/>
                <w:szCs w:val="13"/>
                <w:color w:val="auto"/>
              </w:rPr>
              <w:t>Risk -weighted assets</w:t>
            </w:r>
          </w:p>
        </w:tc>
        <w:tc>
          <w:tcPr>
            <w:tcW w:w="0" w:type="dxa"/>
            <w:vAlign w:val="bottom"/>
          </w:tcPr>
          <w:p>
            <w:pPr>
              <w:spacing w:after="0"/>
              <w:rPr>
                <w:sz w:val="1"/>
                <w:szCs w:val="1"/>
                <w:color w:val="auto"/>
              </w:rPr>
            </w:pPr>
          </w:p>
        </w:tc>
      </w:tr>
      <w:tr>
        <w:trPr>
          <w:trHeight w:val="80"/>
        </w:trPr>
        <w:tc>
          <w:tcPr>
            <w:tcW w:w="1600" w:type="dxa"/>
            <w:vAlign w:val="bottom"/>
            <w:tcBorders>
              <w:left w:val="single" w:sz="8" w:color="auto"/>
              <w:right w:val="single" w:sz="8" w:color="auto"/>
            </w:tcBorders>
          </w:tcPr>
          <w:p>
            <w:pPr>
              <w:spacing w:after="0"/>
              <w:rPr>
                <w:sz w:val="6"/>
                <w:szCs w:val="6"/>
                <w:color w:val="auto"/>
              </w:rPr>
            </w:pPr>
          </w:p>
        </w:tc>
        <w:tc>
          <w:tcPr>
            <w:tcW w:w="2520" w:type="dxa"/>
            <w:vAlign w:val="bottom"/>
          </w:tcPr>
          <w:p>
            <w:pPr>
              <w:spacing w:after="0"/>
              <w:rPr>
                <w:sz w:val="6"/>
                <w:szCs w:val="6"/>
                <w:color w:val="auto"/>
              </w:rPr>
            </w:pPr>
          </w:p>
        </w:tc>
        <w:tc>
          <w:tcPr>
            <w:tcW w:w="880" w:type="dxa"/>
            <w:vAlign w:val="bottom"/>
          </w:tcPr>
          <w:p>
            <w:pPr>
              <w:spacing w:after="0"/>
              <w:rPr>
                <w:sz w:val="6"/>
                <w:szCs w:val="6"/>
                <w:color w:val="auto"/>
              </w:rPr>
            </w:pPr>
          </w:p>
        </w:tc>
        <w:tc>
          <w:tcPr>
            <w:tcW w:w="8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320" w:type="dxa"/>
            <w:vAlign w:val="bottom"/>
            <w:tcBorders>
              <w:right w:val="single" w:sz="8" w:color="auto"/>
            </w:tcBorders>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7"/>
        </w:trPr>
        <w:tc>
          <w:tcPr>
            <w:tcW w:w="1600" w:type="dxa"/>
            <w:vAlign w:val="bottom"/>
            <w:tcBorders>
              <w:left w:val="single" w:sz="8" w:color="auto"/>
              <w:bottom w:val="single" w:sz="8" w:color="auto"/>
              <w:right w:val="single" w:sz="8" w:color="auto"/>
            </w:tcBorders>
          </w:tcPr>
          <w:p>
            <w:pPr>
              <w:spacing w:after="0"/>
              <w:rPr>
                <w:sz w:val="4"/>
                <w:szCs w:val="4"/>
                <w:color w:val="auto"/>
              </w:rPr>
            </w:pPr>
          </w:p>
        </w:tc>
        <w:tc>
          <w:tcPr>
            <w:tcW w:w="25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ind w:left="241" w:hanging="241"/>
        <w:spacing w:after="0"/>
        <w:tabs>
          <w:tab w:leader="none" w:pos="241" w:val="left"/>
        </w:tabs>
        <w:numPr>
          <w:ilvl w:val="0"/>
          <w:numId w:val="75"/>
        </w:numPr>
        <w:rPr>
          <w:rFonts w:ascii="Arial" w:cs="Arial" w:eastAsia="Arial" w:hAnsi="Arial"/>
          <w:sz w:val="11"/>
          <w:szCs w:val="11"/>
          <w:color w:val="auto"/>
        </w:rPr>
      </w:pPr>
      <w:r>
        <w:rPr>
          <w:rFonts w:ascii="Arial" w:cs="Arial" w:eastAsia="Arial" w:hAnsi="Arial"/>
          <w:sz w:val="11"/>
          <w:szCs w:val="11"/>
          <w:color w:val="auto"/>
        </w:rPr>
        <w:t>Averages are determined as the average of period-beginning and period-ending balances.</w:t>
      </w:r>
    </w:p>
    <w:p>
      <w:pPr>
        <w:ind w:left="241" w:hanging="241"/>
        <w:spacing w:after="0"/>
        <w:tabs>
          <w:tab w:leader="none" w:pos="241" w:val="left"/>
        </w:tabs>
        <w:numPr>
          <w:ilvl w:val="0"/>
          <w:numId w:val="75"/>
        </w:numPr>
        <w:rPr>
          <w:rFonts w:ascii="Arial" w:cs="Arial" w:eastAsia="Arial" w:hAnsi="Arial"/>
          <w:sz w:val="11"/>
          <w:szCs w:val="11"/>
          <w:color w:val="auto"/>
        </w:rPr>
      </w:pPr>
      <w:r>
        <w:rPr>
          <w:rFonts w:ascii="Arial" w:cs="Arial" w:eastAsia="Arial" w:hAnsi="Arial"/>
          <w:sz w:val="11"/>
          <w:szCs w:val="11"/>
          <w:color w:val="auto"/>
        </w:rPr>
        <w:t>Includes investment in subsidiaries, goodwill, intangibles and deferred tax that rely on future profitability.</w:t>
      </w:r>
    </w:p>
    <w:p>
      <w:pPr>
        <w:spacing w:after="0" w:line="31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7143750" cy="1587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337" w:right="339" w:bottom="1440" w:gutter="0" w:footer="0" w:header="0"/>
        </w:sectPr>
      </w:pPr>
    </w:p>
    <w:bookmarkStart w:id="74" w:name="page75"/>
    <w:bookmarkEnd w:id="74"/>
    <w:p>
      <w:pPr>
        <w:ind w:left="2960"/>
        <w:spacing w:after="0"/>
        <w:tabs>
          <w:tab w:leader="none" w:pos="3140" w:val="left"/>
          <w:tab w:leader="none" w:pos="7700" w:val="left"/>
        </w:tabs>
        <w:rPr>
          <w:sz w:val="20"/>
          <w:szCs w:val="20"/>
          <w:color w:val="auto"/>
        </w:rPr>
      </w:pPr>
      <w:r>
        <w:rPr>
          <w:rFonts w:ascii="Arial" w:cs="Arial" w:eastAsia="Arial" w:hAnsi="Arial"/>
          <w:sz w:val="16"/>
          <w:szCs w:val="16"/>
          <w:color w:val="FFFFFF"/>
        </w:rPr>
        <w:drawing>
          <wp:anchor simplePos="0" relativeHeight="251657728" behindDoc="1" locked="0" layoutInCell="0" allowOverlap="1">
            <wp:simplePos x="0" y="0"/>
            <wp:positionH relativeFrom="page">
              <wp:posOffset>202565</wp:posOffset>
            </wp:positionH>
            <wp:positionV relativeFrom="page">
              <wp:posOffset>88900</wp:posOffset>
            </wp:positionV>
            <wp:extent cx="7143750" cy="41592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3750" cy="415925"/>
                    </a:xfrm>
                    <a:prstGeom prst="rect">
                      <a:avLst/>
                    </a:prstGeom>
                    <a:noFill/>
                  </pic:spPr>
                </pic:pic>
              </a:graphicData>
            </a:graphic>
          </wp:anchor>
        </w:drawing>
        <w:t>|</w:t>
      </w:r>
      <w:r>
        <w:rPr>
          <w:sz w:val="20"/>
          <w:szCs w:val="20"/>
          <w:color w:val="auto"/>
        </w:rPr>
        <w:tab/>
      </w:r>
      <w:r>
        <w:rPr>
          <w:rFonts w:ascii="Arial" w:cs="Arial" w:eastAsia="Arial" w:hAnsi="Arial"/>
          <w:sz w:val="16"/>
          <w:szCs w:val="16"/>
          <w:b w:val="1"/>
          <w:bCs w:val="1"/>
          <w:color w:val="FFFFFF"/>
        </w:rPr>
        <w:t>Earnings Release 3Q / 2023</w:t>
      </w:r>
      <w:r>
        <w:rPr>
          <w:sz w:val="20"/>
          <w:szCs w:val="20"/>
          <w:color w:val="auto"/>
        </w:rPr>
        <w:tab/>
      </w:r>
      <w:r>
        <w:rPr>
          <w:rFonts w:ascii="Arial" w:cs="Arial" w:eastAsia="Arial" w:hAnsi="Arial"/>
          <w:sz w:val="18"/>
          <w:szCs w:val="18"/>
          <w:b w:val="1"/>
          <w:bCs w:val="1"/>
          <w:color w:val="E93CAC"/>
        </w:rPr>
        <w:t>Analysis of 3Q23 Consolidated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159385</wp:posOffset>
            </wp:positionV>
            <wp:extent cx="7143750" cy="2038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3750" cy="203835"/>
                    </a:xfrm>
                    <a:prstGeom prst="rect">
                      <a:avLst/>
                    </a:prstGeom>
                    <a:noFill/>
                  </pic:spPr>
                </pic:pic>
              </a:graphicData>
            </a:graphic>
          </wp:anchor>
        </w:drawing>
      </w:r>
    </w:p>
    <w:p>
      <w:pPr>
        <w:spacing w:after="0" w:line="251"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FFFFFF"/>
        </w:rPr>
        <w:t>12. Appendix</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12.8. Glossary of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7143750" cy="12401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3750" cy="1240155"/>
                    </a:xfrm>
                    <a:prstGeom prst="rect">
                      <a:avLst/>
                    </a:prstGeom>
                    <a:noFill/>
                  </pic:spPr>
                </pic:pic>
              </a:graphicData>
            </a:graphic>
          </wp:anchor>
        </w:drawing>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760" w:type="dxa"/>
            <w:vAlign w:val="bottom"/>
            <w:tcBorders>
              <w:top w:val="single" w:sz="8" w:color="auto"/>
            </w:tcBorders>
            <w:shd w:val="clear" w:color="auto" w:fill="33CCCC"/>
          </w:tcPr>
          <w:p>
            <w:pPr>
              <w:ind w:left="1860"/>
              <w:spacing w:after="0"/>
              <w:rPr>
                <w:sz w:val="20"/>
                <w:szCs w:val="20"/>
                <w:color w:val="auto"/>
              </w:rPr>
            </w:pPr>
            <w:r>
              <w:rPr>
                <w:rFonts w:ascii="Arial" w:cs="Arial" w:eastAsia="Arial" w:hAnsi="Arial"/>
                <w:sz w:val="16"/>
                <w:szCs w:val="16"/>
                <w:b w:val="1"/>
                <w:bCs w:val="1"/>
                <w:color w:val="FFFFFF"/>
              </w:rPr>
              <w:t>Term</w:t>
            </w:r>
          </w:p>
        </w:tc>
        <w:tc>
          <w:tcPr>
            <w:tcW w:w="6480" w:type="dxa"/>
            <w:vAlign w:val="bottom"/>
            <w:tcBorders>
              <w:top w:val="single" w:sz="8" w:color="auto"/>
            </w:tcBorders>
            <w:shd w:val="clear" w:color="auto" w:fill="33CCCC"/>
          </w:tcPr>
          <w:p>
            <w:pPr>
              <w:ind w:left="2540"/>
              <w:spacing w:after="0"/>
              <w:rPr>
                <w:sz w:val="20"/>
                <w:szCs w:val="20"/>
                <w:color w:val="auto"/>
              </w:rPr>
            </w:pPr>
            <w:r>
              <w:rPr>
                <w:rFonts w:ascii="Arial" w:cs="Arial" w:eastAsia="Arial" w:hAnsi="Arial"/>
                <w:sz w:val="16"/>
                <w:szCs w:val="16"/>
                <w:b w:val="1"/>
                <w:bCs w:val="1"/>
                <w:color w:val="FFFFFF"/>
              </w:rPr>
              <w:t>Definition</w:t>
            </w:r>
          </w:p>
        </w:tc>
      </w:tr>
    </w:tbl>
    <w:p>
      <w:pPr>
        <w:ind w:left="4100" w:right="60" w:hanging="4091"/>
        <w:spacing w:after="0" w:line="259" w:lineRule="auto"/>
        <w:rPr>
          <w:sz w:val="20"/>
          <w:szCs w:val="20"/>
          <w:color w:val="auto"/>
        </w:rPr>
      </w:pPr>
      <w:r>
        <w:rPr>
          <w:rFonts w:ascii="Arial" w:cs="Arial" w:eastAsia="Arial" w:hAnsi="Arial"/>
          <w:sz w:val="16"/>
          <w:szCs w:val="16"/>
          <w:b w:val="1"/>
          <w:bCs w:val="1"/>
          <w:color w:val="auto"/>
        </w:rPr>
        <w:t xml:space="preserve">Government Program Loans (“GP” or “GP Loans”) </w:t>
      </w:r>
      <w:r>
        <w:rPr>
          <w:rFonts w:ascii="Arial" w:cs="Arial" w:eastAsia="Arial" w:hAnsi="Arial"/>
          <w:sz w:val="16"/>
          <w:szCs w:val="16"/>
          <w:color w:val="auto"/>
        </w:rPr>
        <w:t>Loan Portfolio related to Reactiva Peru and FAE-Mype and Impulso Myperu programs to respond</w:t>
      </w:r>
      <w:r>
        <w:rPr>
          <w:rFonts w:ascii="Arial" w:cs="Arial" w:eastAsia="Arial" w:hAnsi="Arial"/>
          <w:sz w:val="16"/>
          <w:szCs w:val="16"/>
          <w:b w:val="1"/>
          <w:bCs w:val="1"/>
          <w:color w:val="auto"/>
        </w:rPr>
        <w:t xml:space="preserve"> </w:t>
      </w:r>
      <w:r>
        <w:rPr>
          <w:rFonts w:ascii="Arial" w:cs="Arial" w:eastAsia="Arial" w:hAnsi="Arial"/>
          <w:sz w:val="16"/>
          <w:szCs w:val="16"/>
          <w:color w:val="auto"/>
        </w:rPr>
        <w:t>quickly and effectively to liquidity needs and maintain the payment chain.</w:t>
      </w:r>
    </w:p>
    <w:tbl>
      <w:tblPr>
        <w:tblLayout w:type="fixed"/>
        <w:tblInd w:w="0" w:type="dxa"/>
        <w:tblCellMar>
          <w:top w:w="0" w:type="dxa"/>
          <w:left w:w="0" w:type="dxa"/>
          <w:bottom w:w="0" w:type="dxa"/>
          <w:right w:w="0" w:type="dxa"/>
        </w:tblCellMar>
      </w:tblPr>
      <w:tr>
        <w:trPr>
          <w:trHeight w:val="164"/>
        </w:trPr>
        <w:tc>
          <w:tcPr>
            <w:tcW w:w="3000" w:type="dxa"/>
            <w:vAlign w:val="bottom"/>
            <w:tcBorders>
              <w:top w:val="single" w:sz="8" w:color="auto"/>
              <w:bottom w:val="single" w:sz="8" w:color="auto"/>
            </w:tcBorders>
          </w:tcPr>
          <w:p>
            <w:pPr>
              <w:ind w:left="20"/>
              <w:spacing w:after="0" w:line="164" w:lineRule="exact"/>
              <w:rPr>
                <w:sz w:val="20"/>
                <w:szCs w:val="20"/>
                <w:color w:val="auto"/>
              </w:rPr>
            </w:pPr>
            <w:r>
              <w:rPr>
                <w:rFonts w:ascii="Arial" w:cs="Arial" w:eastAsia="Arial" w:hAnsi="Arial"/>
                <w:sz w:val="16"/>
                <w:szCs w:val="16"/>
                <w:b w:val="1"/>
                <w:bCs w:val="1"/>
                <w:color w:val="auto"/>
              </w:rPr>
              <w:t>Structural Loans</w:t>
            </w:r>
          </w:p>
        </w:tc>
        <w:tc>
          <w:tcPr>
            <w:tcW w:w="8240" w:type="dxa"/>
            <w:vAlign w:val="bottom"/>
            <w:tcBorders>
              <w:top w:val="single" w:sz="8" w:color="auto"/>
              <w:bottom w:val="single" w:sz="8" w:color="auto"/>
            </w:tcBorders>
          </w:tcPr>
          <w:p>
            <w:pPr>
              <w:ind w:left="1100"/>
              <w:spacing w:after="0" w:line="164" w:lineRule="exact"/>
              <w:rPr>
                <w:sz w:val="20"/>
                <w:szCs w:val="20"/>
                <w:color w:val="auto"/>
              </w:rPr>
            </w:pPr>
            <w:r>
              <w:rPr>
                <w:rFonts w:ascii="Arial" w:cs="Arial" w:eastAsia="Arial" w:hAnsi="Arial"/>
                <w:sz w:val="16"/>
                <w:szCs w:val="16"/>
                <w:color w:val="auto"/>
              </w:rPr>
              <w:t>Loan Portfolio excluding GP Loans.</w:t>
            </w:r>
          </w:p>
        </w:tc>
      </w:tr>
      <w:tr>
        <w:trPr>
          <w:trHeight w:val="165"/>
        </w:trPr>
        <w:tc>
          <w:tcPr>
            <w:tcW w:w="3000" w:type="dxa"/>
            <w:vAlign w:val="bottom"/>
          </w:tcPr>
          <w:p>
            <w:pPr>
              <w:ind w:left="20"/>
              <w:spacing w:after="0" w:line="165" w:lineRule="exact"/>
              <w:rPr>
                <w:sz w:val="20"/>
                <w:szCs w:val="20"/>
                <w:color w:val="auto"/>
              </w:rPr>
            </w:pPr>
            <w:r>
              <w:rPr>
                <w:rFonts w:ascii="Arial" w:cs="Arial" w:eastAsia="Arial" w:hAnsi="Arial"/>
                <w:sz w:val="16"/>
                <w:szCs w:val="16"/>
                <w:b w:val="1"/>
                <w:bCs w:val="1"/>
                <w:color w:val="auto"/>
              </w:rPr>
              <w:t>Structural Cost of Risk</w:t>
            </w:r>
          </w:p>
        </w:tc>
        <w:tc>
          <w:tcPr>
            <w:tcW w:w="8240" w:type="dxa"/>
            <w:vAlign w:val="bottom"/>
          </w:tcPr>
          <w:p>
            <w:pPr>
              <w:ind w:left="1100"/>
              <w:spacing w:after="0" w:line="165" w:lineRule="exact"/>
              <w:rPr>
                <w:sz w:val="20"/>
                <w:szCs w:val="20"/>
                <w:color w:val="auto"/>
              </w:rPr>
            </w:pPr>
            <w:r>
              <w:rPr>
                <w:rFonts w:ascii="Arial" w:cs="Arial" w:eastAsia="Arial" w:hAnsi="Arial"/>
                <w:sz w:val="16"/>
                <w:szCs w:val="16"/>
                <w:color w:val="auto"/>
              </w:rPr>
              <w:t>Cost of Risk related to the Structural Loans. It excludes, in the numerator, provisions for credit</w:t>
            </w:r>
          </w:p>
        </w:tc>
      </w:tr>
      <w:tr>
        <w:trPr>
          <w:trHeight w:val="198"/>
        </w:trPr>
        <w:tc>
          <w:tcPr>
            <w:tcW w:w="3000" w:type="dxa"/>
            <w:vAlign w:val="bottom"/>
            <w:tcBorders>
              <w:bottom w:val="single" w:sz="8" w:color="auto"/>
            </w:tcBorders>
          </w:tcPr>
          <w:p>
            <w:pPr>
              <w:spacing w:after="0"/>
              <w:rPr>
                <w:sz w:val="17"/>
                <w:szCs w:val="17"/>
                <w:color w:val="auto"/>
              </w:rPr>
            </w:pPr>
          </w:p>
        </w:tc>
        <w:tc>
          <w:tcPr>
            <w:tcW w:w="8240" w:type="dxa"/>
            <w:vAlign w:val="bottom"/>
            <w:tcBorders>
              <w:bottom w:val="single" w:sz="8" w:color="auto"/>
            </w:tcBorders>
          </w:tcPr>
          <w:p>
            <w:pPr>
              <w:ind w:left="1100"/>
              <w:spacing w:after="0"/>
              <w:rPr>
                <w:sz w:val="20"/>
                <w:szCs w:val="20"/>
                <w:color w:val="auto"/>
              </w:rPr>
            </w:pPr>
            <w:r>
              <w:rPr>
                <w:rFonts w:ascii="Arial" w:cs="Arial" w:eastAsia="Arial" w:hAnsi="Arial"/>
                <w:sz w:val="16"/>
                <w:szCs w:val="16"/>
                <w:color w:val="auto"/>
              </w:rPr>
              <w:t>losses on GP loans, and in the denominator, the total amount of GP Loans.</w:t>
            </w:r>
          </w:p>
        </w:tc>
      </w:tr>
      <w:tr>
        <w:trPr>
          <w:trHeight w:val="178"/>
        </w:trPr>
        <w:tc>
          <w:tcPr>
            <w:tcW w:w="3000" w:type="dxa"/>
            <w:vAlign w:val="bottom"/>
            <w:tcBorders>
              <w:bottom w:val="single" w:sz="8" w:color="auto"/>
            </w:tcBorders>
          </w:tcPr>
          <w:p>
            <w:pPr>
              <w:ind w:left="20"/>
              <w:spacing w:after="0" w:line="178" w:lineRule="exact"/>
              <w:rPr>
                <w:sz w:val="20"/>
                <w:szCs w:val="20"/>
                <w:color w:val="auto"/>
              </w:rPr>
            </w:pPr>
            <w:r>
              <w:rPr>
                <w:rFonts w:ascii="Arial" w:cs="Arial" w:eastAsia="Arial" w:hAnsi="Arial"/>
                <w:sz w:val="16"/>
                <w:szCs w:val="16"/>
                <w:b w:val="1"/>
                <w:bCs w:val="1"/>
                <w:color w:val="auto"/>
              </w:rPr>
              <w:t>Structural NPL ratio</w:t>
            </w:r>
          </w:p>
        </w:tc>
        <w:tc>
          <w:tcPr>
            <w:tcW w:w="8240" w:type="dxa"/>
            <w:vAlign w:val="bottom"/>
            <w:tcBorders>
              <w:bottom w:val="single" w:sz="8" w:color="auto"/>
            </w:tcBorders>
          </w:tcPr>
          <w:p>
            <w:pPr>
              <w:ind w:left="1100"/>
              <w:spacing w:after="0" w:line="178" w:lineRule="exact"/>
              <w:rPr>
                <w:sz w:val="20"/>
                <w:szCs w:val="20"/>
                <w:color w:val="auto"/>
              </w:rPr>
            </w:pPr>
            <w:r>
              <w:rPr>
                <w:rFonts w:ascii="Arial" w:cs="Arial" w:eastAsia="Arial" w:hAnsi="Arial"/>
                <w:sz w:val="16"/>
                <w:szCs w:val="16"/>
                <w:color w:val="auto"/>
              </w:rPr>
              <w:t>NPL Ratio, excluding the impact of GP Loans.</w:t>
            </w:r>
          </w:p>
        </w:tc>
      </w:tr>
      <w:tr>
        <w:trPr>
          <w:trHeight w:val="165"/>
        </w:trPr>
        <w:tc>
          <w:tcPr>
            <w:tcW w:w="3000" w:type="dxa"/>
            <w:vAlign w:val="bottom"/>
          </w:tcPr>
          <w:p>
            <w:pPr>
              <w:ind w:left="20"/>
              <w:spacing w:after="0" w:line="165" w:lineRule="exact"/>
              <w:rPr>
                <w:sz w:val="20"/>
                <w:szCs w:val="20"/>
                <w:color w:val="auto"/>
              </w:rPr>
            </w:pPr>
            <w:r>
              <w:rPr>
                <w:rFonts w:ascii="Arial" w:cs="Arial" w:eastAsia="Arial" w:hAnsi="Arial"/>
                <w:sz w:val="16"/>
                <w:szCs w:val="16"/>
                <w:b w:val="1"/>
                <w:bCs w:val="1"/>
                <w:color w:val="auto"/>
              </w:rPr>
              <w:t>Structural NIM</w:t>
            </w:r>
          </w:p>
        </w:tc>
        <w:tc>
          <w:tcPr>
            <w:tcW w:w="8240" w:type="dxa"/>
            <w:vAlign w:val="bottom"/>
          </w:tcPr>
          <w:p>
            <w:pPr>
              <w:ind w:left="1100"/>
              <w:spacing w:after="0" w:line="165" w:lineRule="exact"/>
              <w:rPr>
                <w:sz w:val="20"/>
                <w:szCs w:val="20"/>
                <w:color w:val="auto"/>
              </w:rPr>
            </w:pPr>
            <w:r>
              <w:rPr>
                <w:rFonts w:ascii="Arial" w:cs="Arial" w:eastAsia="Arial" w:hAnsi="Arial"/>
                <w:sz w:val="16"/>
                <w:szCs w:val="16"/>
                <w:color w:val="auto"/>
              </w:rPr>
              <w:t>NIM related to Structural Loans and Other Interest Earning Assets. It deducts the impact of GP</w:t>
            </w:r>
          </w:p>
        </w:tc>
      </w:tr>
      <w:tr>
        <w:trPr>
          <w:trHeight w:val="198"/>
        </w:trPr>
        <w:tc>
          <w:tcPr>
            <w:tcW w:w="3000" w:type="dxa"/>
            <w:vAlign w:val="bottom"/>
            <w:tcBorders>
              <w:bottom w:val="single" w:sz="8" w:color="auto"/>
            </w:tcBorders>
          </w:tcPr>
          <w:p>
            <w:pPr>
              <w:spacing w:after="0"/>
              <w:rPr>
                <w:sz w:val="17"/>
                <w:szCs w:val="17"/>
                <w:color w:val="auto"/>
              </w:rPr>
            </w:pPr>
          </w:p>
        </w:tc>
        <w:tc>
          <w:tcPr>
            <w:tcW w:w="8240" w:type="dxa"/>
            <w:vAlign w:val="bottom"/>
            <w:tcBorders>
              <w:bottom w:val="single" w:sz="8" w:color="auto"/>
            </w:tcBorders>
          </w:tcPr>
          <w:p>
            <w:pPr>
              <w:ind w:left="1100"/>
              <w:spacing w:after="0"/>
              <w:rPr>
                <w:sz w:val="20"/>
                <w:szCs w:val="20"/>
                <w:color w:val="auto"/>
              </w:rPr>
            </w:pPr>
            <w:r>
              <w:rPr>
                <w:rFonts w:ascii="Arial" w:cs="Arial" w:eastAsia="Arial" w:hAnsi="Arial"/>
                <w:sz w:val="16"/>
                <w:szCs w:val="16"/>
                <w:color w:val="auto"/>
              </w:rPr>
              <w:t>Loans</w:t>
            </w:r>
          </w:p>
        </w:tc>
      </w:tr>
      <w:tr>
        <w:trPr>
          <w:trHeight w:val="222"/>
        </w:trPr>
        <w:tc>
          <w:tcPr>
            <w:tcW w:w="3000" w:type="dxa"/>
            <w:vAlign w:val="bottom"/>
          </w:tcPr>
          <w:p>
            <w:pPr>
              <w:ind w:left="20"/>
              <w:spacing w:after="0"/>
              <w:rPr>
                <w:sz w:val="20"/>
                <w:szCs w:val="20"/>
                <w:color w:val="auto"/>
              </w:rPr>
            </w:pPr>
            <w:r>
              <w:rPr>
                <w:rFonts w:ascii="Arial" w:cs="Arial" w:eastAsia="Arial" w:hAnsi="Arial"/>
                <w:sz w:val="16"/>
                <w:szCs w:val="16"/>
                <w:b w:val="1"/>
                <w:bCs w:val="1"/>
                <w:color w:val="auto"/>
              </w:rPr>
              <w:t>Structural Funding Cost</w:t>
            </w:r>
          </w:p>
        </w:tc>
        <w:tc>
          <w:tcPr>
            <w:tcW w:w="8240" w:type="dxa"/>
            <w:vAlign w:val="bottom"/>
          </w:tcPr>
          <w:p>
            <w:pPr>
              <w:ind w:left="1100"/>
              <w:spacing w:after="0"/>
              <w:rPr>
                <w:sz w:val="20"/>
                <w:szCs w:val="20"/>
                <w:color w:val="auto"/>
              </w:rPr>
            </w:pPr>
            <w:r>
              <w:rPr>
                <w:rFonts w:ascii="Arial" w:cs="Arial" w:eastAsia="Arial" w:hAnsi="Arial"/>
                <w:sz w:val="16"/>
                <w:szCs w:val="16"/>
                <w:color w:val="auto"/>
              </w:rPr>
              <w:t>Funding Cost deducting the impact in expenses and funding related to GP Loans</w:t>
            </w:r>
          </w:p>
        </w:tc>
      </w:tr>
    </w:tbl>
    <w:p>
      <w:pPr>
        <w:spacing w:after="0" w:line="311" w:lineRule="exact"/>
        <w:rPr>
          <w:sz w:val="20"/>
          <w:szCs w:val="20"/>
          <w:color w:val="auto"/>
        </w:rPr>
      </w:pPr>
    </w:p>
    <w:p>
      <w:pPr>
        <w:jc w:val="right"/>
        <w:spacing w:after="0"/>
        <w:rPr>
          <w:sz w:val="20"/>
          <w:szCs w:val="20"/>
          <w:color w:val="auto"/>
        </w:rPr>
      </w:pPr>
      <w:r>
        <w:rPr>
          <w:rFonts w:ascii="Arial" w:cs="Arial" w:eastAsia="Arial" w:hAnsi="Arial"/>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143750" cy="1587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1)"/>
      <w:numFmt w:val="decimal"/>
      <w:start w:val="1"/>
    </w:lvl>
  </w:abstractNum>
  <w:abstractNum w:abstractNumId="3">
    <w:nsid w:val="51EAD36B"/>
    <w:multiLevelType w:val="hybridMultilevel"/>
    <w:lvl w:ilvl="0">
      <w:lvlJc w:val="left"/>
      <w:lvlText w:val="*"/>
      <w:numFmt w:val="bullet"/>
      <w:start w:val="1"/>
    </w:lvl>
  </w:abstractNum>
  <w:abstractNum w:abstractNumId="4">
    <w:nsid w:val="2D517796"/>
    <w:multiLevelType w:val="hybridMultilevel"/>
    <w:lvl w:ilvl="0">
      <w:lvlJc w:val="left"/>
      <w:lvlText w:val="-"/>
      <w:numFmt w:val="bullet"/>
      <w:start w:val="1"/>
    </w:lvl>
  </w:abstractNum>
  <w:abstractNum w:abstractNumId="5">
    <w:nsid w:val="580BD78F"/>
    <w:multiLevelType w:val="hybridMultilevel"/>
    <w:lvl w:ilvl="0">
      <w:lvlJc w:val="left"/>
      <w:lvlText w:val="(%1)"/>
      <w:numFmt w:val="decimal"/>
      <w:start w:val="1"/>
    </w:lvl>
  </w:abstractNum>
  <w:abstractNum w:abstractNumId="6">
    <w:nsid w:val="153EA438"/>
    <w:multiLevelType w:val="hybridMultilevel"/>
    <w:lvl w:ilvl="0">
      <w:lvlJc w:val="left"/>
      <w:lvlText w:val="(%1)"/>
      <w:numFmt w:val="decimal"/>
      <w:start w:val="1"/>
    </w:lvl>
  </w:abstractNum>
  <w:abstractNum w:abstractNumId="7">
    <w:nsid w:val="3855585C"/>
    <w:multiLevelType w:val="hybridMultilevel"/>
    <w:lvl w:ilvl="0">
      <w:lvlJc w:val="left"/>
      <w:lvlText w:val="•"/>
      <w:numFmt w:val="bullet"/>
      <w:start w:val="1"/>
    </w:lvl>
  </w:abstractNum>
  <w:abstractNum w:abstractNumId="8">
    <w:nsid w:val="70A64E2A"/>
    <w:multiLevelType w:val="hybridMultilevel"/>
    <w:lvl w:ilvl="0">
      <w:lvlJc w:val="left"/>
      <w:lvlText w:val="•"/>
      <w:numFmt w:val="bullet"/>
      <w:start w:val="1"/>
    </w:lvl>
  </w:abstractNum>
  <w:abstractNum w:abstractNumId="9">
    <w:nsid w:val="6A2342EC"/>
    <w:multiLevelType w:val="hybridMultilevel"/>
    <w:lvl w:ilvl="0">
      <w:lvlJc w:val="left"/>
      <w:lvlText w:val="•"/>
      <w:numFmt w:val="bullet"/>
      <w:start w:val="1"/>
    </w:lvl>
  </w:abstractNum>
  <w:abstractNum w:abstractNumId="10">
    <w:nsid w:val="2A487CB0"/>
    <w:multiLevelType w:val="hybridMultilevel"/>
    <w:lvl w:ilvl="0">
      <w:lvlJc w:val="left"/>
      <w:lvlText w:val="(%1)"/>
      <w:numFmt w:val="decimal"/>
      <w:start w:val="1"/>
    </w:lvl>
  </w:abstractNum>
  <w:abstractNum w:abstractNumId="11">
    <w:nsid w:val="1D4ED43B"/>
    <w:multiLevelType w:val="hybridMultilevel"/>
    <w:lvl w:ilvl="0">
      <w:lvlJc w:val="left"/>
      <w:lvlText w:val="•"/>
      <w:numFmt w:val="bullet"/>
      <w:start w:val="1"/>
    </w:lvl>
  </w:abstractNum>
  <w:abstractNum w:abstractNumId="12">
    <w:nsid w:val="725A06FB"/>
    <w:multiLevelType w:val="hybridMultilevel"/>
    <w:lvl w:ilvl="0">
      <w:lvlJc w:val="left"/>
      <w:lvlText w:val="o"/>
      <w:numFmt w:val="bullet"/>
      <w:start w:val="1"/>
    </w:lvl>
  </w:abstractNum>
  <w:abstractNum w:abstractNumId="13">
    <w:nsid w:val="2CD89A32"/>
    <w:multiLevelType w:val="hybridMultilevel"/>
    <w:lvl w:ilvl="0">
      <w:lvlJc w:val="left"/>
      <w:lvlText w:val="•"/>
      <w:numFmt w:val="bullet"/>
      <w:start w:val="1"/>
    </w:lvl>
  </w:abstractNum>
  <w:abstractNum w:abstractNumId="14">
    <w:nsid w:val="57E4CCAF"/>
    <w:multiLevelType w:val="hybridMultilevel"/>
    <w:lvl w:ilvl="0">
      <w:lvlJc w:val="left"/>
      <w:lvlText w:val="(%1)"/>
      <w:numFmt w:val="decimal"/>
      <w:start w:val="1"/>
    </w:lvl>
  </w:abstractNum>
  <w:abstractNum w:abstractNumId="15">
    <w:nsid w:val="7A6D8D3C"/>
    <w:multiLevelType w:val="hybridMultilevel"/>
    <w:lvl w:ilvl="0">
      <w:lvlJc w:val="left"/>
      <w:lvlText w:val="(%1)"/>
      <w:numFmt w:val="decimal"/>
      <w:start w:val="1"/>
    </w:lvl>
  </w:abstractNum>
  <w:abstractNum w:abstractNumId="16">
    <w:nsid w:val="4B588F54"/>
    <w:multiLevelType w:val="hybridMultilevel"/>
    <w:lvl w:ilvl="0">
      <w:lvlJc w:val="left"/>
      <w:lvlText w:val="•"/>
      <w:numFmt w:val="bullet"/>
      <w:start w:val="1"/>
    </w:lvl>
  </w:abstractNum>
  <w:abstractNum w:abstractNumId="17">
    <w:nsid w:val="542289EC"/>
    <w:multiLevelType w:val="hybridMultilevel"/>
    <w:lvl w:ilvl="0">
      <w:lvlJc w:val="left"/>
      <w:lvlText w:val="•"/>
      <w:numFmt w:val="bullet"/>
      <w:start w:val="1"/>
    </w:lvl>
    <w:lvl w:ilvl="1">
      <w:lvlJc w:val="left"/>
      <w:lvlText w:val="%2)"/>
      <w:numFmt w:val="lowerRoman"/>
      <w:start w:val="2"/>
    </w:lvl>
  </w:abstractNum>
  <w:abstractNum w:abstractNumId="18">
    <w:nsid w:val="6DE91B18"/>
    <w:multiLevelType w:val="hybridMultilevel"/>
    <w:lvl w:ilvl="0">
      <w:lvlJc w:val="left"/>
      <w:lvlText w:val="•"/>
      <w:numFmt w:val="bullet"/>
      <w:start w:val="1"/>
    </w:lvl>
  </w:abstractNum>
  <w:abstractNum w:abstractNumId="19">
    <w:nsid w:val="38437FDB"/>
    <w:multiLevelType w:val="hybridMultilevel"/>
    <w:lvl w:ilvl="0">
      <w:lvlJc w:val="left"/>
      <w:lvlText w:val="•"/>
      <w:numFmt w:val="bullet"/>
      <w:start w:val="1"/>
    </w:lvl>
  </w:abstractNum>
  <w:abstractNum w:abstractNumId="20">
    <w:nsid w:val="7644A45C"/>
    <w:multiLevelType w:val="hybridMultilevel"/>
    <w:lvl w:ilvl="0">
      <w:lvlJc w:val="left"/>
      <w:lvlText w:val="(%1)"/>
      <w:numFmt w:val="decimal"/>
      <w:start w:val="1"/>
    </w:lvl>
  </w:abstractNum>
  <w:abstractNum w:abstractNumId="21">
    <w:nsid w:val="32FFF902"/>
    <w:multiLevelType w:val="hybridMultilevel"/>
    <w:lvl w:ilvl="0">
      <w:lvlJc w:val="left"/>
      <w:lvlText w:val="(%1)"/>
      <w:numFmt w:val="decimal"/>
      <w:start w:val="1"/>
    </w:lvl>
  </w:abstractNum>
  <w:abstractNum w:abstractNumId="22">
    <w:nsid w:val="684A481A"/>
    <w:multiLevelType w:val="hybridMultilevel"/>
    <w:lvl w:ilvl="0">
      <w:lvlJc w:val="left"/>
      <w:lvlText w:val="(%1)"/>
      <w:numFmt w:val="decimal"/>
      <w:start w:val="1"/>
    </w:lvl>
  </w:abstractNum>
  <w:abstractNum w:abstractNumId="23">
    <w:nsid w:val="579478FE"/>
    <w:multiLevelType w:val="hybridMultilevel"/>
    <w:lvl w:ilvl="0">
      <w:lvlJc w:val="left"/>
      <w:lvlText w:val="•"/>
      <w:numFmt w:val="bullet"/>
      <w:start w:val="1"/>
    </w:lvl>
  </w:abstractNum>
  <w:abstractNum w:abstractNumId="24">
    <w:nsid w:val="749ABB43"/>
    <w:multiLevelType w:val="hybridMultilevel"/>
    <w:lvl w:ilvl="0">
      <w:lvlJc w:val="left"/>
      <w:lvlText w:val="•"/>
      <w:numFmt w:val="bullet"/>
      <w:start w:val="1"/>
    </w:lvl>
    <w:lvl w:ilvl="1">
      <w:lvlJc w:val="left"/>
      <w:lvlText w:val="o"/>
      <w:numFmt w:val="bullet"/>
      <w:start w:val="1"/>
    </w:lvl>
  </w:abstractNum>
  <w:abstractNum w:abstractNumId="25">
    <w:nsid w:val="3DC240FB"/>
    <w:multiLevelType w:val="hybridMultilevel"/>
    <w:lvl w:ilvl="0">
      <w:lvlJc w:val="left"/>
      <w:lvlText w:val="•"/>
      <w:numFmt w:val="bullet"/>
      <w:start w:val="1"/>
    </w:lvl>
  </w:abstractNum>
  <w:abstractNum w:abstractNumId="26">
    <w:nsid w:val="1BA026FA"/>
    <w:multiLevelType w:val="hybridMultilevel"/>
    <w:lvl w:ilvl="0">
      <w:lvlJc w:val="left"/>
      <w:lvlText w:val="•"/>
      <w:numFmt w:val="bullet"/>
      <w:start w:val="1"/>
    </w:lvl>
    <w:lvl w:ilvl="1">
      <w:lvlJc w:val="left"/>
      <w:lvlText w:val="o"/>
      <w:numFmt w:val="bullet"/>
      <w:start w:val="1"/>
    </w:lvl>
  </w:abstractNum>
  <w:abstractNum w:abstractNumId="27">
    <w:nsid w:val="79A1DEAA"/>
    <w:multiLevelType w:val="hybridMultilevel"/>
    <w:lvl w:ilvl="0">
      <w:lvlJc w:val="left"/>
      <w:lvlText w:val="%1."/>
      <w:numFmt w:val="decimal"/>
      <w:start w:val="1"/>
    </w:lvl>
    <w:lvl w:ilvl="1">
      <w:lvlJc w:val="left"/>
      <w:lvlText w:val="•"/>
      <w:numFmt w:val="bullet"/>
      <w:start w:val="1"/>
    </w:lvl>
  </w:abstractNum>
  <w:abstractNum w:abstractNumId="28">
    <w:nsid w:val="75C6C33A"/>
    <w:multiLevelType w:val="hybridMultilevel"/>
    <w:lvl w:ilvl="0">
      <w:lvlJc w:val="left"/>
      <w:lvlText w:val="(%1)"/>
      <w:numFmt w:val="decimal"/>
      <w:start w:val="1"/>
    </w:lvl>
  </w:abstractNum>
  <w:abstractNum w:abstractNumId="29">
    <w:nsid w:val="12E685FB"/>
    <w:multiLevelType w:val="hybridMultilevel"/>
    <w:lvl w:ilvl="0">
      <w:lvlJc w:val="left"/>
      <w:lvlText w:val="•"/>
      <w:numFmt w:val="bullet"/>
      <w:start w:val="1"/>
    </w:lvl>
  </w:abstractNum>
  <w:abstractNum w:abstractNumId="30">
    <w:nsid w:val="70C6A529"/>
    <w:multiLevelType w:val="hybridMultilevel"/>
    <w:lvl w:ilvl="0">
      <w:lvlJc w:val="left"/>
      <w:lvlText w:val="•"/>
      <w:numFmt w:val="bullet"/>
      <w:start w:val="1"/>
    </w:lvl>
  </w:abstractNum>
  <w:abstractNum w:abstractNumId="31">
    <w:nsid w:val="520EEDD1"/>
    <w:multiLevelType w:val="hybridMultilevel"/>
    <w:lvl w:ilvl="0">
      <w:lvlJc w:val="left"/>
      <w:lvlText w:val="•"/>
      <w:numFmt w:val="bullet"/>
      <w:start w:val="1"/>
    </w:lvl>
  </w:abstractNum>
  <w:abstractNum w:abstractNumId="32">
    <w:nsid w:val="374A3FE6"/>
    <w:multiLevelType w:val="hybridMultilevel"/>
    <w:lvl w:ilvl="0">
      <w:lvlJc w:val="left"/>
      <w:lvlText w:val="•"/>
      <w:numFmt w:val="bullet"/>
      <w:start w:val="1"/>
    </w:lvl>
  </w:abstractNum>
  <w:abstractNum w:abstractNumId="33">
    <w:nsid w:val="4F4EF005"/>
    <w:multiLevelType w:val="hybridMultilevel"/>
    <w:lvl w:ilvl="0">
      <w:lvlJc w:val="left"/>
      <w:lvlText w:val="(%1)"/>
      <w:numFmt w:val="decimal"/>
      <w:start w:val="1"/>
    </w:lvl>
  </w:abstractNum>
  <w:abstractNum w:abstractNumId="34">
    <w:nsid w:val="23F9C13C"/>
    <w:multiLevelType w:val="hybridMultilevel"/>
    <w:lvl w:ilvl="0">
      <w:lvlJc w:val="left"/>
      <w:lvlText w:val="%1)"/>
      <w:numFmt w:val="lowerRoman"/>
      <w:start w:val="1"/>
    </w:lvl>
  </w:abstractNum>
  <w:abstractNum w:abstractNumId="35">
    <w:nsid w:val="649BB77C"/>
    <w:multiLevelType w:val="hybridMultilevel"/>
    <w:lvl w:ilvl="0">
      <w:lvlJc w:val="left"/>
      <w:lvlText w:val="(%1)"/>
      <w:numFmt w:val="decimal"/>
      <w:start w:val="1"/>
    </w:lvl>
  </w:abstractNum>
  <w:abstractNum w:abstractNumId="36">
    <w:nsid w:val="275AC794"/>
    <w:multiLevelType w:val="hybridMultilevel"/>
    <w:lvl w:ilvl="0">
      <w:lvlJc w:val="left"/>
      <w:lvlText w:val="•"/>
      <w:numFmt w:val="bullet"/>
      <w:start w:val="1"/>
    </w:lvl>
  </w:abstractNum>
  <w:abstractNum w:abstractNumId="37">
    <w:nsid w:val="39386575"/>
    <w:multiLevelType w:val="hybridMultilevel"/>
    <w:lvl w:ilvl="0">
      <w:lvlJc w:val="left"/>
      <w:lvlText w:val="•"/>
      <w:numFmt w:val="bullet"/>
      <w:start w:val="1"/>
    </w:lvl>
  </w:abstractNum>
  <w:abstractNum w:abstractNumId="38">
    <w:nsid w:val="1CF10FD8"/>
    <w:multiLevelType w:val="hybridMultilevel"/>
    <w:lvl w:ilvl="0">
      <w:lvlJc w:val="left"/>
      <w:lvlText w:val="(%1)"/>
      <w:numFmt w:val="decimal"/>
      <w:start w:val="1"/>
    </w:lvl>
  </w:abstractNum>
  <w:abstractNum w:abstractNumId="39">
    <w:nsid w:val="180115BE"/>
    <w:multiLevelType w:val="hybridMultilevel"/>
    <w:lvl w:ilvl="0">
      <w:lvlJc w:val="left"/>
      <w:lvlText w:val="•"/>
      <w:numFmt w:val="bullet"/>
      <w:start w:val="1"/>
    </w:lvl>
  </w:abstractNum>
  <w:abstractNum w:abstractNumId="40">
    <w:nsid w:val="235BA861"/>
    <w:multiLevelType w:val="hybridMultilevel"/>
    <w:lvl w:ilvl="0">
      <w:lvlJc w:val="left"/>
      <w:lvlText w:val="•"/>
      <w:numFmt w:val="bullet"/>
      <w:start w:val="1"/>
    </w:lvl>
  </w:abstractNum>
  <w:abstractNum w:abstractNumId="41">
    <w:nsid w:val="47398C89"/>
    <w:multiLevelType w:val="hybridMultilevel"/>
    <w:lvl w:ilvl="0">
      <w:lvlJc w:val="left"/>
      <w:lvlText w:val="•"/>
      <w:numFmt w:val="bullet"/>
      <w:start w:val="1"/>
    </w:lvl>
  </w:abstractNum>
  <w:abstractNum w:abstractNumId="42">
    <w:nsid w:val="354FE9F9"/>
    <w:multiLevelType w:val="hybridMultilevel"/>
    <w:lvl w:ilvl="0">
      <w:lvlJc w:val="left"/>
      <w:lvlText w:val="•"/>
      <w:numFmt w:val="bullet"/>
      <w:start w:val="1"/>
    </w:lvl>
  </w:abstractNum>
  <w:abstractNum w:abstractNumId="43">
    <w:nsid w:val="15B5AF5C"/>
    <w:multiLevelType w:val="hybridMultilevel"/>
    <w:lvl w:ilvl="0">
      <w:lvlJc w:val="left"/>
      <w:lvlText w:val="•"/>
      <w:numFmt w:val="bullet"/>
      <w:start w:val="1"/>
    </w:lvl>
  </w:abstractNum>
  <w:abstractNum w:abstractNumId="44">
    <w:nsid w:val="741226BB"/>
    <w:multiLevelType w:val="hybridMultilevel"/>
    <w:lvl w:ilvl="0">
      <w:lvlJc w:val="left"/>
      <w:lvlText w:val="•"/>
      <w:numFmt w:val="bullet"/>
      <w:start w:val="1"/>
    </w:lvl>
  </w:abstractNum>
  <w:abstractNum w:abstractNumId="45">
    <w:nsid w:val="D34B6A8"/>
    <w:multiLevelType w:val="hybridMultilevel"/>
    <w:lvl w:ilvl="0">
      <w:lvlJc w:val="left"/>
      <w:lvlText w:val="(%1)"/>
      <w:numFmt w:val="decimal"/>
      <w:start w:val="1"/>
    </w:lvl>
  </w:abstractNum>
  <w:abstractNum w:abstractNumId="46">
    <w:nsid w:val="10233C99"/>
    <w:multiLevelType w:val="hybridMultilevel"/>
    <w:lvl w:ilvl="0">
      <w:lvlJc w:val="left"/>
      <w:lvlText w:val="•"/>
      <w:numFmt w:val="bullet"/>
      <w:start w:val="1"/>
    </w:lvl>
    <w:lvl w:ilvl="1">
      <w:lvlJc w:val="left"/>
      <w:lvlText w:val="•"/>
      <w:numFmt w:val="bullet"/>
      <w:start w:val="1"/>
    </w:lvl>
  </w:abstractNum>
  <w:abstractNum w:abstractNumId="47">
    <w:nsid w:val="3F6AB60F"/>
    <w:multiLevelType w:val="hybridMultilevel"/>
    <w:lvl w:ilvl="0">
      <w:lvlJc w:val="left"/>
      <w:lvlText w:val="(%1)"/>
      <w:numFmt w:val="decimal"/>
      <w:start w:val="1"/>
    </w:lvl>
  </w:abstractNum>
  <w:abstractNum w:abstractNumId="48">
    <w:nsid w:val="61574095"/>
    <w:multiLevelType w:val="hybridMultilevel"/>
    <w:lvl w:ilvl="0">
      <w:lvlJc w:val="left"/>
      <w:lvlText w:val="(%1)"/>
      <w:numFmt w:val="decimal"/>
      <w:start w:val="1"/>
    </w:lvl>
  </w:abstractNum>
  <w:abstractNum w:abstractNumId="49">
    <w:nsid w:val="7E0C57B1"/>
    <w:multiLevelType w:val="hybridMultilevel"/>
    <w:lvl w:ilvl="0">
      <w:lvlJc w:val="left"/>
      <w:lvlText w:val="•"/>
      <w:numFmt w:val="bullet"/>
      <w:start w:val="1"/>
    </w:lvl>
  </w:abstractNum>
  <w:abstractNum w:abstractNumId="50">
    <w:nsid w:val="77AE35EB"/>
    <w:multiLevelType w:val="hybridMultilevel"/>
    <w:lvl w:ilvl="0">
      <w:lvlJc w:val="left"/>
      <w:lvlText w:val="(%1)"/>
      <w:numFmt w:val="lowerRoman"/>
      <w:start w:val="1"/>
    </w:lvl>
  </w:abstractNum>
  <w:abstractNum w:abstractNumId="51">
    <w:nsid w:val="579BE4F1"/>
    <w:multiLevelType w:val="hybridMultilevel"/>
    <w:lvl w:ilvl="0">
      <w:lvlJc w:val="left"/>
      <w:lvlText w:val="•"/>
      <w:numFmt w:val="bullet"/>
      <w:start w:val="1"/>
    </w:lvl>
  </w:abstractNum>
  <w:abstractNum w:abstractNumId="52">
    <w:nsid w:val="310C50B3"/>
    <w:multiLevelType w:val="hybridMultilevel"/>
    <w:lvl w:ilvl="0">
      <w:lvlJc w:val="left"/>
      <w:lvlText w:val="%1."/>
      <w:numFmt w:val="upperLetter"/>
      <w:start w:val="9"/>
    </w:lvl>
  </w:abstractNum>
  <w:abstractNum w:abstractNumId="53">
    <w:nsid w:val="5FF87E05"/>
    <w:multiLevelType w:val="hybridMultilevel"/>
    <w:lvl w:ilvl="0">
      <w:lvlJc w:val="left"/>
      <w:lvlText w:val="%1."/>
      <w:numFmt w:val="upperLetter"/>
      <w:start w:val="35"/>
    </w:lvl>
  </w:abstractNum>
  <w:abstractNum w:abstractNumId="54">
    <w:nsid w:val="2F305DEF"/>
    <w:multiLevelType w:val="hybridMultilevel"/>
    <w:lvl w:ilvl="0">
      <w:lvlJc w:val="left"/>
      <w:lvlText w:val="%1."/>
      <w:numFmt w:val="upperLetter"/>
      <w:start w:val="61"/>
    </w:lvl>
  </w:abstractNum>
  <w:abstractNum w:abstractNumId="55">
    <w:nsid w:val="25A70BF7"/>
    <w:multiLevelType w:val="hybridMultilevel"/>
    <w:lvl w:ilvl="0">
      <w:lvlJc w:val="left"/>
      <w:lvlText w:val="%1."/>
      <w:numFmt w:val="upperLetter"/>
      <w:start w:val="22"/>
    </w:lvl>
  </w:abstractNum>
  <w:abstractNum w:abstractNumId="56">
    <w:nsid w:val="1DBABF00"/>
    <w:multiLevelType w:val="hybridMultilevel"/>
    <w:lvl w:ilvl="0">
      <w:lvlJc w:val="left"/>
      <w:lvlText w:val="%1."/>
      <w:numFmt w:val="upperLetter"/>
      <w:start w:val="9"/>
    </w:lvl>
  </w:abstractNum>
  <w:abstractNum w:abstractNumId="57">
    <w:nsid w:val="4AD084E9"/>
    <w:multiLevelType w:val="hybridMultilevel"/>
    <w:lvl w:ilvl="0">
      <w:lvlJc w:val="left"/>
      <w:lvlText w:val="%1."/>
      <w:numFmt w:val="upperLetter"/>
      <w:start w:val="35"/>
    </w:lvl>
  </w:abstractNum>
  <w:abstractNum w:abstractNumId="58">
    <w:nsid w:val="1F48EAA1"/>
    <w:multiLevelType w:val="hybridMultilevel"/>
    <w:lvl w:ilvl="0">
      <w:lvlJc w:val="left"/>
      <w:lvlText w:val="%1"/>
      <w:numFmt w:val="upperLetter"/>
      <w:start w:val="1"/>
    </w:lvl>
    <w:lvl w:ilvl="1">
      <w:lvlJc w:val="left"/>
      <w:lvlText w:val="%2."/>
      <w:numFmt w:val="decimal"/>
      <w:start w:val="12"/>
    </w:lvl>
  </w:abstractNum>
  <w:abstractNum w:abstractNumId="59">
    <w:nsid w:val="1381823A"/>
    <w:multiLevelType w:val="hybridMultilevel"/>
    <w:lvl w:ilvl="0">
      <w:lvlJc w:val="left"/>
      <w:lvlText w:val="%1."/>
      <w:numFmt w:val="upperLetter"/>
      <w:start w:val="61"/>
    </w:lvl>
    <w:lvl w:ilvl="1">
      <w:lvlJc w:val="left"/>
      <w:lvlText w:val="%2"/>
      <w:numFmt w:val="decimal"/>
      <w:start w:val="1"/>
    </w:lvl>
  </w:abstractNum>
  <w:abstractNum w:abstractNumId="60">
    <w:nsid w:val="5DB70AE5"/>
    <w:multiLevelType w:val="hybridMultilevel"/>
    <w:lvl w:ilvl="0">
      <w:lvlJc w:val="left"/>
      <w:lvlText w:val="(%1)"/>
      <w:numFmt w:val="decimal"/>
      <w:start w:val="1"/>
    </w:lvl>
  </w:abstractNum>
  <w:abstractNum w:abstractNumId="61">
    <w:nsid w:val="100F8FCA"/>
    <w:multiLevelType w:val="hybridMultilevel"/>
    <w:lvl w:ilvl="0">
      <w:lvlJc w:val="left"/>
      <w:lvlText w:val="(%1)"/>
      <w:numFmt w:val="decimal"/>
      <w:start w:val="1"/>
    </w:lvl>
  </w:abstractNum>
  <w:abstractNum w:abstractNumId="62">
    <w:nsid w:val="6590700B"/>
    <w:multiLevelType w:val="hybridMultilevel"/>
    <w:lvl w:ilvl="0">
      <w:lvlJc w:val="left"/>
      <w:lvlText w:val="[%1]"/>
      <w:numFmt w:val="decimal"/>
      <w:start w:val="1"/>
    </w:lvl>
  </w:abstractNum>
  <w:abstractNum w:abstractNumId="63">
    <w:nsid w:val="15014ACB"/>
    <w:multiLevelType w:val="hybridMultilevel"/>
    <w:lvl w:ilvl="0">
      <w:lvlJc w:val="left"/>
      <w:lvlText w:val="(%1)"/>
      <w:numFmt w:val="decimal"/>
      <w:start w:val="1"/>
    </w:lvl>
  </w:abstractNum>
  <w:abstractNum w:abstractNumId="64">
    <w:nsid w:val="5F5E7FD0"/>
    <w:multiLevelType w:val="hybridMultilevel"/>
    <w:lvl w:ilvl="0">
      <w:lvlJc w:val="left"/>
      <w:lvlText w:val="(%1)"/>
      <w:numFmt w:val="decimal"/>
      <w:start w:val="1"/>
    </w:lvl>
  </w:abstractNum>
  <w:abstractNum w:abstractNumId="65">
    <w:nsid w:val="98A3148"/>
    <w:multiLevelType w:val="hybridMultilevel"/>
    <w:lvl w:ilvl="0">
      <w:lvlJc w:val="left"/>
      <w:lvlText w:val="(%1)"/>
      <w:numFmt w:val="decimal"/>
      <w:start w:val="1"/>
    </w:lvl>
  </w:abstractNum>
  <w:abstractNum w:abstractNumId="66">
    <w:nsid w:val="799D0247"/>
    <w:multiLevelType w:val="hybridMultilevel"/>
    <w:lvl w:ilvl="0">
      <w:lvlJc w:val="left"/>
      <w:lvlText w:val="(%1)"/>
      <w:numFmt w:val="decimal"/>
      <w:start w:val="1"/>
    </w:lvl>
  </w:abstractNum>
  <w:abstractNum w:abstractNumId="67">
    <w:nsid w:val="6B94764"/>
    <w:multiLevelType w:val="hybridMultilevel"/>
    <w:lvl w:ilvl="0">
      <w:lvlJc w:val="left"/>
      <w:lvlText w:val="(*)"/>
      <w:numFmt w:val="bullet"/>
      <w:start w:val="1"/>
    </w:lvl>
  </w:abstractNum>
  <w:abstractNum w:abstractNumId="68">
    <w:nsid w:val="42C296BD"/>
    <w:multiLevelType w:val="hybridMultilevel"/>
    <w:lvl w:ilvl="0">
      <w:lvlJc w:val="left"/>
      <w:lvlText w:val="(%1)"/>
      <w:numFmt w:val="decimal"/>
      <w:start w:val="1"/>
    </w:lvl>
  </w:abstractNum>
  <w:abstractNum w:abstractNumId="69">
    <w:nsid w:val="168E121F"/>
    <w:multiLevelType w:val="hybridMultilevel"/>
    <w:lvl w:ilvl="0">
      <w:lvlJc w:val="left"/>
      <w:lvlText w:val="(%1)"/>
      <w:numFmt w:val="decimal"/>
      <w:start w:val="1"/>
    </w:lvl>
  </w:abstractNum>
  <w:abstractNum w:abstractNumId="70">
    <w:nsid w:val="1EBA5D23"/>
    <w:multiLevelType w:val="hybridMultilevel"/>
    <w:lvl w:ilvl="0">
      <w:lvlJc w:val="left"/>
      <w:lvlText w:val="(%1)"/>
      <w:numFmt w:val="decimal"/>
      <w:start w:val="1"/>
    </w:lvl>
  </w:abstractNum>
  <w:abstractNum w:abstractNumId="71">
    <w:nsid w:val="661E3F1E"/>
    <w:multiLevelType w:val="hybridMultilevel"/>
    <w:lvl w:ilvl="0">
      <w:lvlJc w:val="left"/>
      <w:lvlText w:val="*"/>
      <w:numFmt w:val="bullet"/>
      <w:start w:val="1"/>
    </w:lvl>
  </w:abstractNum>
  <w:abstractNum w:abstractNumId="72">
    <w:nsid w:val="5DC79EA8"/>
    <w:multiLevelType w:val="hybridMultilevel"/>
    <w:lvl w:ilvl="0">
      <w:lvlJc w:val="left"/>
      <w:lvlText w:val="•"/>
      <w:numFmt w:val="bullet"/>
      <w:start w:val="1"/>
    </w:lvl>
  </w:abstractNum>
  <w:abstractNum w:abstractNumId="73">
    <w:nsid w:val="540A471C"/>
    <w:multiLevelType w:val="hybridMultilevel"/>
    <w:lvl w:ilvl="0">
      <w:lvlJc w:val="left"/>
      <w:lvlText w:val="(%1)"/>
      <w:numFmt w:val="decimal"/>
      <w:start w:val="1"/>
    </w:lvl>
  </w:abstractNum>
  <w:abstractNum w:abstractNumId="74">
    <w:nsid w:val="7BD3EE7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2023-11-06T16:24:34Z</dcterms:created>
  <dcterms:modified xsi:type="dcterms:W3CDTF">2023-11-06T16:24:34Z</dcterms:modified>
</cp:coreProperties>
</file>